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4.xml" ContentType="application/vnd.openxmlformats-officedocument.wordprocessingml.footer+xml"/>
  <Override PartName="/word/header20.xml" ContentType="application/vnd.openxmlformats-officedocument.wordprocessingml.header+xml"/>
  <Override PartName="/word/footer5.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Override PartName="/word/header27.xml" ContentType="application/vnd.openxmlformats-officedocument.wordprocessingml.header+xml"/>
  <Override PartName="/word/footer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5599" w:val="left" w:leader="none"/>
        </w:tabs>
        <w:spacing w:before="6"/>
        <w:ind w:left="0" w:right="209" w:firstLine="0"/>
        <w:jc w:val="center"/>
        <w:rPr>
          <w:rFonts w:ascii="宋体" w:hAnsi="宋体" w:cs="宋体" w:eastAsia="宋体" w:hint="default"/>
          <w:sz w:val="28"/>
          <w:szCs w:val="28"/>
        </w:rPr>
      </w:pPr>
      <w:r>
        <w:rPr/>
        <w:pict>
          <v:group style="position:absolute;margin-left:88.019981pt;margin-top:41.999691pt;width:419.35pt;height:14pt;mso-position-horizontal-relative:page;mso-position-vertical-relative:page;z-index:-595744" coordorigin="1760,840" coordsize="8387,280">
            <v:group style="position:absolute;left:1768;top:1112;width:8373;height:2" coordorigin="1768,1112" coordsize="8373,2">
              <v:shape style="position:absolute;left:1768;top:1112;width:8373;height:2" coordorigin="1768,1112" coordsize="8373,0" path="m1768,1112l10140,1112e" filled="false" stroked="true" strokeweight=".72003pt" strokecolor="#000000">
                <v:path arrowok="t"/>
              </v:shape>
              <v:shape style="position:absolute;left:1802;top:840;width:317;height:271" type="#_x0000_t75" stroked="false">
                <v:imagedata r:id="rId7" o:title=""/>
              </v:shape>
            </v:group>
            <w10:wrap type="none"/>
          </v:group>
        </w:pict>
      </w:r>
      <w:r>
        <w:rPr>
          <w:rFonts w:ascii="宋体" w:hAnsi="宋体" w:cs="宋体" w:eastAsia="宋体" w:hint="default"/>
          <w:w w:val="95"/>
          <w:sz w:val="28"/>
          <w:szCs w:val="28"/>
        </w:rPr>
        <w:t>股票代码：002117</w:t>
        <w:tab/>
      </w:r>
      <w:r>
        <w:rPr>
          <w:rFonts w:ascii="宋体" w:hAnsi="宋体" w:cs="宋体" w:eastAsia="宋体" w:hint="default"/>
          <w:sz w:val="28"/>
          <w:szCs w:val="28"/>
        </w:rPr>
        <w:t>股票简称：东港股份</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2"/>
        <w:rPr>
          <w:rFonts w:ascii="宋体" w:hAnsi="宋体" w:cs="宋体" w:eastAsia="宋体" w:hint="default"/>
          <w:sz w:val="34"/>
          <w:szCs w:val="34"/>
        </w:rPr>
      </w:pPr>
    </w:p>
    <w:p>
      <w:pPr>
        <w:spacing w:line="896" w:lineRule="exact" w:before="0"/>
        <w:ind w:left="0" w:right="16"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pacing w:val="2"/>
          <w:sz w:val="52"/>
          <w:szCs w:val="52"/>
        </w:rPr>
        <w:t>东港安全印刷股份有限公司</w:t>
      </w:r>
      <w:r>
        <w:rPr>
          <w:rFonts w:ascii="Microsoft JhengHei" w:hAnsi="Microsoft JhengHei" w:cs="Microsoft JhengHei" w:eastAsia="Microsoft JhengHei" w:hint="default"/>
          <w:sz w:val="52"/>
          <w:szCs w:val="52"/>
        </w:rPr>
      </w:r>
    </w:p>
    <w:p>
      <w:pPr>
        <w:pStyle w:val="BodyText"/>
        <w:tabs>
          <w:tab w:pos="1199" w:val="left" w:leader="none"/>
          <w:tab w:pos="2279" w:val="left" w:leader="none"/>
          <w:tab w:pos="3479" w:val="left" w:leader="none"/>
        </w:tabs>
        <w:spacing w:line="305" w:lineRule="exact" w:before="0"/>
        <w:ind w:left="0" w:right="17"/>
        <w:jc w:val="center"/>
      </w:pPr>
      <w:r>
        <w:rPr/>
        <w:t>TUNGKONG</w:t>
        <w:tab/>
        <w:t>SECURIT</w:t>
        <w:tab/>
        <w:t>PRINTING</w:t>
        <w:tab/>
        <w:t>CO.,LTD</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1"/>
          <w:szCs w:val="31"/>
        </w:rPr>
      </w:pPr>
    </w:p>
    <w:p>
      <w:pPr>
        <w:spacing w:before="0"/>
        <w:ind w:left="0" w:right="14" w:firstLine="0"/>
        <w:jc w:val="center"/>
        <w:rPr>
          <w:rFonts w:ascii="Microsoft JhengHei" w:hAnsi="Microsoft JhengHei" w:cs="Microsoft JhengHei" w:eastAsia="Microsoft JhengHei" w:hint="default"/>
          <w:sz w:val="52"/>
          <w:szCs w:val="52"/>
        </w:rPr>
      </w:pPr>
      <w:r>
        <w:rPr>
          <w:rFonts w:ascii="Microsoft JhengHei" w:hAnsi="Microsoft JhengHei" w:cs="Microsoft JhengHei" w:eastAsia="Microsoft JhengHei" w:hint="default"/>
          <w:b/>
          <w:bCs/>
          <w:sz w:val="52"/>
          <w:szCs w:val="52"/>
        </w:rPr>
        <w:t>二○○七年年度报告</w:t>
      </w:r>
      <w:r>
        <w:rPr>
          <w:rFonts w:ascii="Microsoft JhengHei" w:hAnsi="Microsoft JhengHei" w:cs="Microsoft JhengHei" w:eastAsia="Microsoft JhengHei" w:hint="default"/>
          <w:sz w:val="52"/>
          <w:szCs w:val="5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0"/>
          <w:szCs w:val="10"/>
        </w:rPr>
      </w:pPr>
    </w:p>
    <w:p>
      <w:pPr>
        <w:spacing w:line="2017" w:lineRule="exact"/>
        <w:ind w:left="310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39"/>
          <w:sz w:val="20"/>
          <w:szCs w:val="20"/>
        </w:rPr>
        <w:drawing>
          <wp:inline distT="0" distB="0" distL="0" distR="0">
            <wp:extent cx="1506293" cy="128130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8" cstate="print"/>
                    <a:stretch>
                      <a:fillRect/>
                    </a:stretch>
                  </pic:blipFill>
                  <pic:spPr>
                    <a:xfrm>
                      <a:off x="0" y="0"/>
                      <a:ext cx="1506293" cy="1281302"/>
                    </a:xfrm>
                    <a:prstGeom prst="rect">
                      <a:avLst/>
                    </a:prstGeom>
                  </pic:spPr>
                </pic:pic>
              </a:graphicData>
            </a:graphic>
          </wp:inline>
        </w:drawing>
      </w:r>
      <w:r>
        <w:rPr>
          <w:rFonts w:ascii="Microsoft JhengHei" w:hAnsi="Microsoft JhengHei" w:cs="Microsoft JhengHei" w:eastAsia="Microsoft JhengHei" w:hint="default"/>
          <w:position w:val="-39"/>
          <w:sz w:val="20"/>
          <w:szCs w:val="2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16"/>
          <w:szCs w:val="16"/>
        </w:rPr>
      </w:pPr>
    </w:p>
    <w:p>
      <w:pPr>
        <w:spacing w:line="501" w:lineRule="exact" w:before="0"/>
        <w:ind w:left="2312" w:right="0" w:firstLine="0"/>
        <w:jc w:val="left"/>
        <w:rPr>
          <w:rFonts w:ascii="宋体" w:hAnsi="宋体" w:cs="宋体" w:eastAsia="宋体" w:hint="default"/>
          <w:sz w:val="36"/>
          <w:szCs w:val="36"/>
        </w:rPr>
      </w:pPr>
      <w:r>
        <w:rPr>
          <w:rFonts w:ascii="宋体" w:hAnsi="宋体" w:cs="宋体" w:eastAsia="宋体" w:hint="default"/>
          <w:sz w:val="36"/>
          <w:szCs w:val="36"/>
        </w:rPr>
        <w:t>二</w:t>
      </w:r>
      <w:r>
        <w:rPr>
          <w:rFonts w:ascii="Microsoft JhengHei" w:hAnsi="Microsoft JhengHei" w:cs="Microsoft JhengHei" w:eastAsia="Microsoft JhengHei" w:hint="default"/>
          <w:b/>
          <w:bCs/>
          <w:sz w:val="36"/>
          <w:szCs w:val="36"/>
        </w:rPr>
        <w:t>○○</w:t>
      </w:r>
      <w:r>
        <w:rPr>
          <w:rFonts w:ascii="宋体" w:hAnsi="宋体" w:cs="宋体" w:eastAsia="宋体" w:hint="default"/>
          <w:sz w:val="36"/>
          <w:szCs w:val="36"/>
        </w:rPr>
        <w:t>八年一月二十六日</w:t>
      </w:r>
    </w:p>
    <w:p>
      <w:pPr>
        <w:spacing w:line="541" w:lineRule="exact"/>
        <w:ind w:left="146" w:right="0" w:firstLine="0"/>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5249504" cy="344043"/>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5249504" cy="344043"/>
                    </a:xfrm>
                    <a:prstGeom prst="rect">
                      <a:avLst/>
                    </a:prstGeom>
                  </pic:spPr>
                </pic:pic>
              </a:graphicData>
            </a:graphic>
          </wp:inline>
        </w:drawing>
      </w:r>
      <w:r>
        <w:rPr>
          <w:rFonts w:ascii="宋体" w:hAnsi="宋体" w:cs="宋体" w:eastAsia="宋体" w:hint="default"/>
          <w:position w:val="-10"/>
          <w:sz w:val="20"/>
          <w:szCs w:val="20"/>
        </w:rPr>
      </w:r>
    </w:p>
    <w:p>
      <w:pPr>
        <w:spacing w:after="0" w:line="541" w:lineRule="exact"/>
        <w:rPr>
          <w:rFonts w:ascii="宋体" w:hAnsi="宋体" w:cs="宋体" w:eastAsia="宋体" w:hint="default"/>
          <w:sz w:val="20"/>
          <w:szCs w:val="20"/>
        </w:rPr>
        <w:sectPr>
          <w:headerReference w:type="default" r:id="rId5"/>
          <w:footerReference w:type="default" r:id="rId6"/>
          <w:type w:val="continuous"/>
          <w:pgSz w:w="11910" w:h="16840"/>
          <w:pgMar w:header="867" w:footer="1278" w:top="1060" w:bottom="1460" w:left="1660" w:right="1640"/>
        </w:sectPr>
      </w:pPr>
    </w:p>
    <w:p>
      <w:pPr>
        <w:spacing w:line="240" w:lineRule="auto" w:before="0"/>
        <w:rPr>
          <w:rFonts w:ascii="宋体" w:hAnsi="宋体" w:cs="宋体" w:eastAsia="宋体" w:hint="default"/>
          <w:sz w:val="20"/>
          <w:szCs w:val="20"/>
        </w:rPr>
      </w:pPr>
      <w:r>
        <w:rPr/>
        <w:pict>
          <v:group style="position:absolute;margin-left:88.019981pt;margin-top:41.999691pt;width:419.35pt;height:14pt;mso-position-horizontal-relative:page;mso-position-vertical-relative:page;z-index:1048" coordorigin="1760,840" coordsize="8387,280">
            <v:group style="position:absolute;left:1768;top:1112;width:8373;height:2" coordorigin="1768,1112" coordsize="8373,2">
              <v:shape style="position:absolute;left:1768;top:1112;width:8373;height:2" coordorigin="1768,1112" coordsize="8373,0" path="m1768,1112l10140,1112e" filled="false" stroked="true" strokeweight=".72003pt" strokecolor="#000000">
                <v:path arrowok="t"/>
              </v:shape>
              <v:shape style="position:absolute;left:1802;top:840;width:317;height:271" type="#_x0000_t75" stroked="false">
                <v:imagedata r:id="rId7" o:titl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460" w:lineRule="exact" w:before="0"/>
        <w:ind w:left="0" w:right="16" w:firstLine="0"/>
        <w:jc w:val="center"/>
        <w:rPr>
          <w:rFonts w:ascii="宋体" w:hAnsi="宋体" w:cs="宋体" w:eastAsia="宋体" w:hint="default"/>
          <w:sz w:val="36"/>
          <w:szCs w:val="36"/>
        </w:rPr>
      </w:pPr>
      <w:r>
        <w:rPr>
          <w:rFonts w:ascii="宋体" w:hAnsi="宋体" w:cs="宋体" w:eastAsia="宋体" w:hint="default"/>
          <w:b/>
          <w:bCs/>
          <w:sz w:val="36"/>
          <w:szCs w:val="36"/>
        </w:rPr>
        <w:t>重要提示</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48"/>
          <w:szCs w:val="48"/>
        </w:rPr>
      </w:pPr>
    </w:p>
    <w:p>
      <w:pPr>
        <w:pStyle w:val="BodyText"/>
        <w:spacing w:line="357" w:lineRule="auto" w:before="0"/>
        <w:ind w:right="151" w:firstLine="480"/>
        <w:jc w:val="both"/>
        <w:rPr>
          <w:rFonts w:ascii="宋体" w:hAnsi="宋体" w:cs="宋体" w:eastAsia="宋体" w:hint="default"/>
        </w:rPr>
      </w:pPr>
      <w:r>
        <w:rPr>
          <w:rFonts w:ascii="宋体" w:hAnsi="宋体" w:cs="宋体" w:eastAsia="宋体" w:hint="default"/>
          <w:spacing w:val="-3"/>
        </w:rPr>
        <w:t>本公司董事会、监事会及董事、监事、高级管理人员保证本报告所载资料不</w:t>
      </w:r>
      <w:r>
        <w:rPr>
          <w:rFonts w:ascii="宋体" w:hAnsi="宋体" w:cs="宋体" w:eastAsia="宋体" w:hint="default"/>
        </w:rPr>
        <w:t> </w:t>
      </w:r>
      <w:r>
        <w:rPr>
          <w:rFonts w:ascii="宋体" w:hAnsi="宋体" w:cs="宋体" w:eastAsia="宋体" w:hint="default"/>
          <w:spacing w:val="-3"/>
        </w:rPr>
        <w:t>存在任何虚假记载、误导性陈述或者重大遗漏，并对其内容的真实性、准确性和</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完整性承担个别及连带责任。</w:t>
      </w:r>
    </w:p>
    <w:p>
      <w:pPr>
        <w:spacing w:line="240" w:lineRule="auto" w:before="0"/>
        <w:rPr>
          <w:rFonts w:ascii="宋体" w:hAnsi="宋体" w:cs="宋体" w:eastAsia="宋体" w:hint="default"/>
          <w:sz w:val="24"/>
          <w:szCs w:val="24"/>
        </w:rPr>
      </w:pPr>
    </w:p>
    <w:p>
      <w:pPr>
        <w:pStyle w:val="BodyText"/>
        <w:spacing w:line="357" w:lineRule="auto" w:before="188"/>
        <w:ind w:right="151" w:firstLine="480"/>
        <w:jc w:val="both"/>
        <w:rPr>
          <w:rFonts w:ascii="宋体" w:hAnsi="宋体" w:cs="宋体" w:eastAsia="宋体" w:hint="default"/>
        </w:rPr>
      </w:pPr>
      <w:r>
        <w:rPr>
          <w:rFonts w:ascii="宋体" w:hAnsi="宋体" w:cs="宋体" w:eastAsia="宋体" w:hint="default"/>
          <w:spacing w:val="-3"/>
        </w:rPr>
        <w:t>没有董事、监事、高级管理人员对本报告内容的真实性、准确性、完整性无</w:t>
      </w:r>
      <w:r>
        <w:rPr>
          <w:rFonts w:ascii="宋体" w:hAnsi="宋体" w:cs="宋体" w:eastAsia="宋体" w:hint="default"/>
        </w:rPr>
        <w:t> 法保证或存在异议。</w:t>
      </w:r>
    </w:p>
    <w:p>
      <w:pPr>
        <w:spacing w:line="240" w:lineRule="auto" w:before="0"/>
        <w:rPr>
          <w:rFonts w:ascii="宋体" w:hAnsi="宋体" w:cs="宋体" w:eastAsia="宋体" w:hint="default"/>
          <w:sz w:val="24"/>
          <w:szCs w:val="24"/>
        </w:rPr>
      </w:pPr>
    </w:p>
    <w:p>
      <w:pPr>
        <w:pStyle w:val="BodyText"/>
        <w:spacing w:line="357" w:lineRule="auto" w:before="188"/>
        <w:ind w:right="153" w:firstLine="480"/>
        <w:jc w:val="both"/>
        <w:rPr>
          <w:rFonts w:ascii="宋体" w:hAnsi="宋体" w:cs="宋体" w:eastAsia="宋体" w:hint="default"/>
        </w:rPr>
      </w:pPr>
      <w:r>
        <w:rPr>
          <w:rFonts w:ascii="宋体" w:hAnsi="宋体" w:cs="宋体" w:eastAsia="宋体" w:hint="default"/>
        </w:rPr>
        <w:t>本公司 2007</w:t>
      </w:r>
      <w:r>
        <w:rPr>
          <w:rFonts w:ascii="宋体" w:hAnsi="宋体" w:cs="宋体" w:eastAsia="宋体" w:hint="default"/>
          <w:spacing w:val="-90"/>
        </w:rPr>
        <w:t> </w:t>
      </w:r>
      <w:r>
        <w:rPr>
          <w:rFonts w:ascii="宋体" w:hAnsi="宋体" w:cs="宋体" w:eastAsia="宋体" w:hint="default"/>
        </w:rPr>
        <w:t>年年度财务报告已经中瑞岳华会计师事务所有限公司审计并出</w:t>
      </w:r>
      <w:r>
        <w:rPr>
          <w:rFonts w:ascii="宋体" w:hAnsi="宋体" w:cs="宋体" w:eastAsia="宋体" w:hint="default"/>
        </w:rPr>
        <w:t> 具了标准无保留意见的审计报告。</w:t>
      </w:r>
    </w:p>
    <w:p>
      <w:pPr>
        <w:spacing w:line="240" w:lineRule="auto" w:before="0"/>
        <w:rPr>
          <w:rFonts w:ascii="宋体" w:hAnsi="宋体" w:cs="宋体" w:eastAsia="宋体" w:hint="default"/>
          <w:sz w:val="24"/>
          <w:szCs w:val="24"/>
        </w:rPr>
      </w:pPr>
    </w:p>
    <w:p>
      <w:pPr>
        <w:pStyle w:val="BodyText"/>
        <w:spacing w:line="357" w:lineRule="auto" w:before="188"/>
        <w:ind w:right="153" w:firstLine="480"/>
        <w:jc w:val="both"/>
        <w:rPr>
          <w:rFonts w:ascii="宋体" w:hAnsi="宋体" w:cs="宋体" w:eastAsia="宋体" w:hint="default"/>
        </w:rPr>
      </w:pPr>
      <w:r>
        <w:rPr>
          <w:rFonts w:ascii="宋体" w:hAnsi="宋体" w:cs="宋体" w:eastAsia="宋体" w:hint="default"/>
          <w:spacing w:val="-3"/>
        </w:rPr>
        <w:t>本公司董事长谷望江女士、总经理及会计机构负责人史建中先生、财务负责</w:t>
      </w:r>
      <w:r>
        <w:rPr>
          <w:rFonts w:ascii="宋体" w:hAnsi="宋体" w:cs="宋体" w:eastAsia="宋体" w:hint="default"/>
        </w:rPr>
        <w:t> 人郑理女士声明：保证</w:t>
      </w:r>
      <w:r>
        <w:rPr>
          <w:rFonts w:ascii="宋体" w:hAnsi="宋体" w:cs="宋体" w:eastAsia="宋体" w:hint="default"/>
          <w:spacing w:val="-60"/>
        </w:rPr>
        <w:t> </w:t>
      </w:r>
      <w:r>
        <w:rPr>
          <w:rFonts w:ascii="宋体" w:hAnsi="宋体" w:cs="宋体" w:eastAsia="宋体" w:hint="default"/>
        </w:rPr>
        <w:t>2007</w:t>
      </w:r>
      <w:r>
        <w:rPr>
          <w:rFonts w:ascii="宋体" w:hAnsi="宋体" w:cs="宋体" w:eastAsia="宋体" w:hint="default"/>
          <w:spacing w:val="-60"/>
        </w:rPr>
        <w:t> </w:t>
      </w:r>
      <w:r>
        <w:rPr>
          <w:rFonts w:ascii="宋体" w:hAnsi="宋体" w:cs="宋体" w:eastAsia="宋体" w:hint="default"/>
        </w:rPr>
        <w:t>年年度报告中财务报告的真实、完整。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541" w:lineRule="exact"/>
        <w:ind w:left="146" w:right="0" w:firstLine="0"/>
        <w:rPr>
          <w:rFonts w:ascii="宋体" w:hAnsi="宋体" w:cs="宋体" w:eastAsia="宋体" w:hint="default"/>
          <w:sz w:val="20"/>
          <w:szCs w:val="20"/>
        </w:rPr>
      </w:pPr>
      <w:r>
        <w:rPr>
          <w:rFonts w:ascii="宋体" w:hAnsi="宋体" w:cs="宋体" w:eastAsia="宋体" w:hint="default"/>
          <w:position w:val="-10"/>
          <w:sz w:val="20"/>
          <w:szCs w:val="20"/>
        </w:rPr>
        <w:drawing>
          <wp:inline distT="0" distB="0" distL="0" distR="0">
            <wp:extent cx="5249504" cy="344043"/>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5249504" cy="344043"/>
                    </a:xfrm>
                    <a:prstGeom prst="rect">
                      <a:avLst/>
                    </a:prstGeom>
                  </pic:spPr>
                </pic:pic>
              </a:graphicData>
            </a:graphic>
          </wp:inline>
        </w:drawing>
      </w:r>
      <w:r>
        <w:rPr>
          <w:rFonts w:ascii="宋体" w:hAnsi="宋体" w:cs="宋体" w:eastAsia="宋体" w:hint="default"/>
          <w:position w:val="-10"/>
          <w:sz w:val="20"/>
          <w:szCs w:val="20"/>
        </w:rPr>
      </w:r>
    </w:p>
    <w:p>
      <w:pPr>
        <w:spacing w:after="0" w:line="541" w:lineRule="exact"/>
        <w:rPr>
          <w:rFonts w:ascii="宋体" w:hAnsi="宋体" w:cs="宋体" w:eastAsia="宋体" w:hint="default"/>
          <w:sz w:val="20"/>
          <w:szCs w:val="20"/>
        </w:rPr>
        <w:sectPr>
          <w:footerReference w:type="default" r:id="rId10"/>
          <w:pgSz w:w="11910" w:h="16840"/>
          <w:pgMar w:footer="1278" w:header="867" w:top="1060" w:bottom="1460" w:left="1660" w:right="1640"/>
          <w:pgNumType w:start="1"/>
        </w:sectPr>
      </w:pPr>
    </w:p>
    <w:p>
      <w:pPr>
        <w:spacing w:line="240" w:lineRule="auto" w:before="0"/>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107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pict>
          <v:shape style="position:absolute;margin-left:90.300003pt;margin-top:746.399658pt;width:414.719996pt;height:27.239998pt;mso-position-horizontal-relative:page;mso-position-vertical-relative:page;z-index:1096" type="#_x0000_t75" stroked="false">
            <v:imagedata r:id="rId9" o:title=""/>
          </v:shape>
        </w:pict>
      </w:r>
    </w:p>
    <w:p>
      <w:pPr>
        <w:spacing w:line="240" w:lineRule="auto" w:before="1"/>
        <w:rPr>
          <w:rFonts w:ascii="宋体" w:hAnsi="宋体" w:cs="宋体" w:eastAsia="宋体" w:hint="default"/>
          <w:sz w:val="25"/>
          <w:szCs w:val="25"/>
        </w:rPr>
      </w:pPr>
    </w:p>
    <w:p>
      <w:pPr>
        <w:tabs>
          <w:tab w:pos="963" w:val="left" w:leader="none"/>
        </w:tabs>
        <w:spacing w:line="457" w:lineRule="exact" w:before="0"/>
        <w:ind w:left="0" w:right="18"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目</w:t>
        <w:tab/>
        <w:t>录</w:t>
      </w:r>
      <w:r>
        <w:rPr>
          <w:rFonts w:ascii="Microsoft JhengHei" w:hAnsi="Microsoft JhengHei" w:cs="Microsoft JhengHei" w:eastAsia="Microsoft JhengHei" w:hint="default"/>
          <w:sz w:val="32"/>
          <w:szCs w:val="32"/>
        </w:rPr>
      </w:r>
    </w:p>
    <w:sdt>
      <w:sdtPr>
        <w:docPartObj>
          <w:docPartGallery w:val="Table of Contents"/>
          <w:docPartUnique/>
        </w:docPartObj>
      </w:sdtPr>
      <w:sdtEndPr/>
      <w:sdtContent>
        <w:p>
          <w:pPr>
            <w:pStyle w:val="TOC1"/>
            <w:tabs>
              <w:tab w:pos="1217" w:val="left" w:leader="none"/>
              <w:tab w:pos="8439" w:val="right" w:leader="dot"/>
            </w:tabs>
            <w:spacing w:line="240" w:lineRule="auto" w:before="765"/>
            <w:ind w:right="0"/>
            <w:jc w:val="left"/>
          </w:pPr>
          <w:r>
            <w:fldChar w:fldCharType="begin"/>
          </w:r>
          <w:r>
            <w:instrText>TOC \o "1-1" \h \z \u </w:instrText>
          </w:r>
          <w:r>
            <w:fldChar w:fldCharType="separate"/>
          </w:r>
          <w:hyperlink w:history="true" w:anchor="_TOC_250010">
            <w:r>
              <w:rPr/>
              <w:t>第一节</w:t>
              <w:tab/>
              <w:t>公司基本情况简介</w:t>
            </w:r>
            <w:r>
              <w:rPr>
                <w:rFonts w:ascii="Times New Roman" w:hAnsi="Times New Roman" w:cs="Times New Roman" w:eastAsia="Times New Roman" w:hint="default"/>
              </w:rPr>
              <w:tab/>
            </w:r>
            <w:r>
              <w:rPr/>
              <w:t>3</w:t>
            </w:r>
          </w:hyperlink>
        </w:p>
        <w:p>
          <w:pPr>
            <w:pStyle w:val="TOC1"/>
            <w:tabs>
              <w:tab w:pos="1217" w:val="left" w:leader="none"/>
              <w:tab w:pos="8439" w:val="right" w:leader="dot"/>
            </w:tabs>
            <w:spacing w:line="240" w:lineRule="auto"/>
            <w:ind w:right="0"/>
            <w:jc w:val="left"/>
          </w:pPr>
          <w:hyperlink w:history="true" w:anchor="_TOC_250009">
            <w:r>
              <w:rPr/>
              <w:t>第二节</w:t>
              <w:tab/>
              <w:t>会计数据和业务数据摘要</w:t>
            </w:r>
            <w:r>
              <w:rPr>
                <w:rFonts w:ascii="Times New Roman" w:hAnsi="Times New Roman" w:cs="Times New Roman" w:eastAsia="Times New Roman" w:hint="default"/>
              </w:rPr>
              <w:tab/>
            </w:r>
            <w:r>
              <w:rPr/>
              <w:t>5</w:t>
            </w:r>
          </w:hyperlink>
        </w:p>
        <w:p>
          <w:pPr>
            <w:pStyle w:val="TOC1"/>
            <w:tabs>
              <w:tab w:pos="1217" w:val="left" w:leader="none"/>
              <w:tab w:pos="8439" w:val="right" w:leader="dot"/>
            </w:tabs>
            <w:spacing w:line="240" w:lineRule="auto" w:before="307"/>
            <w:ind w:right="0"/>
            <w:jc w:val="left"/>
          </w:pPr>
          <w:hyperlink w:history="true" w:anchor="_TOC_250008">
            <w:r>
              <w:rPr/>
              <w:t>第三节</w:t>
              <w:tab/>
              <w:t>股本变动及股东情况</w:t>
            </w:r>
            <w:r>
              <w:rPr>
                <w:rFonts w:ascii="Times New Roman" w:hAnsi="Times New Roman" w:cs="Times New Roman" w:eastAsia="Times New Roman" w:hint="default"/>
              </w:rPr>
              <w:tab/>
            </w:r>
            <w:r>
              <w:rPr/>
              <w:t>7</w:t>
            </w:r>
          </w:hyperlink>
        </w:p>
        <w:p>
          <w:pPr>
            <w:pStyle w:val="TOC1"/>
            <w:tabs>
              <w:tab w:pos="1217" w:val="left" w:leader="none"/>
              <w:tab w:pos="8439" w:val="right" w:leader="dot"/>
            </w:tabs>
            <w:spacing w:line="240" w:lineRule="auto"/>
            <w:ind w:right="0"/>
            <w:jc w:val="left"/>
          </w:pPr>
          <w:hyperlink w:history="true" w:anchor="_TOC_250007">
            <w:r>
              <w:rPr/>
              <w:t>第四节</w:t>
              <w:tab/>
              <w:t>董事、监事、高级管理人员和员工情况</w:t>
            </w:r>
            <w:r>
              <w:rPr>
                <w:rFonts w:ascii="Times New Roman" w:hAnsi="Times New Roman" w:cs="Times New Roman" w:eastAsia="Times New Roman" w:hint="default"/>
              </w:rPr>
              <w:tab/>
            </w:r>
            <w:r>
              <w:rPr/>
              <w:t>12</w:t>
            </w:r>
          </w:hyperlink>
        </w:p>
        <w:p>
          <w:pPr>
            <w:pStyle w:val="TOC1"/>
            <w:tabs>
              <w:tab w:pos="1217" w:val="left" w:leader="none"/>
              <w:tab w:pos="8439" w:val="right" w:leader="dot"/>
            </w:tabs>
            <w:spacing w:line="240" w:lineRule="auto"/>
            <w:ind w:right="0"/>
            <w:jc w:val="left"/>
          </w:pPr>
          <w:hyperlink w:history="true" w:anchor="_TOC_250006">
            <w:r>
              <w:rPr/>
              <w:t>第五节</w:t>
              <w:tab/>
              <w:t>公司治理结构</w:t>
            </w:r>
            <w:r>
              <w:rPr>
                <w:rFonts w:ascii="Times New Roman" w:hAnsi="Times New Roman" w:cs="Times New Roman" w:eastAsia="Times New Roman" w:hint="default"/>
              </w:rPr>
              <w:tab/>
            </w:r>
            <w:r>
              <w:rPr/>
              <w:t>19</w:t>
            </w:r>
          </w:hyperlink>
        </w:p>
        <w:p>
          <w:pPr>
            <w:pStyle w:val="TOC1"/>
            <w:tabs>
              <w:tab w:pos="1217" w:val="left" w:leader="none"/>
              <w:tab w:pos="8439" w:val="right" w:leader="dot"/>
            </w:tabs>
            <w:spacing w:line="240" w:lineRule="auto"/>
            <w:ind w:right="0"/>
            <w:jc w:val="left"/>
          </w:pPr>
          <w:hyperlink w:history="true" w:anchor="_TOC_250005">
            <w:r>
              <w:rPr/>
              <w:t>第六节</w:t>
              <w:tab/>
              <w:t>股东大会情况简介</w:t>
            </w:r>
            <w:r>
              <w:rPr>
                <w:rFonts w:ascii="Times New Roman" w:hAnsi="Times New Roman" w:cs="Times New Roman" w:eastAsia="Times New Roman" w:hint="default"/>
              </w:rPr>
              <w:tab/>
            </w:r>
            <w:r>
              <w:rPr/>
              <w:t>26</w:t>
            </w:r>
          </w:hyperlink>
        </w:p>
        <w:p>
          <w:pPr>
            <w:pStyle w:val="TOC1"/>
            <w:tabs>
              <w:tab w:pos="1217" w:val="left" w:leader="none"/>
              <w:tab w:pos="8439" w:val="right" w:leader="dot"/>
            </w:tabs>
            <w:spacing w:line="240" w:lineRule="auto" w:before="307"/>
            <w:ind w:right="0"/>
            <w:jc w:val="left"/>
          </w:pPr>
          <w:hyperlink w:history="true" w:anchor="_TOC_250004">
            <w:r>
              <w:rPr/>
              <w:t>第七节</w:t>
              <w:tab/>
              <w:t>董事会报告</w:t>
            </w:r>
            <w:r>
              <w:rPr>
                <w:rFonts w:ascii="Times New Roman" w:hAnsi="Times New Roman" w:cs="Times New Roman" w:eastAsia="Times New Roman" w:hint="default"/>
              </w:rPr>
              <w:tab/>
            </w:r>
            <w:r>
              <w:rPr/>
              <w:t>27</w:t>
            </w:r>
          </w:hyperlink>
        </w:p>
        <w:p>
          <w:pPr>
            <w:pStyle w:val="TOC1"/>
            <w:tabs>
              <w:tab w:pos="1217" w:val="left" w:leader="none"/>
              <w:tab w:pos="8439" w:val="right" w:leader="dot"/>
            </w:tabs>
            <w:spacing w:line="240" w:lineRule="auto"/>
            <w:ind w:right="0"/>
            <w:jc w:val="left"/>
          </w:pPr>
          <w:hyperlink w:history="true" w:anchor="_TOC_250003">
            <w:r>
              <w:rPr/>
              <w:t>第八节</w:t>
              <w:tab/>
              <w:t>监事会报告</w:t>
            </w:r>
            <w:r>
              <w:rPr>
                <w:rFonts w:ascii="Times New Roman" w:hAnsi="Times New Roman" w:cs="Times New Roman" w:eastAsia="Times New Roman" w:hint="default"/>
              </w:rPr>
              <w:tab/>
            </w:r>
            <w:r>
              <w:rPr/>
              <w:t>38</w:t>
            </w:r>
          </w:hyperlink>
        </w:p>
        <w:p>
          <w:pPr>
            <w:pStyle w:val="TOC1"/>
            <w:tabs>
              <w:tab w:pos="1217" w:val="left" w:leader="none"/>
              <w:tab w:pos="8439" w:val="right" w:leader="dot"/>
            </w:tabs>
            <w:spacing w:line="240" w:lineRule="auto"/>
            <w:ind w:right="0"/>
            <w:jc w:val="left"/>
          </w:pPr>
          <w:hyperlink w:history="true" w:anchor="_TOC_250002">
            <w:r>
              <w:rPr/>
              <w:t>第九节</w:t>
              <w:tab/>
              <w:t>重要事项</w:t>
            </w:r>
            <w:r>
              <w:rPr>
                <w:rFonts w:ascii="Times New Roman" w:hAnsi="Times New Roman" w:cs="Times New Roman" w:eastAsia="Times New Roman" w:hint="default"/>
              </w:rPr>
              <w:tab/>
            </w:r>
            <w:r>
              <w:rPr/>
              <w:t>40</w:t>
            </w:r>
          </w:hyperlink>
        </w:p>
        <w:p>
          <w:pPr>
            <w:pStyle w:val="TOC1"/>
            <w:tabs>
              <w:tab w:pos="1217" w:val="left" w:leader="none"/>
              <w:tab w:pos="8439" w:val="right" w:leader="dot"/>
            </w:tabs>
            <w:spacing w:line="240" w:lineRule="auto"/>
            <w:ind w:right="0"/>
            <w:jc w:val="left"/>
          </w:pPr>
          <w:hyperlink w:history="true" w:anchor="_TOC_250001">
            <w:r>
              <w:rPr/>
              <w:t>第十节</w:t>
              <w:tab/>
              <w:t>财务报告</w:t>
            </w:r>
            <w:r>
              <w:rPr>
                <w:rFonts w:ascii="Times New Roman" w:hAnsi="Times New Roman" w:cs="Times New Roman" w:eastAsia="Times New Roman" w:hint="default"/>
              </w:rPr>
              <w:tab/>
            </w:r>
            <w:r>
              <w:rPr/>
              <w:t>44</w:t>
            </w:r>
          </w:hyperlink>
        </w:p>
        <w:p>
          <w:pPr>
            <w:pStyle w:val="TOC1"/>
            <w:tabs>
              <w:tab w:pos="8439" w:val="right" w:leader="dot"/>
            </w:tabs>
            <w:spacing w:line="240" w:lineRule="auto" w:before="307"/>
            <w:ind w:right="0"/>
            <w:jc w:val="left"/>
          </w:pPr>
          <w:hyperlink w:history="true" w:anchor="_TOC_250000">
            <w:r>
              <w:rPr/>
              <w:t>第十一节 备查文件目录</w:t>
            </w:r>
            <w:r>
              <w:rPr>
                <w:rFonts w:ascii="Times New Roman" w:hAnsi="Times New Roman" w:cs="Times New Roman" w:eastAsia="Times New Roman" w:hint="default"/>
              </w:rPr>
              <w:tab/>
            </w:r>
            <w:r>
              <w:rPr/>
              <w:t>141</w:t>
            </w:r>
          </w:hyperlink>
        </w:p>
        <w:p>
          <w:pPr/>
          <w:r>
            <w:fldChar w:fldCharType="end"/>
          </w:r>
        </w:p>
      </w:sdtContent>
    </w:sdt>
    <w:p>
      <w:pPr>
        <w:spacing w:after="0"/>
        <w:sectPr>
          <w:pgSz w:w="11910" w:h="16840"/>
          <w:pgMar w:header="867" w:footer="1278" w:top="1060" w:bottom="1460" w:left="1660" w:right="1640"/>
        </w:sectPr>
      </w:pPr>
    </w:p>
    <w:p>
      <w:pPr>
        <w:spacing w:line="240" w:lineRule="auto" w:before="12"/>
        <w:rPr>
          <w:rFonts w:ascii="黑体" w:hAnsi="黑体" w:cs="黑体" w:eastAsia="黑体" w:hint="default"/>
          <w:sz w:val="32"/>
          <w:szCs w:val="32"/>
        </w:rPr>
      </w:pPr>
    </w:p>
    <w:p>
      <w:pPr>
        <w:pStyle w:val="Heading1"/>
        <w:tabs>
          <w:tab w:pos="3847" w:val="left" w:leader="none"/>
        </w:tabs>
        <w:spacing w:line="240" w:lineRule="auto" w:before="0"/>
        <w:ind w:left="2491" w:right="219"/>
        <w:jc w:val="left"/>
        <w:rPr>
          <w:b w:val="0"/>
          <w:bCs w:val="0"/>
        </w:rPr>
      </w:pPr>
      <w:bookmarkStart w:name="_TOC_250010" w:id="1"/>
      <w:r>
        <w:rPr>
          <w:w w:val="95"/>
        </w:rPr>
        <w:t>第一节</w:t>
        <w:tab/>
      </w:r>
      <w:r>
        <w:rPr/>
        <w:t>公司基本情况简介</w:t>
      </w:r>
      <w:bookmarkEnd w:id="1"/>
      <w:r>
        <w:rPr>
          <w:b w:val="0"/>
          <w:bCs w:val="0"/>
        </w:rPr>
      </w:r>
    </w:p>
    <w:p>
      <w:pPr>
        <w:spacing w:line="357" w:lineRule="auto" w:before="205"/>
        <w:ind w:left="217" w:right="4954" w:firstLine="0"/>
        <w:jc w:val="left"/>
        <w:rPr>
          <w:rFonts w:ascii="宋体" w:hAnsi="宋体" w:cs="宋体" w:eastAsia="宋体" w:hint="default"/>
          <w:sz w:val="21"/>
          <w:szCs w:val="21"/>
        </w:rPr>
      </w:pPr>
      <w:r>
        <w:rPr>
          <w:rFonts w:ascii="宋体" w:hAnsi="宋体" w:cs="宋体" w:eastAsia="宋体" w:hint="default"/>
          <w:b/>
          <w:bCs/>
          <w:sz w:val="21"/>
          <w:szCs w:val="21"/>
        </w:rPr>
        <w:t>一、公司名称</w:t>
      </w:r>
      <w:r>
        <w:rPr>
          <w:rFonts w:ascii="宋体" w:hAnsi="宋体" w:cs="宋体" w:eastAsia="宋体" w:hint="default"/>
          <w:b/>
          <w:bCs/>
          <w:w w:val="99"/>
          <w:sz w:val="21"/>
          <w:szCs w:val="21"/>
        </w:rPr>
        <w:t> </w:t>
      </w:r>
      <w:r>
        <w:rPr>
          <w:rFonts w:ascii="宋体" w:hAnsi="宋体" w:cs="宋体" w:eastAsia="宋体" w:hint="default"/>
          <w:b/>
          <w:bCs/>
          <w:sz w:val="21"/>
          <w:szCs w:val="21"/>
        </w:rPr>
        <w:t>中文名称</w:t>
      </w:r>
      <w:r>
        <w:rPr>
          <w:rFonts w:ascii="宋体" w:hAnsi="宋体" w:cs="宋体" w:eastAsia="宋体" w:hint="default"/>
          <w:sz w:val="21"/>
          <w:szCs w:val="21"/>
        </w:rPr>
        <w:t>：东港安全印刷股份有限公司</w:t>
      </w:r>
    </w:p>
    <w:p>
      <w:pPr>
        <w:tabs>
          <w:tab w:pos="2321" w:val="left" w:leader="none"/>
          <w:tab w:pos="3370" w:val="left" w:leader="none"/>
          <w:tab w:pos="4420" w:val="left" w:leader="none"/>
        </w:tabs>
        <w:spacing w:before="30"/>
        <w:ind w:left="217" w:right="219" w:firstLine="0"/>
        <w:jc w:val="left"/>
        <w:rPr>
          <w:rFonts w:ascii="宋体" w:hAnsi="宋体" w:cs="宋体" w:eastAsia="宋体" w:hint="default"/>
          <w:sz w:val="21"/>
          <w:szCs w:val="21"/>
        </w:rPr>
      </w:pPr>
      <w:r>
        <w:rPr>
          <w:rFonts w:ascii="宋体" w:hAnsi="宋体" w:cs="宋体" w:eastAsia="宋体" w:hint="default"/>
          <w:b/>
          <w:bCs/>
          <w:spacing w:val="-1"/>
          <w:sz w:val="21"/>
          <w:szCs w:val="21"/>
        </w:rPr>
        <w:t>英文名称</w:t>
      </w:r>
      <w:r>
        <w:rPr>
          <w:rFonts w:ascii="宋体" w:hAnsi="宋体" w:cs="宋体" w:eastAsia="宋体" w:hint="default"/>
          <w:spacing w:val="-1"/>
          <w:sz w:val="21"/>
          <w:szCs w:val="21"/>
        </w:rPr>
        <w:t>：TUNGKONG</w:t>
        <w:tab/>
        <w:t>SECURITY</w:t>
        <w:tab/>
        <w:t>PRINTING</w:t>
        <w:tab/>
        <w:t>CO.,LTD</w:t>
      </w:r>
      <w:r>
        <w:rPr>
          <w:rFonts w:ascii="宋体" w:hAnsi="宋体" w:cs="宋体" w:eastAsia="宋体" w:hint="default"/>
          <w:sz w:val="21"/>
          <w:szCs w:val="21"/>
        </w:rPr>
      </w:r>
    </w:p>
    <w:p>
      <w:pPr>
        <w:spacing w:line="357" w:lineRule="auto" w:before="133"/>
        <w:ind w:left="217" w:right="4954" w:firstLine="0"/>
        <w:jc w:val="left"/>
        <w:rPr>
          <w:rFonts w:ascii="宋体" w:hAnsi="宋体" w:cs="宋体" w:eastAsia="宋体" w:hint="default"/>
          <w:sz w:val="21"/>
          <w:szCs w:val="21"/>
        </w:rPr>
      </w:pPr>
      <w:r>
        <w:rPr>
          <w:rFonts w:ascii="宋体" w:hAnsi="宋体" w:cs="宋体" w:eastAsia="宋体" w:hint="default"/>
          <w:b/>
          <w:bCs/>
          <w:sz w:val="21"/>
          <w:szCs w:val="21"/>
        </w:rPr>
        <w:t>中文简称</w:t>
      </w:r>
      <w:r>
        <w:rPr>
          <w:rFonts w:ascii="宋体" w:hAnsi="宋体" w:cs="宋体" w:eastAsia="宋体" w:hint="default"/>
          <w:sz w:val="21"/>
          <w:szCs w:val="21"/>
        </w:rPr>
        <w:t>：东港股份 </w:t>
      </w:r>
      <w:r>
        <w:rPr>
          <w:rFonts w:ascii="宋体" w:hAnsi="宋体" w:cs="宋体" w:eastAsia="宋体" w:hint="default"/>
          <w:b/>
          <w:bCs/>
          <w:sz w:val="21"/>
          <w:szCs w:val="21"/>
        </w:rPr>
        <w:t>英文简称</w:t>
      </w:r>
      <w:r>
        <w:rPr>
          <w:rFonts w:ascii="宋体" w:hAnsi="宋体" w:cs="宋体" w:eastAsia="宋体" w:hint="default"/>
          <w:sz w:val="21"/>
          <w:szCs w:val="21"/>
        </w:rPr>
        <w:t>：TUNGKONG</w:t>
      </w:r>
    </w:p>
    <w:p>
      <w:pPr>
        <w:spacing w:line="240" w:lineRule="auto" w:before="0"/>
        <w:rPr>
          <w:rFonts w:ascii="宋体" w:hAnsi="宋体" w:cs="宋体" w:eastAsia="宋体" w:hint="default"/>
          <w:sz w:val="20"/>
          <w:szCs w:val="20"/>
        </w:rPr>
      </w:pPr>
    </w:p>
    <w:p>
      <w:pPr>
        <w:spacing w:line="712" w:lineRule="auto" w:before="177"/>
        <w:ind w:left="217" w:right="5154" w:firstLine="0"/>
        <w:jc w:val="left"/>
        <w:rPr>
          <w:rFonts w:ascii="宋体" w:hAnsi="宋体" w:cs="宋体" w:eastAsia="宋体" w:hint="default"/>
          <w:sz w:val="21"/>
          <w:szCs w:val="21"/>
        </w:rPr>
      </w:pPr>
      <w:r>
        <w:rPr/>
        <w:pict>
          <v:shape style="position:absolute;margin-left:84.239998pt;margin-top:71.831688pt;width:427.15pt;height:171.4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0"/>
                    <w:gridCol w:w="3342"/>
                    <w:gridCol w:w="3816"/>
                  </w:tblGrid>
                  <w:tr>
                    <w:trPr>
                      <w:trHeight w:val="564" w:hRule="exact"/>
                    </w:trPr>
                    <w:tc>
                      <w:tcPr>
                        <w:tcW w:w="1370"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33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8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566" w:hRule="exact"/>
                    </w:trPr>
                    <w:tc>
                      <w:tcPr>
                        <w:tcW w:w="13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630" w:val="left" w:leader="none"/>
                          </w:tabs>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齐利国</w:t>
                        </w:r>
                      </w:p>
                    </w:tc>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阮永城</w:t>
                        </w:r>
                      </w:p>
                    </w:tc>
                  </w:tr>
                  <w:tr>
                    <w:trPr>
                      <w:trHeight w:val="565" w:hRule="exact"/>
                    </w:trPr>
                    <w:tc>
                      <w:tcPr>
                        <w:tcW w:w="13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济南市山大北路</w:t>
                        </w:r>
                        <w:r>
                          <w:rPr>
                            <w:rFonts w:ascii="宋体" w:hAnsi="宋体" w:cs="宋体" w:eastAsia="宋体" w:hint="default"/>
                            <w:spacing w:val="-57"/>
                            <w:sz w:val="21"/>
                            <w:szCs w:val="21"/>
                          </w:rPr>
                          <w:t> </w:t>
                        </w:r>
                        <w:r>
                          <w:rPr>
                            <w:rFonts w:ascii="宋体" w:hAnsi="宋体" w:cs="宋体" w:eastAsia="宋体" w:hint="default"/>
                            <w:sz w:val="21"/>
                            <w:szCs w:val="21"/>
                          </w:rPr>
                          <w:t>23</w:t>
                        </w:r>
                        <w:r>
                          <w:rPr>
                            <w:rFonts w:ascii="宋体" w:hAnsi="宋体" w:cs="宋体" w:eastAsia="宋体" w:hint="default"/>
                            <w:spacing w:val="-56"/>
                            <w:sz w:val="21"/>
                            <w:szCs w:val="21"/>
                          </w:rPr>
                          <w:t> </w:t>
                        </w:r>
                        <w:r>
                          <w:rPr>
                            <w:rFonts w:ascii="宋体" w:hAnsi="宋体" w:cs="宋体" w:eastAsia="宋体" w:hint="default"/>
                            <w:sz w:val="21"/>
                            <w:szCs w:val="21"/>
                          </w:rPr>
                          <w:t>号</w:t>
                        </w:r>
                      </w:p>
                    </w:tc>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济南市山大北路</w:t>
                        </w:r>
                        <w:r>
                          <w:rPr>
                            <w:rFonts w:ascii="宋体" w:hAnsi="宋体" w:cs="宋体" w:eastAsia="宋体" w:hint="default"/>
                            <w:spacing w:val="-57"/>
                            <w:sz w:val="21"/>
                            <w:szCs w:val="21"/>
                          </w:rPr>
                          <w:t> </w:t>
                        </w:r>
                        <w:r>
                          <w:rPr>
                            <w:rFonts w:ascii="宋体" w:hAnsi="宋体" w:cs="宋体" w:eastAsia="宋体" w:hint="default"/>
                            <w:sz w:val="21"/>
                            <w:szCs w:val="21"/>
                          </w:rPr>
                          <w:t>23</w:t>
                        </w:r>
                        <w:r>
                          <w:rPr>
                            <w:rFonts w:ascii="宋体" w:hAnsi="宋体" w:cs="宋体" w:eastAsia="宋体" w:hint="default"/>
                            <w:spacing w:val="-56"/>
                            <w:sz w:val="21"/>
                            <w:szCs w:val="21"/>
                          </w:rPr>
                          <w:t> </w:t>
                        </w:r>
                        <w:r>
                          <w:rPr>
                            <w:rFonts w:ascii="宋体" w:hAnsi="宋体" w:cs="宋体" w:eastAsia="宋体" w:hint="default"/>
                            <w:sz w:val="21"/>
                            <w:szCs w:val="21"/>
                          </w:rPr>
                          <w:t>号</w:t>
                        </w:r>
                      </w:p>
                    </w:tc>
                  </w:tr>
                  <w:tr>
                    <w:trPr>
                      <w:trHeight w:val="564" w:hRule="exact"/>
                    </w:trPr>
                    <w:tc>
                      <w:tcPr>
                        <w:tcW w:w="13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631" w:val="left" w:leader="none"/>
                          </w:tabs>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电</w:t>
                          <w:tab/>
                          <w:t>话</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sz w:val="21"/>
                          </w:rPr>
                          <w:t>0531-88904590</w:t>
                        </w:r>
                      </w:p>
                    </w:tc>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21"/>
                            <w:szCs w:val="21"/>
                          </w:rPr>
                        </w:pPr>
                        <w:r>
                          <w:rPr>
                            <w:rFonts w:ascii="宋体"/>
                            <w:sz w:val="21"/>
                          </w:rPr>
                          <w:t>0531-88904590</w:t>
                        </w:r>
                      </w:p>
                    </w:tc>
                  </w:tr>
                  <w:tr>
                    <w:trPr>
                      <w:trHeight w:val="565" w:hRule="exact"/>
                    </w:trPr>
                    <w:tc>
                      <w:tcPr>
                        <w:tcW w:w="13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tabs>
                            <w:tab w:pos="631" w:val="left" w:leader="none"/>
                          </w:tabs>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传</w:t>
                          <w:tab/>
                          <w:t>真</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sz w:val="21"/>
                          </w:rPr>
                          <w:t>0531-82672202</w:t>
                        </w:r>
                      </w:p>
                    </w:tc>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21"/>
                            <w:szCs w:val="21"/>
                          </w:rPr>
                        </w:pPr>
                        <w:r>
                          <w:rPr>
                            <w:rFonts w:ascii="宋体"/>
                            <w:sz w:val="21"/>
                          </w:rPr>
                          <w:t>0531-82672202</w:t>
                        </w:r>
                      </w:p>
                    </w:tc>
                  </w:tr>
                  <w:tr>
                    <w:trPr>
                      <w:trHeight w:val="594" w:hRule="exact"/>
                    </w:trPr>
                    <w:tc>
                      <w:tcPr>
                        <w:tcW w:w="13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电子邮箱</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hyperlink r:id="rId14">
                          <w:r>
                            <w:rPr>
                              <w:rFonts w:ascii="宋体"/>
                              <w:sz w:val="21"/>
                            </w:rPr>
                            <w:t>Qi-liguo@tungkong.com.cn</w:t>
                          </w:r>
                        </w:hyperlink>
                      </w:p>
                    </w:tc>
                    <w:tc>
                      <w:tcPr>
                        <w:tcW w:w="381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color w:val="0000FF"/>
                            <w:sz w:val="24"/>
                          </w:rPr>
                        </w:r>
                        <w:hyperlink r:id="rId15">
                          <w:r>
                            <w:rPr>
                              <w:rFonts w:ascii="宋体"/>
                              <w:color w:val="0000FF"/>
                              <w:sz w:val="24"/>
                              <w:u w:val="single" w:color="0000FF"/>
                            </w:rPr>
                            <w:t>Ruan-yongcheng@tungkong.com.cn</w:t>
                          </w:r>
                          <w:r>
                            <w:rPr>
                              <w:rFonts w:ascii="宋体"/>
                              <w:color w:val="0000FF"/>
                              <w:sz w:val="24"/>
                            </w:rPr>
                          </w:r>
                          <w:r>
                            <w:rPr>
                              <w:rFonts w:ascii="宋体"/>
                              <w:sz w:val="24"/>
                            </w:rPr>
                          </w:r>
                        </w:hyperlink>
                      </w:p>
                      <w:p>
                        <w:pPr>
                          <w:pStyle w:val="TableParagraph"/>
                          <w:spacing w:line="240" w:lineRule="auto" w:before="1"/>
                          <w:ind w:right="0"/>
                          <w:jc w:val="center"/>
                          <w:rPr>
                            <w:rFonts w:ascii="宋体" w:hAnsi="宋体" w:cs="宋体" w:eastAsia="宋体" w:hint="default"/>
                            <w:sz w:val="21"/>
                            <w:szCs w:val="21"/>
                          </w:rPr>
                        </w:pPr>
                        <w:hyperlink r:id="rId16">
                          <w:r>
                            <w:rPr>
                              <w:rFonts w:ascii="宋体"/>
                              <w:sz w:val="21"/>
                            </w:rPr>
                            <w:t>ruanyongcheng@sina.com</w:t>
                          </w:r>
                        </w:hyperlink>
                      </w:p>
                    </w:tc>
                  </w:tr>
                </w:tbl>
                <w:p>
                  <w:pPr/>
                </w:p>
              </w:txbxContent>
            </v:textbox>
            <w10:wrap type="none"/>
          </v:shape>
        </w:pict>
      </w:r>
      <w:r>
        <w:rPr>
          <w:rFonts w:ascii="宋体" w:hAnsi="宋体" w:cs="宋体" w:eastAsia="宋体" w:hint="default"/>
          <w:b/>
          <w:bCs/>
          <w:sz w:val="21"/>
          <w:szCs w:val="21"/>
        </w:rPr>
        <w:t>二、公司法定代表人：谷望江</w:t>
      </w:r>
      <w:r>
        <w:rPr>
          <w:rFonts w:ascii="宋体" w:hAnsi="宋体" w:cs="宋体" w:eastAsia="宋体" w:hint="default"/>
          <w:b/>
          <w:bCs/>
          <w:spacing w:val="1"/>
          <w:w w:val="99"/>
          <w:sz w:val="21"/>
          <w:szCs w:val="21"/>
        </w:rPr>
        <w:t> </w:t>
      </w:r>
      <w:r>
        <w:rPr>
          <w:rFonts w:ascii="宋体" w:hAnsi="宋体" w:cs="宋体" w:eastAsia="宋体" w:hint="default"/>
          <w:b/>
          <w:bCs/>
          <w:sz w:val="21"/>
          <w:szCs w:val="21"/>
        </w:rPr>
        <w:t>三、公司董事会秘书、证券事务代表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spacing w:before="35"/>
        <w:ind w:left="217" w:right="219" w:firstLine="0"/>
        <w:jc w:val="left"/>
        <w:rPr>
          <w:rFonts w:ascii="宋体" w:hAnsi="宋体" w:cs="宋体" w:eastAsia="宋体" w:hint="default"/>
          <w:sz w:val="21"/>
          <w:szCs w:val="21"/>
        </w:rPr>
      </w:pPr>
      <w:r>
        <w:rPr>
          <w:rFonts w:ascii="宋体" w:hAnsi="宋体" w:cs="宋体" w:eastAsia="宋体" w:hint="default"/>
          <w:b/>
          <w:bCs/>
          <w:sz w:val="21"/>
          <w:szCs w:val="21"/>
        </w:rPr>
        <w:t>四、公司注册地址</w:t>
      </w:r>
      <w:r>
        <w:rPr>
          <w:rFonts w:ascii="宋体" w:hAnsi="宋体" w:cs="宋体" w:eastAsia="宋体" w:hint="default"/>
          <w:sz w:val="21"/>
          <w:szCs w:val="21"/>
        </w:rPr>
        <w:t>：山东省济南市山大北路</w:t>
      </w:r>
      <w:r>
        <w:rPr>
          <w:rFonts w:ascii="宋体" w:hAnsi="宋体" w:cs="宋体" w:eastAsia="宋体" w:hint="default"/>
          <w:spacing w:val="-60"/>
          <w:sz w:val="21"/>
          <w:szCs w:val="21"/>
        </w:rPr>
        <w:t> </w:t>
      </w:r>
      <w:r>
        <w:rPr>
          <w:rFonts w:ascii="宋体" w:hAnsi="宋体" w:cs="宋体" w:eastAsia="宋体" w:hint="default"/>
          <w:sz w:val="21"/>
          <w:szCs w:val="21"/>
        </w:rPr>
        <w:t>23</w:t>
      </w:r>
      <w:r>
        <w:rPr>
          <w:rFonts w:ascii="宋体" w:hAnsi="宋体" w:cs="宋体" w:eastAsia="宋体" w:hint="default"/>
          <w:spacing w:val="-60"/>
          <w:sz w:val="21"/>
          <w:szCs w:val="21"/>
        </w:rPr>
        <w:t> </w:t>
      </w:r>
      <w:r>
        <w:rPr>
          <w:rFonts w:ascii="宋体" w:hAnsi="宋体" w:cs="宋体" w:eastAsia="宋体" w:hint="default"/>
          <w:sz w:val="21"/>
          <w:szCs w:val="21"/>
        </w:rPr>
        <w:t>号</w:t>
      </w:r>
    </w:p>
    <w:p>
      <w:pPr>
        <w:spacing w:line="357" w:lineRule="auto" w:before="133"/>
        <w:ind w:left="639" w:right="4015" w:firstLine="0"/>
        <w:jc w:val="left"/>
        <w:rPr>
          <w:rFonts w:ascii="宋体" w:hAnsi="宋体" w:cs="宋体" w:eastAsia="宋体" w:hint="default"/>
          <w:sz w:val="21"/>
          <w:szCs w:val="21"/>
        </w:rPr>
      </w:pPr>
      <w:r>
        <w:rPr>
          <w:rFonts w:ascii="宋体" w:hAnsi="宋体" w:cs="宋体" w:eastAsia="宋体" w:hint="default"/>
          <w:b/>
          <w:bCs/>
          <w:sz w:val="21"/>
          <w:szCs w:val="21"/>
        </w:rPr>
        <w:t>公司办公地址</w:t>
      </w:r>
      <w:r>
        <w:rPr>
          <w:rFonts w:ascii="宋体" w:hAnsi="宋体" w:cs="宋体" w:eastAsia="宋体" w:hint="default"/>
          <w:sz w:val="21"/>
          <w:szCs w:val="21"/>
        </w:rPr>
        <w:t>：山东省济南市山大北路</w:t>
      </w:r>
      <w:r>
        <w:rPr>
          <w:rFonts w:ascii="宋体" w:hAnsi="宋体" w:cs="宋体" w:eastAsia="宋体" w:hint="default"/>
          <w:spacing w:val="-58"/>
          <w:sz w:val="21"/>
          <w:szCs w:val="21"/>
        </w:rPr>
        <w:t> </w:t>
      </w:r>
      <w:r>
        <w:rPr>
          <w:rFonts w:ascii="宋体" w:hAnsi="宋体" w:cs="宋体" w:eastAsia="宋体" w:hint="default"/>
          <w:sz w:val="21"/>
          <w:szCs w:val="21"/>
        </w:rPr>
        <w:t>23</w:t>
      </w:r>
      <w:r>
        <w:rPr>
          <w:rFonts w:ascii="宋体" w:hAnsi="宋体" w:cs="宋体" w:eastAsia="宋体" w:hint="default"/>
          <w:spacing w:val="-57"/>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r>
        <w:rPr>
          <w:rFonts w:ascii="宋体" w:hAnsi="宋体" w:cs="宋体" w:eastAsia="宋体" w:hint="default"/>
          <w:b/>
          <w:bCs/>
          <w:sz w:val="21"/>
          <w:szCs w:val="21"/>
        </w:rPr>
        <w:t>邮政编码</w:t>
      </w:r>
      <w:r>
        <w:rPr>
          <w:rFonts w:ascii="宋体" w:hAnsi="宋体" w:cs="宋体" w:eastAsia="宋体" w:hint="default"/>
          <w:sz w:val="21"/>
          <w:szCs w:val="21"/>
        </w:rPr>
        <w:t>：250100 </w:t>
      </w:r>
      <w:r>
        <w:rPr>
          <w:rFonts w:ascii="宋体" w:hAnsi="宋体" w:cs="宋体" w:eastAsia="宋体" w:hint="default"/>
          <w:b/>
          <w:bCs/>
          <w:sz w:val="21"/>
          <w:szCs w:val="21"/>
        </w:rPr>
        <w:t>公司网址</w:t>
      </w:r>
      <w:hyperlink r:id="rId17">
        <w:r>
          <w:rPr>
            <w:rFonts w:ascii="宋体" w:hAnsi="宋体" w:cs="宋体" w:eastAsia="宋体" w:hint="default"/>
            <w:sz w:val="21"/>
            <w:szCs w:val="21"/>
          </w:rPr>
          <w:t>：ht</w:t>
        </w:r>
      </w:hyperlink>
      <w:r>
        <w:rPr>
          <w:rFonts w:ascii="宋体" w:hAnsi="宋体" w:cs="宋体" w:eastAsia="宋体" w:hint="default"/>
          <w:sz w:val="21"/>
          <w:szCs w:val="21"/>
        </w:rPr>
        <w:t>t</w:t>
      </w:r>
      <w:hyperlink r:id="rId17">
        <w:r>
          <w:rPr>
            <w:rFonts w:ascii="宋体" w:hAnsi="宋体" w:cs="宋体" w:eastAsia="宋体" w:hint="default"/>
            <w:sz w:val="21"/>
            <w:szCs w:val="21"/>
          </w:rPr>
          <w:t>p://www.tungkong.com</w:t>
        </w:r>
      </w:hyperlink>
      <w:r>
        <w:rPr>
          <w:rFonts w:ascii="宋体" w:hAnsi="宋体" w:cs="宋体" w:eastAsia="宋体" w:hint="default"/>
          <w:spacing w:val="-1"/>
          <w:sz w:val="21"/>
          <w:szCs w:val="21"/>
        </w:rPr>
        <w:t> </w:t>
      </w:r>
      <w:r>
        <w:rPr>
          <w:rFonts w:ascii="宋体" w:hAnsi="宋体" w:cs="宋体" w:eastAsia="宋体" w:hint="default"/>
          <w:b/>
          <w:bCs/>
          <w:sz w:val="21"/>
          <w:szCs w:val="21"/>
        </w:rPr>
        <w:t>电子信箱</w:t>
      </w:r>
      <w:r>
        <w:rPr>
          <w:rFonts w:ascii="宋体" w:hAnsi="宋体" w:cs="宋体" w:eastAsia="宋体" w:hint="default"/>
          <w:sz w:val="21"/>
          <w:szCs w:val="21"/>
        </w:rPr>
        <w:t>：</w:t>
      </w:r>
      <w:hyperlink r:id="rId18">
        <w:r>
          <w:rPr>
            <w:rFonts w:ascii="宋体" w:hAnsi="宋体" w:cs="宋体" w:eastAsia="宋体" w:hint="default"/>
            <w:sz w:val="21"/>
            <w:szCs w:val="21"/>
          </w:rPr>
          <w:t>tksp@tungkong.com.cn</w:t>
        </w:r>
      </w:hyperlink>
    </w:p>
    <w:p>
      <w:pPr>
        <w:spacing w:line="240" w:lineRule="auto" w:before="0"/>
        <w:rPr>
          <w:rFonts w:ascii="宋体" w:hAnsi="宋体" w:cs="宋体" w:eastAsia="宋体" w:hint="default"/>
          <w:sz w:val="20"/>
          <w:szCs w:val="20"/>
        </w:rPr>
      </w:pPr>
    </w:p>
    <w:p>
      <w:pPr>
        <w:spacing w:line="357" w:lineRule="auto" w:before="177"/>
        <w:ind w:left="630" w:right="219" w:hanging="413"/>
        <w:jc w:val="left"/>
        <w:rPr>
          <w:rFonts w:ascii="宋体" w:hAnsi="宋体" w:cs="宋体" w:eastAsia="宋体" w:hint="default"/>
          <w:sz w:val="21"/>
          <w:szCs w:val="21"/>
        </w:rPr>
      </w:pPr>
      <w:r>
        <w:rPr>
          <w:rFonts w:ascii="宋体" w:hAnsi="宋体" w:cs="宋体" w:eastAsia="宋体" w:hint="default"/>
          <w:b/>
          <w:bCs/>
          <w:spacing w:val="-5"/>
          <w:w w:val="99"/>
          <w:sz w:val="21"/>
          <w:szCs w:val="21"/>
        </w:rPr>
        <w:t>五、公司选定的信息披露报纸</w:t>
      </w:r>
      <w:r>
        <w:rPr>
          <w:rFonts w:ascii="宋体" w:hAnsi="宋体" w:cs="宋体" w:eastAsia="宋体" w:hint="default"/>
          <w:spacing w:val="-5"/>
          <w:w w:val="99"/>
          <w:sz w:val="21"/>
          <w:szCs w:val="21"/>
        </w:rPr>
        <w:t>：《证券时报》</w:t>
      </w:r>
      <w:r>
        <w:rPr>
          <w:rFonts w:ascii="宋体" w:hAnsi="宋体" w:cs="宋体" w:eastAsia="宋体" w:hint="default"/>
          <w:sz w:val="21"/>
          <w:szCs w:val="21"/>
        </w:rPr>
        <w:t> </w:t>
      </w:r>
      <w:r>
        <w:rPr>
          <w:rFonts w:ascii="宋体" w:hAnsi="宋体" w:cs="宋体" w:eastAsia="宋体" w:hint="default"/>
          <w:b/>
          <w:bCs/>
          <w:w w:val="95"/>
          <w:sz w:val="21"/>
          <w:szCs w:val="21"/>
        </w:rPr>
        <w:t>登载年度报告网站的网址</w:t>
      </w:r>
      <w:hyperlink r:id="rId19">
        <w:r>
          <w:rPr>
            <w:rFonts w:ascii="宋体" w:hAnsi="宋体" w:cs="宋体" w:eastAsia="宋体" w:hint="default"/>
            <w:w w:val="95"/>
            <w:sz w:val="21"/>
            <w:szCs w:val="21"/>
          </w:rPr>
          <w:t>：http://www.cninfo.com.c</w:t>
        </w:r>
      </w:hyperlink>
      <w:r>
        <w:rPr>
          <w:rFonts w:ascii="宋体" w:hAnsi="宋体" w:cs="宋体" w:eastAsia="宋体" w:hint="default"/>
          <w:w w:val="95"/>
          <w:sz w:val="21"/>
          <w:szCs w:val="21"/>
        </w:rPr>
        <w:t>n</w:t>
      </w:r>
      <w:r>
        <w:rPr>
          <w:rFonts w:ascii="宋体" w:hAnsi="宋体" w:cs="宋体" w:eastAsia="宋体" w:hint="default"/>
          <w:sz w:val="21"/>
          <w:szCs w:val="21"/>
        </w:rPr>
        <w:t> </w:t>
      </w:r>
      <w:r>
        <w:rPr>
          <w:rFonts w:ascii="宋体" w:hAnsi="宋体" w:cs="宋体" w:eastAsia="宋体" w:hint="default"/>
          <w:b/>
          <w:bCs/>
          <w:sz w:val="21"/>
          <w:szCs w:val="21"/>
        </w:rPr>
        <w:t>公司年度报告备置地点</w:t>
      </w:r>
      <w:r>
        <w:rPr>
          <w:rFonts w:ascii="宋体" w:hAnsi="宋体" w:cs="宋体" w:eastAsia="宋体" w:hint="default"/>
          <w:sz w:val="21"/>
          <w:szCs w:val="21"/>
        </w:rPr>
        <w:t>：公司证券办公室</w:t>
      </w:r>
    </w:p>
    <w:p>
      <w:pPr>
        <w:spacing w:after="0" w:line="357" w:lineRule="auto"/>
        <w:jc w:val="left"/>
        <w:rPr>
          <w:rFonts w:ascii="宋体" w:hAnsi="宋体" w:cs="宋体" w:eastAsia="宋体" w:hint="default"/>
          <w:sz w:val="21"/>
          <w:szCs w:val="21"/>
        </w:rPr>
        <w:sectPr>
          <w:headerReference w:type="default" r:id="rId12"/>
          <w:footerReference w:type="default" r:id="rId13"/>
          <w:pgSz w:w="11910" w:h="16840"/>
          <w:pgMar w:header="840" w:footer="1712" w:top="1160" w:bottom="1900" w:left="1580" w:right="1560"/>
          <w:pgNumType w:start="3"/>
        </w:sectPr>
      </w:pPr>
    </w:p>
    <w:p>
      <w:pPr>
        <w:spacing w:line="357" w:lineRule="auto" w:before="18"/>
        <w:ind w:left="559" w:right="4871" w:hanging="423"/>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5624"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b/>
          <w:bCs/>
          <w:sz w:val="21"/>
          <w:szCs w:val="21"/>
        </w:rPr>
        <w:t>六、股票上市交易所</w:t>
      </w:r>
      <w:r>
        <w:rPr>
          <w:rFonts w:ascii="宋体" w:hAnsi="宋体" w:cs="宋体" w:eastAsia="宋体" w:hint="default"/>
          <w:sz w:val="21"/>
          <w:szCs w:val="21"/>
        </w:rPr>
        <w:t>：深圳证券交易所 </w:t>
      </w:r>
      <w:r>
        <w:rPr>
          <w:rFonts w:ascii="宋体" w:hAnsi="宋体" w:cs="宋体" w:eastAsia="宋体" w:hint="default"/>
          <w:b/>
          <w:bCs/>
          <w:sz w:val="21"/>
          <w:szCs w:val="21"/>
        </w:rPr>
        <w:t>股票简称</w:t>
      </w:r>
      <w:r>
        <w:rPr>
          <w:rFonts w:ascii="宋体" w:hAnsi="宋体" w:cs="宋体" w:eastAsia="宋体" w:hint="default"/>
          <w:sz w:val="21"/>
          <w:szCs w:val="21"/>
        </w:rPr>
        <w:t>：东港股份 </w:t>
      </w:r>
      <w:r>
        <w:rPr>
          <w:rFonts w:ascii="宋体" w:hAnsi="宋体" w:cs="宋体" w:eastAsia="宋体" w:hint="default"/>
          <w:b/>
          <w:bCs/>
          <w:sz w:val="21"/>
          <w:szCs w:val="21"/>
        </w:rPr>
        <w:t>股票代码</w:t>
      </w:r>
      <w:r>
        <w:rPr>
          <w:rFonts w:ascii="宋体" w:hAnsi="宋体" w:cs="宋体" w:eastAsia="宋体" w:hint="default"/>
          <w:sz w:val="21"/>
          <w:szCs w:val="21"/>
        </w:rPr>
        <w:t>：002117</w:t>
      </w:r>
    </w:p>
    <w:p>
      <w:pPr>
        <w:spacing w:line="240" w:lineRule="auto" w:before="0"/>
        <w:rPr>
          <w:rFonts w:ascii="宋体" w:hAnsi="宋体" w:cs="宋体" w:eastAsia="宋体" w:hint="default"/>
          <w:sz w:val="20"/>
          <w:szCs w:val="20"/>
        </w:rPr>
      </w:pPr>
    </w:p>
    <w:p>
      <w:pPr>
        <w:spacing w:before="177"/>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七、其他</w:t>
      </w:r>
      <w:r>
        <w:rPr>
          <w:rFonts w:ascii="宋体" w:hAnsi="宋体" w:cs="宋体" w:eastAsia="宋体" w:hint="default"/>
          <w:sz w:val="21"/>
          <w:szCs w:val="21"/>
        </w:rPr>
      </w:r>
    </w:p>
    <w:p>
      <w:pPr>
        <w:spacing w:line="357" w:lineRule="auto" w:before="133"/>
        <w:ind w:left="137" w:right="2996" w:firstLine="0"/>
        <w:jc w:val="left"/>
        <w:rPr>
          <w:rFonts w:ascii="宋体" w:hAnsi="宋体" w:cs="宋体" w:eastAsia="宋体" w:hint="default"/>
          <w:sz w:val="21"/>
          <w:szCs w:val="21"/>
        </w:rPr>
      </w:pPr>
      <w:r>
        <w:rPr>
          <w:rFonts w:ascii="宋体" w:hAnsi="宋体" w:cs="宋体" w:eastAsia="宋体" w:hint="default"/>
          <w:b/>
          <w:bCs/>
          <w:spacing w:val="8"/>
          <w:sz w:val="21"/>
          <w:szCs w:val="21"/>
        </w:rPr>
        <w:t>公司首次登记注册日期</w:t>
      </w:r>
      <w:r>
        <w:rPr>
          <w:rFonts w:ascii="宋体" w:hAnsi="宋体" w:cs="宋体" w:eastAsia="宋体" w:hint="default"/>
          <w:spacing w:val="8"/>
          <w:sz w:val="21"/>
          <w:szCs w:val="21"/>
        </w:rPr>
        <w:t>：1996年3月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b/>
          <w:bCs/>
          <w:spacing w:val="2"/>
          <w:sz w:val="21"/>
          <w:szCs w:val="21"/>
        </w:rPr>
        <w:t>公司最近一次变更注册登记日期</w:t>
      </w:r>
      <w:r>
        <w:rPr>
          <w:rFonts w:ascii="宋体" w:hAnsi="宋体" w:cs="宋体" w:eastAsia="宋体" w:hint="default"/>
          <w:spacing w:val="2"/>
          <w:sz w:val="21"/>
          <w:szCs w:val="21"/>
        </w:rPr>
        <w:t>：2007年</w:t>
      </w:r>
      <w:r>
        <w:rPr>
          <w:rFonts w:ascii="宋体" w:hAnsi="宋体" w:cs="宋体" w:eastAsia="宋体" w:hint="default"/>
          <w:spacing w:val="-54"/>
          <w:sz w:val="21"/>
          <w:szCs w:val="21"/>
        </w:rPr>
        <w:t> </w:t>
      </w:r>
      <w:r>
        <w:rPr>
          <w:rFonts w:ascii="宋体" w:hAnsi="宋体" w:cs="宋体" w:eastAsia="宋体" w:hint="default"/>
          <w:spacing w:val="26"/>
          <w:sz w:val="21"/>
          <w:szCs w:val="21"/>
        </w:rPr>
        <w:t>6月</w:t>
      </w:r>
      <w:r>
        <w:rPr>
          <w:rFonts w:ascii="宋体" w:hAnsi="宋体" w:cs="宋体" w:eastAsia="宋体" w:hint="default"/>
          <w:spacing w:val="-54"/>
          <w:sz w:val="21"/>
          <w:szCs w:val="21"/>
        </w:rPr>
        <w:t> </w:t>
      </w:r>
      <w:r>
        <w:rPr>
          <w:rFonts w:ascii="宋体" w:hAnsi="宋体" w:cs="宋体" w:eastAsia="宋体" w:hint="default"/>
          <w:sz w:val="21"/>
          <w:szCs w:val="21"/>
        </w:rPr>
        <w:t>61</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公司企业法人营业执照注册号</w:t>
      </w:r>
      <w:r>
        <w:rPr>
          <w:rFonts w:ascii="宋体" w:hAnsi="宋体" w:cs="宋体" w:eastAsia="宋体" w:hint="default"/>
          <w:sz w:val="21"/>
          <w:szCs w:val="21"/>
        </w:rPr>
        <w:t>：企股鲁总字第</w:t>
      </w:r>
      <w:r>
        <w:rPr>
          <w:rFonts w:ascii="宋体" w:hAnsi="宋体" w:cs="宋体" w:eastAsia="宋体" w:hint="default"/>
          <w:spacing w:val="-55"/>
          <w:sz w:val="21"/>
          <w:szCs w:val="21"/>
        </w:rPr>
        <w:t> </w:t>
      </w:r>
      <w:r>
        <w:rPr>
          <w:rFonts w:ascii="宋体" w:hAnsi="宋体" w:cs="宋体" w:eastAsia="宋体" w:hint="default"/>
          <w:sz w:val="21"/>
          <w:szCs w:val="21"/>
        </w:rPr>
        <w:t>004027</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r>
        <w:rPr>
          <w:rFonts w:ascii="宋体" w:hAnsi="宋体" w:cs="宋体" w:eastAsia="宋体" w:hint="default"/>
          <w:b/>
          <w:bCs/>
          <w:sz w:val="21"/>
          <w:szCs w:val="21"/>
        </w:rPr>
        <w:t>公司税务登记号码</w:t>
      </w:r>
      <w:r>
        <w:rPr>
          <w:rFonts w:ascii="宋体" w:hAnsi="宋体" w:cs="宋体" w:eastAsia="宋体" w:hint="default"/>
          <w:sz w:val="21"/>
          <w:szCs w:val="21"/>
        </w:rPr>
        <w:t>：370112613207311 </w:t>
      </w:r>
      <w:r>
        <w:rPr>
          <w:rFonts w:ascii="宋体" w:hAnsi="宋体" w:cs="宋体" w:eastAsia="宋体" w:hint="default"/>
          <w:b/>
          <w:bCs/>
          <w:sz w:val="21"/>
          <w:szCs w:val="21"/>
        </w:rPr>
        <w:t>公司组织机构代码</w:t>
      </w:r>
      <w:r>
        <w:rPr>
          <w:rFonts w:ascii="宋体" w:hAnsi="宋体" w:cs="宋体" w:eastAsia="宋体" w:hint="default"/>
          <w:sz w:val="21"/>
          <w:szCs w:val="21"/>
        </w:rPr>
        <w:t>：6130731-12 </w:t>
      </w:r>
      <w:r>
        <w:rPr>
          <w:rFonts w:ascii="宋体" w:hAnsi="宋体" w:cs="宋体" w:eastAsia="宋体" w:hint="default"/>
          <w:b/>
          <w:bCs/>
          <w:sz w:val="21"/>
          <w:szCs w:val="21"/>
        </w:rPr>
        <w:t>公司聘请的会计师事务所</w:t>
      </w:r>
      <w:r>
        <w:rPr>
          <w:rFonts w:ascii="宋体" w:hAnsi="宋体" w:cs="宋体" w:eastAsia="宋体" w:hint="default"/>
          <w:sz w:val="21"/>
          <w:szCs w:val="21"/>
        </w:rPr>
        <w:t>：中瑞岳华会计师事务所有限公司</w:t>
      </w:r>
    </w:p>
    <w:p>
      <w:pPr>
        <w:spacing w:before="31"/>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会计师事务所的办公地址</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pacing w:val="-5"/>
          <w:sz w:val="21"/>
          <w:szCs w:val="21"/>
        </w:rPr>
        <w:t>北京市西城区金融大街</w:t>
      </w:r>
      <w:r>
        <w:rPr>
          <w:rFonts w:ascii="宋体" w:hAnsi="宋体" w:cs="宋体" w:eastAsia="宋体" w:hint="default"/>
          <w:spacing w:val="-59"/>
          <w:sz w:val="21"/>
          <w:szCs w:val="21"/>
        </w:rPr>
        <w:t> </w:t>
      </w:r>
      <w:r>
        <w:rPr>
          <w:rFonts w:ascii="宋体" w:hAnsi="宋体" w:cs="宋体" w:eastAsia="宋体" w:hint="default"/>
          <w:sz w:val="21"/>
          <w:szCs w:val="21"/>
        </w:rPr>
        <w:t>35</w:t>
      </w:r>
      <w:r>
        <w:rPr>
          <w:rFonts w:ascii="宋体" w:hAnsi="宋体" w:cs="宋体" w:eastAsia="宋体" w:hint="default"/>
          <w:spacing w:val="-56"/>
          <w:sz w:val="21"/>
          <w:szCs w:val="21"/>
        </w:rPr>
        <w:t> </w:t>
      </w:r>
      <w:r>
        <w:rPr>
          <w:rFonts w:ascii="宋体" w:hAnsi="宋体" w:cs="宋体" w:eastAsia="宋体" w:hint="default"/>
          <w:spacing w:val="-4"/>
          <w:sz w:val="21"/>
          <w:szCs w:val="21"/>
        </w:rPr>
        <w:t>号国际企业大厦</w:t>
      </w:r>
      <w:r>
        <w:rPr>
          <w:rFonts w:ascii="宋体" w:hAnsi="宋体" w:cs="宋体" w:eastAsia="宋体" w:hint="default"/>
          <w:spacing w:val="-57"/>
          <w:sz w:val="21"/>
          <w:szCs w:val="21"/>
        </w:rPr>
        <w:t> </w:t>
      </w:r>
      <w:r>
        <w:rPr>
          <w:rFonts w:ascii="宋体" w:hAnsi="宋体" w:cs="宋体" w:eastAsia="宋体" w:hint="default"/>
          <w:sz w:val="21"/>
          <w:szCs w:val="21"/>
        </w:rPr>
        <w:t>A</w:t>
      </w:r>
      <w:r>
        <w:rPr>
          <w:rFonts w:ascii="宋体" w:hAnsi="宋体" w:cs="宋体" w:eastAsia="宋体" w:hint="default"/>
          <w:spacing w:val="-56"/>
          <w:sz w:val="21"/>
          <w:szCs w:val="21"/>
        </w:rPr>
        <w:t> </w:t>
      </w:r>
      <w:r>
        <w:rPr>
          <w:rFonts w:ascii="宋体" w:hAnsi="宋体" w:cs="宋体" w:eastAsia="宋体" w:hint="default"/>
          <w:sz w:val="21"/>
          <w:szCs w:val="21"/>
        </w:rPr>
        <w:t>座</w:t>
      </w:r>
      <w:r>
        <w:rPr>
          <w:rFonts w:ascii="宋体" w:hAnsi="宋体" w:cs="宋体" w:eastAsia="宋体" w:hint="default"/>
          <w:spacing w:val="-59"/>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层</w:t>
      </w:r>
    </w:p>
    <w:p>
      <w:pPr>
        <w:spacing w:after="0"/>
        <w:jc w:val="left"/>
        <w:rPr>
          <w:rFonts w:ascii="宋体" w:hAnsi="宋体" w:cs="宋体" w:eastAsia="宋体" w:hint="default"/>
          <w:sz w:val="21"/>
          <w:szCs w:val="21"/>
        </w:rPr>
        <w:sectPr>
          <w:headerReference w:type="default" r:id="rId20"/>
          <w:pgSz w:w="11910" w:h="16840"/>
          <w:pgMar w:header="915" w:footer="1712" w:top="1100" w:bottom="1900" w:left="1660" w:right="1640"/>
        </w:sectPr>
      </w:pPr>
    </w:p>
    <w:p>
      <w:pPr>
        <w:spacing w:line="240" w:lineRule="auto" w:before="0"/>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116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p>
    <w:p>
      <w:pPr>
        <w:spacing w:line="240" w:lineRule="auto" w:before="5"/>
        <w:rPr>
          <w:rFonts w:ascii="宋体" w:hAnsi="宋体" w:cs="宋体" w:eastAsia="宋体" w:hint="default"/>
          <w:sz w:val="16"/>
          <w:szCs w:val="16"/>
        </w:rPr>
      </w:pPr>
    </w:p>
    <w:p>
      <w:pPr>
        <w:pStyle w:val="Heading1"/>
        <w:tabs>
          <w:tab w:pos="4035" w:val="left" w:leader="none"/>
        </w:tabs>
        <w:spacing w:line="240" w:lineRule="auto"/>
        <w:ind w:left="2679" w:right="859"/>
        <w:jc w:val="left"/>
        <w:rPr>
          <w:b w:val="0"/>
          <w:bCs w:val="0"/>
        </w:rPr>
      </w:pPr>
      <w:bookmarkStart w:name="_TOC_250009" w:id="2"/>
      <w:r>
        <w:rPr>
          <w:w w:val="95"/>
        </w:rPr>
        <w:t>第二节</w:t>
        <w:tab/>
      </w:r>
      <w:r>
        <w:rPr/>
        <w:t>会计数据和业务数据摘要</w:t>
      </w:r>
      <w:bookmarkEnd w:id="2"/>
      <w:r>
        <w:rPr>
          <w:b w:val="0"/>
          <w:bCs w:val="0"/>
        </w:rPr>
      </w:r>
    </w:p>
    <w:p>
      <w:pPr>
        <w:spacing w:line="240" w:lineRule="auto" w:before="0"/>
        <w:rPr>
          <w:rFonts w:ascii="宋体" w:hAnsi="宋体" w:cs="宋体" w:eastAsia="宋体" w:hint="default"/>
          <w:b/>
          <w:bCs/>
          <w:sz w:val="30"/>
          <w:szCs w:val="30"/>
        </w:rPr>
      </w:pPr>
    </w:p>
    <w:p>
      <w:pPr>
        <w:spacing w:before="222"/>
        <w:ind w:left="857" w:right="859" w:firstLine="0"/>
        <w:jc w:val="left"/>
        <w:rPr>
          <w:rFonts w:ascii="宋体" w:hAnsi="宋体" w:cs="宋体" w:eastAsia="宋体" w:hint="default"/>
          <w:sz w:val="21"/>
          <w:szCs w:val="21"/>
        </w:rPr>
      </w:pPr>
      <w:r>
        <w:rPr>
          <w:rFonts w:ascii="宋体" w:hAnsi="宋体" w:cs="宋体" w:eastAsia="宋体" w:hint="default"/>
          <w:b/>
          <w:bCs/>
          <w:sz w:val="21"/>
          <w:szCs w:val="21"/>
        </w:rPr>
        <w:t>一、主要财务数据和指标（单位：人民币元）</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515" w:type="dxa"/>
        <w:tblLayout w:type="fixed"/>
        <w:tblCellMar>
          <w:top w:w="0" w:type="dxa"/>
          <w:left w:w="0" w:type="dxa"/>
          <w:bottom w:w="0" w:type="dxa"/>
          <w:right w:w="0" w:type="dxa"/>
        </w:tblCellMar>
        <w:tblLook w:val="01E0"/>
      </w:tblPr>
      <w:tblGrid>
        <w:gridCol w:w="5226"/>
        <w:gridCol w:w="1760"/>
      </w:tblGrid>
      <w:tr>
        <w:trPr>
          <w:trHeight w:val="282"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tabs>
                <w:tab w:pos="1263" w:val="left" w:leader="none"/>
              </w:tabs>
              <w:spacing w:line="240" w:lineRule="exact"/>
              <w:ind w:left="419"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tabs>
                <w:tab w:pos="1194" w:val="left" w:leader="none"/>
              </w:tabs>
              <w:spacing w:line="240" w:lineRule="exact"/>
              <w:ind w:left="349" w:right="0"/>
              <w:jc w:val="left"/>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w:t>
            </w:r>
            <w:r>
              <w:rPr>
                <w:rFonts w:ascii="宋体" w:hAnsi="宋体" w:cs="宋体" w:eastAsia="宋体" w:hint="default"/>
                <w:sz w:val="21"/>
                <w:szCs w:val="21"/>
              </w:rPr>
            </w:r>
          </w:p>
        </w:tc>
      </w:tr>
      <w:tr>
        <w:trPr>
          <w:trHeight w:val="283"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70,171,023.84</w:t>
            </w:r>
          </w:p>
        </w:tc>
      </w:tr>
      <w:tr>
        <w:trPr>
          <w:trHeight w:val="282"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71,289,601.04</w:t>
            </w:r>
          </w:p>
        </w:tc>
      </w:tr>
      <w:tr>
        <w:trPr>
          <w:trHeight w:val="282"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56,067,614.27</w:t>
            </w:r>
          </w:p>
        </w:tc>
      </w:tr>
      <w:tr>
        <w:trPr>
          <w:trHeight w:val="282"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55,231,750.42</w:t>
            </w:r>
          </w:p>
        </w:tc>
      </w:tr>
      <w:tr>
        <w:trPr>
          <w:trHeight w:val="283" w:hRule="exact"/>
        </w:trPr>
        <w:tc>
          <w:tcPr>
            <w:tcW w:w="5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73,782,493.73</w:t>
            </w:r>
          </w:p>
        </w:tc>
      </w:tr>
    </w:tbl>
    <w:p>
      <w:pPr>
        <w:spacing w:line="240" w:lineRule="auto" w:before="13"/>
        <w:rPr>
          <w:rFonts w:ascii="宋体" w:hAnsi="宋体" w:cs="宋体" w:eastAsia="宋体" w:hint="default"/>
          <w:b/>
          <w:bCs/>
          <w:sz w:val="25"/>
          <w:szCs w:val="25"/>
        </w:rPr>
      </w:pPr>
    </w:p>
    <w:p>
      <w:pPr>
        <w:spacing w:before="35"/>
        <w:ind w:left="857" w:right="859" w:firstLine="0"/>
        <w:jc w:val="left"/>
        <w:rPr>
          <w:rFonts w:ascii="宋体" w:hAnsi="宋体" w:cs="宋体" w:eastAsia="宋体" w:hint="default"/>
          <w:sz w:val="21"/>
          <w:szCs w:val="21"/>
        </w:rPr>
      </w:pPr>
      <w:r>
        <w:rPr>
          <w:rFonts w:ascii="宋体" w:hAnsi="宋体" w:cs="宋体" w:eastAsia="宋体" w:hint="default"/>
          <w:spacing w:val="19"/>
          <w:sz w:val="21"/>
          <w:szCs w:val="21"/>
        </w:rPr>
        <w:t>注</w:t>
      </w:r>
      <w:r>
        <w:rPr>
          <w:rFonts w:ascii="宋体" w:hAnsi="宋体" w:cs="宋体" w:eastAsia="宋体" w:hint="default"/>
          <w:sz w:val="21"/>
          <w:szCs w:val="21"/>
        </w:rPr>
        <w:t>：</w:t>
      </w:r>
      <w:r>
        <w:rPr>
          <w:rFonts w:ascii="宋体" w:hAnsi="宋体" w:cs="宋体" w:eastAsia="宋体" w:hint="default"/>
          <w:spacing w:val="-86"/>
          <w:sz w:val="21"/>
          <w:szCs w:val="21"/>
        </w:rPr>
        <w:t> </w:t>
      </w:r>
      <w:r>
        <w:rPr>
          <w:rFonts w:ascii="宋体" w:hAnsi="宋体" w:cs="宋体" w:eastAsia="宋体" w:hint="default"/>
          <w:sz w:val="21"/>
          <w:szCs w:val="21"/>
        </w:rPr>
        <w:t>非经</w:t>
      </w:r>
      <w:r>
        <w:rPr>
          <w:rFonts w:ascii="宋体" w:hAnsi="宋体" w:cs="宋体" w:eastAsia="宋体" w:hint="default"/>
          <w:spacing w:val="1"/>
          <w:sz w:val="21"/>
          <w:szCs w:val="21"/>
        </w:rPr>
        <w:t>常</w:t>
      </w:r>
      <w:r>
        <w:rPr>
          <w:rFonts w:ascii="宋体" w:hAnsi="宋体" w:cs="宋体" w:eastAsia="宋体" w:hint="default"/>
          <w:sz w:val="21"/>
          <w:szCs w:val="21"/>
        </w:rPr>
        <w:t>性损益项目</w:t>
      </w:r>
      <w:r>
        <w:rPr>
          <w:rFonts w:ascii="宋体" w:hAnsi="宋体" w:cs="宋体" w:eastAsia="宋体" w:hint="default"/>
          <w:spacing w:val="-106"/>
          <w:sz w:val="21"/>
          <w:szCs w:val="21"/>
        </w:rPr>
        <w:t>：</w:t>
      </w:r>
      <w:r>
        <w:rPr>
          <w:rFonts w:ascii="宋体" w:hAnsi="宋体" w:cs="宋体" w:eastAsia="宋体" w:hint="default"/>
          <w:sz w:val="21"/>
          <w:szCs w:val="21"/>
        </w:rPr>
        <w:t>（单位：人民币元）</w:t>
      </w:r>
    </w:p>
    <w:p>
      <w:pPr>
        <w:spacing w:line="240" w:lineRule="auto" w:before="10"/>
        <w:rPr>
          <w:rFonts w:ascii="宋体" w:hAnsi="宋体" w:cs="宋体" w:eastAsia="宋体" w:hint="default"/>
          <w:sz w:val="12"/>
          <w:szCs w:val="12"/>
        </w:rPr>
      </w:pPr>
    </w:p>
    <w:tbl>
      <w:tblPr>
        <w:tblW w:w="0" w:type="auto"/>
        <w:jc w:val="left"/>
        <w:tblInd w:w="744" w:type="dxa"/>
        <w:tblLayout w:type="fixed"/>
        <w:tblCellMar>
          <w:top w:w="0" w:type="dxa"/>
          <w:left w:w="0" w:type="dxa"/>
          <w:bottom w:w="0" w:type="dxa"/>
          <w:right w:w="0" w:type="dxa"/>
        </w:tblCellMar>
        <w:tblLook w:val="01E0"/>
      </w:tblPr>
      <w:tblGrid>
        <w:gridCol w:w="4261"/>
        <w:gridCol w:w="4261"/>
      </w:tblGrid>
      <w:tr>
        <w:trPr>
          <w:trHeight w:val="282"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85"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tabs>
                <w:tab w:pos="844"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w:t>
            </w:r>
            <w:r>
              <w:rPr>
                <w:rFonts w:ascii="宋体" w:hAnsi="宋体" w:cs="宋体" w:eastAsia="宋体" w:hint="default"/>
                <w:sz w:val="21"/>
                <w:szCs w:val="21"/>
              </w:rPr>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-377,472.44</w:t>
            </w:r>
          </w:p>
        </w:tc>
      </w:tr>
      <w:tr>
        <w:trPr>
          <w:trHeight w:val="282"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补贴收入</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1,670,145.00</w:t>
            </w:r>
            <w:r>
              <w:rPr>
                <w:rFonts w:ascii="宋体"/>
                <w:sz w:val="21"/>
              </w:rPr>
            </w:r>
          </w:p>
        </w:tc>
      </w:tr>
      <w:tr>
        <w:trPr>
          <w:trHeight w:val="282"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资产减值准备冲回</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处置固定资产支出</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其他营业外收支净额</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-174,095.36</w:t>
            </w:r>
          </w:p>
        </w:tc>
      </w:tr>
      <w:tr>
        <w:trPr>
          <w:trHeight w:val="282"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上述损益所得税影响数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-282,713.35</w:t>
            </w:r>
          </w:p>
        </w:tc>
      </w:tr>
      <w:tr>
        <w:trPr>
          <w:trHeight w:val="283"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tabs>
                <w:tab w:pos="629" w:val="left" w:leader="none"/>
              </w:tabs>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835,863.85</w:t>
            </w:r>
          </w:p>
        </w:tc>
      </w:tr>
    </w:tbl>
    <w:p>
      <w:pPr>
        <w:spacing w:line="240" w:lineRule="auto" w:before="3"/>
        <w:rPr>
          <w:rFonts w:ascii="宋体" w:hAnsi="宋体" w:cs="宋体" w:eastAsia="宋体" w:hint="default"/>
          <w:sz w:val="5"/>
          <w:szCs w:val="5"/>
        </w:rPr>
      </w:pPr>
    </w:p>
    <w:p>
      <w:pPr>
        <w:spacing w:before="35"/>
        <w:ind w:left="857" w:right="859" w:firstLine="0"/>
        <w:jc w:val="left"/>
        <w:rPr>
          <w:rFonts w:ascii="宋体" w:hAnsi="宋体" w:cs="宋体" w:eastAsia="宋体" w:hint="default"/>
          <w:sz w:val="21"/>
          <w:szCs w:val="21"/>
        </w:rPr>
      </w:pPr>
      <w:r>
        <w:rPr>
          <w:rFonts w:ascii="宋体" w:hAnsi="宋体" w:cs="宋体" w:eastAsia="宋体" w:hint="default"/>
          <w:b/>
          <w:bCs/>
          <w:sz w:val="21"/>
          <w:szCs w:val="21"/>
        </w:rPr>
        <w:t>二、截止报告期末公司前三年的主要会计数据和财务指标</w:t>
      </w:r>
      <w:r>
        <w:rPr>
          <w:rFonts w:ascii="宋体" w:hAnsi="宋体" w:cs="宋体" w:eastAsia="宋体" w:hint="default"/>
          <w:sz w:val="21"/>
          <w:szCs w:val="21"/>
        </w:rPr>
      </w:r>
    </w:p>
    <w:p>
      <w:pPr>
        <w:spacing w:line="240" w:lineRule="auto" w:before="9"/>
        <w:rPr>
          <w:rFonts w:ascii="宋体" w:hAnsi="宋体" w:cs="宋体" w:eastAsia="宋体" w:hint="default"/>
          <w:b/>
          <w:bCs/>
          <w:sz w:val="20"/>
          <w:szCs w:val="20"/>
        </w:rPr>
      </w:pPr>
    </w:p>
    <w:p>
      <w:pPr>
        <w:spacing w:before="0"/>
        <w:ind w:left="857" w:right="859" w:firstLine="0"/>
        <w:jc w:val="left"/>
        <w:rPr>
          <w:rFonts w:ascii="宋体" w:hAnsi="宋体" w:cs="宋体" w:eastAsia="宋体" w:hint="default"/>
          <w:sz w:val="21"/>
          <w:szCs w:val="21"/>
        </w:rPr>
      </w:pPr>
      <w:r>
        <w:rPr>
          <w:rFonts w:ascii="宋体" w:hAnsi="宋体" w:cs="宋体" w:eastAsia="宋体" w:hint="default"/>
          <w:b/>
          <w:bCs/>
          <w:sz w:val="21"/>
          <w:szCs w:val="21"/>
        </w:rPr>
        <w:t>（一）、主要会计数据（单位：人民币元）</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tbl>
      <w:tblPr>
        <w:tblW w:w="0" w:type="auto"/>
        <w:jc w:val="left"/>
        <w:tblInd w:w="100" w:type="dxa"/>
        <w:tblLayout w:type="fixed"/>
        <w:tblCellMar>
          <w:top w:w="0" w:type="dxa"/>
          <w:left w:w="0" w:type="dxa"/>
          <w:bottom w:w="0" w:type="dxa"/>
          <w:right w:w="0" w:type="dxa"/>
        </w:tblCellMar>
        <w:tblLook w:val="01E0"/>
      </w:tblPr>
      <w:tblGrid>
        <w:gridCol w:w="1419"/>
        <w:gridCol w:w="1571"/>
        <w:gridCol w:w="1560"/>
        <w:gridCol w:w="1560"/>
        <w:gridCol w:w="976"/>
        <w:gridCol w:w="1300"/>
        <w:gridCol w:w="1430"/>
      </w:tblGrid>
      <w:tr>
        <w:trPr>
          <w:trHeight w:val="353"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39" w:lineRule="exact"/>
              <w:ind w:left="32" w:right="0"/>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4" w:lineRule="exact"/>
              <w:ind w:left="32"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273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0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0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1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7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71"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468,661,577.47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415,751,481.42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415,751,481.42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12.73%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403,514,736.29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403,514,736.29</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5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71,289,601.04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64,991,917.54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pacing w:val="-1"/>
                <w:sz w:val="18"/>
              </w:rPr>
              <w:t>64,991,917.54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9.69%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61,018,696.59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61,018,696.59</w:t>
            </w:r>
          </w:p>
        </w:tc>
      </w:tr>
      <w:tr>
        <w:trPr>
          <w:trHeight w:val="476"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70" w:right="0" w:hanging="90"/>
              <w:jc w:val="left"/>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15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56,067,614.27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52,315,230.81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52,627,483.53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6.54%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48,519,584.92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48,835,795.98</w:t>
            </w:r>
          </w:p>
        </w:tc>
      </w:tr>
      <w:tr>
        <w:trPr>
          <w:trHeight w:val="943"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37" w:lineRule="auto" w:before="1"/>
              <w:ind w:left="80" w:right="68"/>
              <w:jc w:val="center"/>
              <w:rPr>
                <w:rFonts w:ascii="宋体" w:hAnsi="宋体" w:cs="宋体" w:eastAsia="宋体" w:hint="default"/>
                <w:sz w:val="18"/>
                <w:szCs w:val="18"/>
              </w:rPr>
            </w:pPr>
            <w:r>
              <w:rPr>
                <w:rFonts w:ascii="宋体" w:hAnsi="宋体" w:cs="宋体" w:eastAsia="宋体" w:hint="default"/>
                <w:sz w:val="18"/>
                <w:szCs w:val="18"/>
              </w:rPr>
              <w:t>股东的扣除非经 常性损益的净利 润</w:t>
            </w:r>
          </w:p>
        </w:tc>
        <w:tc>
          <w:tcPr>
            <w:tcW w:w="15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55,231,750.42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52,256,129.59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23"/>
              <w:jc w:val="right"/>
              <w:rPr>
                <w:rFonts w:ascii="Times New Roman" w:hAnsi="Times New Roman" w:cs="Times New Roman" w:eastAsia="Times New Roman" w:hint="default"/>
                <w:sz w:val="18"/>
                <w:szCs w:val="18"/>
              </w:rPr>
            </w:pPr>
            <w:r>
              <w:rPr>
                <w:rFonts w:ascii="Times New Roman"/>
                <w:spacing w:val="-1"/>
                <w:sz w:val="18"/>
              </w:rPr>
              <w:t>52,568,382.31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z w:val="18"/>
              </w:rPr>
              <w:t>5.07%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48,564,636.85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48,790,744.05</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70" w:right="0" w:hanging="90"/>
              <w:jc w:val="left"/>
              <w:rPr>
                <w:rFonts w:ascii="宋体" w:hAnsi="宋体" w:cs="宋体" w:eastAsia="宋体" w:hint="default"/>
                <w:sz w:val="18"/>
                <w:szCs w:val="18"/>
              </w:rPr>
            </w:pPr>
            <w:r>
              <w:rPr>
                <w:rFonts w:ascii="宋体" w:hAnsi="宋体" w:cs="宋体" w:eastAsia="宋体" w:hint="default"/>
                <w:sz w:val="18"/>
                <w:szCs w:val="18"/>
              </w:rPr>
              <w:t>经营活动产生的</w:t>
            </w:r>
          </w:p>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15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73,782,493.73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76,171,947.98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76,171,947.98</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-3.14%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57,357,859.68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57,357,859.68</w:t>
            </w:r>
          </w:p>
        </w:tc>
      </w:tr>
      <w:tr>
        <w:trPr>
          <w:trHeight w:val="245" w:hRule="exact"/>
        </w:trPr>
        <w:tc>
          <w:tcPr>
            <w:tcW w:w="1419"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1" w:type="dxa"/>
            <w:tcBorders>
              <w:top w:val="single" w:sz="4" w:space="0" w:color="000000"/>
              <w:left w:val="single" w:sz="4" w:space="0" w:color="000000"/>
              <w:bottom w:val="nil" w:sz="6" w:space="0" w:color="auto"/>
              <w:right w:val="single" w:sz="4" w:space="0" w:color="000000"/>
            </w:tcBorders>
            <w:shd w:val="clear" w:color="auto" w:fill="DCDCDC"/>
          </w:tcPr>
          <w:p>
            <w:pPr/>
          </w:p>
        </w:tc>
        <w:tc>
          <w:tcPr>
            <w:tcW w:w="31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6"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本年末比上</w:t>
            </w:r>
          </w:p>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年末增减</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19" w:hRule="exact"/>
        </w:trPr>
        <w:tc>
          <w:tcPr>
            <w:tcW w:w="1419" w:type="dxa"/>
            <w:tcBorders>
              <w:top w:val="nil" w:sz="6" w:space="0" w:color="auto"/>
              <w:left w:val="single" w:sz="4" w:space="0" w:color="000000"/>
              <w:bottom w:val="nil" w:sz="6" w:space="0" w:color="auto"/>
              <w:right w:val="single" w:sz="4" w:space="0" w:color="000000"/>
            </w:tcBorders>
            <w:shd w:val="clear" w:color="auto" w:fill="DCDCDC"/>
          </w:tcPr>
          <w:p>
            <w:pPr/>
          </w:p>
        </w:tc>
        <w:tc>
          <w:tcPr>
            <w:tcW w:w="157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1" w:lineRule="exact"/>
              <w:ind w:left="4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312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76" w:type="dxa"/>
            <w:vMerge/>
            <w:tcBorders>
              <w:left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46" w:hRule="exact"/>
        </w:trPr>
        <w:tc>
          <w:tcPr>
            <w:tcW w:w="1419"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1" w:type="dxa"/>
            <w:tcBorders>
              <w:top w:val="nil" w:sz="6" w:space="0" w:color="auto"/>
              <w:left w:val="single" w:sz="4" w:space="0" w:color="000000"/>
              <w:bottom w:val="single" w:sz="4" w:space="0" w:color="000000"/>
              <w:right w:val="single" w:sz="4" w:space="0" w:color="000000"/>
            </w:tcBorders>
            <w:shd w:val="clear" w:color="auto" w:fill="DCDCDC"/>
          </w:tcPr>
          <w:p>
            <w:pPr/>
          </w:p>
        </w:tc>
        <w:tc>
          <w:tcPr>
            <w:tcW w:w="31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6" w:type="dxa"/>
            <w:vMerge/>
            <w:tcBorders>
              <w:left w:val="single" w:sz="4" w:space="0" w:color="000000"/>
              <w:bottom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0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0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3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42"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571"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1"/>
              <w:ind w:right="20"/>
              <w:jc w:val="right"/>
              <w:rPr>
                <w:rFonts w:ascii="Times New Roman" w:hAnsi="Times New Roman" w:cs="Times New Roman" w:eastAsia="Times New Roman" w:hint="default"/>
                <w:sz w:val="18"/>
                <w:szCs w:val="18"/>
              </w:rPr>
            </w:pPr>
            <w:r>
              <w:rPr>
                <w:rFonts w:ascii="Times New Roman"/>
                <w:spacing w:val="-1"/>
                <w:sz w:val="18"/>
              </w:rPr>
              <w:t>710,772,776.85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498,723,913.51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499,356,584.61</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42.34%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356,081,601.07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356,312,487.37</w:t>
            </w:r>
          </w:p>
        </w:tc>
      </w:tr>
      <w:tr>
        <w:trPr>
          <w:trHeight w:val="478"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2" w:right="0"/>
              <w:jc w:val="center"/>
              <w:rPr>
                <w:rFonts w:ascii="宋体" w:hAnsi="宋体" w:cs="宋体" w:eastAsia="宋体" w:hint="default"/>
                <w:sz w:val="18"/>
                <w:szCs w:val="18"/>
              </w:rPr>
            </w:pPr>
            <w:r>
              <w:rPr>
                <w:rFonts w:ascii="宋体" w:hAnsi="宋体" w:cs="宋体" w:eastAsia="宋体" w:hint="default"/>
                <w:spacing w:val="-9"/>
                <w:sz w:val="18"/>
                <w:szCs w:val="18"/>
              </w:rPr>
              <w:t>所有者权益（或股</w:t>
            </w:r>
          </w:p>
          <w:p>
            <w:pPr>
              <w:pStyle w:val="TableParagraph"/>
              <w:spacing w:line="235" w:lineRule="exact"/>
              <w:ind w:left="11" w:right="0"/>
              <w:jc w:val="center"/>
              <w:rPr>
                <w:rFonts w:ascii="宋体" w:hAnsi="宋体" w:cs="宋体" w:eastAsia="宋体" w:hint="default"/>
                <w:sz w:val="18"/>
                <w:szCs w:val="18"/>
              </w:rPr>
            </w:pPr>
            <w:r>
              <w:rPr>
                <w:rFonts w:ascii="宋体" w:hAnsi="宋体" w:cs="宋体" w:eastAsia="宋体" w:hint="default"/>
                <w:sz w:val="18"/>
                <w:szCs w:val="18"/>
              </w:rPr>
              <w:t>东权益）</w:t>
            </w:r>
          </w:p>
        </w:tc>
        <w:tc>
          <w:tcPr>
            <w:tcW w:w="15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499,110,091.32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197,633,157.72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198,261,621.50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151.74%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174,157,724.74</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174,473,935.80</w:t>
            </w:r>
          </w:p>
        </w:tc>
      </w:tr>
      <w:tr>
        <w:trPr>
          <w:trHeight w:val="244" w:hRule="exact"/>
        </w:trPr>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82,000,000.00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82,000,000.00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34.15%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82,000,000.00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82,000,000.00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15" w:footer="1712" w:top="1100" w:bottom="1900" w:left="940" w:right="920"/>
        </w:sectPr>
      </w:pPr>
    </w:p>
    <w:p>
      <w:pPr>
        <w:spacing w:line="240" w:lineRule="auto" w:before="1"/>
        <w:rPr>
          <w:rFonts w:ascii="宋体" w:hAnsi="宋体" w:cs="宋体" w:eastAsia="宋体" w:hint="default"/>
          <w:b/>
          <w:bCs/>
          <w:sz w:val="26"/>
          <w:szCs w:val="26"/>
        </w:rPr>
      </w:pPr>
    </w:p>
    <w:p>
      <w:pPr>
        <w:spacing w:before="35"/>
        <w:ind w:left="857" w:right="859" w:firstLine="0"/>
        <w:jc w:val="left"/>
        <w:rPr>
          <w:rFonts w:ascii="宋体" w:hAnsi="宋体" w:cs="宋体" w:eastAsia="宋体" w:hint="default"/>
          <w:sz w:val="21"/>
          <w:szCs w:val="21"/>
        </w:rPr>
      </w:pPr>
      <w:r>
        <w:rPr>
          <w:rFonts w:ascii="宋体" w:hAnsi="宋体" w:cs="宋体" w:eastAsia="宋体" w:hint="default"/>
          <w:b/>
          <w:bCs/>
          <w:sz w:val="21"/>
          <w:szCs w:val="21"/>
        </w:rPr>
        <w:t>（二）主要财务指标（单位：人民币元）</w:t>
      </w:r>
      <w:r>
        <w:rPr>
          <w:rFonts w:ascii="宋体" w:hAnsi="宋体" w:cs="宋体" w:eastAsia="宋体" w:hint="default"/>
          <w:sz w:val="21"/>
          <w:szCs w:val="21"/>
        </w:rPr>
      </w:r>
    </w:p>
    <w:p>
      <w:pPr>
        <w:spacing w:line="240" w:lineRule="auto" w:before="10"/>
        <w:rPr>
          <w:rFonts w:ascii="宋体" w:hAnsi="宋体" w:cs="宋体" w:eastAsia="宋体" w:hint="default"/>
          <w:b/>
          <w:bCs/>
          <w:sz w:val="17"/>
          <w:szCs w:val="17"/>
        </w:rPr>
      </w:pPr>
    </w:p>
    <w:tbl>
      <w:tblPr>
        <w:tblW w:w="0" w:type="auto"/>
        <w:jc w:val="left"/>
        <w:tblInd w:w="106" w:type="dxa"/>
        <w:tblLayout w:type="fixed"/>
        <w:tblCellMar>
          <w:top w:w="0" w:type="dxa"/>
          <w:left w:w="0" w:type="dxa"/>
          <w:bottom w:w="0" w:type="dxa"/>
          <w:right w:w="0" w:type="dxa"/>
        </w:tblCellMar>
        <w:tblLook w:val="01E0"/>
      </w:tblPr>
      <w:tblGrid>
        <w:gridCol w:w="1407"/>
        <w:gridCol w:w="1545"/>
        <w:gridCol w:w="1586"/>
        <w:gridCol w:w="1573"/>
        <w:gridCol w:w="974"/>
        <w:gridCol w:w="1301"/>
        <w:gridCol w:w="1429"/>
      </w:tblGrid>
      <w:tr>
        <w:trPr>
          <w:trHeight w:val="353"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39" w:lineRule="exact"/>
              <w:ind w:left="31" w:right="0"/>
              <w:jc w:val="left"/>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4" w:lineRule="exact"/>
              <w:ind w:left="31" w:right="0"/>
              <w:jc w:val="left"/>
              <w:rPr>
                <w:rFonts w:ascii="宋体" w:hAnsi="宋体" w:cs="宋体" w:eastAsia="宋体" w:hint="default"/>
                <w:sz w:val="18"/>
                <w:szCs w:val="18"/>
              </w:rPr>
            </w:pPr>
            <w:r>
              <w:rPr>
                <w:rFonts w:ascii="宋体" w:hAnsi="宋体" w:cs="宋体" w:eastAsia="宋体" w:hint="default"/>
                <w:sz w:val="18"/>
                <w:szCs w:val="18"/>
              </w:rPr>
              <w:t>增减（％）</w:t>
            </w:r>
          </w:p>
        </w:tc>
        <w:tc>
          <w:tcPr>
            <w:tcW w:w="273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18"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5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2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37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8"/>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244"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545" w:type="dxa"/>
            <w:tcBorders>
              <w:top w:val="single" w:sz="9" w:space="0" w:color="DCDCDC"/>
              <w:left w:val="single" w:sz="13" w:space="0" w:color="DCDCDC"/>
              <w:bottom w:val="single" w:sz="4" w:space="0" w:color="000000"/>
              <w:right w:val="single" w:sz="4" w:space="0" w:color="000000"/>
            </w:tcBorders>
          </w:tcPr>
          <w:p>
            <w:pPr>
              <w:pStyle w:val="TableParagraph"/>
              <w:spacing w:line="240" w:lineRule="auto" w:before="1"/>
              <w:ind w:right="22"/>
              <w:jc w:val="right"/>
              <w:rPr>
                <w:rFonts w:ascii="Times New Roman" w:hAnsi="Times New Roman" w:cs="Times New Roman" w:eastAsia="Times New Roman" w:hint="default"/>
                <w:sz w:val="18"/>
                <w:szCs w:val="18"/>
              </w:rPr>
            </w:pPr>
            <w:r>
              <w:rPr>
                <w:rFonts w:ascii="Times New Roman"/>
                <w:sz w:val="18"/>
              </w:rPr>
              <w:t>0.53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0.64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0.64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-17.19%</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0.59</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0.59</w:t>
            </w:r>
          </w:p>
        </w:tc>
      </w:tr>
      <w:tr>
        <w:trPr>
          <w:trHeight w:val="244"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5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0.53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0.64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0.64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w w:val="95"/>
                <w:sz w:val="18"/>
              </w:rPr>
              <w:t>-17.19%</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0.59</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0.59</w:t>
            </w:r>
          </w:p>
        </w:tc>
      </w:tr>
      <w:tr>
        <w:trPr>
          <w:trHeight w:val="710"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68"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40" w:lineRule="auto"/>
              <w:ind w:left="518" w:right="68" w:hanging="450"/>
              <w:jc w:val="left"/>
              <w:rPr>
                <w:rFonts w:ascii="宋体" w:hAnsi="宋体" w:cs="宋体" w:eastAsia="宋体" w:hint="default"/>
                <w:sz w:val="18"/>
                <w:szCs w:val="18"/>
              </w:rPr>
            </w:pPr>
            <w:r>
              <w:rPr>
                <w:rFonts w:ascii="宋体" w:hAnsi="宋体" w:cs="宋体" w:eastAsia="宋体" w:hint="default"/>
                <w:sz w:val="18"/>
                <w:szCs w:val="18"/>
              </w:rPr>
              <w:t>益后的基本每股 收益</w:t>
            </w:r>
          </w:p>
        </w:tc>
        <w:tc>
          <w:tcPr>
            <w:tcW w:w="15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0.52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0.64</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-18.75%</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0.59</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0.59</w:t>
            </w:r>
          </w:p>
        </w:tc>
      </w:tr>
      <w:tr>
        <w:trPr>
          <w:trHeight w:val="476"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全面摊薄净资产</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收益率</w:t>
            </w:r>
          </w:p>
        </w:tc>
        <w:tc>
          <w:tcPr>
            <w:tcW w:w="15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2"/>
                <w:sz w:val="18"/>
              </w:rPr>
              <w:t>11.23%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26.47%</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26.54%</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-15.31%</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27.86%</w:t>
            </w:r>
            <w:r>
              <w:rPr>
                <w:rFonts w:ascii="Times New Roman"/>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27.99%</w:t>
            </w:r>
            <w:r>
              <w:rPr>
                <w:rFonts w:ascii="Times New Roman"/>
                <w:sz w:val="18"/>
              </w:rPr>
            </w:r>
          </w:p>
        </w:tc>
      </w:tr>
      <w:tr>
        <w:trPr>
          <w:trHeight w:val="478"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加权平均净资产</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收益率</w:t>
            </w:r>
          </w:p>
        </w:tc>
        <w:tc>
          <w:tcPr>
            <w:tcW w:w="15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2"/>
                <w:sz w:val="18"/>
              </w:rPr>
              <w:t>11.25%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26.47%</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26.56%</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w w:val="95"/>
                <w:sz w:val="18"/>
              </w:rPr>
              <w:t>-15.31%</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27.86%</w:t>
            </w:r>
            <w:r>
              <w:rPr>
                <w:rFonts w:ascii="Times New Roman"/>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w w:val="95"/>
                <w:sz w:val="18"/>
              </w:rPr>
              <w:t>27.77%</w:t>
            </w:r>
            <w:r>
              <w:rPr>
                <w:rFonts w:ascii="Times New Roman"/>
                <w:sz w:val="18"/>
              </w:rPr>
            </w:r>
          </w:p>
        </w:tc>
      </w:tr>
      <w:tr>
        <w:trPr>
          <w:trHeight w:val="709"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68"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40"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益后全面摊薄净 资产收益率</w:t>
            </w:r>
          </w:p>
        </w:tc>
        <w:tc>
          <w:tcPr>
            <w:tcW w:w="15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26.44%</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26.51%</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-15.44%</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27.89%</w:t>
            </w:r>
            <w:r>
              <w:rPr>
                <w:rFonts w:ascii="Times New Roman"/>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27.96%</w:t>
            </w:r>
            <w:r>
              <w:rPr>
                <w:rFonts w:ascii="Times New Roman"/>
                <w:sz w:val="18"/>
              </w:rPr>
            </w:r>
          </w:p>
        </w:tc>
      </w:tr>
      <w:tr>
        <w:trPr>
          <w:trHeight w:val="710"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68" w:right="0"/>
              <w:jc w:val="left"/>
              <w:rPr>
                <w:rFonts w:ascii="宋体" w:hAnsi="宋体" w:cs="宋体" w:eastAsia="宋体" w:hint="default"/>
                <w:sz w:val="18"/>
                <w:szCs w:val="18"/>
              </w:rPr>
            </w:pPr>
            <w:r>
              <w:rPr>
                <w:rFonts w:ascii="宋体" w:hAnsi="宋体" w:cs="宋体" w:eastAsia="宋体" w:hint="default"/>
                <w:sz w:val="18"/>
                <w:szCs w:val="18"/>
              </w:rPr>
              <w:t>扣除非经常性损</w:t>
            </w:r>
          </w:p>
          <w:p>
            <w:pPr>
              <w:pStyle w:val="TableParagraph"/>
              <w:spacing w:line="240" w:lineRule="auto"/>
              <w:ind w:left="158" w:right="68" w:hanging="90"/>
              <w:jc w:val="left"/>
              <w:rPr>
                <w:rFonts w:ascii="宋体" w:hAnsi="宋体" w:cs="宋体" w:eastAsia="宋体" w:hint="default"/>
                <w:sz w:val="18"/>
                <w:szCs w:val="18"/>
              </w:rPr>
            </w:pPr>
            <w:r>
              <w:rPr>
                <w:rFonts w:ascii="宋体" w:hAnsi="宋体" w:cs="宋体" w:eastAsia="宋体" w:hint="default"/>
                <w:sz w:val="18"/>
                <w:szCs w:val="18"/>
              </w:rPr>
              <w:t>益后的加权平均 净资产收益率</w:t>
            </w:r>
          </w:p>
        </w:tc>
        <w:tc>
          <w:tcPr>
            <w:tcW w:w="15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26.44%</w:t>
            </w:r>
            <w:r>
              <w:rPr>
                <w:rFonts w:ascii="Times New Roman"/>
                <w:sz w:val="18"/>
              </w:rPr>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26.53%</w:t>
            </w:r>
            <w:r>
              <w:rPr>
                <w:rFonts w:ascii="Times New Roman"/>
                <w:sz w:val="18"/>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-15.44%</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27.89%</w:t>
            </w:r>
            <w:r>
              <w:rPr>
                <w:rFonts w:ascii="Times New Roman"/>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27.80%</w:t>
            </w:r>
            <w:r>
              <w:rPr>
                <w:rFonts w:ascii="Times New Roman"/>
                <w:sz w:val="18"/>
              </w:rPr>
            </w:r>
          </w:p>
        </w:tc>
      </w:tr>
      <w:tr>
        <w:trPr>
          <w:trHeight w:val="711"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68" w:right="0"/>
              <w:jc w:val="left"/>
              <w:rPr>
                <w:rFonts w:ascii="宋体" w:hAnsi="宋体" w:cs="宋体" w:eastAsia="宋体" w:hint="default"/>
                <w:sz w:val="18"/>
                <w:szCs w:val="18"/>
              </w:rPr>
            </w:pPr>
            <w:r>
              <w:rPr>
                <w:rFonts w:ascii="宋体" w:hAnsi="宋体" w:cs="宋体" w:eastAsia="宋体" w:hint="default"/>
                <w:sz w:val="18"/>
                <w:szCs w:val="18"/>
              </w:rPr>
              <w:t>每股经营活动产</w:t>
            </w:r>
          </w:p>
          <w:p>
            <w:pPr>
              <w:pStyle w:val="TableParagraph"/>
              <w:spacing w:line="232" w:lineRule="exact" w:before="24"/>
              <w:ind w:left="608" w:right="68" w:hanging="540"/>
              <w:jc w:val="left"/>
              <w:rPr>
                <w:rFonts w:ascii="宋体" w:hAnsi="宋体" w:cs="宋体" w:eastAsia="宋体" w:hint="default"/>
                <w:sz w:val="18"/>
                <w:szCs w:val="18"/>
              </w:rPr>
            </w:pPr>
            <w:r>
              <w:rPr>
                <w:rFonts w:ascii="宋体" w:hAnsi="宋体" w:cs="宋体" w:eastAsia="宋体" w:hint="default"/>
                <w:sz w:val="18"/>
                <w:szCs w:val="18"/>
              </w:rPr>
              <w:t>生的现金流量净 额</w:t>
            </w:r>
          </w:p>
        </w:tc>
        <w:tc>
          <w:tcPr>
            <w:tcW w:w="154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0.93</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0.93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-27.96%</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0.70</w:t>
            </w:r>
          </w:p>
        </w:tc>
      </w:tr>
      <w:tr>
        <w:trPr>
          <w:trHeight w:val="244" w:hRule="exact"/>
        </w:trPr>
        <w:tc>
          <w:tcPr>
            <w:tcW w:w="14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545" w:type="dxa"/>
            <w:tcBorders>
              <w:top w:val="single" w:sz="4" w:space="0" w:color="000000"/>
              <w:left w:val="single" w:sz="4" w:space="0" w:color="000000"/>
              <w:bottom w:val="nil" w:sz="6" w:space="0" w:color="auto"/>
              <w:right w:val="single" w:sz="4" w:space="0" w:color="000000"/>
            </w:tcBorders>
            <w:shd w:val="clear" w:color="auto" w:fill="DCDCDC"/>
          </w:tcPr>
          <w:p>
            <w:pPr/>
          </w:p>
        </w:tc>
        <w:tc>
          <w:tcPr>
            <w:tcW w:w="316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974" w:type="dxa"/>
            <w:vMerge w:val="restart"/>
            <w:tcBorders>
              <w:top w:val="single" w:sz="4" w:space="0" w:color="000000"/>
              <w:left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w:t>
            </w:r>
          </w:p>
          <w:p>
            <w:pPr>
              <w:pStyle w:val="TableParagraph"/>
              <w:spacing w:line="233" w:lineRule="exact"/>
              <w:ind w:left="121" w:right="0"/>
              <w:jc w:val="left"/>
              <w:rPr>
                <w:rFonts w:ascii="宋体" w:hAnsi="宋体" w:cs="宋体" w:eastAsia="宋体" w:hint="default"/>
                <w:sz w:val="18"/>
                <w:szCs w:val="18"/>
              </w:rPr>
            </w:pPr>
            <w:r>
              <w:rPr>
                <w:rFonts w:ascii="宋体" w:hAnsi="宋体" w:cs="宋体" w:eastAsia="宋体" w:hint="default"/>
                <w:sz w:val="18"/>
                <w:szCs w:val="18"/>
              </w:rPr>
              <w:t>年末增减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73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21" w:hRule="exact"/>
        </w:trPr>
        <w:tc>
          <w:tcPr>
            <w:tcW w:w="1407" w:type="dxa"/>
            <w:tcBorders>
              <w:top w:val="nil" w:sz="6" w:space="0" w:color="auto"/>
              <w:left w:val="single" w:sz="4" w:space="0" w:color="000000"/>
              <w:bottom w:val="nil" w:sz="6" w:space="0" w:color="auto"/>
              <w:right w:val="single" w:sz="4" w:space="0" w:color="000000"/>
            </w:tcBorders>
            <w:shd w:val="clear" w:color="auto" w:fill="DCDCDC"/>
          </w:tcPr>
          <w:p>
            <w:pPr/>
          </w:p>
        </w:tc>
        <w:tc>
          <w:tcPr>
            <w:tcW w:w="154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left="3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316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74" w:type="dxa"/>
            <w:vMerge/>
            <w:tcBorders>
              <w:left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1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245" w:hRule="exact"/>
        </w:trPr>
        <w:tc>
          <w:tcPr>
            <w:tcW w:w="140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45" w:type="dxa"/>
            <w:tcBorders>
              <w:top w:val="nil" w:sz="6" w:space="0" w:color="auto"/>
              <w:left w:val="single" w:sz="4" w:space="0" w:color="000000"/>
              <w:bottom w:val="single" w:sz="4" w:space="0" w:color="000000"/>
              <w:right w:val="single" w:sz="4" w:space="0" w:color="000000"/>
            </w:tcBorders>
            <w:shd w:val="clear" w:color="auto" w:fill="DCDCDC"/>
          </w:tcPr>
          <w:p>
            <w:pPr/>
          </w:p>
        </w:tc>
        <w:tc>
          <w:tcPr>
            <w:tcW w:w="316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974" w:type="dxa"/>
            <w:vMerge/>
            <w:tcBorders>
              <w:left w:val="single" w:sz="4" w:space="0" w:color="000000"/>
              <w:bottom w:val="single" w:sz="4" w:space="0" w:color="000000"/>
              <w:right w:val="single" w:sz="4" w:space="0" w:color="000000"/>
            </w:tcBorders>
            <w:shd w:val="clear" w:color="auto" w:fill="DCDCDC"/>
          </w:tcPr>
          <w:p>
            <w:pPr/>
          </w:p>
        </w:tc>
        <w:tc>
          <w:tcPr>
            <w:tcW w:w="273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44"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4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18"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5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1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7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3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0" w:hRule="exact"/>
        </w:trPr>
        <w:tc>
          <w:tcPr>
            <w:tcW w:w="14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68" w:right="0"/>
              <w:jc w:val="left"/>
              <w:rPr>
                <w:rFonts w:ascii="宋体" w:hAnsi="宋体" w:cs="宋体" w:eastAsia="宋体" w:hint="default"/>
                <w:sz w:val="18"/>
                <w:szCs w:val="18"/>
              </w:rPr>
            </w:pPr>
            <w:r>
              <w:rPr>
                <w:rFonts w:ascii="宋体" w:hAnsi="宋体" w:cs="宋体" w:eastAsia="宋体" w:hint="default"/>
                <w:sz w:val="18"/>
                <w:szCs w:val="18"/>
              </w:rPr>
              <w:t>归属于上市公司</w:t>
            </w:r>
          </w:p>
          <w:p>
            <w:pPr>
              <w:pStyle w:val="TableParagraph"/>
              <w:spacing w:line="232" w:lineRule="exact" w:before="24"/>
              <w:ind w:left="608" w:right="68" w:hanging="540"/>
              <w:jc w:val="left"/>
              <w:rPr>
                <w:rFonts w:ascii="宋体" w:hAnsi="宋体" w:cs="宋体" w:eastAsia="宋体" w:hint="default"/>
                <w:sz w:val="18"/>
                <w:szCs w:val="18"/>
              </w:rPr>
            </w:pPr>
            <w:r>
              <w:rPr>
                <w:rFonts w:ascii="宋体" w:hAnsi="宋体" w:cs="宋体" w:eastAsia="宋体" w:hint="default"/>
                <w:sz w:val="18"/>
                <w:szCs w:val="18"/>
              </w:rPr>
              <w:t>股东的每股净资 产</w:t>
            </w:r>
          </w:p>
        </w:tc>
        <w:tc>
          <w:tcPr>
            <w:tcW w:w="1545"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2.41</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87.60%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w:t>
            </w:r>
          </w:p>
        </w:tc>
      </w:tr>
    </w:tbl>
    <w:p>
      <w:pPr>
        <w:spacing w:line="240" w:lineRule="auto" w:before="10"/>
        <w:rPr>
          <w:rFonts w:ascii="宋体" w:hAnsi="宋体" w:cs="宋体" w:eastAsia="宋体" w:hint="default"/>
          <w:b/>
          <w:bCs/>
          <w:sz w:val="15"/>
          <w:szCs w:val="15"/>
        </w:rPr>
      </w:pPr>
    </w:p>
    <w:p>
      <w:pPr>
        <w:spacing w:before="35"/>
        <w:ind w:left="1067" w:right="859" w:firstLine="0"/>
        <w:jc w:val="left"/>
        <w:rPr>
          <w:rFonts w:ascii="宋体" w:hAnsi="宋体" w:cs="宋体" w:eastAsia="宋体" w:hint="default"/>
          <w:sz w:val="21"/>
          <w:szCs w:val="21"/>
        </w:rPr>
      </w:pPr>
      <w:r>
        <w:rPr>
          <w:rFonts w:ascii="宋体" w:hAnsi="宋体" w:cs="宋体" w:eastAsia="宋体" w:hint="default"/>
          <w:sz w:val="21"/>
          <w:szCs w:val="21"/>
        </w:rPr>
        <w:t>注：如果报告期末至报告披露日，公司股本发生变化的，按新股本计算。</w:t>
      </w:r>
    </w:p>
    <w:p>
      <w:pPr>
        <w:spacing w:line="240" w:lineRule="auto" w:before="11"/>
        <w:rPr>
          <w:rFonts w:ascii="宋体" w:hAnsi="宋体" w:cs="宋体" w:eastAsia="宋体" w:hint="default"/>
          <w:sz w:val="20"/>
          <w:szCs w:val="20"/>
        </w:rPr>
      </w:pPr>
    </w:p>
    <w:p>
      <w:pPr>
        <w:spacing w:line="357" w:lineRule="auto" w:before="0"/>
        <w:ind w:left="857" w:right="859"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21"/>
          <w:sz w:val="21"/>
          <w:szCs w:val="21"/>
        </w:rPr>
        <w:t> </w:t>
      </w:r>
      <w:r>
        <w:rPr>
          <w:rFonts w:ascii="宋体" w:hAnsi="宋体" w:cs="宋体" w:eastAsia="宋体" w:hint="default"/>
          <w:b/>
          <w:bCs/>
          <w:sz w:val="21"/>
          <w:szCs w:val="21"/>
        </w:rPr>
        <w:t>根据中国证监会《公开发行证券的公司信息披露编报规则第九号—净资产收益率和每</w:t>
      </w:r>
      <w:r>
        <w:rPr>
          <w:rFonts w:ascii="宋体" w:hAnsi="宋体" w:cs="宋体" w:eastAsia="宋体" w:hint="default"/>
          <w:b/>
          <w:bCs/>
          <w:w w:val="99"/>
          <w:sz w:val="21"/>
          <w:szCs w:val="21"/>
        </w:rPr>
        <w:t> </w:t>
      </w:r>
      <w:r>
        <w:rPr>
          <w:rFonts w:ascii="宋体" w:hAnsi="宋体" w:cs="宋体" w:eastAsia="宋体" w:hint="default"/>
          <w:b/>
          <w:bCs/>
          <w:sz w:val="21"/>
          <w:szCs w:val="21"/>
        </w:rPr>
        <w:t>股收益的计算及披露》的要求，净资产收益率及每股收益计算如下：</w:t>
      </w:r>
      <w:r>
        <w:rPr>
          <w:rFonts w:ascii="宋体" w:hAnsi="宋体" w:cs="宋体" w:eastAsia="宋体" w:hint="default"/>
          <w:sz w:val="21"/>
          <w:szCs w:val="21"/>
        </w:rPr>
      </w:r>
    </w:p>
    <w:p>
      <w:pPr>
        <w:spacing w:line="240" w:lineRule="auto" w:before="12"/>
        <w:rPr>
          <w:rFonts w:ascii="宋体" w:hAnsi="宋体" w:cs="宋体" w:eastAsia="宋体" w:hint="default"/>
          <w:b/>
          <w:bCs/>
          <w:sz w:val="4"/>
          <w:szCs w:val="4"/>
        </w:rPr>
      </w:pPr>
    </w:p>
    <w:tbl>
      <w:tblPr>
        <w:tblW w:w="0" w:type="auto"/>
        <w:jc w:val="left"/>
        <w:tblInd w:w="1446" w:type="dxa"/>
        <w:tblLayout w:type="fixed"/>
        <w:tblCellMar>
          <w:top w:w="0" w:type="dxa"/>
          <w:left w:w="0" w:type="dxa"/>
          <w:bottom w:w="0" w:type="dxa"/>
          <w:right w:w="0" w:type="dxa"/>
        </w:tblCellMar>
        <w:tblLook w:val="01E0"/>
      </w:tblPr>
      <w:tblGrid>
        <w:gridCol w:w="1940"/>
        <w:gridCol w:w="1116"/>
        <w:gridCol w:w="1116"/>
        <w:gridCol w:w="1476"/>
        <w:gridCol w:w="1476"/>
      </w:tblGrid>
      <w:tr>
        <w:trPr>
          <w:trHeight w:val="244" w:hRule="exact"/>
        </w:trPr>
        <w:tc>
          <w:tcPr>
            <w:tcW w:w="1940" w:type="dxa"/>
            <w:vMerge w:val="restart"/>
            <w:tcBorders>
              <w:top w:val="single" w:sz="4" w:space="0" w:color="000000"/>
              <w:left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5"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1" w:right="0"/>
              <w:jc w:val="left"/>
              <w:rPr>
                <w:rFonts w:ascii="宋体" w:hAnsi="宋体" w:cs="宋体" w:eastAsia="宋体" w:hint="default"/>
                <w:sz w:val="18"/>
                <w:szCs w:val="18"/>
              </w:rPr>
            </w:pPr>
            <w:r>
              <w:rPr>
                <w:rFonts w:ascii="宋体" w:hAnsi="宋体" w:cs="宋体" w:eastAsia="宋体" w:hint="default"/>
                <w:sz w:val="18"/>
                <w:szCs w:val="18"/>
              </w:rPr>
              <w:t>每股收益（元）</w:t>
            </w:r>
          </w:p>
        </w:tc>
      </w:tr>
      <w:tr>
        <w:trPr>
          <w:trHeight w:val="244" w:hRule="exact"/>
        </w:trPr>
        <w:tc>
          <w:tcPr>
            <w:tcW w:w="1940"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23"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334" w:right="155" w:hanging="180"/>
              <w:jc w:val="left"/>
              <w:rPr>
                <w:rFonts w:ascii="宋体" w:hAnsi="宋体" w:cs="宋体" w:eastAsia="宋体" w:hint="default"/>
                <w:sz w:val="18"/>
                <w:szCs w:val="18"/>
              </w:rPr>
            </w:pPr>
            <w:r>
              <w:rPr>
                <w:rFonts w:ascii="宋体" w:hAnsi="宋体" w:cs="宋体" w:eastAsia="宋体" w:hint="default"/>
                <w:sz w:val="18"/>
                <w:szCs w:val="18"/>
              </w:rPr>
              <w:t>归属于上市公司普通 股股东的净利润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11.23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11.25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0.53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18"/>
                <w:szCs w:val="18"/>
              </w:rPr>
            </w:pPr>
            <w:r>
              <w:rPr>
                <w:rFonts w:ascii="宋体"/>
                <w:sz w:val="18"/>
              </w:rPr>
              <w:t>0.53</w:t>
            </w:r>
          </w:p>
        </w:tc>
      </w:tr>
      <w:tr>
        <w:trPr>
          <w:trHeight w:val="940"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6"/>
              <w:ind w:left="154" w:right="155"/>
              <w:jc w:val="both"/>
              <w:rPr>
                <w:rFonts w:ascii="宋体" w:hAnsi="宋体" w:cs="宋体" w:eastAsia="宋体" w:hint="default"/>
                <w:sz w:val="18"/>
                <w:szCs w:val="18"/>
              </w:rPr>
            </w:pPr>
            <w:r>
              <w:rPr>
                <w:rFonts w:ascii="宋体" w:hAnsi="宋体" w:cs="宋体" w:eastAsia="宋体" w:hint="default"/>
                <w:sz w:val="18"/>
                <w:szCs w:val="18"/>
              </w:rPr>
              <w:t>扣除非经常性损益后 的归属于上市公司普 通股股东的净利润</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11.07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11.09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0.52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0.52</w:t>
            </w:r>
          </w:p>
        </w:tc>
      </w:tr>
    </w:tbl>
    <w:p>
      <w:pPr>
        <w:spacing w:after="0" w:line="240" w:lineRule="auto"/>
        <w:jc w:val="right"/>
        <w:rPr>
          <w:rFonts w:ascii="宋体" w:hAnsi="宋体" w:cs="宋体" w:eastAsia="宋体" w:hint="default"/>
          <w:sz w:val="18"/>
          <w:szCs w:val="18"/>
        </w:rPr>
        <w:sectPr>
          <w:headerReference w:type="default" r:id="rId21"/>
          <w:pgSz w:w="11910" w:h="16840"/>
          <w:pgMar w:header="840" w:footer="1712" w:top="1160" w:bottom="1900" w:left="940" w:right="920"/>
        </w:sectPr>
      </w:pPr>
    </w:p>
    <w:p>
      <w:pPr>
        <w:spacing w:line="240" w:lineRule="auto" w:before="0"/>
        <w:rPr>
          <w:rFonts w:ascii="宋体" w:hAnsi="宋体" w:cs="宋体" w:eastAsia="宋体" w:hint="default"/>
          <w:b/>
          <w:bCs/>
          <w:sz w:val="20"/>
          <w:szCs w:val="20"/>
        </w:rPr>
      </w:pPr>
    </w:p>
    <w:p>
      <w:pPr>
        <w:pStyle w:val="Heading1"/>
        <w:tabs>
          <w:tab w:pos="4436" w:val="left" w:leader="none"/>
        </w:tabs>
        <w:spacing w:line="240" w:lineRule="auto" w:before="169"/>
        <w:ind w:left="3080" w:right="0"/>
        <w:jc w:val="left"/>
        <w:rPr>
          <w:b w:val="0"/>
          <w:bCs w:val="0"/>
        </w:rPr>
      </w:pPr>
      <w:bookmarkStart w:name="_TOC_250008" w:id="3"/>
      <w:r>
        <w:rPr>
          <w:w w:val="95"/>
        </w:rPr>
        <w:t>第三节</w:t>
        <w:tab/>
      </w:r>
      <w:r>
        <w:rPr/>
        <w:t>股本变动及股东情况</w:t>
      </w:r>
      <w:bookmarkEnd w:id="3"/>
      <w:r>
        <w:rPr>
          <w:b w:val="0"/>
          <w:bCs w:val="0"/>
        </w:rPr>
      </w:r>
    </w:p>
    <w:p>
      <w:pPr>
        <w:spacing w:line="240" w:lineRule="auto" w:before="0"/>
        <w:rPr>
          <w:rFonts w:ascii="宋体" w:hAnsi="宋体" w:cs="宋体" w:eastAsia="宋体" w:hint="default"/>
          <w:b/>
          <w:bCs/>
          <w:sz w:val="30"/>
          <w:szCs w:val="30"/>
        </w:rPr>
      </w:pPr>
    </w:p>
    <w:p>
      <w:pPr>
        <w:spacing w:before="222"/>
        <w:ind w:left="957" w:right="0" w:firstLine="0"/>
        <w:jc w:val="left"/>
        <w:rPr>
          <w:rFonts w:ascii="宋体" w:hAnsi="宋体" w:cs="宋体" w:eastAsia="宋体" w:hint="default"/>
          <w:sz w:val="21"/>
          <w:szCs w:val="21"/>
        </w:rPr>
      </w:pPr>
      <w:r>
        <w:rPr>
          <w:rFonts w:ascii="宋体" w:hAnsi="宋体" w:cs="宋体" w:eastAsia="宋体" w:hint="default"/>
          <w:b/>
          <w:bCs/>
          <w:spacing w:val="18"/>
          <w:sz w:val="21"/>
          <w:szCs w:val="21"/>
        </w:rPr>
        <w:t>一、股份变动情况表</w:t>
      </w:r>
      <w:r>
        <w:rPr>
          <w:rFonts w:ascii="宋体" w:hAnsi="宋体" w:cs="宋体" w:eastAsia="宋体" w:hint="default"/>
          <w:b/>
          <w:bCs/>
          <w:spacing w:val="-89"/>
          <w:sz w:val="21"/>
          <w:szCs w:val="21"/>
        </w:rPr>
        <w:t> </w:t>
      </w:r>
      <w:r>
        <w:rPr>
          <w:rFonts w:ascii="宋体" w:hAnsi="宋体" w:cs="宋体" w:eastAsia="宋体" w:hint="default"/>
          <w:spacing w:val="14"/>
          <w:sz w:val="21"/>
          <w:szCs w:val="21"/>
        </w:rPr>
        <w:t>(单位：股)</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2150"/>
        <w:gridCol w:w="1063"/>
        <w:gridCol w:w="640"/>
        <w:gridCol w:w="1063"/>
        <w:gridCol w:w="526"/>
        <w:gridCol w:w="840"/>
        <w:gridCol w:w="524"/>
        <w:gridCol w:w="1063"/>
        <w:gridCol w:w="1169"/>
        <w:gridCol w:w="958"/>
      </w:tblGrid>
      <w:tr>
        <w:trPr>
          <w:trHeight w:val="295" w:hRule="exact"/>
        </w:trPr>
        <w:tc>
          <w:tcPr>
            <w:tcW w:w="2150" w:type="dxa"/>
            <w:vMerge w:val="restart"/>
            <w:tcBorders>
              <w:top w:val="single" w:sz="4" w:space="0" w:color="000000"/>
              <w:left w:val="single" w:sz="4" w:space="0" w:color="000000"/>
              <w:right w:val="single" w:sz="4" w:space="0" w:color="000000"/>
            </w:tcBorders>
          </w:tcPr>
          <w:p>
            <w:pPr/>
          </w:p>
        </w:tc>
        <w:tc>
          <w:tcPr>
            <w:tcW w:w="17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2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0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本次变动增减</w:t>
            </w:r>
          </w:p>
        </w:tc>
        <w:tc>
          <w:tcPr>
            <w:tcW w:w="2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3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4" w:hRule="exact"/>
        </w:trPr>
        <w:tc>
          <w:tcPr>
            <w:tcW w:w="2150" w:type="dxa"/>
            <w:vMerge/>
            <w:tcBorders>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hAnsi="宋体" w:cs="宋体" w:eastAsia="宋体" w:hint="default"/>
                <w:sz w:val="21"/>
                <w:szCs w:val="21"/>
              </w:rPr>
              <w:t>比例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7"/>
              <w:jc w:val="right"/>
              <w:rPr>
                <w:rFonts w:ascii="宋体" w:hAnsi="宋体" w:cs="宋体" w:eastAsia="宋体" w:hint="default"/>
                <w:sz w:val="21"/>
                <w:szCs w:val="21"/>
              </w:rPr>
            </w:pPr>
            <w:r>
              <w:rPr>
                <w:rFonts w:ascii="宋体" w:hAnsi="宋体" w:cs="宋体" w:eastAsia="宋体" w:hint="default"/>
                <w:sz w:val="21"/>
                <w:szCs w:val="21"/>
              </w:rPr>
              <w:t>发行新股</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6"/>
              <w:jc w:val="right"/>
              <w:rPr>
                <w:rFonts w:ascii="宋体" w:hAnsi="宋体" w:cs="宋体" w:eastAsia="宋体" w:hint="default"/>
                <w:sz w:val="21"/>
                <w:szCs w:val="21"/>
              </w:rPr>
            </w:pPr>
            <w:r>
              <w:rPr>
                <w:rFonts w:ascii="宋体" w:hAnsi="宋体" w:cs="宋体" w:eastAsia="宋体" w:hint="default"/>
                <w:sz w:val="21"/>
                <w:szCs w:val="21"/>
              </w:rPr>
              <w:t>送股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5"/>
              <w:jc w:val="right"/>
              <w:rPr>
                <w:rFonts w:ascii="宋体" w:hAnsi="宋体" w:cs="宋体" w:eastAsia="宋体" w:hint="default"/>
                <w:sz w:val="21"/>
                <w:szCs w:val="21"/>
              </w:rPr>
            </w:pPr>
            <w:r>
              <w:rPr>
                <w:rFonts w:ascii="宋体" w:hAnsi="宋体" w:cs="宋体" w:eastAsia="宋体" w:hint="default"/>
                <w:sz w:val="21"/>
                <w:szCs w:val="21"/>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95"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一、有限售条件股份</w:t>
            </w:r>
            <w:r>
              <w:rPr>
                <w:rFonts w:ascii="宋体" w:hAnsi="宋体" w:cs="宋体" w:eastAsia="宋体" w:hint="default"/>
                <w:sz w:val="21"/>
                <w:szCs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b/>
                <w:w w:val="95"/>
                <w:sz w:val="21"/>
              </w:rPr>
              <w:t>82000000</w:t>
            </w:r>
            <w:r>
              <w:rPr>
                <w:rFonts w:ascii="宋体"/>
                <w:sz w:val="21"/>
              </w:rPr>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b/>
                <w:w w:val="95"/>
                <w:sz w:val="21"/>
              </w:rPr>
              <w:t>100%</w:t>
            </w:r>
            <w:r>
              <w:rPr>
                <w:rFonts w:ascii="宋体"/>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b/>
                <w:w w:val="99"/>
                <w:sz w:val="21"/>
              </w:rPr>
              <w:t>0</w:t>
            </w:r>
            <w:r>
              <w:rPr>
                <w:rFonts w:ascii="宋体"/>
                <w:sz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b/>
                <w:w w:val="99"/>
                <w:sz w:val="21"/>
              </w:rPr>
              <w:t>0</w:t>
            </w:r>
            <w:r>
              <w:rPr>
                <w:rFonts w:ascii="宋体"/>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b/>
                <w:w w:val="99"/>
                <w:sz w:val="21"/>
              </w:rPr>
              <w:t>0</w:t>
            </w:r>
            <w:r>
              <w:rPr>
                <w:rFonts w:ascii="宋体"/>
                <w:sz w:val="21"/>
              </w:rPr>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b/>
                <w:w w:val="99"/>
                <w:sz w:val="21"/>
              </w:rPr>
              <w:t>0</w:t>
            </w:r>
            <w:r>
              <w:rPr>
                <w:rFonts w:ascii="宋体"/>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b/>
                <w:w w:val="99"/>
                <w:sz w:val="21"/>
              </w:rPr>
              <w:t>0</w:t>
            </w:r>
            <w:r>
              <w:rPr>
                <w:rFonts w:ascii="宋体"/>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82000000</w:t>
            </w:r>
            <w:r>
              <w:rPr>
                <w:rFonts w:ascii="宋体"/>
                <w:sz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b/>
                <w:w w:val="95"/>
                <w:sz w:val="21"/>
              </w:rPr>
              <w:t>74.545%</w:t>
            </w:r>
            <w:r>
              <w:rPr>
                <w:rFonts w:ascii="宋体"/>
                <w:sz w:val="21"/>
              </w:rPr>
            </w:r>
          </w:p>
        </w:tc>
      </w:tr>
      <w:tr>
        <w:trPr>
          <w:trHeight w:val="295"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r>
      <w:tr>
        <w:trPr>
          <w:trHeight w:val="295"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2、国有法人持股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27880000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27880000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25.345%</w:t>
            </w:r>
          </w:p>
        </w:tc>
      </w:tr>
      <w:tr>
        <w:trPr>
          <w:trHeight w:val="294"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3、其他内资持股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13940000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13940000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12.673%</w:t>
            </w:r>
          </w:p>
        </w:tc>
      </w:tr>
      <w:tr>
        <w:trPr>
          <w:trHeight w:val="295"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06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r>
      <w:tr>
        <w:trPr>
          <w:trHeight w:val="295"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境内法人持股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13940000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13940000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12.673%</w:t>
            </w:r>
          </w:p>
        </w:tc>
      </w:tr>
      <w:tr>
        <w:trPr>
          <w:trHeight w:val="295"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43"/>
              <w:jc w:val="right"/>
              <w:rPr>
                <w:rFonts w:ascii="宋体" w:hAnsi="宋体" w:cs="宋体" w:eastAsia="宋体" w:hint="default"/>
                <w:sz w:val="21"/>
                <w:szCs w:val="21"/>
              </w:rPr>
            </w:pPr>
            <w:r>
              <w:rPr>
                <w:rFonts w:ascii="宋体" w:hAnsi="宋体" w:cs="宋体" w:eastAsia="宋体" w:hint="default"/>
                <w:sz w:val="21"/>
                <w:szCs w:val="21"/>
              </w:rPr>
              <w:t>境内自然人持股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r>
      <w:tr>
        <w:trPr>
          <w:trHeight w:val="295"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4、外资持股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40180000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40180000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36.527%</w:t>
            </w:r>
          </w:p>
        </w:tc>
      </w:tr>
      <w:tr>
        <w:trPr>
          <w:trHeight w:val="295"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06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r>
      <w:tr>
        <w:trPr>
          <w:trHeight w:val="294"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境外法人持股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40180000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40180000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36.527%</w:t>
            </w:r>
          </w:p>
        </w:tc>
      </w:tr>
      <w:tr>
        <w:trPr>
          <w:trHeight w:val="295"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43"/>
              <w:jc w:val="right"/>
              <w:rPr>
                <w:rFonts w:ascii="宋体" w:hAnsi="宋体" w:cs="宋体" w:eastAsia="宋体" w:hint="default"/>
                <w:sz w:val="21"/>
                <w:szCs w:val="21"/>
              </w:rPr>
            </w:pPr>
            <w:r>
              <w:rPr>
                <w:rFonts w:ascii="宋体" w:hAnsi="宋体" w:cs="宋体" w:eastAsia="宋体" w:hint="default"/>
                <w:sz w:val="21"/>
                <w:szCs w:val="21"/>
              </w:rPr>
              <w:t>境外自然人持股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r>
      <w:tr>
        <w:trPr>
          <w:trHeight w:val="295"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二、无限售条件股份</w:t>
            </w:r>
            <w:r>
              <w:rPr>
                <w:rFonts w:ascii="宋体" w:hAnsi="宋体" w:cs="宋体" w:eastAsia="宋体" w:hint="default"/>
                <w:sz w:val="21"/>
                <w:szCs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9"/>
                <w:sz w:val="21"/>
              </w:rPr>
              <w:t>0</w:t>
            </w:r>
            <w:r>
              <w:rPr>
                <w:rFonts w:ascii="宋体"/>
                <w:sz w:val="21"/>
              </w:rPr>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b/>
                <w:sz w:val="21"/>
              </w:rPr>
              <w:t>0%</w:t>
            </w:r>
            <w:r>
              <w:rPr>
                <w:rFonts w:ascii="宋体"/>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b/>
                <w:sz w:val="21"/>
              </w:rPr>
              <w:t>28000000</w:t>
            </w:r>
            <w:r>
              <w:rPr>
                <w:rFonts w:ascii="宋体"/>
                <w:sz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b/>
                <w:w w:val="99"/>
                <w:sz w:val="21"/>
              </w:rPr>
              <w:t>0</w:t>
            </w:r>
            <w:r>
              <w:rPr>
                <w:rFonts w:ascii="宋体"/>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b/>
                <w:w w:val="99"/>
                <w:sz w:val="21"/>
              </w:rPr>
              <w:t>0</w:t>
            </w:r>
            <w:r>
              <w:rPr>
                <w:rFonts w:ascii="宋体"/>
                <w:sz w:val="21"/>
              </w:rPr>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b/>
                <w:w w:val="99"/>
                <w:sz w:val="21"/>
              </w:rPr>
              <w:t>0</w:t>
            </w:r>
            <w:r>
              <w:rPr>
                <w:rFonts w:ascii="宋体"/>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b/>
                <w:w w:val="95"/>
                <w:sz w:val="21"/>
              </w:rPr>
              <w:t>28000000</w:t>
            </w:r>
            <w:r>
              <w:rPr>
                <w:rFonts w:ascii="宋体"/>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28000000</w:t>
            </w:r>
            <w:r>
              <w:rPr>
                <w:rFonts w:ascii="宋体"/>
                <w:sz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25.455%</w:t>
            </w:r>
            <w:r>
              <w:rPr>
                <w:rFonts w:ascii="宋体"/>
                <w:sz w:val="21"/>
              </w:rPr>
            </w:r>
          </w:p>
        </w:tc>
      </w:tr>
      <w:tr>
        <w:trPr>
          <w:trHeight w:val="295"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1、人民币普通股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28000000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28000000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28000000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25.455%</w:t>
            </w:r>
          </w:p>
        </w:tc>
      </w:tr>
      <w:tr>
        <w:trPr>
          <w:trHeight w:val="295"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2、境内上市的外资股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r>
      <w:tr>
        <w:trPr>
          <w:trHeight w:val="295"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3、境外上市的外资股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r>
      <w:tr>
        <w:trPr>
          <w:trHeight w:val="294"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z w:val="21"/>
              </w:rPr>
              <w:t>0%</w:t>
            </w:r>
          </w:p>
        </w:tc>
      </w:tr>
      <w:tr>
        <w:trPr>
          <w:trHeight w:val="296"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三、股份总数</w:t>
            </w:r>
            <w:r>
              <w:rPr>
                <w:rFonts w:ascii="宋体" w:hAnsi="宋体" w:cs="宋体" w:eastAsia="宋体" w:hint="default"/>
                <w:sz w:val="21"/>
                <w:szCs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b/>
                <w:w w:val="95"/>
                <w:sz w:val="21"/>
              </w:rPr>
              <w:t>82000000</w:t>
            </w:r>
            <w:r>
              <w:rPr>
                <w:rFonts w:ascii="宋体"/>
                <w:sz w:val="21"/>
              </w:rPr>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b/>
                <w:w w:val="95"/>
                <w:sz w:val="21"/>
              </w:rPr>
              <w:t>100%</w:t>
            </w:r>
            <w:r>
              <w:rPr>
                <w:rFonts w:ascii="宋体"/>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28000000</w:t>
            </w:r>
            <w:r>
              <w:rPr>
                <w:rFonts w:ascii="宋体"/>
                <w:sz w:val="21"/>
              </w:rPr>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b/>
                <w:w w:val="99"/>
                <w:sz w:val="21"/>
              </w:rPr>
              <w:t>0</w:t>
            </w:r>
            <w:r>
              <w:rPr>
                <w:rFonts w:ascii="宋体"/>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b/>
                <w:w w:val="99"/>
                <w:sz w:val="21"/>
              </w:rPr>
              <w:t>0</w:t>
            </w:r>
            <w:r>
              <w:rPr>
                <w:rFonts w:ascii="宋体"/>
                <w:sz w:val="21"/>
              </w:rPr>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4"/>
              <w:jc w:val="right"/>
              <w:rPr>
                <w:rFonts w:ascii="宋体" w:hAnsi="宋体" w:cs="宋体" w:eastAsia="宋体" w:hint="default"/>
                <w:sz w:val="21"/>
                <w:szCs w:val="21"/>
              </w:rPr>
            </w:pPr>
            <w:r>
              <w:rPr>
                <w:rFonts w:ascii="宋体"/>
                <w:b/>
                <w:w w:val="99"/>
                <w:sz w:val="21"/>
              </w:rPr>
              <w:t>0</w:t>
            </w:r>
            <w:r>
              <w:rPr>
                <w:rFonts w:ascii="宋体"/>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28000000</w:t>
            </w:r>
            <w:r>
              <w:rPr>
                <w:rFonts w:ascii="宋体"/>
                <w:sz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b/>
                <w:w w:val="95"/>
                <w:sz w:val="21"/>
              </w:rPr>
              <w:t>110000000</w:t>
            </w:r>
            <w:r>
              <w:rPr>
                <w:rFonts w:ascii="宋体"/>
                <w:sz w:val="21"/>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b/>
                <w:w w:val="95"/>
                <w:sz w:val="21"/>
              </w:rPr>
              <w:t>100%</w:t>
            </w:r>
            <w:r>
              <w:rPr>
                <w:rFonts w:ascii="宋体"/>
                <w:sz w:val="21"/>
              </w:rPr>
            </w:r>
          </w:p>
        </w:tc>
      </w:tr>
    </w:tbl>
    <w:p>
      <w:pPr>
        <w:spacing w:line="240" w:lineRule="auto" w:before="12"/>
        <w:rPr>
          <w:rFonts w:ascii="宋体" w:hAnsi="宋体" w:cs="宋体" w:eastAsia="宋体" w:hint="default"/>
          <w:sz w:val="25"/>
          <w:szCs w:val="25"/>
        </w:rPr>
      </w:pPr>
    </w:p>
    <w:p>
      <w:pPr>
        <w:spacing w:before="35"/>
        <w:ind w:left="957" w:right="0" w:firstLine="0"/>
        <w:jc w:val="left"/>
        <w:rPr>
          <w:rFonts w:ascii="宋体" w:hAnsi="宋体" w:cs="宋体" w:eastAsia="宋体" w:hint="default"/>
          <w:sz w:val="21"/>
          <w:szCs w:val="21"/>
        </w:rPr>
      </w:pPr>
      <w:r>
        <w:rPr>
          <w:rFonts w:ascii="宋体" w:hAnsi="宋体" w:cs="宋体" w:eastAsia="宋体" w:hint="default"/>
          <w:b/>
          <w:bCs/>
          <w:sz w:val="21"/>
          <w:szCs w:val="21"/>
        </w:rPr>
        <w:t>二、股票发行与上市情况</w:t>
      </w:r>
      <w:r>
        <w:rPr>
          <w:rFonts w:ascii="宋体" w:hAnsi="宋体" w:cs="宋体" w:eastAsia="宋体" w:hint="default"/>
          <w:sz w:val="21"/>
          <w:szCs w:val="21"/>
        </w:rPr>
      </w:r>
    </w:p>
    <w:p>
      <w:pPr>
        <w:spacing w:before="133"/>
        <w:ind w:left="957" w:right="0" w:firstLine="0"/>
        <w:jc w:val="left"/>
        <w:rPr>
          <w:rFonts w:ascii="宋体" w:hAnsi="宋体" w:cs="宋体" w:eastAsia="宋体" w:hint="default"/>
          <w:sz w:val="21"/>
          <w:szCs w:val="21"/>
        </w:rPr>
      </w:pPr>
      <w:r>
        <w:rPr>
          <w:rFonts w:ascii="宋体" w:hAnsi="宋体" w:cs="宋体" w:eastAsia="宋体" w:hint="default"/>
          <w:sz w:val="21"/>
          <w:szCs w:val="21"/>
        </w:rPr>
        <w:t>1、经中国证监会证监发行字[2007]</w:t>
      </w:r>
      <w:r>
        <w:rPr>
          <w:rFonts w:ascii="宋体" w:hAnsi="宋体" w:cs="宋体" w:eastAsia="宋体" w:hint="default"/>
          <w:spacing w:val="-58"/>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pacing w:val="-4"/>
          <w:sz w:val="21"/>
          <w:szCs w:val="21"/>
        </w:rPr>
        <w:t>号文核准，公司于</w:t>
      </w:r>
      <w:r>
        <w:rPr>
          <w:rFonts w:ascii="宋体" w:hAnsi="宋体" w:cs="宋体" w:eastAsia="宋体" w:hint="default"/>
          <w:spacing w:val="-56"/>
          <w:sz w:val="21"/>
          <w:szCs w:val="21"/>
        </w:rPr>
        <w:t> </w:t>
      </w:r>
      <w:r>
        <w:rPr>
          <w:rFonts w:ascii="宋体" w:hAnsi="宋体" w:cs="宋体" w:eastAsia="宋体" w:hint="default"/>
          <w:sz w:val="21"/>
          <w:szCs w:val="21"/>
        </w:rPr>
        <w:t>2007</w:t>
      </w:r>
      <w:r>
        <w:rPr>
          <w:rFonts w:ascii="宋体" w:hAnsi="宋体" w:cs="宋体" w:eastAsia="宋体"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日发行人民币普通</w:t>
      </w:r>
    </w:p>
    <w:p>
      <w:pPr>
        <w:spacing w:line="355" w:lineRule="auto" w:before="134"/>
        <w:ind w:left="957" w:right="0" w:firstLine="0"/>
        <w:jc w:val="left"/>
        <w:rPr>
          <w:rFonts w:ascii="宋体" w:hAnsi="宋体" w:cs="宋体" w:eastAsia="宋体" w:hint="default"/>
          <w:sz w:val="21"/>
          <w:szCs w:val="21"/>
        </w:rPr>
      </w:pPr>
      <w:r>
        <w:rPr>
          <w:rFonts w:ascii="宋体" w:hAnsi="宋体" w:cs="宋体" w:eastAsia="宋体" w:hint="default"/>
          <w:spacing w:val="-3"/>
          <w:sz w:val="21"/>
          <w:szCs w:val="21"/>
        </w:rPr>
        <w:t>股（A</w:t>
      </w:r>
      <w:r>
        <w:rPr>
          <w:rFonts w:ascii="宋体" w:hAnsi="宋体" w:cs="宋体" w:eastAsia="宋体" w:hint="default"/>
          <w:spacing w:val="-56"/>
          <w:sz w:val="21"/>
          <w:szCs w:val="21"/>
        </w:rPr>
        <w:t> </w:t>
      </w:r>
      <w:r>
        <w:rPr>
          <w:rFonts w:ascii="宋体" w:hAnsi="宋体" w:cs="宋体" w:eastAsia="宋体" w:hint="default"/>
          <w:sz w:val="21"/>
          <w:szCs w:val="21"/>
        </w:rPr>
        <w:t>股）2800</w:t>
      </w:r>
      <w:r>
        <w:rPr>
          <w:rFonts w:ascii="宋体" w:hAnsi="宋体" w:cs="宋体" w:eastAsia="宋体" w:hint="default"/>
          <w:spacing w:val="-8"/>
          <w:sz w:val="21"/>
          <w:szCs w:val="21"/>
        </w:rPr>
        <w:t> </w:t>
      </w:r>
      <w:r>
        <w:rPr>
          <w:rFonts w:ascii="宋体" w:hAnsi="宋体" w:cs="宋体" w:eastAsia="宋体" w:hint="default"/>
          <w:sz w:val="21"/>
          <w:szCs w:val="21"/>
        </w:rPr>
        <w:t>万股，每股面值</w:t>
      </w:r>
      <w:r>
        <w:rPr>
          <w:rFonts w:ascii="宋体" w:hAnsi="宋体" w:cs="宋体" w:eastAsia="宋体" w:hint="default"/>
          <w:spacing w:val="-57"/>
          <w:sz w:val="21"/>
          <w:szCs w:val="21"/>
        </w:rPr>
        <w:t> </w:t>
      </w:r>
      <w:r>
        <w:rPr>
          <w:rFonts w:ascii="宋体" w:hAnsi="宋体" w:cs="宋体" w:eastAsia="宋体" w:hint="default"/>
          <w:sz w:val="21"/>
          <w:szCs w:val="21"/>
        </w:rPr>
        <w:t>1.00</w:t>
      </w:r>
      <w:r>
        <w:rPr>
          <w:rFonts w:ascii="宋体" w:hAnsi="宋体" w:cs="宋体" w:eastAsia="宋体" w:hint="default"/>
          <w:spacing w:val="-8"/>
          <w:sz w:val="21"/>
          <w:szCs w:val="21"/>
        </w:rPr>
        <w:t> </w:t>
      </w:r>
      <w:r>
        <w:rPr>
          <w:rFonts w:ascii="宋体" w:hAnsi="宋体" w:cs="宋体" w:eastAsia="宋体" w:hint="default"/>
          <w:sz w:val="21"/>
          <w:szCs w:val="21"/>
        </w:rPr>
        <w:t>元，每股发行价为</w:t>
      </w:r>
      <w:r>
        <w:rPr>
          <w:rFonts w:ascii="宋体" w:hAnsi="宋体" w:cs="宋体" w:eastAsia="宋体" w:hint="default"/>
          <w:spacing w:val="-57"/>
          <w:sz w:val="21"/>
          <w:szCs w:val="21"/>
        </w:rPr>
        <w:t> </w:t>
      </w:r>
      <w:r>
        <w:rPr>
          <w:rFonts w:ascii="宋体" w:hAnsi="宋体" w:cs="宋体" w:eastAsia="宋体" w:hint="default"/>
          <w:sz w:val="21"/>
          <w:szCs w:val="21"/>
        </w:rPr>
        <w:t>10.28</w:t>
      </w:r>
      <w:r>
        <w:rPr>
          <w:rFonts w:ascii="宋体" w:hAnsi="宋体" w:cs="宋体" w:eastAsia="宋体" w:hint="default"/>
          <w:spacing w:val="-8"/>
          <w:sz w:val="21"/>
          <w:szCs w:val="21"/>
        </w:rPr>
        <w:t> </w:t>
      </w:r>
      <w:r>
        <w:rPr>
          <w:rFonts w:ascii="宋体" w:hAnsi="宋体" w:cs="宋体" w:eastAsia="宋体" w:hint="default"/>
          <w:spacing w:val="-3"/>
          <w:sz w:val="21"/>
          <w:szCs w:val="21"/>
        </w:rPr>
        <w:t>元，于</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日在</w:t>
      </w:r>
      <w:r>
        <w:rPr>
          <w:rFonts w:ascii="宋体" w:hAnsi="宋体" w:cs="宋体" w:eastAsia="宋体" w:hint="default"/>
          <w:sz w:val="21"/>
          <w:szCs w:val="21"/>
        </w:rPr>
        <w:t> 深圳证券交易所上市交易。</w:t>
      </w:r>
    </w:p>
    <w:p>
      <w:pPr>
        <w:spacing w:line="240" w:lineRule="auto" w:before="0"/>
        <w:rPr>
          <w:rFonts w:ascii="宋体" w:hAnsi="宋体" w:cs="宋体" w:eastAsia="宋体" w:hint="default"/>
          <w:sz w:val="20"/>
          <w:szCs w:val="20"/>
        </w:rPr>
      </w:pPr>
    </w:p>
    <w:p>
      <w:pPr>
        <w:spacing w:before="180"/>
        <w:ind w:left="957" w:right="0" w:firstLine="0"/>
        <w:jc w:val="left"/>
        <w:rPr>
          <w:rFonts w:ascii="宋体" w:hAnsi="宋体" w:cs="宋体" w:eastAsia="宋体" w:hint="default"/>
          <w:sz w:val="21"/>
          <w:szCs w:val="21"/>
        </w:rPr>
      </w:pPr>
      <w:r>
        <w:rPr>
          <w:rFonts w:ascii="宋体" w:hAnsi="宋体" w:cs="宋体" w:eastAsia="宋体" w:hint="default"/>
          <w:b/>
          <w:bCs/>
          <w:sz w:val="21"/>
          <w:szCs w:val="21"/>
        </w:rPr>
        <w:t>三、股东情况</w:t>
      </w:r>
      <w:r>
        <w:rPr>
          <w:rFonts w:ascii="宋体" w:hAnsi="宋体" w:cs="宋体" w:eastAsia="宋体" w:hint="default"/>
          <w:sz w:val="21"/>
          <w:szCs w:val="21"/>
        </w:rPr>
      </w:r>
    </w:p>
    <w:p>
      <w:pPr>
        <w:spacing w:before="134"/>
        <w:ind w:left="957" w:right="0" w:firstLine="0"/>
        <w:jc w:val="left"/>
        <w:rPr>
          <w:rFonts w:ascii="宋体" w:hAnsi="宋体" w:cs="宋体" w:eastAsia="宋体" w:hint="default"/>
          <w:sz w:val="21"/>
          <w:szCs w:val="21"/>
        </w:rPr>
      </w:pPr>
      <w:r>
        <w:rPr>
          <w:rFonts w:ascii="宋体" w:hAnsi="宋体" w:cs="宋体" w:eastAsia="宋体" w:hint="default"/>
          <w:b/>
          <w:bCs/>
          <w:sz w:val="21"/>
          <w:szCs w:val="21"/>
        </w:rPr>
        <w:t>（一）股东数量和持股情况</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844" w:type="dxa"/>
        <w:tblLayout w:type="fixed"/>
        <w:tblCellMar>
          <w:top w:w="0" w:type="dxa"/>
          <w:left w:w="0" w:type="dxa"/>
          <w:bottom w:w="0" w:type="dxa"/>
          <w:right w:w="0" w:type="dxa"/>
        </w:tblCellMar>
        <w:tblLook w:val="01E0"/>
      </w:tblPr>
      <w:tblGrid>
        <w:gridCol w:w="2734"/>
        <w:gridCol w:w="1260"/>
        <w:gridCol w:w="944"/>
        <w:gridCol w:w="946"/>
        <w:gridCol w:w="1364"/>
        <w:gridCol w:w="1280"/>
      </w:tblGrid>
      <w:tr>
        <w:trPr>
          <w:trHeight w:val="302" w:hRule="exact"/>
        </w:trPr>
        <w:tc>
          <w:tcPr>
            <w:tcW w:w="27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57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11785</w:t>
            </w:r>
            <w:r>
              <w:rPr>
                <w:rFonts w:ascii="宋体" w:hAnsi="宋体" w:cs="宋体" w:eastAsia="宋体" w:hint="default"/>
                <w:spacing w:val="-52"/>
                <w:sz w:val="21"/>
                <w:szCs w:val="21"/>
              </w:rPr>
              <w:t> </w:t>
            </w:r>
            <w:r>
              <w:rPr>
                <w:rFonts w:ascii="宋体" w:hAnsi="宋体" w:cs="宋体" w:eastAsia="宋体" w:hint="default"/>
                <w:sz w:val="21"/>
                <w:szCs w:val="21"/>
              </w:rPr>
              <w:t>户</w:t>
            </w:r>
          </w:p>
        </w:tc>
      </w:tr>
      <w:tr>
        <w:trPr>
          <w:trHeight w:val="298" w:hRule="exact"/>
        </w:trPr>
        <w:tc>
          <w:tcPr>
            <w:tcW w:w="8528" w:type="dxa"/>
            <w:gridSpan w:val="6"/>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股东持股情况（单位：股）</w:t>
            </w:r>
          </w:p>
        </w:tc>
      </w:tr>
      <w:tr>
        <w:trPr>
          <w:trHeight w:val="562" w:hRule="exact"/>
        </w:trPr>
        <w:tc>
          <w:tcPr>
            <w:tcW w:w="27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94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9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8"/>
              <w:ind w:left="40"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ind w:left="182" w:right="8" w:hanging="99"/>
              <w:jc w:val="left"/>
              <w:rPr>
                <w:rFonts w:ascii="宋体" w:hAnsi="宋体" w:cs="宋体" w:eastAsia="宋体" w:hint="default"/>
                <w:sz w:val="21"/>
                <w:szCs w:val="21"/>
              </w:rPr>
            </w:pPr>
            <w:r>
              <w:rPr>
                <w:rFonts w:ascii="宋体" w:hAnsi="宋体" w:cs="宋体" w:eastAsia="宋体" w:hint="default"/>
                <w:sz w:val="21"/>
                <w:szCs w:val="21"/>
              </w:rPr>
              <w:t>持有有限售条 件股份数量</w:t>
            </w:r>
          </w:p>
        </w:tc>
        <w:tc>
          <w:tcPr>
            <w:tcW w:w="12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2" w:lineRule="exact"/>
              <w:ind w:left="110" w:right="108"/>
              <w:jc w:val="left"/>
              <w:rPr>
                <w:rFonts w:ascii="宋体" w:hAnsi="宋体" w:cs="宋体" w:eastAsia="宋体" w:hint="default"/>
                <w:sz w:val="21"/>
                <w:szCs w:val="21"/>
              </w:rPr>
            </w:pPr>
            <w:r>
              <w:rPr>
                <w:rFonts w:ascii="宋体" w:hAnsi="宋体" w:cs="宋体" w:eastAsia="宋体" w:hint="default"/>
                <w:sz w:val="21"/>
                <w:szCs w:val="21"/>
              </w:rPr>
              <w:t>质押或冻结 的股份数量</w:t>
            </w:r>
          </w:p>
        </w:tc>
      </w:tr>
      <w:tr>
        <w:trPr>
          <w:trHeight w:val="282"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香港喜多来集团有限公司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外资股东</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35.41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 w:right="0"/>
              <w:jc w:val="left"/>
              <w:rPr>
                <w:rFonts w:ascii="宋体" w:hAnsi="宋体" w:cs="宋体" w:eastAsia="宋体" w:hint="default"/>
                <w:sz w:val="21"/>
                <w:szCs w:val="21"/>
              </w:rPr>
            </w:pPr>
            <w:r>
              <w:rPr>
                <w:rFonts w:ascii="宋体"/>
                <w:sz w:val="21"/>
              </w:rPr>
              <w:t>38950000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7" w:right="0"/>
              <w:jc w:val="left"/>
              <w:rPr>
                <w:rFonts w:ascii="宋体" w:hAnsi="宋体" w:cs="宋体" w:eastAsia="宋体" w:hint="default"/>
                <w:sz w:val="21"/>
                <w:szCs w:val="21"/>
              </w:rPr>
            </w:pPr>
            <w:r>
              <w:rPr>
                <w:rFonts w:ascii="宋体"/>
                <w:sz w:val="21"/>
              </w:rPr>
              <w:t>38950000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3" w:right="0"/>
              <w:jc w:val="left"/>
              <w:rPr>
                <w:rFonts w:ascii="宋体" w:hAnsi="宋体" w:cs="宋体" w:eastAsia="宋体" w:hint="default"/>
                <w:sz w:val="21"/>
                <w:szCs w:val="21"/>
              </w:rPr>
            </w:pPr>
            <w:r>
              <w:rPr>
                <w:rFonts w:ascii="宋体"/>
                <w:sz w:val="21"/>
              </w:rPr>
              <w:t>0</w:t>
            </w:r>
          </w:p>
        </w:tc>
      </w:tr>
      <w:tr>
        <w:trPr>
          <w:trHeight w:val="556"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浪潮电子信息产业股份有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国有法人股</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14.91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6" w:right="0"/>
              <w:jc w:val="left"/>
              <w:rPr>
                <w:rFonts w:ascii="宋体" w:hAnsi="宋体" w:cs="宋体" w:eastAsia="宋体" w:hint="default"/>
                <w:sz w:val="21"/>
                <w:szCs w:val="21"/>
              </w:rPr>
            </w:pPr>
            <w:r>
              <w:rPr>
                <w:rFonts w:ascii="宋体"/>
                <w:sz w:val="21"/>
              </w:rPr>
              <w:t>16400000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宋体" w:hAnsi="宋体" w:cs="宋体" w:eastAsia="宋体" w:hint="default"/>
                <w:sz w:val="21"/>
                <w:szCs w:val="21"/>
              </w:rPr>
            </w:pPr>
            <w:r>
              <w:rPr>
                <w:rFonts w:ascii="宋体"/>
                <w:sz w:val="21"/>
              </w:rPr>
              <w:t>16400000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83" w:right="0"/>
              <w:jc w:val="left"/>
              <w:rPr>
                <w:rFonts w:ascii="宋体" w:hAnsi="宋体" w:cs="宋体" w:eastAsia="宋体" w:hint="default"/>
                <w:sz w:val="21"/>
                <w:szCs w:val="21"/>
              </w:rPr>
            </w:pPr>
            <w:r>
              <w:rPr>
                <w:rFonts w:ascii="宋体"/>
                <w:sz w:val="21"/>
              </w:rPr>
              <w:t>0</w:t>
            </w:r>
          </w:p>
        </w:tc>
      </w:tr>
      <w:tr>
        <w:trPr>
          <w:trHeight w:val="554" w:hRule="exact"/>
        </w:trPr>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北京中嘉华投资咨询有限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法人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12.67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5" w:right="0"/>
              <w:jc w:val="left"/>
              <w:rPr>
                <w:rFonts w:ascii="宋体" w:hAnsi="宋体" w:cs="宋体" w:eastAsia="宋体" w:hint="default"/>
                <w:sz w:val="21"/>
                <w:szCs w:val="21"/>
              </w:rPr>
            </w:pPr>
            <w:r>
              <w:rPr>
                <w:rFonts w:ascii="宋体"/>
                <w:sz w:val="21"/>
              </w:rPr>
              <w:t>13940000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宋体" w:hAnsi="宋体" w:cs="宋体" w:eastAsia="宋体" w:hint="default"/>
                <w:sz w:val="21"/>
                <w:szCs w:val="21"/>
              </w:rPr>
            </w:pPr>
            <w:r>
              <w:rPr>
                <w:rFonts w:ascii="宋体"/>
                <w:sz w:val="21"/>
              </w:rPr>
              <w:t>13940000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82" w:right="0"/>
              <w:jc w:val="left"/>
              <w:rPr>
                <w:rFonts w:ascii="宋体" w:hAnsi="宋体" w:cs="宋体" w:eastAsia="宋体" w:hint="default"/>
                <w:sz w:val="21"/>
                <w:szCs w:val="21"/>
              </w:rPr>
            </w:pPr>
            <w:r>
              <w:rPr>
                <w:rFonts w:ascii="宋体"/>
                <w:sz w:val="21"/>
              </w:rPr>
              <w:t>0</w:t>
            </w:r>
          </w:p>
        </w:tc>
      </w:tr>
    </w:tbl>
    <w:p>
      <w:pPr>
        <w:spacing w:after="0" w:line="240" w:lineRule="auto"/>
        <w:jc w:val="left"/>
        <w:rPr>
          <w:rFonts w:ascii="宋体" w:hAnsi="宋体" w:cs="宋体" w:eastAsia="宋体" w:hint="default"/>
          <w:sz w:val="21"/>
          <w:szCs w:val="21"/>
        </w:rPr>
        <w:sectPr>
          <w:pgSz w:w="11910" w:h="16840"/>
          <w:pgMar w:header="840" w:footer="1712" w:top="1160" w:bottom="1900" w:left="840" w:right="840"/>
        </w:sectPr>
      </w:pPr>
    </w:p>
    <w:p>
      <w:pPr>
        <w:spacing w:line="240" w:lineRule="auto" w:before="12"/>
        <w:rPr>
          <w:rFonts w:ascii="宋体" w:hAnsi="宋体" w:cs="宋体" w:eastAsia="宋体" w:hint="default"/>
          <w:b/>
          <w:bCs/>
          <w:sz w:val="2"/>
          <w:szCs w:val="2"/>
        </w:rPr>
      </w:pPr>
      <w:r>
        <w:rPr/>
        <w:pict>
          <v:shape style="position:absolute;margin-left:90.18pt;margin-top:41.999668pt;width:18.240pt;height:15.719999pt;mso-position-horizontal-relative:page;mso-position-vertical-relative:page;z-index:-595576" type="#_x0000_t75" stroked="false">
            <v:imagedata r:id="rId11" o:title=""/>
          </v:shape>
        </w:pict>
      </w:r>
    </w:p>
    <w:tbl>
      <w:tblPr>
        <w:tblW w:w="0" w:type="auto"/>
        <w:jc w:val="left"/>
        <w:tblInd w:w="104" w:type="dxa"/>
        <w:tblLayout w:type="fixed"/>
        <w:tblCellMar>
          <w:top w:w="0" w:type="dxa"/>
          <w:left w:w="0" w:type="dxa"/>
          <w:bottom w:w="0" w:type="dxa"/>
          <w:right w:w="0" w:type="dxa"/>
        </w:tblCellMar>
        <w:tblLook w:val="01E0"/>
      </w:tblPr>
      <w:tblGrid>
        <w:gridCol w:w="1684"/>
        <w:gridCol w:w="1050"/>
        <w:gridCol w:w="1260"/>
        <w:gridCol w:w="944"/>
        <w:gridCol w:w="946"/>
        <w:gridCol w:w="734"/>
        <w:gridCol w:w="630"/>
        <w:gridCol w:w="1280"/>
      </w:tblGrid>
      <w:tr>
        <w:trPr>
          <w:trHeight w:val="562" w:hRule="exact"/>
        </w:trPr>
        <w:tc>
          <w:tcPr>
            <w:tcW w:w="2734" w:type="dxa"/>
            <w:gridSpan w:val="2"/>
            <w:tcBorders>
              <w:top w:val="single" w:sz="10" w:space="0" w:color="000000"/>
              <w:left w:val="single" w:sz="4" w:space="0" w:color="000000"/>
              <w:bottom w:val="single" w:sz="4" w:space="0" w:color="000000"/>
              <w:right w:val="single" w:sz="4" w:space="0" w:color="000000"/>
            </w:tcBorders>
          </w:tcPr>
          <w:p>
            <w:pPr>
              <w:pStyle w:val="TableParagraph"/>
              <w:spacing w:line="238" w:lineRule="exact"/>
              <w:ind w:left="61" w:right="0"/>
              <w:jc w:val="left"/>
              <w:rPr>
                <w:rFonts w:ascii="宋体" w:hAnsi="宋体" w:cs="宋体" w:eastAsia="宋体" w:hint="default"/>
                <w:sz w:val="21"/>
                <w:szCs w:val="21"/>
              </w:rPr>
            </w:pPr>
            <w:r>
              <w:rPr>
                <w:rFonts w:ascii="宋体" w:hAnsi="宋体" w:cs="宋体" w:eastAsia="宋体" w:hint="default"/>
                <w:spacing w:val="8"/>
                <w:sz w:val="21"/>
                <w:szCs w:val="21"/>
              </w:rPr>
              <w:t>济南发展国有工业资产经营</w:t>
            </w:r>
            <w:r>
              <w:rPr>
                <w:rFonts w:ascii="宋体" w:hAnsi="宋体" w:cs="宋体" w:eastAsia="宋体" w:hint="default"/>
                <w:sz w:val="21"/>
                <w:szCs w:val="21"/>
              </w:rPr>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国有法人股</w:t>
            </w:r>
          </w:p>
        </w:tc>
        <w:tc>
          <w:tcPr>
            <w:tcW w:w="9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10.44</w:t>
            </w:r>
          </w:p>
        </w:tc>
        <w:tc>
          <w:tcPr>
            <w:tcW w:w="94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0"/>
              <w:ind w:right="47"/>
              <w:jc w:val="right"/>
              <w:rPr>
                <w:rFonts w:ascii="宋体" w:hAnsi="宋体" w:cs="宋体" w:eastAsia="宋体" w:hint="default"/>
                <w:sz w:val="21"/>
                <w:szCs w:val="21"/>
              </w:rPr>
            </w:pPr>
            <w:r>
              <w:rPr>
                <w:rFonts w:ascii="宋体"/>
                <w:spacing w:val="-1"/>
                <w:sz w:val="21"/>
              </w:rPr>
              <w:t>11480000</w:t>
            </w:r>
          </w:p>
        </w:tc>
        <w:tc>
          <w:tcPr>
            <w:tcW w:w="1364"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宋体" w:hAnsi="宋体" w:cs="宋体" w:eastAsia="宋体" w:hint="default"/>
                <w:sz w:val="21"/>
                <w:szCs w:val="21"/>
              </w:rPr>
            </w:pPr>
            <w:r>
              <w:rPr>
                <w:rFonts w:ascii="宋体"/>
                <w:sz w:val="21"/>
              </w:rPr>
              <w:t>11480000</w:t>
            </w:r>
          </w:p>
        </w:tc>
        <w:tc>
          <w:tcPr>
            <w:tcW w:w="128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w:t>
            </w:r>
          </w:p>
        </w:tc>
      </w:tr>
      <w:tr>
        <w:trPr>
          <w:trHeight w:val="554" w:hRule="exact"/>
        </w:trPr>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tabs>
                <w:tab w:pos="733" w:val="left" w:leader="none"/>
                <w:tab w:pos="1467" w:val="left" w:leader="none"/>
              </w:tabs>
              <w:spacing w:line="238" w:lineRule="exact"/>
              <w:ind w:left="103" w:right="0"/>
              <w:jc w:val="left"/>
              <w:rPr>
                <w:rFonts w:ascii="宋体" w:hAnsi="宋体" w:cs="宋体" w:eastAsia="宋体" w:hint="default"/>
                <w:sz w:val="21"/>
                <w:szCs w:val="21"/>
              </w:rPr>
            </w:pPr>
            <w:r>
              <w:rPr>
                <w:rFonts w:ascii="宋体"/>
                <w:spacing w:val="-1"/>
                <w:sz w:val="21"/>
              </w:rPr>
              <w:t>Rich</w:t>
              <w:tab/>
              <w:t>River</w:t>
              <w:tab/>
              <w:t>Investments</w:t>
            </w:r>
          </w:p>
          <w:p>
            <w:pPr>
              <w:pStyle w:val="TableParagraph"/>
              <w:spacing w:line="274" w:lineRule="exact"/>
              <w:ind w:left="103" w:right="0"/>
              <w:jc w:val="left"/>
              <w:rPr>
                <w:rFonts w:ascii="宋体" w:hAnsi="宋体" w:cs="宋体" w:eastAsia="宋体" w:hint="default"/>
                <w:sz w:val="21"/>
                <w:szCs w:val="21"/>
              </w:rPr>
            </w:pPr>
            <w:r>
              <w:rPr>
                <w:rFonts w:ascii="宋体"/>
                <w:sz w:val="21"/>
              </w:rPr>
              <w:t>Limited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外资股东</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1.12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1230000</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9" w:right="0"/>
              <w:jc w:val="left"/>
              <w:rPr>
                <w:rFonts w:ascii="宋体" w:hAnsi="宋体" w:cs="宋体" w:eastAsia="宋体" w:hint="default"/>
                <w:sz w:val="21"/>
                <w:szCs w:val="21"/>
              </w:rPr>
            </w:pPr>
            <w:r>
              <w:rPr>
                <w:rFonts w:ascii="宋体"/>
                <w:sz w:val="21"/>
              </w:rPr>
              <w:t>1230000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w:t>
            </w:r>
          </w:p>
        </w:tc>
      </w:tr>
      <w:tr>
        <w:trPr>
          <w:trHeight w:val="283" w:hRule="exact"/>
        </w:trPr>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丁健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0.24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7"/>
              <w:jc w:val="right"/>
              <w:rPr>
                <w:rFonts w:ascii="Arial" w:hAnsi="Arial" w:cs="Arial" w:eastAsia="Arial" w:hint="default"/>
                <w:sz w:val="21"/>
                <w:szCs w:val="21"/>
              </w:rPr>
            </w:pPr>
            <w:r>
              <w:rPr>
                <w:rFonts w:ascii="Arial"/>
                <w:spacing w:val="-1"/>
                <w:sz w:val="21"/>
              </w:rPr>
              <w:t>258895</w:t>
            </w:r>
            <w:r>
              <w:rPr>
                <w:rFonts w:ascii="Arial"/>
                <w:sz w:val="21"/>
              </w:rPr>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282" w:hRule="exact"/>
        </w:trPr>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卢尚</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0.21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0"/>
              <w:jc w:val="right"/>
              <w:rPr>
                <w:rFonts w:ascii="宋体" w:hAnsi="宋体" w:cs="宋体" w:eastAsia="宋体" w:hint="default"/>
                <w:sz w:val="21"/>
                <w:szCs w:val="21"/>
              </w:rPr>
            </w:pPr>
            <w:r>
              <w:rPr>
                <w:rFonts w:ascii="宋体"/>
                <w:sz w:val="21"/>
              </w:rPr>
              <w:t>232700</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中国银行－</w:t>
            </w:r>
            <w:r>
              <w:rPr>
                <w:rFonts w:ascii="宋体" w:hAnsi="宋体" w:cs="宋体" w:eastAsia="宋体" w:hint="default"/>
                <w:spacing w:val="-83"/>
                <w:sz w:val="21"/>
                <w:szCs w:val="21"/>
              </w:rPr>
              <w:t> </w:t>
            </w:r>
            <w:r>
              <w:rPr>
                <w:rFonts w:ascii="宋体" w:hAnsi="宋体" w:cs="宋体" w:eastAsia="宋体" w:hint="default"/>
                <w:spacing w:val="17"/>
                <w:sz w:val="21"/>
                <w:szCs w:val="21"/>
              </w:rPr>
              <w:t>同盛证券投资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法人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0.18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2"/>
              <w:jc w:val="right"/>
              <w:rPr>
                <w:rFonts w:ascii="宋体" w:hAnsi="宋体" w:cs="宋体" w:eastAsia="宋体" w:hint="default"/>
                <w:sz w:val="21"/>
                <w:szCs w:val="21"/>
              </w:rPr>
            </w:pPr>
            <w:r>
              <w:rPr>
                <w:rFonts w:ascii="宋体"/>
                <w:spacing w:val="-1"/>
                <w:sz w:val="21"/>
              </w:rPr>
              <w:t>200000</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19" w:hRule="exact"/>
        </w:trPr>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王永强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0"/>
              <w:jc w:val="center"/>
              <w:rPr>
                <w:rFonts w:ascii="宋体" w:hAnsi="宋体" w:cs="宋体" w:eastAsia="宋体" w:hint="default"/>
                <w:sz w:val="21"/>
                <w:szCs w:val="21"/>
              </w:rPr>
            </w:pPr>
            <w:r>
              <w:rPr>
                <w:rFonts w:ascii="宋体"/>
                <w:sz w:val="21"/>
              </w:rPr>
              <w:t>0.15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51"/>
              <w:jc w:val="right"/>
              <w:rPr>
                <w:rFonts w:ascii="宋体" w:hAnsi="宋体" w:cs="宋体" w:eastAsia="宋体" w:hint="default"/>
                <w:sz w:val="21"/>
                <w:szCs w:val="21"/>
              </w:rPr>
            </w:pPr>
            <w:r>
              <w:rPr>
                <w:rFonts w:ascii="宋体"/>
                <w:sz w:val="21"/>
              </w:rPr>
              <w:t>164400</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sz w:val="21"/>
              </w:rPr>
              <w:t>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09" w:hRule="exact"/>
        </w:trPr>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李明昊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sz w:val="21"/>
              </w:rPr>
              <w:t>0.14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51"/>
              <w:jc w:val="right"/>
              <w:rPr>
                <w:rFonts w:ascii="宋体" w:hAnsi="宋体" w:cs="宋体" w:eastAsia="宋体" w:hint="default"/>
                <w:sz w:val="21"/>
                <w:szCs w:val="21"/>
              </w:rPr>
            </w:pPr>
            <w:r>
              <w:rPr>
                <w:rFonts w:ascii="宋体"/>
                <w:sz w:val="21"/>
              </w:rPr>
              <w:t>154722</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375" w:hRule="exact"/>
        </w:trPr>
        <w:tc>
          <w:tcPr>
            <w:tcW w:w="8528" w:type="dxa"/>
            <w:gridSpan w:val="8"/>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名无限售条件股东持股情况</w:t>
            </w:r>
          </w:p>
        </w:tc>
      </w:tr>
      <w:tr>
        <w:trPr>
          <w:trHeight w:val="374" w:hRule="exact"/>
        </w:trPr>
        <w:tc>
          <w:tcPr>
            <w:tcW w:w="3994"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624"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152"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191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530"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3" w:hRule="exact"/>
        </w:trPr>
        <w:tc>
          <w:tcPr>
            <w:tcW w:w="3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丁健</w:t>
            </w:r>
          </w:p>
        </w:tc>
        <w:tc>
          <w:tcPr>
            <w:tcW w:w="26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258895</w:t>
            </w:r>
            <w:r>
              <w:rPr>
                <w:rFonts w:ascii="Arial"/>
                <w:sz w:val="21"/>
              </w:rPr>
            </w:r>
          </w:p>
        </w:tc>
        <w:tc>
          <w:tcPr>
            <w:tcW w:w="1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卢尚</w:t>
            </w:r>
          </w:p>
        </w:tc>
        <w:tc>
          <w:tcPr>
            <w:tcW w:w="26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232700</w:t>
            </w:r>
            <w:r>
              <w:rPr>
                <w:rFonts w:ascii="Arial"/>
                <w:sz w:val="21"/>
              </w:rPr>
            </w:r>
          </w:p>
        </w:tc>
        <w:tc>
          <w:tcPr>
            <w:tcW w:w="1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3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中国银行－同盛证券投资基金</w:t>
            </w:r>
          </w:p>
        </w:tc>
        <w:tc>
          <w:tcPr>
            <w:tcW w:w="26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Arial" w:hAnsi="Arial" w:cs="Arial" w:eastAsia="Arial" w:hint="default"/>
                <w:sz w:val="21"/>
                <w:szCs w:val="21"/>
              </w:rPr>
            </w:pPr>
            <w:r>
              <w:rPr>
                <w:rFonts w:ascii="Arial"/>
                <w:spacing w:val="-1"/>
                <w:sz w:val="21"/>
              </w:rPr>
              <w:t>200000</w:t>
            </w:r>
            <w:r>
              <w:rPr>
                <w:rFonts w:ascii="Arial"/>
                <w:sz w:val="21"/>
              </w:rPr>
            </w:r>
          </w:p>
        </w:tc>
        <w:tc>
          <w:tcPr>
            <w:tcW w:w="1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王永强</w:t>
            </w:r>
          </w:p>
        </w:tc>
        <w:tc>
          <w:tcPr>
            <w:tcW w:w="26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164400</w:t>
            </w:r>
            <w:r>
              <w:rPr>
                <w:rFonts w:ascii="Arial"/>
                <w:sz w:val="21"/>
              </w:rPr>
            </w:r>
          </w:p>
        </w:tc>
        <w:tc>
          <w:tcPr>
            <w:tcW w:w="1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李明昊</w:t>
            </w:r>
          </w:p>
        </w:tc>
        <w:tc>
          <w:tcPr>
            <w:tcW w:w="26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154722</w:t>
            </w:r>
            <w:r>
              <w:rPr>
                <w:rFonts w:ascii="Arial"/>
                <w:sz w:val="21"/>
              </w:rPr>
            </w:r>
          </w:p>
        </w:tc>
        <w:tc>
          <w:tcPr>
            <w:tcW w:w="1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朱晓民</w:t>
            </w:r>
          </w:p>
        </w:tc>
        <w:tc>
          <w:tcPr>
            <w:tcW w:w="26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137000</w:t>
            </w:r>
            <w:r>
              <w:rPr>
                <w:rFonts w:ascii="Arial"/>
                <w:sz w:val="21"/>
              </w:rPr>
            </w:r>
          </w:p>
        </w:tc>
        <w:tc>
          <w:tcPr>
            <w:tcW w:w="1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张忠慧</w:t>
            </w:r>
          </w:p>
        </w:tc>
        <w:tc>
          <w:tcPr>
            <w:tcW w:w="26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136000</w:t>
            </w:r>
            <w:r>
              <w:rPr>
                <w:rFonts w:ascii="Arial"/>
                <w:sz w:val="21"/>
              </w:rPr>
            </w:r>
          </w:p>
        </w:tc>
        <w:tc>
          <w:tcPr>
            <w:tcW w:w="1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3" w:hRule="exact"/>
        </w:trPr>
        <w:tc>
          <w:tcPr>
            <w:tcW w:w="3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朱洪宏</w:t>
            </w:r>
          </w:p>
        </w:tc>
        <w:tc>
          <w:tcPr>
            <w:tcW w:w="26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125000</w:t>
            </w:r>
            <w:r>
              <w:rPr>
                <w:rFonts w:ascii="Arial"/>
                <w:sz w:val="21"/>
              </w:rPr>
            </w:r>
          </w:p>
        </w:tc>
        <w:tc>
          <w:tcPr>
            <w:tcW w:w="1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陈宇</w:t>
            </w:r>
          </w:p>
        </w:tc>
        <w:tc>
          <w:tcPr>
            <w:tcW w:w="26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120800</w:t>
            </w:r>
            <w:r>
              <w:rPr>
                <w:rFonts w:ascii="Arial"/>
                <w:sz w:val="21"/>
              </w:rPr>
            </w:r>
          </w:p>
        </w:tc>
        <w:tc>
          <w:tcPr>
            <w:tcW w:w="1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2" w:hRule="exact"/>
        </w:trPr>
        <w:tc>
          <w:tcPr>
            <w:tcW w:w="3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周建</w:t>
            </w:r>
          </w:p>
        </w:tc>
        <w:tc>
          <w:tcPr>
            <w:tcW w:w="26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110290</w:t>
            </w:r>
            <w:r>
              <w:rPr>
                <w:rFonts w:ascii="Arial"/>
                <w:sz w:val="21"/>
              </w:rPr>
            </w:r>
          </w:p>
        </w:tc>
        <w:tc>
          <w:tcPr>
            <w:tcW w:w="19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918" w:hRule="exact"/>
        </w:trPr>
        <w:tc>
          <w:tcPr>
            <w:tcW w:w="168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103" w:right="59"/>
              <w:jc w:val="both"/>
              <w:rPr>
                <w:rFonts w:ascii="宋体" w:hAnsi="宋体" w:cs="宋体" w:eastAsia="宋体" w:hint="default"/>
                <w:sz w:val="21"/>
                <w:szCs w:val="21"/>
              </w:rPr>
            </w:pPr>
            <w:r>
              <w:rPr>
                <w:rFonts w:ascii="宋体" w:hAnsi="宋体" w:cs="宋体" w:eastAsia="宋体" w:hint="default"/>
                <w:spacing w:val="31"/>
                <w:sz w:val="21"/>
                <w:szCs w:val="21"/>
              </w:rPr>
              <w:t>上述股东</w:t>
            </w:r>
            <w:r>
              <w:rPr>
                <w:rFonts w:ascii="宋体" w:hAnsi="宋体" w:cs="宋体" w:eastAsia="宋体" w:hint="default"/>
                <w:spacing w:val="-65"/>
                <w:sz w:val="21"/>
                <w:szCs w:val="21"/>
              </w:rPr>
              <w:t> </w:t>
            </w:r>
            <w:r>
              <w:rPr>
                <w:rFonts w:ascii="宋体" w:hAnsi="宋体" w:cs="宋体" w:eastAsia="宋体" w:hint="default"/>
                <w:spacing w:val="21"/>
                <w:sz w:val="21"/>
                <w:szCs w:val="21"/>
              </w:rPr>
              <w:t>关联</w:t>
            </w:r>
            <w:r>
              <w:rPr>
                <w:rFonts w:ascii="宋体" w:hAnsi="宋体" w:cs="宋体" w:eastAsia="宋体" w:hint="default"/>
                <w:spacing w:val="-63"/>
                <w:sz w:val="21"/>
                <w:szCs w:val="21"/>
              </w:rPr>
              <w:t> </w:t>
            </w:r>
            <w:r>
              <w:rPr>
                <w:rFonts w:ascii="宋体" w:hAnsi="宋体" w:cs="宋体" w:eastAsia="宋体" w:hint="default"/>
                <w:spacing w:val="31"/>
                <w:sz w:val="21"/>
                <w:szCs w:val="21"/>
              </w:rPr>
              <w:t>关系或一</w:t>
            </w:r>
            <w:r>
              <w:rPr>
                <w:rFonts w:ascii="宋体" w:hAnsi="宋体" w:cs="宋体" w:eastAsia="宋体" w:hint="default"/>
                <w:spacing w:val="-65"/>
                <w:sz w:val="21"/>
                <w:szCs w:val="21"/>
              </w:rPr>
              <w:t> </w:t>
            </w:r>
            <w:r>
              <w:rPr>
                <w:rFonts w:ascii="宋体" w:hAnsi="宋体" w:cs="宋体" w:eastAsia="宋体" w:hint="default"/>
                <w:spacing w:val="21"/>
                <w:sz w:val="21"/>
                <w:szCs w:val="21"/>
              </w:rPr>
              <w:t>致行</w:t>
            </w:r>
            <w:r>
              <w:rPr>
                <w:rFonts w:ascii="宋体" w:hAnsi="宋体" w:cs="宋体" w:eastAsia="宋体" w:hint="default"/>
                <w:spacing w:val="-63"/>
                <w:sz w:val="21"/>
                <w:szCs w:val="21"/>
              </w:rPr>
              <w:t> </w:t>
            </w:r>
            <w:r>
              <w:rPr>
                <w:rFonts w:ascii="宋体" w:hAnsi="宋体" w:cs="宋体" w:eastAsia="宋体" w:hint="default"/>
                <w:sz w:val="21"/>
                <w:szCs w:val="21"/>
              </w:rPr>
              <w:t>动的说明</w:t>
            </w:r>
          </w:p>
        </w:tc>
        <w:tc>
          <w:tcPr>
            <w:tcW w:w="6845" w:type="dxa"/>
            <w:gridSpan w:val="7"/>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pacing w:val="10"/>
                <w:sz w:val="21"/>
                <w:szCs w:val="21"/>
              </w:rPr>
              <w:t>香港喜多来集团有限公司、北京中嘉华投资咨询有限公司、Rich</w:t>
            </w:r>
          </w:p>
          <w:p>
            <w:pPr>
              <w:pStyle w:val="TableParagraph"/>
              <w:spacing w:line="272" w:lineRule="exact" w:before="26"/>
              <w:ind w:left="103" w:right="100"/>
              <w:jc w:val="both"/>
              <w:rPr>
                <w:rFonts w:ascii="宋体" w:hAnsi="宋体" w:cs="宋体" w:eastAsia="宋体" w:hint="default"/>
                <w:sz w:val="21"/>
                <w:szCs w:val="21"/>
              </w:rPr>
            </w:pPr>
            <w:r>
              <w:rPr>
                <w:rFonts w:ascii="宋体" w:hAnsi="宋体" w:cs="宋体" w:eastAsia="宋体" w:hint="default"/>
                <w:sz w:val="21"/>
                <w:szCs w:val="21"/>
              </w:rPr>
              <w:t>River</w:t>
            </w:r>
            <w:r>
              <w:rPr>
                <w:rFonts w:ascii="宋体" w:hAnsi="宋体" w:cs="宋体" w:eastAsia="宋体" w:hint="default"/>
                <w:spacing w:val="-33"/>
                <w:sz w:val="21"/>
                <w:szCs w:val="21"/>
              </w:rPr>
              <w:t> </w:t>
            </w:r>
            <w:r>
              <w:rPr>
                <w:rFonts w:ascii="宋体" w:hAnsi="宋体" w:cs="宋体" w:eastAsia="宋体" w:hint="default"/>
                <w:sz w:val="21"/>
                <w:szCs w:val="21"/>
              </w:rPr>
              <w:t>Investments</w:t>
            </w:r>
            <w:r>
              <w:rPr>
                <w:rFonts w:ascii="宋体" w:hAnsi="宋体" w:cs="宋体" w:eastAsia="宋体" w:hint="default"/>
                <w:spacing w:val="-32"/>
                <w:sz w:val="21"/>
                <w:szCs w:val="21"/>
              </w:rPr>
              <w:t> </w:t>
            </w:r>
            <w:r>
              <w:rPr>
                <w:rFonts w:ascii="宋体" w:hAnsi="宋体" w:cs="宋体" w:eastAsia="宋体" w:hint="default"/>
                <w:sz w:val="21"/>
                <w:szCs w:val="21"/>
              </w:rPr>
              <w:t>Limited</w:t>
            </w:r>
            <w:r>
              <w:rPr>
                <w:rFonts w:ascii="宋体" w:hAnsi="宋体" w:cs="宋体" w:eastAsia="宋体" w:hint="default"/>
                <w:spacing w:val="-60"/>
                <w:sz w:val="21"/>
                <w:szCs w:val="21"/>
              </w:rPr>
              <w:t> </w:t>
            </w:r>
            <w:r>
              <w:rPr>
                <w:rFonts w:ascii="宋体" w:hAnsi="宋体" w:cs="宋体" w:eastAsia="宋体" w:hint="default"/>
                <w:sz w:val="21"/>
                <w:szCs w:val="21"/>
              </w:rPr>
              <w:t>之间不存在股权上的关系，但存在如下的人</w:t>
            </w:r>
            <w:r>
              <w:rPr>
                <w:rFonts w:ascii="宋体" w:hAnsi="宋体" w:cs="宋体" w:eastAsia="宋体" w:hint="default"/>
                <w:spacing w:val="-1"/>
                <w:sz w:val="21"/>
                <w:szCs w:val="21"/>
              </w:rPr>
              <w:t> </w:t>
            </w:r>
            <w:r>
              <w:rPr>
                <w:rFonts w:ascii="宋体" w:hAnsi="宋体" w:cs="宋体" w:eastAsia="宋体" w:hint="default"/>
                <w:spacing w:val="35"/>
                <w:sz w:val="21"/>
                <w:szCs w:val="21"/>
              </w:rPr>
              <w:t>事安排上的关联关系：喜多来集团董事石林先生是 </w:t>
            </w:r>
            <w:r>
              <w:rPr>
                <w:rFonts w:ascii="宋体" w:hAnsi="宋体" w:cs="宋体" w:eastAsia="宋体" w:hint="default"/>
                <w:sz w:val="21"/>
                <w:szCs w:val="21"/>
              </w:rPr>
              <w:t>Rich</w:t>
            </w:r>
            <w:r>
              <w:rPr>
                <w:rFonts w:ascii="宋体" w:hAnsi="宋体" w:cs="宋体" w:eastAsia="宋体" w:hint="default"/>
                <w:spacing w:val="40"/>
                <w:sz w:val="21"/>
                <w:szCs w:val="21"/>
              </w:rPr>
              <w:t> </w:t>
            </w:r>
            <w:r>
              <w:rPr>
                <w:rFonts w:ascii="宋体" w:hAnsi="宋体" w:cs="宋体" w:eastAsia="宋体" w:hint="default"/>
                <w:sz w:val="21"/>
                <w:szCs w:val="21"/>
              </w:rPr>
              <w:t>River</w:t>
            </w:r>
            <w:r>
              <w:rPr>
                <w:rFonts w:ascii="宋体" w:hAnsi="宋体" w:cs="宋体" w:eastAsia="宋体" w:hint="default"/>
                <w:sz w:val="21"/>
                <w:szCs w:val="21"/>
              </w:rPr>
              <w:t> Investments</w:t>
            </w:r>
            <w:r>
              <w:rPr>
                <w:rFonts w:ascii="宋体" w:hAnsi="宋体" w:cs="宋体" w:eastAsia="宋体" w:hint="default"/>
                <w:spacing w:val="-41"/>
                <w:sz w:val="21"/>
                <w:szCs w:val="21"/>
              </w:rPr>
              <w:t> </w:t>
            </w:r>
            <w:r>
              <w:rPr>
                <w:rFonts w:ascii="宋体" w:hAnsi="宋体" w:cs="宋体" w:eastAsia="宋体" w:hint="default"/>
                <w:sz w:val="21"/>
                <w:szCs w:val="21"/>
              </w:rPr>
              <w:t>Limited</w:t>
            </w:r>
            <w:r>
              <w:rPr>
                <w:rFonts w:ascii="宋体" w:hAnsi="宋体" w:cs="宋体" w:eastAsia="宋体" w:hint="default"/>
                <w:spacing w:val="-53"/>
                <w:sz w:val="21"/>
                <w:szCs w:val="21"/>
              </w:rPr>
              <w:t> </w:t>
            </w:r>
            <w:r>
              <w:rPr>
                <w:rFonts w:ascii="宋体" w:hAnsi="宋体" w:cs="宋体" w:eastAsia="宋体" w:hint="default"/>
                <w:sz w:val="21"/>
                <w:szCs w:val="21"/>
              </w:rPr>
              <w:t>的唯一股东；石林先生兼任北京中嘉华投资咨询有</w:t>
            </w:r>
            <w:r>
              <w:rPr>
                <w:rFonts w:ascii="宋体" w:hAnsi="宋体" w:cs="宋体" w:eastAsia="宋体" w:hint="default"/>
                <w:sz w:val="21"/>
                <w:szCs w:val="21"/>
              </w:rPr>
              <w:t> </w:t>
            </w:r>
            <w:r>
              <w:rPr>
                <w:rFonts w:ascii="宋体" w:hAnsi="宋体" w:cs="宋体" w:eastAsia="宋体" w:hint="default"/>
                <w:spacing w:val="-3"/>
                <w:sz w:val="21"/>
                <w:szCs w:val="21"/>
              </w:rPr>
              <w:t>限公司的董事长，石林先生之子楚伦巴特尔为北京中嘉华投资咨询有限公</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司的第二大股东；公司实际控制人谷望江女士之胞妹谷望宁女士为北京中</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嘉华投资咨询有限公司并列第三大股东。</w:t>
            </w:r>
          </w:p>
        </w:tc>
      </w:tr>
    </w:tbl>
    <w:p>
      <w:pPr>
        <w:spacing w:line="240" w:lineRule="auto" w:before="12"/>
        <w:rPr>
          <w:rFonts w:ascii="宋体" w:hAnsi="宋体" w:cs="宋体" w:eastAsia="宋体" w:hint="default"/>
          <w:b/>
          <w:bCs/>
          <w:sz w:val="25"/>
          <w:szCs w:val="25"/>
        </w:rPr>
      </w:pPr>
    </w:p>
    <w:p>
      <w:pPr>
        <w:spacing w:line="355" w:lineRule="auto" w:before="35"/>
        <w:ind w:left="637" w:right="219" w:hanging="420"/>
        <w:jc w:val="left"/>
        <w:rPr>
          <w:rFonts w:ascii="宋体" w:hAnsi="宋体" w:cs="宋体" w:eastAsia="宋体" w:hint="default"/>
          <w:sz w:val="21"/>
          <w:szCs w:val="21"/>
        </w:rPr>
      </w:pPr>
      <w:r>
        <w:rPr>
          <w:rFonts w:ascii="宋体" w:hAnsi="宋体" w:cs="宋体" w:eastAsia="宋体" w:hint="default"/>
          <w:b/>
          <w:bCs/>
          <w:sz w:val="21"/>
          <w:szCs w:val="21"/>
        </w:rPr>
        <w:t>（二）公司控股股东情况</w:t>
      </w:r>
      <w:r>
        <w:rPr>
          <w:rFonts w:ascii="宋体" w:hAnsi="宋体" w:cs="宋体" w:eastAsia="宋体" w:hint="default"/>
          <w:b/>
          <w:bCs/>
          <w:w w:val="99"/>
          <w:sz w:val="21"/>
          <w:szCs w:val="21"/>
        </w:rPr>
        <w:t> </w:t>
      </w:r>
      <w:r>
        <w:rPr>
          <w:rFonts w:ascii="宋体" w:hAnsi="宋体" w:cs="宋体" w:eastAsia="宋体" w:hint="default"/>
          <w:spacing w:val="-3"/>
          <w:sz w:val="21"/>
          <w:szCs w:val="21"/>
        </w:rPr>
        <w:t>报告期内，公司控股股东未发生变化，为香港喜多来集团有限公司，其所持有的公司股</w:t>
      </w:r>
    </w:p>
    <w:p>
      <w:pPr>
        <w:spacing w:line="357" w:lineRule="auto" w:before="33"/>
        <w:ind w:left="697" w:right="2837" w:hanging="480"/>
        <w:jc w:val="left"/>
        <w:rPr>
          <w:rFonts w:ascii="宋体" w:hAnsi="宋体" w:cs="宋体" w:eastAsia="宋体" w:hint="default"/>
          <w:sz w:val="21"/>
          <w:szCs w:val="21"/>
        </w:rPr>
      </w:pPr>
      <w:r>
        <w:rPr>
          <w:rFonts w:ascii="宋体" w:hAnsi="宋体" w:cs="宋体" w:eastAsia="宋体" w:hint="default"/>
          <w:sz w:val="21"/>
          <w:szCs w:val="21"/>
        </w:rPr>
        <w:t>份无质押、冻结或托管等情况。 香港喜多来集团有限公司基本情况： 英文名称：HONGKONG HITORO HOLDINGS</w:t>
      </w:r>
      <w:r>
        <w:rPr>
          <w:rFonts w:ascii="宋体" w:hAnsi="宋体" w:cs="宋体" w:eastAsia="宋体" w:hint="default"/>
          <w:spacing w:val="-24"/>
          <w:sz w:val="21"/>
          <w:szCs w:val="21"/>
        </w:rPr>
        <w:t> </w:t>
      </w:r>
      <w:r>
        <w:rPr>
          <w:rFonts w:ascii="宋体" w:hAnsi="宋体" w:cs="宋体" w:eastAsia="宋体" w:hint="default"/>
          <w:sz w:val="21"/>
          <w:szCs w:val="21"/>
        </w:rPr>
        <w:t>LIMITED</w:t>
      </w:r>
    </w:p>
    <w:p>
      <w:pPr>
        <w:tabs>
          <w:tab w:pos="2166" w:val="left" w:leader="none"/>
          <w:tab w:pos="2588" w:val="left" w:leader="none"/>
        </w:tabs>
        <w:spacing w:line="357" w:lineRule="auto" w:before="30"/>
        <w:ind w:left="696" w:right="4284" w:firstLine="1"/>
        <w:jc w:val="left"/>
        <w:rPr>
          <w:rFonts w:ascii="宋体" w:hAnsi="宋体" w:cs="宋体" w:eastAsia="宋体" w:hint="default"/>
          <w:sz w:val="21"/>
          <w:szCs w:val="21"/>
        </w:rPr>
      </w:pPr>
      <w:r>
        <w:rPr>
          <w:rFonts w:ascii="宋体" w:hAnsi="宋体" w:cs="宋体" w:eastAsia="宋体" w:hint="default"/>
          <w:sz w:val="21"/>
          <w:szCs w:val="21"/>
        </w:rPr>
        <w:t>公司董事会成员：</w:t>
        <w:tab/>
        <w:t>陈新、谷望江、石林 设立日期：</w:t>
        <w:tab/>
        <w:t>1991年11月21日 注册资本：</w:t>
        <w:tab/>
        <w:t>400万港元</w:t>
      </w:r>
    </w:p>
    <w:p>
      <w:pPr>
        <w:tabs>
          <w:tab w:pos="2061" w:val="left" w:leader="none"/>
        </w:tabs>
        <w:spacing w:line="357" w:lineRule="auto" w:before="30"/>
        <w:ind w:left="637" w:right="233" w:firstLine="58"/>
        <w:jc w:val="left"/>
        <w:rPr>
          <w:rFonts w:ascii="宋体" w:hAnsi="宋体" w:cs="宋体" w:eastAsia="宋体" w:hint="default"/>
          <w:sz w:val="21"/>
          <w:szCs w:val="21"/>
        </w:rPr>
      </w:pPr>
      <w:r>
        <w:rPr>
          <w:rFonts w:ascii="宋体" w:hAnsi="宋体" w:cs="宋体" w:eastAsia="宋体" w:hint="default"/>
          <w:sz w:val="21"/>
          <w:szCs w:val="21"/>
        </w:rPr>
        <w:t>办公地址：</w:t>
        <w:tab/>
        <w:t>香港尖沙咀广东道9号港威中心第6座37搂 公司目前主要从事国际原材料贸易和实业投资。 </w:t>
      </w:r>
      <w:r>
        <w:rPr>
          <w:rFonts w:ascii="宋体" w:hAnsi="宋体" w:cs="宋体" w:eastAsia="宋体" w:hint="default"/>
          <w:spacing w:val="-3"/>
          <w:sz w:val="21"/>
          <w:szCs w:val="21"/>
        </w:rPr>
        <w:t>谷望江：女，中国香港籍，拥有永久香港居留权，香港喜多来集团有限公司董事，目前</w:t>
      </w:r>
    </w:p>
    <w:p>
      <w:pPr>
        <w:spacing w:before="31"/>
        <w:ind w:left="217" w:right="219" w:firstLine="0"/>
        <w:jc w:val="left"/>
        <w:rPr>
          <w:rFonts w:ascii="宋体" w:hAnsi="宋体" w:cs="宋体" w:eastAsia="宋体" w:hint="default"/>
          <w:sz w:val="21"/>
          <w:szCs w:val="21"/>
        </w:rPr>
      </w:pPr>
      <w:r>
        <w:rPr>
          <w:rFonts w:ascii="宋体" w:hAnsi="宋体" w:cs="宋体" w:eastAsia="宋体" w:hint="default"/>
          <w:sz w:val="21"/>
          <w:szCs w:val="21"/>
        </w:rPr>
        <w:t>为本公司的实际控制人。</w:t>
      </w:r>
    </w:p>
    <w:p>
      <w:pPr>
        <w:spacing w:after="0"/>
        <w:jc w:val="left"/>
        <w:rPr>
          <w:rFonts w:ascii="宋体" w:hAnsi="宋体" w:cs="宋体" w:eastAsia="宋体" w:hint="default"/>
          <w:sz w:val="21"/>
          <w:szCs w:val="21"/>
        </w:rPr>
        <w:sectPr>
          <w:headerReference w:type="default" r:id="rId22"/>
          <w:pgSz w:w="11910" w:h="16840"/>
          <w:pgMar w:header="915" w:footer="1712" w:top="1100" w:bottom="1900" w:left="1580" w:right="1560"/>
        </w:sectPr>
      </w:pPr>
    </w:p>
    <w:p>
      <w:pPr>
        <w:spacing w:line="240" w:lineRule="auto" w:before="0"/>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131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（三）公司与实际控制人之间的产权和控制关系</w:t>
      </w:r>
      <w:r>
        <w:rPr>
          <w:rFonts w:ascii="宋体" w:hAnsi="宋体" w:cs="宋体" w:eastAsia="宋体" w:hint="default"/>
          <w:sz w:val="21"/>
          <w:szCs w:val="21"/>
        </w:rPr>
      </w:r>
    </w:p>
    <w:p>
      <w:pPr>
        <w:spacing w:line="240" w:lineRule="auto" w:before="10"/>
        <w:rPr>
          <w:rFonts w:ascii="宋体" w:hAnsi="宋体" w:cs="宋体" w:eastAsia="宋体" w:hint="default"/>
          <w:b/>
          <w:bCs/>
          <w:sz w:val="13"/>
          <w:szCs w:val="13"/>
        </w:rPr>
      </w:pPr>
    </w:p>
    <w:p>
      <w:pPr>
        <w:spacing w:line="468" w:lineRule="exact"/>
        <w:ind w:left="329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99.75pt;height:23.4pt;mso-position-horizontal-relative:char;mso-position-vertical-relative:line" type="#_x0000_t202" filled="false" stroked="true" strokeweight=".75pt" strokecolor="#000000">
            <w10:anchorlock/>
            <v:textbox inset="0,0,0,0">
              <w:txbxContent>
                <w:p>
                  <w:pPr>
                    <w:pStyle w:val="BodyText"/>
                    <w:spacing w:line="240" w:lineRule="auto" w:before="33"/>
                    <w:ind w:left="630" w:right="0"/>
                    <w:jc w:val="left"/>
                    <w:rPr>
                      <w:rFonts w:ascii="宋体" w:hAnsi="宋体" w:cs="宋体" w:eastAsia="宋体" w:hint="default"/>
                    </w:rPr>
                  </w:pPr>
                  <w:r>
                    <w:rPr>
                      <w:rFonts w:ascii="宋体" w:hAnsi="宋体" w:cs="宋体" w:eastAsia="宋体" w:hint="default"/>
                    </w:rPr>
                    <w:t>谷望江</w:t>
                  </w:r>
                </w:p>
              </w:txbxContent>
            </v:textbox>
          </v:shape>
        </w:pict>
      </w:r>
      <w:r>
        <w:rPr>
          <w:rFonts w:ascii="宋体" w:hAnsi="宋体" w:cs="宋体" w:eastAsia="宋体" w:hint="default"/>
          <w:position w:val="-8"/>
          <w:sz w:val="20"/>
          <w:szCs w:val="20"/>
        </w:rPr>
      </w:r>
    </w:p>
    <w:p>
      <w:pPr>
        <w:spacing w:before="18"/>
        <w:ind w:left="508" w:right="209" w:firstLine="0"/>
        <w:jc w:val="center"/>
        <w:rPr>
          <w:rFonts w:ascii="Times New Roman" w:hAnsi="Times New Roman" w:cs="Times New Roman" w:eastAsia="Times New Roman" w:hint="default"/>
          <w:sz w:val="18"/>
          <w:szCs w:val="18"/>
        </w:rPr>
      </w:pPr>
      <w:r>
        <w:rPr>
          <w:position w:val="-17"/>
        </w:rPr>
        <w:drawing>
          <wp:inline distT="0" distB="0" distL="0" distR="0">
            <wp:extent cx="76200" cy="202691"/>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3" cstate="print"/>
                    <a:stretch>
                      <a:fillRect/>
                    </a:stretch>
                  </pic:blipFill>
                  <pic:spPr>
                    <a:xfrm>
                      <a:off x="0" y="0"/>
                      <a:ext cx="76200" cy="202691"/>
                    </a:xfrm>
                    <a:prstGeom prst="rect">
                      <a:avLst/>
                    </a:prstGeom>
                  </pic:spPr>
                </pic:pic>
              </a:graphicData>
            </a:graphic>
          </wp:inline>
        </w:drawing>
      </w:r>
      <w:r>
        <w:rPr>
          <w:position w:val="-17"/>
        </w:rPr>
      </w:r>
      <w:r>
        <w:rPr>
          <w:rFonts w:ascii="Times New Roman"/>
          <w:sz w:val="18"/>
        </w:rPr>
        <w:t>100%</w:t>
      </w:r>
    </w:p>
    <w:p>
      <w:pPr>
        <w:spacing w:line="240" w:lineRule="auto" w:before="7"/>
        <w:rPr>
          <w:rFonts w:ascii="Times New Roman" w:hAnsi="Times New Roman" w:cs="Times New Roman" w:eastAsia="Times New Roman" w:hint="default"/>
          <w:sz w:val="4"/>
          <w:szCs w:val="4"/>
        </w:rPr>
      </w:pPr>
    </w:p>
    <w:p>
      <w:pPr>
        <w:spacing w:line="468" w:lineRule="exact"/>
        <w:ind w:left="244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3.8pt;height:23.4pt;mso-position-horizontal-relative:char;mso-position-vertical-relative:line" type="#_x0000_t202" filled="false" stroked="true" strokeweight=".75pt" strokecolor="#000000">
            <w10:anchorlock/>
            <v:textbox inset="0,0,0,0">
              <w:txbxContent>
                <w:p>
                  <w:pPr>
                    <w:pStyle w:val="BodyText"/>
                    <w:spacing w:line="240" w:lineRule="auto" w:before="33"/>
                    <w:ind w:left="144" w:right="0"/>
                    <w:jc w:val="left"/>
                    <w:rPr>
                      <w:rFonts w:ascii="宋体" w:hAnsi="宋体" w:cs="宋体" w:eastAsia="宋体" w:hint="default"/>
                    </w:rPr>
                  </w:pPr>
                  <w:r>
                    <w:rPr>
                      <w:rFonts w:ascii="宋体"/>
                    </w:rPr>
                    <w:t>Infomatic Resources Limited</w:t>
                  </w:r>
                </w:p>
              </w:txbxContent>
            </v:textbox>
          </v:shape>
        </w:pict>
      </w:r>
      <w:r>
        <w:rPr>
          <w:rFonts w:ascii="Times New Roman" w:hAnsi="Times New Roman" w:cs="Times New Roman" w:eastAsia="Times New Roman" w:hint="default"/>
          <w:position w:val="-8"/>
          <w:sz w:val="20"/>
          <w:szCs w:val="20"/>
        </w:rPr>
      </w:r>
    </w:p>
    <w:p>
      <w:pPr>
        <w:spacing w:before="19"/>
        <w:ind w:left="534" w:right="209" w:firstLine="0"/>
        <w:jc w:val="center"/>
        <w:rPr>
          <w:rFonts w:ascii="Times New Roman" w:hAnsi="Times New Roman" w:cs="Times New Roman" w:eastAsia="Times New Roman" w:hint="default"/>
          <w:sz w:val="18"/>
          <w:szCs w:val="18"/>
        </w:rPr>
      </w:pPr>
      <w:r>
        <w:rPr>
          <w:position w:val="-17"/>
        </w:rPr>
        <w:drawing>
          <wp:inline distT="0" distB="0" distL="0" distR="0">
            <wp:extent cx="76200" cy="202691"/>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4" cstate="print"/>
                    <a:stretch>
                      <a:fillRect/>
                    </a:stretch>
                  </pic:blipFill>
                  <pic:spPr>
                    <a:xfrm>
                      <a:off x="0" y="0"/>
                      <a:ext cx="76200" cy="202691"/>
                    </a:xfrm>
                    <a:prstGeom prst="rect">
                      <a:avLst/>
                    </a:prstGeom>
                  </pic:spPr>
                </pic:pic>
              </a:graphicData>
            </a:graphic>
          </wp:inline>
        </w:drawing>
      </w:r>
      <w:r>
        <w:rPr>
          <w:position w:val="-17"/>
        </w:rPr>
      </w:r>
      <w:r>
        <w:rPr>
          <w:rFonts w:ascii="Times New Roman"/>
          <w:sz w:val="18"/>
        </w:rPr>
        <w:t>100%</w:t>
      </w:r>
    </w:p>
    <w:p>
      <w:pPr>
        <w:spacing w:line="468" w:lineRule="exact"/>
        <w:ind w:left="244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3.8pt;height:23.4pt;mso-position-horizontal-relative:char;mso-position-vertical-relative:line" type="#_x0000_t202" filled="false" stroked="true" strokeweight=".75pt" strokecolor="#000000">
            <w10:anchorlock/>
            <v:textbox inset="0,0,0,0">
              <w:txbxContent>
                <w:p>
                  <w:pPr>
                    <w:pStyle w:val="BodyText"/>
                    <w:spacing w:line="240" w:lineRule="auto" w:before="33"/>
                    <w:ind w:left="510" w:right="0"/>
                    <w:jc w:val="left"/>
                    <w:rPr>
                      <w:rFonts w:ascii="宋体" w:hAnsi="宋体" w:cs="宋体" w:eastAsia="宋体" w:hint="default"/>
                    </w:rPr>
                  </w:pPr>
                  <w:r>
                    <w:rPr>
                      <w:rFonts w:ascii="宋体" w:hAnsi="宋体" w:cs="宋体" w:eastAsia="宋体" w:hint="default"/>
                    </w:rPr>
                    <w:t>香港喜多来集团有限公司</w:t>
                  </w:r>
                </w:p>
              </w:txbxContent>
            </v:textbox>
          </v:shape>
        </w:pict>
      </w:r>
      <w:r>
        <w:rPr>
          <w:rFonts w:ascii="Times New Roman" w:hAnsi="Times New Roman" w:cs="Times New Roman" w:eastAsia="Times New Roman" w:hint="default"/>
          <w:position w:val="-8"/>
          <w:sz w:val="20"/>
          <w:szCs w:val="20"/>
        </w:rPr>
      </w:r>
    </w:p>
    <w:p>
      <w:pPr>
        <w:spacing w:before="56"/>
        <w:ind w:left="823" w:right="209" w:firstLine="0"/>
        <w:jc w:val="center"/>
        <w:rPr>
          <w:rFonts w:ascii="Times New Roman" w:hAnsi="Times New Roman" w:cs="Times New Roman" w:eastAsia="Times New Roman" w:hint="default"/>
          <w:sz w:val="18"/>
          <w:szCs w:val="18"/>
        </w:rPr>
      </w:pPr>
      <w:r>
        <w:rPr/>
        <w:pict>
          <v:shape style="position:absolute;margin-left:291.600006pt;margin-top:4.902656pt;width:6pt;height:15.96pt;mso-position-horizontal-relative:page;mso-position-vertical-relative:paragraph;z-index:-595432" type="#_x0000_t75" stroked="false">
            <v:imagedata r:id="rId23" o:title=""/>
          </v:shape>
        </w:pict>
      </w:r>
      <w:r>
        <w:rPr>
          <w:rFonts w:ascii="Times New Roman"/>
          <w:sz w:val="18"/>
        </w:rPr>
        <w:t>35.41%</w:t>
      </w:r>
    </w:p>
    <w:p>
      <w:pPr>
        <w:spacing w:line="240" w:lineRule="auto" w:before="5"/>
        <w:rPr>
          <w:rFonts w:ascii="Times New Roman" w:hAnsi="Times New Roman" w:cs="Times New Roman" w:eastAsia="Times New Roman" w:hint="default"/>
          <w:sz w:val="13"/>
          <w:szCs w:val="13"/>
        </w:rPr>
      </w:pPr>
    </w:p>
    <w:p>
      <w:pPr>
        <w:spacing w:line="468" w:lineRule="exact"/>
        <w:ind w:left="244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shape style="width:183.8pt;height:23.4pt;mso-position-horizontal-relative:char;mso-position-vertical-relative:line" type="#_x0000_t202" filled="false" stroked="true" strokeweight=".75pt" strokecolor="#000000">
            <w10:anchorlock/>
            <v:textbox inset="0,0,0,0">
              <w:txbxContent>
                <w:p>
                  <w:pPr>
                    <w:pStyle w:val="BodyText"/>
                    <w:spacing w:line="240" w:lineRule="auto" w:before="33"/>
                    <w:ind w:left="390" w:right="0"/>
                    <w:jc w:val="left"/>
                    <w:rPr>
                      <w:rFonts w:ascii="宋体" w:hAnsi="宋体" w:cs="宋体" w:eastAsia="宋体" w:hint="default"/>
                    </w:rPr>
                  </w:pPr>
                  <w:r>
                    <w:rPr>
                      <w:rFonts w:ascii="宋体" w:hAnsi="宋体" w:cs="宋体" w:eastAsia="宋体" w:hint="default"/>
                    </w:rPr>
                    <w:t>东港安全印刷股份有限公司</w:t>
                  </w:r>
                </w:p>
              </w:txbxContent>
            </v:textbox>
          </v:shape>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5"/>
          <w:szCs w:val="25"/>
        </w:rPr>
      </w:pPr>
    </w:p>
    <w:p>
      <w:pPr>
        <w:spacing w:before="35"/>
        <w:ind w:left="0" w:right="4902" w:firstLine="0"/>
        <w:jc w:val="center"/>
        <w:rPr>
          <w:rFonts w:ascii="宋体" w:hAnsi="宋体" w:cs="宋体" w:eastAsia="宋体" w:hint="default"/>
          <w:sz w:val="21"/>
          <w:szCs w:val="21"/>
        </w:rPr>
      </w:pPr>
      <w:r>
        <w:rPr>
          <w:rFonts w:ascii="宋体" w:hAnsi="宋体" w:cs="宋体" w:eastAsia="宋体" w:hint="default"/>
          <w:b/>
          <w:bCs/>
          <w:sz w:val="21"/>
          <w:szCs w:val="21"/>
        </w:rPr>
        <w:t>（四）持股在</w:t>
      </w:r>
      <w:r>
        <w:rPr>
          <w:rFonts w:ascii="宋体" w:hAnsi="宋体" w:cs="宋体" w:eastAsia="宋体" w:hint="default"/>
          <w:b/>
          <w:bCs/>
          <w:spacing w:val="-58"/>
          <w:sz w:val="21"/>
          <w:szCs w:val="21"/>
        </w:rPr>
        <w:t> </w:t>
      </w:r>
      <w:r>
        <w:rPr>
          <w:rFonts w:ascii="宋体" w:hAnsi="宋体" w:cs="宋体" w:eastAsia="宋体" w:hint="default"/>
          <w:b/>
          <w:bCs/>
          <w:sz w:val="21"/>
          <w:szCs w:val="21"/>
        </w:rPr>
        <w:t>5%以上的法人股东情况</w:t>
      </w:r>
      <w:r>
        <w:rPr>
          <w:rFonts w:ascii="宋体" w:hAnsi="宋体" w:cs="宋体" w:eastAsia="宋体" w:hint="default"/>
          <w:sz w:val="21"/>
          <w:szCs w:val="21"/>
        </w:rPr>
      </w:r>
    </w:p>
    <w:p>
      <w:pPr>
        <w:spacing w:line="355" w:lineRule="auto" w:before="134"/>
        <w:ind w:left="137" w:right="153" w:firstLine="480"/>
        <w:jc w:val="both"/>
        <w:rPr>
          <w:rFonts w:ascii="宋体" w:hAnsi="宋体" w:cs="宋体" w:eastAsia="宋体" w:hint="default"/>
          <w:sz w:val="21"/>
          <w:szCs w:val="21"/>
        </w:rPr>
      </w:pPr>
      <w:r>
        <w:rPr>
          <w:rFonts w:ascii="宋体" w:hAnsi="宋体" w:cs="宋体" w:eastAsia="宋体" w:hint="default"/>
          <w:sz w:val="21"/>
          <w:szCs w:val="21"/>
        </w:rPr>
        <w:t>报告期内，本公司持有</w:t>
      </w:r>
      <w:r>
        <w:rPr>
          <w:rFonts w:ascii="宋体" w:hAnsi="宋体" w:cs="宋体" w:eastAsia="宋体" w:hint="default"/>
          <w:spacing w:val="-45"/>
          <w:sz w:val="21"/>
          <w:szCs w:val="21"/>
        </w:rPr>
        <w:t> </w:t>
      </w:r>
      <w:r>
        <w:rPr>
          <w:rFonts w:ascii="宋体" w:hAnsi="宋体" w:cs="宋体" w:eastAsia="宋体" w:hint="default"/>
          <w:sz w:val="21"/>
          <w:szCs w:val="21"/>
        </w:rPr>
        <w:t>5%以上的法人股东有：济南发展国有工业资产经营有限公司、</w:t>
      </w:r>
      <w:r>
        <w:rPr>
          <w:rFonts w:ascii="宋体" w:hAnsi="宋体" w:cs="宋体" w:eastAsia="宋体" w:hint="default"/>
          <w:sz w:val="21"/>
          <w:szCs w:val="21"/>
        </w:rPr>
        <w:t> 浪潮电子信息产业股份有限公司、北京中嘉华投资咨询有限公司，各股东基本情况如下：</w:t>
      </w:r>
    </w:p>
    <w:p>
      <w:pPr>
        <w:tabs>
          <w:tab w:pos="1936" w:val="left" w:leader="none"/>
        </w:tabs>
        <w:spacing w:line="357" w:lineRule="auto" w:before="33"/>
        <w:ind w:left="676" w:right="4264" w:hanging="5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济南发展国有工业资产经营有限公司</w:t>
      </w:r>
      <w:r>
        <w:rPr>
          <w:rFonts w:ascii="宋体" w:hAnsi="宋体" w:cs="宋体" w:eastAsia="宋体" w:hint="default"/>
          <w:sz w:val="21"/>
          <w:szCs w:val="21"/>
        </w:rPr>
        <w:t> 成立日期：</w:t>
        <w:tab/>
        <w:t>1999年10月14日 法定代表人：刘桂祯</w:t>
      </w:r>
    </w:p>
    <w:p>
      <w:pPr>
        <w:tabs>
          <w:tab w:pos="1936" w:val="left" w:leader="none"/>
        </w:tabs>
        <w:spacing w:before="30"/>
        <w:ind w:left="676" w:right="0" w:firstLine="0"/>
        <w:jc w:val="left"/>
        <w:rPr>
          <w:rFonts w:ascii="宋体" w:hAnsi="宋体" w:cs="宋体" w:eastAsia="宋体" w:hint="default"/>
          <w:sz w:val="21"/>
          <w:szCs w:val="21"/>
        </w:rPr>
      </w:pPr>
      <w:r>
        <w:rPr>
          <w:rFonts w:ascii="宋体" w:hAnsi="宋体" w:cs="宋体" w:eastAsia="宋体" w:hint="default"/>
          <w:sz w:val="21"/>
          <w:szCs w:val="21"/>
        </w:rPr>
        <w:t>注册资本：</w:t>
        <w:tab/>
        <w:t>2,680万元</w:t>
      </w:r>
    </w:p>
    <w:p>
      <w:pPr>
        <w:spacing w:line="357" w:lineRule="auto" w:before="133"/>
        <w:ind w:left="617" w:right="110" w:firstLine="58"/>
        <w:jc w:val="left"/>
        <w:rPr>
          <w:rFonts w:ascii="宋体" w:hAnsi="宋体" w:cs="宋体" w:eastAsia="宋体" w:hint="default"/>
          <w:sz w:val="21"/>
          <w:szCs w:val="21"/>
        </w:rPr>
      </w:pPr>
      <w:r>
        <w:rPr>
          <w:rFonts w:ascii="宋体" w:hAnsi="宋体" w:cs="宋体" w:eastAsia="宋体" w:hint="default"/>
          <w:sz w:val="21"/>
          <w:szCs w:val="21"/>
        </w:rPr>
        <w:t>经营范围：</w:t>
      </w:r>
      <w:r>
        <w:rPr>
          <w:rFonts w:ascii="宋体" w:hAnsi="宋体" w:cs="宋体" w:eastAsia="宋体" w:hint="default"/>
          <w:spacing w:val="20"/>
          <w:sz w:val="21"/>
          <w:szCs w:val="21"/>
        </w:rPr>
        <w:t> </w:t>
      </w:r>
      <w:r>
        <w:rPr>
          <w:rFonts w:ascii="宋体" w:hAnsi="宋体" w:cs="宋体" w:eastAsia="宋体" w:hint="default"/>
          <w:spacing w:val="-3"/>
          <w:sz w:val="21"/>
          <w:szCs w:val="21"/>
        </w:rPr>
        <w:t>在济南市历城区人民政府授权范围内，依据产权关系经营国有工业资产。</w:t>
      </w:r>
      <w:r>
        <w:rPr>
          <w:rFonts w:ascii="宋体" w:hAnsi="宋体" w:cs="宋体" w:eastAsia="宋体" w:hint="default"/>
          <w:sz w:val="21"/>
          <w:szCs w:val="21"/>
        </w:rPr>
        <w:t> 2、浪潮电子信息产业股份有限公司</w:t>
      </w:r>
    </w:p>
    <w:p>
      <w:pPr>
        <w:tabs>
          <w:tab w:pos="1817" w:val="left" w:leader="none"/>
        </w:tabs>
        <w:spacing w:line="357" w:lineRule="auto" w:before="30"/>
        <w:ind w:left="557" w:right="5314" w:firstLine="0"/>
        <w:jc w:val="left"/>
        <w:rPr>
          <w:rFonts w:ascii="宋体" w:hAnsi="宋体" w:cs="宋体" w:eastAsia="宋体" w:hint="default"/>
          <w:sz w:val="21"/>
          <w:szCs w:val="21"/>
        </w:rPr>
      </w:pPr>
      <w:r>
        <w:rPr>
          <w:rFonts w:ascii="宋体" w:hAnsi="宋体" w:cs="宋体" w:eastAsia="宋体" w:hint="default"/>
          <w:sz w:val="21"/>
          <w:szCs w:val="21"/>
        </w:rPr>
        <w:t>成立日期：</w:t>
        <w:tab/>
        <w:t>1998年10月28日 法定代表人： 孙丕恕 注册资本：</w:t>
        <w:tab/>
        <w:t>21,500万元</w:t>
      </w:r>
    </w:p>
    <w:p>
      <w:pPr>
        <w:spacing w:line="357" w:lineRule="auto" w:before="31"/>
        <w:ind w:left="137" w:right="230" w:firstLine="420"/>
        <w:jc w:val="both"/>
        <w:rPr>
          <w:rFonts w:ascii="宋体" w:hAnsi="宋体" w:cs="宋体" w:eastAsia="宋体" w:hint="default"/>
          <w:sz w:val="21"/>
          <w:szCs w:val="21"/>
        </w:rPr>
      </w:pPr>
      <w:r>
        <w:rPr>
          <w:rFonts w:ascii="宋体" w:hAnsi="宋体" w:cs="宋体" w:eastAsia="宋体" w:hint="default"/>
          <w:spacing w:val="-5"/>
          <w:sz w:val="21"/>
          <w:szCs w:val="21"/>
        </w:rPr>
        <w:t>经营范围：计算机及软件、电子产品及其他通信设备（不含无线电发射设备）、商业机</w:t>
      </w:r>
      <w:r>
        <w:rPr>
          <w:rFonts w:ascii="宋体" w:hAnsi="宋体" w:cs="宋体" w:eastAsia="宋体" w:hint="default"/>
          <w:sz w:val="21"/>
          <w:szCs w:val="21"/>
        </w:rPr>
        <w:t> 具、电子工业用控制设备、空调数控装置、电子计时器、电控玩具、教学用具的开发、生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产、销售；技术信息服务、计算机租赁业务；电器设备的安装与维修及技术服务；批准范</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围内的自营进出口业务，房屋租赁。</w:t>
      </w:r>
    </w:p>
    <w:p>
      <w:pPr>
        <w:tabs>
          <w:tab w:pos="1936" w:val="left" w:leader="none"/>
        </w:tabs>
        <w:spacing w:line="357" w:lineRule="auto" w:before="30"/>
        <w:ind w:left="676" w:right="4940" w:hanging="59"/>
        <w:jc w:val="left"/>
        <w:rPr>
          <w:rFonts w:ascii="宋体" w:hAnsi="宋体" w:cs="宋体" w:eastAsia="宋体" w:hint="default"/>
          <w:sz w:val="21"/>
          <w:szCs w:val="21"/>
        </w:rPr>
      </w:pPr>
      <w:r>
        <w:rPr>
          <w:rFonts w:ascii="宋体" w:hAnsi="宋体" w:cs="宋体" w:eastAsia="宋体" w:hint="default"/>
          <w:sz w:val="21"/>
          <w:szCs w:val="21"/>
        </w:rPr>
        <w:t>3、北京中嘉华投资咨询有限公司 成立日期：</w:t>
        <w:tab/>
        <w:t>2001年12月28日 法定代表人：石林</w:t>
      </w:r>
    </w:p>
    <w:p>
      <w:pPr>
        <w:tabs>
          <w:tab w:pos="1936" w:val="left" w:leader="none"/>
        </w:tabs>
        <w:spacing w:before="31"/>
        <w:ind w:left="676" w:right="0" w:firstLine="0"/>
        <w:jc w:val="left"/>
        <w:rPr>
          <w:rFonts w:ascii="宋体" w:hAnsi="宋体" w:cs="宋体" w:eastAsia="宋体" w:hint="default"/>
          <w:sz w:val="21"/>
          <w:szCs w:val="21"/>
        </w:rPr>
      </w:pPr>
      <w:r>
        <w:rPr>
          <w:rFonts w:ascii="宋体" w:hAnsi="宋体" w:cs="宋体" w:eastAsia="宋体" w:hint="default"/>
          <w:sz w:val="21"/>
          <w:szCs w:val="21"/>
        </w:rPr>
        <w:t>注册资本：</w:t>
        <w:tab/>
        <w:t>816万元</w:t>
      </w:r>
    </w:p>
    <w:p>
      <w:pPr>
        <w:tabs>
          <w:tab w:pos="1936" w:val="left" w:leader="none"/>
        </w:tabs>
        <w:spacing w:before="133"/>
        <w:ind w:left="676" w:right="0" w:firstLine="0"/>
        <w:jc w:val="left"/>
        <w:rPr>
          <w:rFonts w:ascii="宋体" w:hAnsi="宋体" w:cs="宋体" w:eastAsia="宋体" w:hint="default"/>
          <w:sz w:val="21"/>
          <w:szCs w:val="21"/>
        </w:rPr>
      </w:pPr>
      <w:r>
        <w:rPr>
          <w:rFonts w:ascii="宋体" w:hAnsi="宋体" w:cs="宋体" w:eastAsia="宋体" w:hint="default"/>
          <w:sz w:val="21"/>
          <w:szCs w:val="21"/>
        </w:rPr>
        <w:t>经营范围：</w:t>
        <w:tab/>
        <w:t>投资咨询、管理咨询；销售办公设备、计算机及外部设备、电子产品、</w:t>
      </w:r>
    </w:p>
    <w:p>
      <w:pPr>
        <w:spacing w:after="0"/>
        <w:jc w:val="left"/>
        <w:rPr>
          <w:rFonts w:ascii="宋体" w:hAnsi="宋体" w:cs="宋体" w:eastAsia="宋体" w:hint="default"/>
          <w:sz w:val="21"/>
          <w:szCs w:val="21"/>
        </w:rPr>
        <w:sectPr>
          <w:pgSz w:w="11910" w:h="16840"/>
          <w:pgMar w:header="915" w:footer="1712" w:top="1100" w:bottom="1900" w:left="1660" w:right="1640"/>
        </w:sectPr>
      </w:pPr>
    </w:p>
    <w:p>
      <w:pPr>
        <w:spacing w:before="18"/>
        <w:ind w:left="137" w:right="0"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540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z w:val="21"/>
          <w:szCs w:val="21"/>
        </w:rPr>
        <w:t>日用百货、五金交电、印刷器材、纸张。</w:t>
      </w:r>
    </w:p>
    <w:p>
      <w:pPr>
        <w:spacing w:after="0"/>
        <w:jc w:val="left"/>
        <w:rPr>
          <w:rFonts w:ascii="宋体" w:hAnsi="宋体" w:cs="宋体" w:eastAsia="宋体" w:hint="default"/>
          <w:sz w:val="21"/>
          <w:szCs w:val="21"/>
        </w:rPr>
        <w:sectPr>
          <w:pgSz w:w="11910" w:h="16840"/>
          <w:pgMar w:header="915" w:footer="1712" w:top="1100" w:bottom="1900" w:left="1660" w:right="1640"/>
        </w:sectPr>
      </w:pPr>
    </w:p>
    <w:p>
      <w:pPr>
        <w:spacing w:before="18"/>
        <w:ind w:left="217" w:right="219"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5384"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b/>
          <w:bCs/>
          <w:sz w:val="21"/>
          <w:szCs w:val="21"/>
        </w:rPr>
        <w:t>（五）</w:t>
      </w:r>
      <w:r>
        <w:rPr>
          <w:rFonts w:ascii="宋体" w:hAnsi="宋体" w:cs="宋体" w:eastAsia="宋体" w:hint="default"/>
          <w:b/>
          <w:bCs/>
          <w:spacing w:val="-7"/>
          <w:sz w:val="21"/>
          <w:szCs w:val="21"/>
        </w:rPr>
        <w:t> </w:t>
      </w:r>
      <w:r>
        <w:rPr>
          <w:rFonts w:ascii="宋体" w:hAnsi="宋体" w:cs="宋体" w:eastAsia="宋体" w:hint="default"/>
          <w:b/>
          <w:bCs/>
          <w:sz w:val="21"/>
          <w:szCs w:val="21"/>
        </w:rPr>
        <w:t>有限售条件股东持股数量及限售条件（单位：股）</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104" w:type="dxa"/>
        <w:tblLayout w:type="fixed"/>
        <w:tblCellMar>
          <w:top w:w="0" w:type="dxa"/>
          <w:left w:w="0" w:type="dxa"/>
          <w:bottom w:w="0" w:type="dxa"/>
          <w:right w:w="0" w:type="dxa"/>
        </w:tblCellMar>
        <w:tblLook w:val="01E0"/>
      </w:tblPr>
      <w:tblGrid>
        <w:gridCol w:w="816"/>
        <w:gridCol w:w="2464"/>
        <w:gridCol w:w="1621"/>
        <w:gridCol w:w="1706"/>
        <w:gridCol w:w="1921"/>
      </w:tblGrid>
      <w:tr>
        <w:trPr>
          <w:trHeight w:val="556"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06"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持有限售条件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5"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香港喜多来集团有限公</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38950000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自上市之日起锁定</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z w:val="21"/>
                <w:szCs w:val="21"/>
              </w:rPr>
              <w:t>个月</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浪潮电子信息产业股份</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16400000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自上市之日起锁定</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个月</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3</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5" w:right="-4"/>
              <w:jc w:val="left"/>
              <w:rPr>
                <w:rFonts w:ascii="宋体" w:hAnsi="宋体" w:cs="宋体" w:eastAsia="宋体" w:hint="default"/>
                <w:sz w:val="21"/>
                <w:szCs w:val="21"/>
              </w:rPr>
            </w:pPr>
            <w:r>
              <w:rPr>
                <w:rFonts w:ascii="宋体" w:hAnsi="宋体" w:cs="宋体" w:eastAsia="宋体" w:hint="default"/>
                <w:sz w:val="21"/>
                <w:szCs w:val="21"/>
              </w:rPr>
              <w:t>济南发展国有工业资产经</w:t>
            </w:r>
          </w:p>
          <w:p>
            <w:pPr>
              <w:pStyle w:val="TableParagraph"/>
              <w:spacing w:line="274" w:lineRule="exact"/>
              <w:ind w:left="125" w:right="0"/>
              <w:jc w:val="left"/>
              <w:rPr>
                <w:rFonts w:ascii="宋体" w:hAnsi="宋体" w:cs="宋体" w:eastAsia="宋体" w:hint="default"/>
                <w:sz w:val="21"/>
                <w:szCs w:val="21"/>
              </w:rPr>
            </w:pPr>
            <w:r>
              <w:rPr>
                <w:rFonts w:ascii="宋体" w:hAnsi="宋体" w:cs="宋体" w:eastAsia="宋体" w:hint="default"/>
                <w:sz w:val="21"/>
                <w:szCs w:val="21"/>
              </w:rPr>
              <w:t>营有限公司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11480000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自上市之日起锁定</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个月</w:t>
            </w:r>
          </w:p>
        </w:tc>
      </w:tr>
      <w:tr>
        <w:trPr>
          <w:trHeight w:val="554"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5" w:right="-4"/>
              <w:jc w:val="left"/>
              <w:rPr>
                <w:rFonts w:ascii="宋体" w:hAnsi="宋体" w:cs="宋体" w:eastAsia="宋体" w:hint="default"/>
                <w:sz w:val="21"/>
                <w:szCs w:val="21"/>
              </w:rPr>
            </w:pPr>
            <w:r>
              <w:rPr>
                <w:rFonts w:ascii="宋体"/>
                <w:spacing w:val="-4"/>
                <w:sz w:val="21"/>
              </w:rPr>
              <w:t>Rich  River</w:t>
            </w:r>
            <w:r>
              <w:rPr>
                <w:rFonts w:ascii="宋体"/>
                <w:spacing w:val="2"/>
                <w:sz w:val="21"/>
              </w:rPr>
              <w:t> </w:t>
            </w:r>
            <w:r>
              <w:rPr>
                <w:rFonts w:ascii="宋体"/>
                <w:spacing w:val="-5"/>
                <w:sz w:val="21"/>
              </w:rPr>
              <w:t>Investments</w:t>
            </w:r>
            <w:r>
              <w:rPr>
                <w:rFonts w:ascii="宋体"/>
                <w:sz w:val="21"/>
              </w:rPr>
            </w:r>
          </w:p>
          <w:p>
            <w:pPr>
              <w:pStyle w:val="TableParagraph"/>
              <w:spacing w:line="274" w:lineRule="exact"/>
              <w:ind w:left="125" w:right="0"/>
              <w:jc w:val="left"/>
              <w:rPr>
                <w:rFonts w:ascii="宋体" w:hAnsi="宋体" w:cs="宋体" w:eastAsia="宋体" w:hint="default"/>
                <w:sz w:val="21"/>
                <w:szCs w:val="21"/>
              </w:rPr>
            </w:pPr>
            <w:r>
              <w:rPr>
                <w:rFonts w:ascii="宋体"/>
                <w:spacing w:val="-5"/>
                <w:sz w:val="21"/>
              </w:rPr>
              <w:t>Limited</w:t>
            </w:r>
            <w:r>
              <w:rPr>
                <w:rFonts w:ascii="宋体"/>
                <w:sz w:val="21"/>
              </w:rPr>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1230000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自上市之日起锁定</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个月</w:t>
            </w:r>
          </w:p>
        </w:tc>
      </w:tr>
      <w:tr>
        <w:trPr>
          <w:trHeight w:val="556"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北京中嘉华投资咨询有</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13940000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自上市之日起锁定</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个月</w:t>
            </w:r>
          </w:p>
        </w:tc>
      </w:tr>
    </w:tbl>
    <w:p>
      <w:pPr>
        <w:spacing w:after="0" w:line="274" w:lineRule="exact"/>
        <w:jc w:val="left"/>
        <w:rPr>
          <w:rFonts w:ascii="宋体" w:hAnsi="宋体" w:cs="宋体" w:eastAsia="宋体" w:hint="default"/>
          <w:sz w:val="21"/>
          <w:szCs w:val="21"/>
        </w:rPr>
        <w:sectPr>
          <w:pgSz w:w="11910" w:h="16840"/>
          <w:pgMar w:header="915" w:footer="1712" w:top="1100" w:bottom="1900" w:left="1580" w:right="1560"/>
        </w:sectPr>
      </w:pPr>
    </w:p>
    <w:p>
      <w:pPr>
        <w:spacing w:line="240" w:lineRule="auto" w:before="3"/>
        <w:rPr>
          <w:rFonts w:ascii="宋体" w:hAnsi="宋体" w:cs="宋体" w:eastAsia="宋体" w:hint="default"/>
          <w:b/>
          <w:bCs/>
          <w:sz w:val="27"/>
          <w:szCs w:val="27"/>
        </w:rPr>
      </w:pPr>
      <w:r>
        <w:rPr/>
        <w:pict>
          <v:group style="position:absolute;margin-left:88.019981pt;margin-top:41.999668pt;width:419.35pt;height:16.4pt;mso-position-horizontal-relative:page;mso-position-vertical-relative:page;z-index:140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p>
    <w:p>
      <w:pPr>
        <w:pStyle w:val="Heading1"/>
        <w:tabs>
          <w:tab w:pos="2492" w:val="left" w:leader="none"/>
        </w:tabs>
        <w:spacing w:line="240" w:lineRule="auto"/>
        <w:ind w:left="1135" w:right="1035"/>
        <w:jc w:val="left"/>
        <w:rPr>
          <w:b w:val="0"/>
          <w:bCs w:val="0"/>
        </w:rPr>
      </w:pPr>
      <w:bookmarkStart w:name="_TOC_250007" w:id="4"/>
      <w:r>
        <w:rPr>
          <w:w w:val="95"/>
        </w:rPr>
        <w:t>第四节</w:t>
        <w:tab/>
      </w:r>
      <w:r>
        <w:rPr/>
        <w:t>董事、监事、高级管理人员和员工情况</w:t>
      </w:r>
      <w:bookmarkEnd w:id="4"/>
      <w:r>
        <w:rPr>
          <w:b w:val="0"/>
          <w:bCs w:val="0"/>
        </w:rPr>
      </w:r>
    </w:p>
    <w:p>
      <w:pPr>
        <w:spacing w:line="240" w:lineRule="auto" w:before="0"/>
        <w:rPr>
          <w:rFonts w:ascii="宋体" w:hAnsi="宋体" w:cs="宋体" w:eastAsia="宋体" w:hint="default"/>
          <w:b/>
          <w:bCs/>
          <w:sz w:val="30"/>
          <w:szCs w:val="30"/>
        </w:rPr>
      </w:pPr>
    </w:p>
    <w:p>
      <w:pPr>
        <w:spacing w:before="222"/>
        <w:ind w:left="217" w:right="1035" w:firstLine="0"/>
        <w:jc w:val="left"/>
        <w:rPr>
          <w:rFonts w:ascii="宋体" w:hAnsi="宋体" w:cs="宋体" w:eastAsia="宋体" w:hint="default"/>
          <w:sz w:val="21"/>
          <w:szCs w:val="21"/>
        </w:rPr>
      </w:pPr>
      <w:r>
        <w:rPr>
          <w:rFonts w:ascii="宋体" w:hAnsi="宋体" w:cs="宋体" w:eastAsia="宋体" w:hint="default"/>
          <w:b/>
          <w:bCs/>
          <w:sz w:val="21"/>
          <w:szCs w:val="21"/>
        </w:rPr>
        <w:t>一、董事、监事和高级管理人员情况</w:t>
      </w:r>
      <w:r>
        <w:rPr>
          <w:rFonts w:ascii="宋体" w:hAnsi="宋体" w:cs="宋体" w:eastAsia="宋体" w:hint="default"/>
          <w:sz w:val="21"/>
          <w:szCs w:val="21"/>
        </w:rPr>
      </w:r>
    </w:p>
    <w:p>
      <w:pPr>
        <w:spacing w:line="355" w:lineRule="auto" w:before="133"/>
        <w:ind w:left="637" w:right="2837" w:hanging="420"/>
        <w:jc w:val="left"/>
        <w:rPr>
          <w:rFonts w:ascii="宋体" w:hAnsi="宋体" w:cs="宋体" w:eastAsia="宋体" w:hint="default"/>
          <w:sz w:val="21"/>
          <w:szCs w:val="21"/>
        </w:rPr>
      </w:pPr>
      <w:r>
        <w:rPr>
          <w:rFonts w:ascii="宋体" w:hAnsi="宋体" w:cs="宋体" w:eastAsia="宋体" w:hint="default"/>
          <w:b/>
          <w:bCs/>
          <w:sz w:val="21"/>
          <w:szCs w:val="21"/>
        </w:rPr>
        <w:t>（一）基本情况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董事、监事和高级管理人员任职及持股情况（单位：股）</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026"/>
        <w:gridCol w:w="1446"/>
        <w:gridCol w:w="706"/>
        <w:gridCol w:w="736"/>
        <w:gridCol w:w="2210"/>
        <w:gridCol w:w="1156"/>
        <w:gridCol w:w="1246"/>
      </w:tblGrid>
      <w:tr>
        <w:trPr>
          <w:trHeight w:val="282" w:hRule="exact"/>
        </w:trPr>
        <w:tc>
          <w:tcPr>
            <w:tcW w:w="102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4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7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7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221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任职起止日期</w:t>
            </w:r>
          </w:p>
        </w:tc>
        <w:tc>
          <w:tcPr>
            <w:tcW w:w="11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exact"/>
              <w:ind w:left="38" w:right="0"/>
              <w:jc w:val="center"/>
              <w:rPr>
                <w:rFonts w:ascii="宋体" w:hAnsi="宋体" w:cs="宋体" w:eastAsia="宋体" w:hint="default"/>
                <w:sz w:val="21"/>
                <w:szCs w:val="21"/>
              </w:rPr>
            </w:pPr>
            <w:r>
              <w:rPr>
                <w:rFonts w:ascii="宋体" w:hAnsi="宋体" w:cs="宋体" w:eastAsia="宋体" w:hint="default"/>
                <w:sz w:val="21"/>
                <w:szCs w:val="21"/>
              </w:rPr>
              <w:t>年初持股数</w:t>
            </w:r>
          </w:p>
        </w:tc>
        <w:tc>
          <w:tcPr>
            <w:tcW w:w="12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exact"/>
              <w:ind w:left="39" w:right="0"/>
              <w:jc w:val="center"/>
              <w:rPr>
                <w:rFonts w:ascii="宋体" w:hAnsi="宋体" w:cs="宋体" w:eastAsia="宋体" w:hint="default"/>
                <w:sz w:val="21"/>
                <w:szCs w:val="21"/>
              </w:rPr>
            </w:pPr>
            <w:r>
              <w:rPr>
                <w:rFonts w:ascii="宋体" w:hAnsi="宋体" w:cs="宋体" w:eastAsia="宋体" w:hint="default"/>
                <w:sz w:val="21"/>
                <w:szCs w:val="21"/>
              </w:rPr>
              <w:t>年末持股数</w:t>
            </w:r>
          </w:p>
        </w:tc>
      </w:tr>
      <w:tr>
        <w:trPr>
          <w:trHeight w:val="554"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谷望江</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61</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3"/>
              <w:jc w:val="right"/>
              <w:rPr>
                <w:rFonts w:ascii="宋体" w:hAnsi="宋体" w:cs="宋体" w:eastAsia="宋体" w:hint="default"/>
                <w:sz w:val="21"/>
                <w:szCs w:val="21"/>
              </w:rPr>
            </w:pPr>
            <w:r>
              <w:rPr>
                <w:rFonts w:ascii="宋体"/>
                <w:sz w:val="21"/>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1" w:right="0" w:firstLine="1"/>
              <w:jc w:val="left"/>
              <w:rPr>
                <w:rFonts w:ascii="宋体" w:hAnsi="宋体" w:cs="宋体" w:eastAsia="宋体" w:hint="default"/>
                <w:sz w:val="21"/>
                <w:szCs w:val="21"/>
              </w:rPr>
            </w:pPr>
            <w:r>
              <w:rPr>
                <w:rFonts w:ascii="宋体" w:hAnsi="宋体" w:cs="宋体" w:eastAsia="宋体" w:hint="default"/>
                <w:sz w:val="21"/>
                <w:szCs w:val="21"/>
              </w:rPr>
              <w:t>间接持有</w:t>
            </w:r>
          </w:p>
          <w:p>
            <w:pPr>
              <w:pStyle w:val="TableParagraph"/>
              <w:spacing w:line="274" w:lineRule="exact"/>
              <w:ind w:left="151" w:right="0"/>
              <w:jc w:val="left"/>
              <w:rPr>
                <w:rFonts w:ascii="宋体" w:hAnsi="宋体" w:cs="宋体" w:eastAsia="宋体" w:hint="default"/>
                <w:sz w:val="21"/>
                <w:szCs w:val="21"/>
              </w:rPr>
            </w:pPr>
            <w:r>
              <w:rPr>
                <w:rFonts w:ascii="宋体"/>
                <w:sz w:val="21"/>
              </w:rPr>
              <w:t>38950000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6" w:right="0" w:firstLine="1"/>
              <w:jc w:val="left"/>
              <w:rPr>
                <w:rFonts w:ascii="宋体" w:hAnsi="宋体" w:cs="宋体" w:eastAsia="宋体" w:hint="default"/>
                <w:sz w:val="21"/>
                <w:szCs w:val="21"/>
              </w:rPr>
            </w:pPr>
            <w:r>
              <w:rPr>
                <w:rFonts w:ascii="宋体" w:hAnsi="宋体" w:cs="宋体" w:eastAsia="宋体" w:hint="default"/>
                <w:sz w:val="21"/>
                <w:szCs w:val="21"/>
              </w:rPr>
              <w:t>间接持有</w:t>
            </w:r>
          </w:p>
          <w:p>
            <w:pPr>
              <w:pStyle w:val="TableParagraph"/>
              <w:spacing w:line="274" w:lineRule="exact"/>
              <w:ind w:left="196" w:right="0"/>
              <w:jc w:val="left"/>
              <w:rPr>
                <w:rFonts w:ascii="宋体" w:hAnsi="宋体" w:cs="宋体" w:eastAsia="宋体" w:hint="default"/>
                <w:sz w:val="21"/>
                <w:szCs w:val="21"/>
              </w:rPr>
            </w:pPr>
            <w:r>
              <w:rPr>
                <w:rFonts w:ascii="宋体"/>
                <w:sz w:val="21"/>
              </w:rPr>
              <w:t>38950000</w:t>
            </w:r>
          </w:p>
        </w:tc>
      </w:tr>
      <w:tr>
        <w:trPr>
          <w:trHeight w:val="283"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王爱先</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62</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1"/>
              <w:jc w:val="right"/>
              <w:rPr>
                <w:rFonts w:ascii="宋体" w:hAnsi="宋体" w:cs="宋体" w:eastAsia="宋体" w:hint="default"/>
                <w:sz w:val="21"/>
                <w:szCs w:val="21"/>
              </w:rPr>
            </w:pPr>
            <w:r>
              <w:rPr>
                <w:rFonts w:ascii="宋体"/>
                <w:sz w:val="21"/>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w:t>
            </w:r>
          </w:p>
        </w:tc>
      </w:tr>
      <w:tr>
        <w:trPr>
          <w:trHeight w:val="282"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张春太</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79</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1"/>
              <w:jc w:val="right"/>
              <w:rPr>
                <w:rFonts w:ascii="宋体" w:hAnsi="宋体" w:cs="宋体" w:eastAsia="宋体" w:hint="default"/>
                <w:sz w:val="21"/>
                <w:szCs w:val="21"/>
              </w:rPr>
            </w:pPr>
            <w:r>
              <w:rPr>
                <w:rFonts w:ascii="宋体"/>
                <w:sz w:val="21"/>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w:t>
            </w:r>
          </w:p>
        </w:tc>
      </w:tr>
      <w:tr>
        <w:trPr>
          <w:trHeight w:val="554"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石</w:t>
              <w:tab/>
              <w:t>林</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62</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2"/>
              <w:jc w:val="right"/>
              <w:rPr>
                <w:rFonts w:ascii="宋体" w:hAnsi="宋体" w:cs="宋体" w:eastAsia="宋体" w:hint="default"/>
                <w:sz w:val="21"/>
                <w:szCs w:val="21"/>
              </w:rPr>
            </w:pPr>
            <w:r>
              <w:rPr>
                <w:rFonts w:ascii="宋体"/>
                <w:spacing w:val="-1"/>
                <w:sz w:val="21"/>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3" w:right="0" w:hanging="52"/>
              <w:jc w:val="left"/>
              <w:rPr>
                <w:rFonts w:ascii="宋体" w:hAnsi="宋体" w:cs="宋体" w:eastAsia="宋体" w:hint="default"/>
                <w:sz w:val="21"/>
                <w:szCs w:val="21"/>
              </w:rPr>
            </w:pPr>
            <w:r>
              <w:rPr>
                <w:rFonts w:ascii="宋体" w:hAnsi="宋体" w:cs="宋体" w:eastAsia="宋体" w:hint="default"/>
                <w:sz w:val="21"/>
                <w:szCs w:val="21"/>
              </w:rPr>
              <w:t>间接持有</w:t>
            </w:r>
          </w:p>
          <w:p>
            <w:pPr>
              <w:pStyle w:val="TableParagraph"/>
              <w:spacing w:line="274" w:lineRule="exact"/>
              <w:ind w:left="203" w:right="0"/>
              <w:jc w:val="left"/>
              <w:rPr>
                <w:rFonts w:ascii="宋体" w:hAnsi="宋体" w:cs="宋体" w:eastAsia="宋体" w:hint="default"/>
                <w:sz w:val="21"/>
                <w:szCs w:val="21"/>
              </w:rPr>
            </w:pPr>
            <w:r>
              <w:rPr>
                <w:rFonts w:ascii="宋体"/>
                <w:sz w:val="21"/>
              </w:rPr>
              <w:t>1230000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9" w:right="0" w:hanging="52"/>
              <w:jc w:val="left"/>
              <w:rPr>
                <w:rFonts w:ascii="宋体" w:hAnsi="宋体" w:cs="宋体" w:eastAsia="宋体" w:hint="default"/>
                <w:sz w:val="21"/>
                <w:szCs w:val="21"/>
              </w:rPr>
            </w:pPr>
            <w:r>
              <w:rPr>
                <w:rFonts w:ascii="宋体" w:hAnsi="宋体" w:cs="宋体" w:eastAsia="宋体" w:hint="default"/>
                <w:sz w:val="21"/>
                <w:szCs w:val="21"/>
              </w:rPr>
              <w:t>间接持有</w:t>
            </w:r>
          </w:p>
          <w:p>
            <w:pPr>
              <w:pStyle w:val="TableParagraph"/>
              <w:spacing w:line="274" w:lineRule="exact"/>
              <w:ind w:left="249" w:right="0"/>
              <w:jc w:val="left"/>
              <w:rPr>
                <w:rFonts w:ascii="宋体" w:hAnsi="宋体" w:cs="宋体" w:eastAsia="宋体" w:hint="default"/>
                <w:sz w:val="21"/>
                <w:szCs w:val="21"/>
              </w:rPr>
            </w:pPr>
            <w:r>
              <w:rPr>
                <w:rFonts w:ascii="宋体"/>
                <w:sz w:val="21"/>
              </w:rPr>
              <w:t>1230000</w:t>
            </w:r>
          </w:p>
        </w:tc>
      </w:tr>
      <w:tr>
        <w:trPr>
          <w:trHeight w:val="554"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史建中</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tabs>
                <w:tab w:pos="822" w:val="left" w:leader="none"/>
              </w:tabs>
              <w:spacing w:line="238" w:lineRule="exact"/>
              <w:ind w:left="403" w:right="0" w:hanging="2"/>
              <w:jc w:val="left"/>
              <w:rPr>
                <w:rFonts w:ascii="宋体" w:hAnsi="宋体" w:cs="宋体" w:eastAsia="宋体" w:hint="default"/>
                <w:sz w:val="21"/>
                <w:szCs w:val="21"/>
              </w:rPr>
            </w:pPr>
            <w:r>
              <w:rPr>
                <w:rFonts w:ascii="宋体" w:hAnsi="宋体" w:cs="宋体" w:eastAsia="宋体" w:hint="default"/>
                <w:sz w:val="21"/>
                <w:szCs w:val="21"/>
              </w:rPr>
              <w:t>董</w:t>
              <w:tab/>
              <w:t>事</w:t>
            </w:r>
          </w:p>
          <w:p>
            <w:pPr>
              <w:pStyle w:val="TableParagraph"/>
              <w:spacing w:line="274" w:lineRule="exact"/>
              <w:ind w:left="4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45</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3"/>
              <w:jc w:val="right"/>
              <w:rPr>
                <w:rFonts w:ascii="宋体" w:hAnsi="宋体" w:cs="宋体" w:eastAsia="宋体" w:hint="default"/>
                <w:sz w:val="21"/>
                <w:szCs w:val="21"/>
              </w:rPr>
            </w:pPr>
            <w:r>
              <w:rPr>
                <w:rFonts w:ascii="宋体"/>
                <w:spacing w:val="-1"/>
                <w:sz w:val="21"/>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3" w:right="0" w:hanging="52"/>
              <w:jc w:val="left"/>
              <w:rPr>
                <w:rFonts w:ascii="宋体" w:hAnsi="宋体" w:cs="宋体" w:eastAsia="宋体" w:hint="default"/>
                <w:sz w:val="21"/>
                <w:szCs w:val="21"/>
              </w:rPr>
            </w:pPr>
            <w:r>
              <w:rPr>
                <w:rFonts w:ascii="宋体" w:hAnsi="宋体" w:cs="宋体" w:eastAsia="宋体" w:hint="default"/>
                <w:sz w:val="21"/>
                <w:szCs w:val="21"/>
              </w:rPr>
              <w:t>间接持有</w:t>
            </w:r>
          </w:p>
          <w:p>
            <w:pPr>
              <w:pStyle w:val="TableParagraph"/>
              <w:spacing w:line="274" w:lineRule="exact"/>
              <w:ind w:left="203" w:right="0"/>
              <w:jc w:val="left"/>
              <w:rPr>
                <w:rFonts w:ascii="宋体" w:hAnsi="宋体" w:cs="宋体" w:eastAsia="宋体" w:hint="default"/>
                <w:sz w:val="21"/>
                <w:szCs w:val="21"/>
              </w:rPr>
            </w:pPr>
            <w:r>
              <w:rPr>
                <w:rFonts w:ascii="宋体"/>
                <w:sz w:val="21"/>
              </w:rPr>
              <w:t>3280000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9" w:right="0" w:hanging="52"/>
              <w:jc w:val="left"/>
              <w:rPr>
                <w:rFonts w:ascii="宋体" w:hAnsi="宋体" w:cs="宋体" w:eastAsia="宋体" w:hint="default"/>
                <w:sz w:val="21"/>
                <w:szCs w:val="21"/>
              </w:rPr>
            </w:pPr>
            <w:r>
              <w:rPr>
                <w:rFonts w:ascii="宋体" w:hAnsi="宋体" w:cs="宋体" w:eastAsia="宋体" w:hint="default"/>
                <w:sz w:val="21"/>
                <w:szCs w:val="21"/>
              </w:rPr>
              <w:t>间接持有</w:t>
            </w:r>
          </w:p>
          <w:p>
            <w:pPr>
              <w:pStyle w:val="TableParagraph"/>
              <w:spacing w:line="274" w:lineRule="exact"/>
              <w:ind w:left="249" w:right="0"/>
              <w:jc w:val="left"/>
              <w:rPr>
                <w:rFonts w:ascii="宋体" w:hAnsi="宋体" w:cs="宋体" w:eastAsia="宋体" w:hint="default"/>
                <w:sz w:val="21"/>
                <w:szCs w:val="21"/>
              </w:rPr>
            </w:pPr>
            <w:r>
              <w:rPr>
                <w:rFonts w:ascii="宋体"/>
                <w:sz w:val="21"/>
              </w:rPr>
              <w:t>3280000</w:t>
            </w:r>
          </w:p>
        </w:tc>
      </w:tr>
      <w:tr>
        <w:trPr>
          <w:trHeight w:val="283"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武文祥</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74</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1"/>
              <w:jc w:val="right"/>
              <w:rPr>
                <w:rFonts w:ascii="宋体" w:hAnsi="宋体" w:cs="宋体" w:eastAsia="宋体" w:hint="default"/>
                <w:sz w:val="21"/>
                <w:szCs w:val="21"/>
              </w:rPr>
            </w:pPr>
            <w:r>
              <w:rPr>
                <w:rFonts w:ascii="宋体"/>
                <w:sz w:val="21"/>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w:t>
            </w:r>
          </w:p>
        </w:tc>
      </w:tr>
      <w:tr>
        <w:trPr>
          <w:trHeight w:val="282"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王桂森</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61</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2008.1.26-2009.3.31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0</w:t>
            </w:r>
          </w:p>
        </w:tc>
      </w:tr>
      <w:tr>
        <w:trPr>
          <w:trHeight w:val="282"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刘洪渭</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46</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1"/>
              <w:jc w:val="right"/>
              <w:rPr>
                <w:rFonts w:ascii="宋体" w:hAnsi="宋体" w:cs="宋体" w:eastAsia="宋体" w:hint="default"/>
                <w:sz w:val="21"/>
                <w:szCs w:val="21"/>
              </w:rPr>
            </w:pPr>
            <w:r>
              <w:rPr>
                <w:rFonts w:ascii="宋体"/>
                <w:sz w:val="21"/>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w:t>
            </w:r>
          </w:p>
        </w:tc>
      </w:tr>
      <w:tr>
        <w:trPr>
          <w:trHeight w:val="283"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王化文</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56</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1"/>
              <w:jc w:val="right"/>
              <w:rPr>
                <w:rFonts w:ascii="宋体" w:hAnsi="宋体" w:cs="宋体" w:eastAsia="宋体" w:hint="default"/>
                <w:sz w:val="21"/>
                <w:szCs w:val="21"/>
              </w:rPr>
            </w:pPr>
            <w:r>
              <w:rPr>
                <w:rFonts w:ascii="宋体"/>
                <w:sz w:val="21"/>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w:t>
            </w:r>
          </w:p>
        </w:tc>
      </w:tr>
      <w:tr>
        <w:trPr>
          <w:trHeight w:val="282"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李保政</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监</w:t>
              <w:tab/>
              <w:t>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sz w:val="21"/>
              </w:rPr>
              <w:t>33</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1"/>
              <w:jc w:val="right"/>
              <w:rPr>
                <w:rFonts w:ascii="宋体" w:hAnsi="宋体" w:cs="宋体" w:eastAsia="宋体" w:hint="default"/>
                <w:sz w:val="21"/>
                <w:szCs w:val="21"/>
              </w:rPr>
            </w:pPr>
            <w:r>
              <w:rPr>
                <w:rFonts w:ascii="宋体"/>
                <w:sz w:val="21"/>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0</w:t>
            </w:r>
          </w:p>
        </w:tc>
      </w:tr>
      <w:tr>
        <w:trPr>
          <w:trHeight w:val="282"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孙</w:t>
              <w:tab/>
              <w:t>敬</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监</w:t>
              <w:tab/>
              <w:t>事</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46</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2"/>
              <w:jc w:val="right"/>
              <w:rPr>
                <w:rFonts w:ascii="宋体" w:hAnsi="宋体" w:cs="宋体" w:eastAsia="宋体" w:hint="default"/>
                <w:sz w:val="21"/>
                <w:szCs w:val="21"/>
              </w:rPr>
            </w:pPr>
            <w:r>
              <w:rPr>
                <w:rFonts w:ascii="宋体"/>
                <w:spacing w:val="-1"/>
                <w:sz w:val="21"/>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0</w:t>
            </w:r>
          </w:p>
        </w:tc>
      </w:tr>
      <w:tr>
        <w:trPr>
          <w:trHeight w:val="554"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唐国奇</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1" w:right="0"/>
              <w:jc w:val="center"/>
              <w:rPr>
                <w:rFonts w:ascii="宋体" w:hAnsi="宋体" w:cs="宋体" w:eastAsia="宋体" w:hint="default"/>
                <w:sz w:val="21"/>
                <w:szCs w:val="21"/>
              </w:rPr>
            </w:pPr>
            <w:r>
              <w:rPr>
                <w:rFonts w:ascii="宋体" w:hAnsi="宋体" w:cs="宋体" w:eastAsia="宋体" w:hint="default"/>
                <w:sz w:val="21"/>
                <w:szCs w:val="21"/>
              </w:rPr>
              <w:t>常务副总经理</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sz w:val="21"/>
              </w:rPr>
              <w:t>40</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3"/>
              <w:jc w:val="right"/>
              <w:rPr>
                <w:rFonts w:ascii="宋体" w:hAnsi="宋体" w:cs="宋体" w:eastAsia="宋体" w:hint="default"/>
                <w:sz w:val="21"/>
                <w:szCs w:val="21"/>
              </w:rPr>
            </w:pPr>
            <w:r>
              <w:rPr>
                <w:rFonts w:ascii="宋体"/>
                <w:sz w:val="21"/>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间接持有</w:t>
            </w:r>
          </w:p>
          <w:p>
            <w:pPr>
              <w:pStyle w:val="TableParagraph"/>
              <w:spacing w:line="274" w:lineRule="exact"/>
              <w:ind w:right="1"/>
              <w:jc w:val="center"/>
              <w:rPr>
                <w:rFonts w:ascii="宋体" w:hAnsi="宋体" w:cs="宋体" w:eastAsia="宋体" w:hint="default"/>
                <w:sz w:val="21"/>
                <w:szCs w:val="21"/>
              </w:rPr>
            </w:pPr>
            <w:r>
              <w:rPr>
                <w:rFonts w:ascii="宋体"/>
                <w:sz w:val="21"/>
              </w:rPr>
              <w:t>820000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间接持有</w:t>
            </w:r>
          </w:p>
          <w:p>
            <w:pPr>
              <w:pStyle w:val="TableParagraph"/>
              <w:spacing w:line="274" w:lineRule="exact"/>
              <w:ind w:right="0"/>
              <w:jc w:val="center"/>
              <w:rPr>
                <w:rFonts w:ascii="宋体" w:hAnsi="宋体" w:cs="宋体" w:eastAsia="宋体" w:hint="default"/>
                <w:sz w:val="21"/>
                <w:szCs w:val="21"/>
              </w:rPr>
            </w:pPr>
            <w:r>
              <w:rPr>
                <w:rFonts w:ascii="宋体"/>
                <w:sz w:val="21"/>
              </w:rPr>
              <w:t>820000</w:t>
            </w:r>
          </w:p>
        </w:tc>
      </w:tr>
      <w:tr>
        <w:trPr>
          <w:trHeight w:val="556"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朱</w:t>
              <w:tab/>
              <w:t>震</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9"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sz w:val="21"/>
              </w:rPr>
              <w:t>41</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3"/>
              <w:jc w:val="right"/>
              <w:rPr>
                <w:rFonts w:ascii="宋体" w:hAnsi="宋体" w:cs="宋体" w:eastAsia="宋体" w:hint="default"/>
                <w:sz w:val="21"/>
                <w:szCs w:val="21"/>
              </w:rPr>
            </w:pPr>
            <w:r>
              <w:rPr>
                <w:rFonts w:ascii="宋体"/>
                <w:sz w:val="21"/>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间接持有</w:t>
            </w:r>
          </w:p>
          <w:p>
            <w:pPr>
              <w:pStyle w:val="TableParagraph"/>
              <w:spacing w:line="274" w:lineRule="exact"/>
              <w:ind w:right="1"/>
              <w:jc w:val="center"/>
              <w:rPr>
                <w:rFonts w:ascii="宋体" w:hAnsi="宋体" w:cs="宋体" w:eastAsia="宋体" w:hint="default"/>
                <w:sz w:val="21"/>
                <w:szCs w:val="21"/>
              </w:rPr>
            </w:pPr>
            <w:r>
              <w:rPr>
                <w:rFonts w:ascii="宋体"/>
                <w:sz w:val="21"/>
              </w:rPr>
              <w:t>820000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间接持有</w:t>
            </w:r>
          </w:p>
          <w:p>
            <w:pPr>
              <w:pStyle w:val="TableParagraph"/>
              <w:spacing w:line="274" w:lineRule="exact"/>
              <w:ind w:right="0"/>
              <w:jc w:val="center"/>
              <w:rPr>
                <w:rFonts w:ascii="宋体" w:hAnsi="宋体" w:cs="宋体" w:eastAsia="宋体" w:hint="default"/>
                <w:sz w:val="21"/>
                <w:szCs w:val="21"/>
              </w:rPr>
            </w:pPr>
            <w:r>
              <w:rPr>
                <w:rFonts w:ascii="宋体"/>
                <w:sz w:val="21"/>
              </w:rPr>
              <w:t>820000</w:t>
            </w:r>
          </w:p>
        </w:tc>
      </w:tr>
      <w:tr>
        <w:trPr>
          <w:trHeight w:val="554"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刘</w:t>
              <w:tab/>
              <w:t>宏</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sz w:val="21"/>
              </w:rPr>
              <w:t>40</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3"/>
              <w:jc w:val="right"/>
              <w:rPr>
                <w:rFonts w:ascii="宋体" w:hAnsi="宋体" w:cs="宋体" w:eastAsia="宋体" w:hint="default"/>
                <w:sz w:val="21"/>
                <w:szCs w:val="21"/>
              </w:rPr>
            </w:pPr>
            <w:r>
              <w:rPr>
                <w:rFonts w:ascii="宋体"/>
                <w:sz w:val="21"/>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3" w:right="0" w:hanging="52"/>
              <w:jc w:val="left"/>
              <w:rPr>
                <w:rFonts w:ascii="宋体" w:hAnsi="宋体" w:cs="宋体" w:eastAsia="宋体" w:hint="default"/>
                <w:sz w:val="21"/>
                <w:szCs w:val="21"/>
              </w:rPr>
            </w:pPr>
            <w:r>
              <w:rPr>
                <w:rFonts w:ascii="宋体" w:hAnsi="宋体" w:cs="宋体" w:eastAsia="宋体" w:hint="default"/>
                <w:sz w:val="21"/>
                <w:szCs w:val="21"/>
              </w:rPr>
              <w:t>间接持有</w:t>
            </w:r>
          </w:p>
          <w:p>
            <w:pPr>
              <w:pStyle w:val="TableParagraph"/>
              <w:spacing w:line="274" w:lineRule="exact"/>
              <w:ind w:left="203" w:right="0"/>
              <w:jc w:val="left"/>
              <w:rPr>
                <w:rFonts w:ascii="宋体" w:hAnsi="宋体" w:cs="宋体" w:eastAsia="宋体" w:hint="default"/>
                <w:sz w:val="21"/>
                <w:szCs w:val="21"/>
              </w:rPr>
            </w:pPr>
            <w:r>
              <w:rPr>
                <w:rFonts w:ascii="宋体"/>
                <w:sz w:val="21"/>
              </w:rPr>
              <w:t>1230000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49" w:right="0" w:hanging="52"/>
              <w:jc w:val="left"/>
              <w:rPr>
                <w:rFonts w:ascii="宋体" w:hAnsi="宋体" w:cs="宋体" w:eastAsia="宋体" w:hint="default"/>
                <w:sz w:val="21"/>
                <w:szCs w:val="21"/>
              </w:rPr>
            </w:pPr>
            <w:r>
              <w:rPr>
                <w:rFonts w:ascii="宋体" w:hAnsi="宋体" w:cs="宋体" w:eastAsia="宋体" w:hint="default"/>
                <w:sz w:val="21"/>
                <w:szCs w:val="21"/>
              </w:rPr>
              <w:t>间接持有</w:t>
            </w:r>
          </w:p>
          <w:p>
            <w:pPr>
              <w:pStyle w:val="TableParagraph"/>
              <w:spacing w:line="274" w:lineRule="exact"/>
              <w:ind w:left="249" w:right="0"/>
              <w:jc w:val="left"/>
              <w:rPr>
                <w:rFonts w:ascii="宋体" w:hAnsi="宋体" w:cs="宋体" w:eastAsia="宋体" w:hint="default"/>
                <w:sz w:val="21"/>
                <w:szCs w:val="21"/>
              </w:rPr>
            </w:pPr>
            <w:r>
              <w:rPr>
                <w:rFonts w:ascii="宋体"/>
                <w:sz w:val="21"/>
              </w:rPr>
              <w:t>1230000</w:t>
            </w:r>
          </w:p>
        </w:tc>
      </w:tr>
      <w:tr>
        <w:trPr>
          <w:trHeight w:val="554"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郑</w:t>
              <w:tab/>
              <w:t>理</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财务负责人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40</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3"/>
              <w:jc w:val="right"/>
              <w:rPr>
                <w:rFonts w:ascii="宋体" w:hAnsi="宋体" w:cs="宋体" w:eastAsia="宋体" w:hint="default"/>
                <w:sz w:val="21"/>
                <w:szCs w:val="21"/>
              </w:rPr>
            </w:pPr>
            <w:r>
              <w:rPr>
                <w:rFonts w:ascii="宋体"/>
                <w:spacing w:val="-1"/>
                <w:sz w:val="21"/>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w:t>
            </w:r>
          </w:p>
        </w:tc>
      </w:tr>
      <w:tr>
        <w:trPr>
          <w:trHeight w:val="556" w:hRule="exact"/>
        </w:trPr>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齐利国</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副总经理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38</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3"/>
              <w:jc w:val="right"/>
              <w:rPr>
                <w:rFonts w:ascii="宋体" w:hAnsi="宋体" w:cs="宋体" w:eastAsia="宋体" w:hint="default"/>
                <w:sz w:val="21"/>
                <w:szCs w:val="21"/>
              </w:rPr>
            </w:pPr>
            <w:r>
              <w:rPr>
                <w:rFonts w:ascii="宋体"/>
                <w:spacing w:val="-1"/>
                <w:sz w:val="21"/>
              </w:rPr>
              <w:t>2006.4.1-2009.3.31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w:t>
            </w:r>
          </w:p>
        </w:tc>
      </w:tr>
    </w:tbl>
    <w:p>
      <w:pPr>
        <w:spacing w:line="240" w:lineRule="auto" w:before="12"/>
        <w:rPr>
          <w:rFonts w:ascii="宋体" w:hAnsi="宋体" w:cs="宋体" w:eastAsia="宋体" w:hint="default"/>
          <w:sz w:val="25"/>
          <w:szCs w:val="25"/>
        </w:rPr>
      </w:pPr>
    </w:p>
    <w:p>
      <w:pPr>
        <w:spacing w:line="463" w:lineRule="auto" w:before="35"/>
        <w:ind w:left="427" w:right="1035" w:hanging="210"/>
        <w:jc w:val="left"/>
        <w:rPr>
          <w:rFonts w:ascii="宋体" w:hAnsi="宋体" w:cs="宋体" w:eastAsia="宋体" w:hint="default"/>
          <w:sz w:val="21"/>
          <w:szCs w:val="21"/>
        </w:rPr>
      </w:pPr>
      <w:r>
        <w:rPr>
          <w:rFonts w:ascii="宋体" w:hAnsi="宋体" w:cs="宋体" w:eastAsia="宋体" w:hint="default"/>
          <w:b/>
          <w:bCs/>
          <w:spacing w:val="-6"/>
          <w:w w:val="99"/>
          <w:sz w:val="21"/>
          <w:szCs w:val="21"/>
        </w:rPr>
        <w:t>（二）、董事、监事、高级管理人员最近</w:t>
      </w:r>
      <w:r>
        <w:rPr>
          <w:rFonts w:ascii="宋体" w:hAnsi="宋体" w:cs="宋体" w:eastAsia="宋体" w:hint="default"/>
          <w:b/>
          <w:bCs/>
          <w:spacing w:val="-44"/>
          <w:w w:val="99"/>
          <w:sz w:val="21"/>
          <w:szCs w:val="21"/>
        </w:rPr>
        <w:t> </w:t>
      </w:r>
      <w:r>
        <w:rPr>
          <w:rFonts w:ascii="宋体" w:hAnsi="宋体" w:cs="宋体" w:eastAsia="宋体" w:hint="default"/>
          <w:b/>
          <w:bCs/>
          <w:w w:val="99"/>
          <w:sz w:val="21"/>
          <w:szCs w:val="21"/>
        </w:rPr>
        <w:t>5</w:t>
      </w:r>
      <w:r>
        <w:rPr>
          <w:rFonts w:ascii="宋体" w:hAnsi="宋体" w:cs="宋体" w:eastAsia="宋体" w:hint="default"/>
          <w:b/>
          <w:bCs/>
          <w:spacing w:val="-41"/>
          <w:w w:val="99"/>
          <w:sz w:val="21"/>
          <w:szCs w:val="21"/>
        </w:rPr>
        <w:t> </w:t>
      </w:r>
      <w:r>
        <w:rPr>
          <w:rFonts w:ascii="宋体" w:hAnsi="宋体" w:cs="宋体" w:eastAsia="宋体" w:hint="default"/>
          <w:b/>
          <w:bCs/>
          <w:w w:val="99"/>
          <w:sz w:val="21"/>
          <w:szCs w:val="21"/>
        </w:rPr>
        <w:t>年主要工作经历及在其他单位任职情况</w:t>
      </w:r>
      <w:r>
        <w:rPr>
          <w:rFonts w:ascii="宋体" w:hAnsi="宋体" w:cs="宋体" w:eastAsia="宋体" w:hint="default"/>
          <w:b/>
          <w:bCs/>
          <w:spacing w:val="-103"/>
          <w:w w:val="99"/>
          <w:sz w:val="21"/>
          <w:szCs w:val="21"/>
        </w:rPr>
        <w:t> </w:t>
      </w:r>
      <w:r>
        <w:rPr>
          <w:rFonts w:ascii="宋体" w:hAnsi="宋体" w:cs="宋体" w:eastAsia="宋体" w:hint="default"/>
          <w:b/>
          <w:bCs/>
          <w:spacing w:val="-103"/>
          <w:w w:val="99"/>
          <w:sz w:val="21"/>
          <w:szCs w:val="21"/>
        </w:rPr>
      </w:r>
      <w:r>
        <w:rPr>
          <w:rFonts w:ascii="宋体" w:hAnsi="宋体" w:cs="宋体" w:eastAsia="宋体" w:hint="default"/>
          <w:b/>
          <w:bCs/>
          <w:sz w:val="21"/>
          <w:szCs w:val="21"/>
        </w:rPr>
        <w:t>1、董事简介</w:t>
      </w:r>
      <w:r>
        <w:rPr>
          <w:rFonts w:ascii="宋体" w:hAnsi="宋体" w:cs="宋体" w:eastAsia="宋体" w:hint="default"/>
          <w:sz w:val="21"/>
          <w:szCs w:val="21"/>
        </w:rPr>
      </w:r>
    </w:p>
    <w:p>
      <w:pPr>
        <w:spacing w:line="357" w:lineRule="auto" w:before="58"/>
        <w:ind w:left="217" w:right="212" w:firstLine="315"/>
        <w:jc w:val="both"/>
        <w:rPr>
          <w:rFonts w:ascii="宋体" w:hAnsi="宋体" w:cs="宋体" w:eastAsia="宋体" w:hint="default"/>
          <w:sz w:val="21"/>
          <w:szCs w:val="21"/>
        </w:rPr>
      </w:pPr>
      <w:r>
        <w:rPr>
          <w:rFonts w:ascii="宋体" w:hAnsi="宋体" w:cs="宋体" w:eastAsia="宋体" w:hint="default"/>
          <w:b/>
          <w:bCs/>
          <w:sz w:val="21"/>
          <w:szCs w:val="21"/>
        </w:rPr>
        <w:t>董事长</w:t>
      </w:r>
      <w:r>
        <w:rPr>
          <w:rFonts w:ascii="宋体" w:hAnsi="宋体" w:cs="宋体" w:eastAsia="宋体" w:hint="default"/>
          <w:b/>
          <w:bCs/>
          <w:spacing w:val="90"/>
          <w:sz w:val="21"/>
          <w:szCs w:val="21"/>
        </w:rPr>
        <w:t> </w:t>
      </w:r>
      <w:r>
        <w:rPr>
          <w:rFonts w:ascii="宋体" w:hAnsi="宋体" w:cs="宋体" w:eastAsia="宋体" w:hint="default"/>
          <w:b/>
          <w:bCs/>
          <w:sz w:val="21"/>
          <w:szCs w:val="21"/>
        </w:rPr>
        <w:t>谷望江女士</w:t>
      </w:r>
      <w:r>
        <w:rPr>
          <w:rFonts w:ascii="宋体" w:hAnsi="宋体" w:cs="宋体" w:eastAsia="宋体" w:hint="default"/>
          <w:sz w:val="21"/>
          <w:szCs w:val="21"/>
        </w:rPr>
        <w:t>，1947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月生，曾用名汪江，中国香港籍，大学学历。2001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至今，任香港喜多来集团有限公司董事。2002</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12</w:t>
      </w:r>
      <w:r>
        <w:rPr>
          <w:rFonts w:ascii="宋体" w:hAnsi="宋体" w:cs="宋体" w:eastAsia="宋体" w:hint="default"/>
          <w:spacing w:val="-71"/>
          <w:sz w:val="21"/>
          <w:szCs w:val="21"/>
        </w:rPr>
        <w:t> </w:t>
      </w:r>
      <w:r>
        <w:rPr>
          <w:rFonts w:ascii="宋体" w:hAnsi="宋体" w:cs="宋体" w:eastAsia="宋体" w:hint="default"/>
          <w:sz w:val="21"/>
          <w:szCs w:val="21"/>
        </w:rPr>
        <w:t>月起任本公司董事长。本届董事任职期</w:t>
      </w:r>
      <w:r>
        <w:rPr>
          <w:rFonts w:ascii="宋体" w:hAnsi="宋体" w:cs="宋体" w:eastAsia="宋体" w:hint="default"/>
          <w:spacing w:val="-1"/>
          <w:sz w:val="21"/>
          <w:szCs w:val="21"/>
        </w:rPr>
        <w:t> </w:t>
      </w:r>
      <w:r>
        <w:rPr>
          <w:rFonts w:ascii="宋体" w:hAnsi="宋体" w:cs="宋体" w:eastAsia="宋体" w:hint="default"/>
          <w:sz w:val="21"/>
          <w:szCs w:val="21"/>
        </w:rPr>
        <w:t>限为</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日月至</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357" w:lineRule="auto" w:before="30"/>
        <w:ind w:left="637" w:right="201" w:firstLine="0"/>
        <w:jc w:val="left"/>
        <w:rPr>
          <w:rFonts w:ascii="宋体" w:hAnsi="宋体" w:cs="宋体" w:eastAsia="宋体" w:hint="default"/>
          <w:sz w:val="21"/>
          <w:szCs w:val="21"/>
        </w:rPr>
      </w:pPr>
      <w:r>
        <w:rPr>
          <w:rFonts w:ascii="宋体" w:hAnsi="宋体" w:cs="宋体" w:eastAsia="宋体" w:hint="default"/>
          <w:sz w:val="21"/>
          <w:szCs w:val="21"/>
        </w:rPr>
        <w:t>在股东单位任职情况：香港喜多来集团有限公司董事 其他单位任职任职情况：Infomatic</w:t>
      </w:r>
      <w:r>
        <w:rPr>
          <w:rFonts w:ascii="宋体" w:hAnsi="宋体" w:cs="宋体" w:eastAsia="宋体" w:hint="default"/>
          <w:spacing w:val="-20"/>
          <w:sz w:val="21"/>
          <w:szCs w:val="21"/>
        </w:rPr>
        <w:t> </w:t>
      </w:r>
      <w:r>
        <w:rPr>
          <w:rFonts w:ascii="宋体" w:hAnsi="宋体" w:cs="宋体" w:eastAsia="宋体" w:hint="default"/>
          <w:sz w:val="21"/>
          <w:szCs w:val="21"/>
        </w:rPr>
        <w:t>Resources</w:t>
      </w:r>
      <w:r>
        <w:rPr>
          <w:rFonts w:ascii="宋体" w:hAnsi="宋体" w:cs="宋体" w:eastAsia="宋体" w:hint="default"/>
          <w:spacing w:val="-21"/>
          <w:sz w:val="21"/>
          <w:szCs w:val="21"/>
        </w:rPr>
        <w:t> </w:t>
      </w:r>
      <w:r>
        <w:rPr>
          <w:rFonts w:ascii="宋体" w:hAnsi="宋体" w:cs="宋体" w:eastAsia="宋体" w:hint="default"/>
          <w:sz w:val="21"/>
          <w:szCs w:val="21"/>
        </w:rPr>
        <w:t>Limited</w:t>
      </w:r>
      <w:r>
        <w:rPr>
          <w:rFonts w:ascii="宋体" w:hAnsi="宋体" w:cs="宋体" w:eastAsia="宋体" w:hint="default"/>
          <w:spacing w:val="-53"/>
          <w:sz w:val="21"/>
          <w:szCs w:val="21"/>
        </w:rPr>
        <w:t> </w:t>
      </w:r>
      <w:r>
        <w:rPr>
          <w:rFonts w:ascii="宋体" w:hAnsi="宋体" w:cs="宋体" w:eastAsia="宋体" w:hint="default"/>
          <w:sz w:val="21"/>
          <w:szCs w:val="21"/>
        </w:rPr>
        <w:t>董事，山东海丰船舶工程有限</w:t>
      </w:r>
    </w:p>
    <w:p>
      <w:pPr>
        <w:spacing w:before="30"/>
        <w:ind w:left="217" w:right="201" w:firstLine="0"/>
        <w:jc w:val="left"/>
        <w:rPr>
          <w:rFonts w:ascii="宋体" w:hAnsi="宋体" w:cs="宋体" w:eastAsia="宋体" w:hint="default"/>
          <w:sz w:val="21"/>
          <w:szCs w:val="21"/>
        </w:rPr>
      </w:pPr>
      <w:r>
        <w:rPr>
          <w:rFonts w:ascii="宋体" w:hAnsi="宋体" w:cs="宋体" w:eastAsia="宋体" w:hint="default"/>
          <w:spacing w:val="-3"/>
          <w:sz w:val="21"/>
          <w:szCs w:val="21"/>
        </w:rPr>
        <w:t>公司董事，青岛奥华纸业有限公司副董事长，邯郸富江钢铁有限公司副董事长，邯郸富川炼</w:t>
      </w:r>
    </w:p>
    <w:p>
      <w:pPr>
        <w:spacing w:before="134"/>
        <w:ind w:left="217" w:right="201" w:firstLine="0"/>
        <w:jc w:val="left"/>
        <w:rPr>
          <w:rFonts w:ascii="宋体" w:hAnsi="宋体" w:cs="宋体" w:eastAsia="宋体" w:hint="default"/>
          <w:sz w:val="21"/>
          <w:szCs w:val="21"/>
        </w:rPr>
      </w:pPr>
      <w:r>
        <w:rPr>
          <w:rFonts w:ascii="宋体" w:hAnsi="宋体" w:cs="宋体" w:eastAsia="宋体" w:hint="default"/>
          <w:spacing w:val="-3"/>
          <w:sz w:val="21"/>
          <w:szCs w:val="21"/>
        </w:rPr>
        <w:t>铁有限公司董事，日照大地伊索新建材有限公司董事长，日照大地金属材料加工开发有限公</w:t>
      </w:r>
    </w:p>
    <w:p>
      <w:pPr>
        <w:spacing w:after="0"/>
        <w:jc w:val="left"/>
        <w:rPr>
          <w:rFonts w:ascii="宋体" w:hAnsi="宋体" w:cs="宋体" w:eastAsia="宋体" w:hint="default"/>
          <w:sz w:val="21"/>
          <w:szCs w:val="21"/>
        </w:rPr>
        <w:sectPr>
          <w:pgSz w:w="11910" w:h="16840"/>
          <w:pgMar w:header="915" w:footer="1712" w:top="1100" w:bottom="1900" w:left="1580" w:right="1580"/>
        </w:sectPr>
      </w:pPr>
    </w:p>
    <w:p>
      <w:pPr>
        <w:spacing w:line="357" w:lineRule="auto" w:before="18"/>
        <w:ind w:left="137" w:right="107"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533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z w:val="21"/>
          <w:szCs w:val="21"/>
        </w:rPr>
        <w:t>司董事长、日照大地彩涂板有限公司董事长、Joy</w:t>
      </w:r>
      <w:r>
        <w:rPr>
          <w:rFonts w:ascii="宋体" w:hAnsi="宋体" w:cs="宋体" w:eastAsia="宋体" w:hint="default"/>
          <w:spacing w:val="2"/>
          <w:sz w:val="21"/>
          <w:szCs w:val="21"/>
        </w:rPr>
        <w:t> </w:t>
      </w:r>
      <w:r>
        <w:rPr>
          <w:rFonts w:ascii="宋体" w:hAnsi="宋体" w:cs="宋体" w:eastAsia="宋体" w:hint="default"/>
          <w:sz w:val="21"/>
          <w:szCs w:val="21"/>
        </w:rPr>
        <w:t>Spring</w:t>
      </w:r>
      <w:r>
        <w:rPr>
          <w:rFonts w:ascii="宋体" w:hAnsi="宋体" w:cs="宋体" w:eastAsia="宋体" w:hint="default"/>
          <w:spacing w:val="2"/>
          <w:sz w:val="21"/>
          <w:szCs w:val="21"/>
        </w:rPr>
        <w:t> </w:t>
      </w:r>
      <w:r>
        <w:rPr>
          <w:rFonts w:ascii="宋体" w:hAnsi="宋体" w:cs="宋体" w:eastAsia="宋体" w:hint="default"/>
          <w:sz w:val="21"/>
          <w:szCs w:val="21"/>
        </w:rPr>
        <w:t>Limited</w:t>
      </w:r>
      <w:r>
        <w:rPr>
          <w:rFonts w:ascii="宋体" w:hAnsi="宋体" w:cs="宋体" w:eastAsia="宋体" w:hint="default"/>
          <w:spacing w:val="3"/>
          <w:sz w:val="21"/>
          <w:szCs w:val="21"/>
        </w:rPr>
        <w:t> </w:t>
      </w:r>
      <w:r>
        <w:rPr>
          <w:rFonts w:ascii="宋体" w:hAnsi="宋体" w:cs="宋体" w:eastAsia="宋体" w:hint="default"/>
          <w:sz w:val="21"/>
          <w:szCs w:val="21"/>
        </w:rPr>
        <w:t>董事，北京东港安全印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刷有限公司董事，新疆东港安全印刷有限公司董事长，广州东港安全印刷有限公司董事长， 北京东港嘉华安全信息技术有限公司董事长，成都东港安全印刷有限公司执行董事。</w:t>
      </w:r>
    </w:p>
    <w:p>
      <w:pPr>
        <w:spacing w:line="357" w:lineRule="auto" w:before="30"/>
        <w:ind w:left="137" w:right="211" w:firstLine="420"/>
        <w:jc w:val="both"/>
        <w:rPr>
          <w:rFonts w:ascii="宋体" w:hAnsi="宋体" w:cs="宋体" w:eastAsia="宋体" w:hint="default"/>
          <w:sz w:val="21"/>
          <w:szCs w:val="21"/>
        </w:rPr>
      </w:pPr>
      <w:r>
        <w:rPr>
          <w:rFonts w:ascii="宋体" w:hAnsi="宋体" w:cs="宋体" w:eastAsia="宋体" w:hint="default"/>
          <w:b/>
          <w:bCs/>
          <w:sz w:val="21"/>
          <w:szCs w:val="21"/>
        </w:rPr>
        <w:t>副董事长</w:t>
      </w:r>
      <w:r>
        <w:rPr>
          <w:rFonts w:ascii="宋体" w:hAnsi="宋体" w:cs="宋体" w:eastAsia="宋体" w:hint="default"/>
          <w:b/>
          <w:bCs/>
          <w:spacing w:val="3"/>
          <w:sz w:val="21"/>
          <w:szCs w:val="21"/>
        </w:rPr>
        <w:t> </w:t>
      </w:r>
      <w:r>
        <w:rPr>
          <w:rFonts w:ascii="宋体" w:hAnsi="宋体" w:cs="宋体" w:eastAsia="宋体" w:hint="default"/>
          <w:b/>
          <w:bCs/>
          <w:spacing w:val="-3"/>
          <w:sz w:val="21"/>
          <w:szCs w:val="21"/>
        </w:rPr>
        <w:t>王爱先先生</w:t>
      </w:r>
      <w:r>
        <w:rPr>
          <w:rFonts w:ascii="宋体" w:hAnsi="宋体" w:cs="宋体" w:eastAsia="宋体" w:hint="default"/>
          <w:spacing w:val="-3"/>
          <w:sz w:val="21"/>
          <w:szCs w:val="21"/>
        </w:rPr>
        <w:t>，1946年8月生，中国国籍，大学学历，中共党员。曾任浪潮电子</w:t>
      </w:r>
      <w:r>
        <w:rPr>
          <w:rFonts w:ascii="宋体" w:hAnsi="宋体" w:cs="宋体" w:eastAsia="宋体" w:hint="default"/>
          <w:sz w:val="21"/>
          <w:szCs w:val="21"/>
        </w:rPr>
        <w:t> </w:t>
      </w:r>
      <w:r>
        <w:rPr>
          <w:rFonts w:ascii="宋体" w:hAnsi="宋体" w:cs="宋体" w:eastAsia="宋体" w:hint="default"/>
          <w:spacing w:val="-3"/>
          <w:sz w:val="21"/>
          <w:szCs w:val="21"/>
        </w:rPr>
        <w:t>信息产业集团公司董事长、党委书记。2002年12月起任本公司副董事长。本届董事任职期限</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为2006年4月1日月至2009年3月31日。</w:t>
      </w:r>
    </w:p>
    <w:p>
      <w:pPr>
        <w:spacing w:line="357" w:lineRule="auto" w:before="30"/>
        <w:ind w:left="557" w:right="107" w:firstLine="0"/>
        <w:jc w:val="left"/>
        <w:rPr>
          <w:rFonts w:ascii="宋体" w:hAnsi="宋体" w:cs="宋体" w:eastAsia="宋体" w:hint="default"/>
          <w:sz w:val="21"/>
          <w:szCs w:val="21"/>
        </w:rPr>
      </w:pPr>
      <w:r>
        <w:rPr>
          <w:rFonts w:ascii="宋体" w:hAnsi="宋体" w:cs="宋体" w:eastAsia="宋体" w:hint="default"/>
          <w:sz w:val="21"/>
          <w:szCs w:val="21"/>
        </w:rPr>
        <w:t>股东单位任职情况：无 其他单位任职情况：济南益东纸业有限公司董事长、浪潮电子信息产业集团公司顾问、</w:t>
      </w:r>
    </w:p>
    <w:p>
      <w:pPr>
        <w:spacing w:before="30"/>
        <w:ind w:left="137" w:right="107" w:firstLine="0"/>
        <w:jc w:val="left"/>
        <w:rPr>
          <w:rFonts w:ascii="宋体" w:hAnsi="宋体" w:cs="宋体" w:eastAsia="宋体" w:hint="default"/>
          <w:sz w:val="21"/>
          <w:szCs w:val="21"/>
        </w:rPr>
      </w:pPr>
      <w:r>
        <w:rPr>
          <w:rFonts w:ascii="宋体" w:hAnsi="宋体" w:cs="宋体" w:eastAsia="宋体" w:hint="default"/>
          <w:sz w:val="21"/>
          <w:szCs w:val="21"/>
        </w:rPr>
        <w:t>淄博矿业集团董事，山东东港安全印刷有限公司董事长。</w:t>
      </w:r>
    </w:p>
    <w:p>
      <w:pPr>
        <w:spacing w:line="355" w:lineRule="auto" w:before="134"/>
        <w:ind w:left="137" w:right="212" w:firstLine="423"/>
        <w:jc w:val="both"/>
        <w:rPr>
          <w:rFonts w:ascii="宋体" w:hAnsi="宋体" w:cs="宋体" w:eastAsia="宋体" w:hint="default"/>
          <w:sz w:val="21"/>
          <w:szCs w:val="21"/>
        </w:rPr>
      </w:pPr>
      <w:r>
        <w:rPr>
          <w:rFonts w:ascii="宋体" w:hAnsi="宋体" w:cs="宋体" w:eastAsia="宋体" w:hint="default"/>
          <w:b/>
          <w:bCs/>
          <w:spacing w:val="2"/>
          <w:sz w:val="21"/>
          <w:szCs w:val="21"/>
        </w:rPr>
        <w:t>副董事长</w:t>
      </w:r>
      <w:r>
        <w:rPr>
          <w:rFonts w:ascii="宋体" w:hAnsi="宋体" w:cs="宋体" w:eastAsia="宋体" w:hint="default"/>
          <w:b/>
          <w:bCs/>
          <w:spacing w:val="4"/>
          <w:sz w:val="21"/>
          <w:szCs w:val="21"/>
        </w:rPr>
        <w:t> </w:t>
      </w:r>
      <w:r>
        <w:rPr>
          <w:rFonts w:ascii="宋体" w:hAnsi="宋体" w:cs="宋体" w:eastAsia="宋体" w:hint="default"/>
          <w:b/>
          <w:bCs/>
          <w:spacing w:val="2"/>
          <w:sz w:val="21"/>
          <w:szCs w:val="21"/>
        </w:rPr>
        <w:t>张春太先生</w:t>
      </w:r>
      <w:r>
        <w:rPr>
          <w:rFonts w:ascii="宋体" w:hAnsi="宋体" w:cs="宋体" w:eastAsia="宋体" w:hint="default"/>
          <w:spacing w:val="2"/>
          <w:sz w:val="21"/>
          <w:szCs w:val="21"/>
        </w:rPr>
        <w:t>，1929年6月出生，中国国籍，高中学历，中共党员。2002年12</w:t>
      </w:r>
      <w:r>
        <w:rPr>
          <w:rFonts w:ascii="宋体" w:hAnsi="宋体" w:cs="宋体" w:eastAsia="宋体" w:hint="default"/>
          <w:sz w:val="21"/>
          <w:szCs w:val="21"/>
        </w:rPr>
        <w:t> 月起任本公司副董事长。本届董事任职期限为2006年4月1日月至2009年3月31日。</w:t>
      </w:r>
    </w:p>
    <w:p>
      <w:pPr>
        <w:spacing w:line="355" w:lineRule="auto" w:before="33"/>
        <w:ind w:left="557" w:right="3257" w:firstLine="0"/>
        <w:jc w:val="left"/>
        <w:rPr>
          <w:rFonts w:ascii="宋体" w:hAnsi="宋体" w:cs="宋体" w:eastAsia="宋体" w:hint="default"/>
          <w:sz w:val="21"/>
          <w:szCs w:val="21"/>
        </w:rPr>
      </w:pPr>
      <w:r>
        <w:rPr>
          <w:rFonts w:ascii="宋体" w:hAnsi="宋体" w:cs="宋体" w:eastAsia="宋体" w:hint="default"/>
          <w:sz w:val="21"/>
          <w:szCs w:val="21"/>
        </w:rPr>
        <w:t>股东单位任职情况：无 其他单位任职情况：济南益东纸业有限公司副董事长</w:t>
      </w:r>
    </w:p>
    <w:p>
      <w:pPr>
        <w:spacing w:line="357" w:lineRule="auto" w:before="32"/>
        <w:ind w:left="137" w:right="212" w:firstLine="423"/>
        <w:jc w:val="both"/>
        <w:rPr>
          <w:rFonts w:ascii="宋体" w:hAnsi="宋体" w:cs="宋体" w:eastAsia="宋体" w:hint="default"/>
          <w:sz w:val="21"/>
          <w:szCs w:val="21"/>
        </w:rPr>
      </w:pPr>
      <w:r>
        <w:rPr>
          <w:rFonts w:ascii="宋体" w:hAnsi="宋体" w:cs="宋体" w:eastAsia="宋体" w:hint="default"/>
          <w:b/>
          <w:bCs/>
          <w:sz w:val="21"/>
          <w:szCs w:val="21"/>
        </w:rPr>
        <w:t>董事</w:t>
      </w:r>
      <w:r>
        <w:rPr>
          <w:rFonts w:ascii="宋体" w:hAnsi="宋体" w:cs="宋体" w:eastAsia="宋体" w:hint="default"/>
          <w:b/>
          <w:bCs/>
          <w:spacing w:val="18"/>
          <w:sz w:val="21"/>
          <w:szCs w:val="21"/>
        </w:rPr>
        <w:t> </w:t>
      </w:r>
      <w:r>
        <w:rPr>
          <w:rFonts w:ascii="宋体" w:hAnsi="宋体" w:cs="宋体" w:eastAsia="宋体" w:hint="default"/>
          <w:b/>
          <w:bCs/>
          <w:spacing w:val="-3"/>
          <w:sz w:val="21"/>
          <w:szCs w:val="21"/>
        </w:rPr>
        <w:t>石林先生</w:t>
      </w:r>
      <w:r>
        <w:rPr>
          <w:rFonts w:ascii="宋体" w:hAnsi="宋体" w:cs="宋体" w:eastAsia="宋体" w:hint="default"/>
          <w:spacing w:val="-3"/>
          <w:sz w:val="21"/>
          <w:szCs w:val="21"/>
        </w:rPr>
        <w:t>，1946年2月生，中国香港籍，大学学历。2001年至今任香港喜多来集团</w:t>
      </w:r>
      <w:r>
        <w:rPr>
          <w:rFonts w:ascii="宋体" w:hAnsi="宋体" w:cs="宋体" w:eastAsia="宋体" w:hint="default"/>
          <w:sz w:val="21"/>
          <w:szCs w:val="21"/>
        </w:rPr>
        <w:t> </w:t>
      </w:r>
      <w:r>
        <w:rPr>
          <w:rFonts w:ascii="宋体" w:hAnsi="宋体" w:cs="宋体" w:eastAsia="宋体" w:hint="default"/>
          <w:spacing w:val="2"/>
          <w:sz w:val="21"/>
          <w:szCs w:val="21"/>
        </w:rPr>
        <w:t>有限公司董事。2002年12月起任本公司董事。本届董事任职期限为2006年4月1日月至2009</w:t>
      </w:r>
      <w:r>
        <w:rPr>
          <w:rFonts w:ascii="宋体" w:hAnsi="宋体" w:cs="宋体" w:eastAsia="宋体" w:hint="default"/>
          <w:sz w:val="21"/>
          <w:szCs w:val="21"/>
        </w:rPr>
        <w:t> 年3月31日。</w:t>
      </w:r>
    </w:p>
    <w:p>
      <w:pPr>
        <w:spacing w:line="355" w:lineRule="auto" w:before="31"/>
        <w:ind w:left="137" w:right="211" w:firstLine="420"/>
        <w:jc w:val="both"/>
        <w:rPr>
          <w:rFonts w:ascii="宋体" w:hAnsi="宋体" w:cs="宋体" w:eastAsia="宋体" w:hint="default"/>
          <w:sz w:val="21"/>
          <w:szCs w:val="21"/>
        </w:rPr>
      </w:pPr>
      <w:r>
        <w:rPr>
          <w:rFonts w:ascii="宋体" w:hAnsi="宋体" w:cs="宋体" w:eastAsia="宋体" w:hint="default"/>
          <w:sz w:val="21"/>
          <w:szCs w:val="21"/>
        </w:rPr>
        <w:t>股东单位任职情况：香港喜多来集团有限公司董事，Rich River Investments</w:t>
      </w:r>
      <w:r>
        <w:rPr>
          <w:rFonts w:ascii="宋体" w:hAnsi="宋体" w:cs="宋体" w:eastAsia="宋体" w:hint="default"/>
          <w:spacing w:val="6"/>
          <w:sz w:val="21"/>
          <w:szCs w:val="21"/>
        </w:rPr>
        <w:t> </w:t>
      </w:r>
      <w:r>
        <w:rPr>
          <w:rFonts w:ascii="宋体" w:hAnsi="宋体" w:cs="宋体" w:eastAsia="宋体" w:hint="default"/>
          <w:sz w:val="21"/>
          <w:szCs w:val="21"/>
        </w:rPr>
        <w:t>Ltd.董</w:t>
      </w:r>
      <w:r>
        <w:rPr>
          <w:rFonts w:ascii="宋体" w:hAnsi="宋体" w:cs="宋体" w:eastAsia="宋体" w:hint="default"/>
          <w:sz w:val="21"/>
          <w:szCs w:val="21"/>
        </w:rPr>
        <w:t> 事，北京中嘉华投资咨询有限公司董事长。</w:t>
      </w:r>
    </w:p>
    <w:p>
      <w:pPr>
        <w:spacing w:line="355" w:lineRule="auto" w:before="33"/>
        <w:ind w:left="137" w:right="211" w:firstLine="420"/>
        <w:jc w:val="both"/>
        <w:rPr>
          <w:rFonts w:ascii="宋体" w:hAnsi="宋体" w:cs="宋体" w:eastAsia="宋体" w:hint="default"/>
          <w:sz w:val="21"/>
          <w:szCs w:val="21"/>
        </w:rPr>
      </w:pPr>
      <w:r>
        <w:rPr>
          <w:rFonts w:ascii="宋体" w:hAnsi="宋体" w:cs="宋体" w:eastAsia="宋体" w:hint="default"/>
          <w:spacing w:val="-3"/>
          <w:sz w:val="21"/>
          <w:szCs w:val="21"/>
        </w:rPr>
        <w:t>其他单位任职情况：邯郸富川炼铁有限公司副董事长、日照大地伊索新建材有限公司副</w:t>
      </w:r>
      <w:r>
        <w:rPr>
          <w:rFonts w:ascii="宋体" w:hAnsi="宋体" w:cs="宋体" w:eastAsia="宋体" w:hint="default"/>
          <w:sz w:val="21"/>
          <w:szCs w:val="21"/>
        </w:rPr>
        <w:t> </w:t>
      </w:r>
      <w:r>
        <w:rPr>
          <w:rFonts w:ascii="宋体" w:hAnsi="宋体" w:cs="宋体" w:eastAsia="宋体" w:hint="default"/>
          <w:spacing w:val="-3"/>
          <w:sz w:val="21"/>
          <w:szCs w:val="21"/>
        </w:rPr>
        <w:t>董事长、总经理、日照大地金属材料加工开发有限公司副董事长、总经理、日照大地彩涂板</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有限公司副董事长。</w:t>
      </w:r>
    </w:p>
    <w:p>
      <w:pPr>
        <w:spacing w:line="355" w:lineRule="auto" w:before="33"/>
        <w:ind w:left="137" w:right="212" w:firstLine="423"/>
        <w:jc w:val="both"/>
        <w:rPr>
          <w:rFonts w:ascii="宋体" w:hAnsi="宋体" w:cs="宋体" w:eastAsia="宋体" w:hint="default"/>
          <w:sz w:val="21"/>
          <w:szCs w:val="21"/>
        </w:rPr>
      </w:pPr>
      <w:r>
        <w:rPr>
          <w:rFonts w:ascii="宋体" w:hAnsi="宋体" w:cs="宋体" w:eastAsia="宋体" w:hint="default"/>
          <w:b/>
          <w:bCs/>
          <w:spacing w:val="-4"/>
          <w:sz w:val="21"/>
          <w:szCs w:val="21"/>
        </w:rPr>
        <w:t>董事、总经理</w:t>
      </w:r>
      <w:r>
        <w:rPr>
          <w:rFonts w:ascii="宋体" w:hAnsi="宋体" w:cs="宋体" w:eastAsia="宋体" w:hint="default"/>
          <w:b/>
          <w:bCs/>
          <w:spacing w:val="20"/>
          <w:sz w:val="21"/>
          <w:szCs w:val="21"/>
        </w:rPr>
        <w:t> </w:t>
      </w:r>
      <w:r>
        <w:rPr>
          <w:rFonts w:ascii="宋体" w:hAnsi="宋体" w:cs="宋体" w:eastAsia="宋体" w:hint="default"/>
          <w:b/>
          <w:bCs/>
          <w:spacing w:val="-3"/>
          <w:sz w:val="21"/>
          <w:szCs w:val="21"/>
        </w:rPr>
        <w:t>史建中先生</w:t>
      </w:r>
      <w:r>
        <w:rPr>
          <w:rFonts w:ascii="宋体" w:hAnsi="宋体" w:cs="宋体" w:eastAsia="宋体" w:hint="default"/>
          <w:spacing w:val="-3"/>
          <w:sz w:val="21"/>
          <w:szCs w:val="21"/>
        </w:rPr>
        <w:t>，1963年5月生，中国国籍，大专学历。2002年12月起任本公</w:t>
      </w:r>
      <w:r>
        <w:rPr>
          <w:rFonts w:ascii="宋体" w:hAnsi="宋体" w:cs="宋体" w:eastAsia="宋体" w:hint="default"/>
          <w:sz w:val="21"/>
          <w:szCs w:val="21"/>
        </w:rPr>
        <w:t> 司董事、总经理。本届董事、总经理任职期限为2006年4月1日月至2009年3月31日。</w:t>
      </w:r>
    </w:p>
    <w:p>
      <w:pPr>
        <w:spacing w:line="355" w:lineRule="auto" w:before="33"/>
        <w:ind w:left="557" w:right="107" w:firstLine="0"/>
        <w:jc w:val="left"/>
        <w:rPr>
          <w:rFonts w:ascii="宋体" w:hAnsi="宋体" w:cs="宋体" w:eastAsia="宋体" w:hint="default"/>
          <w:sz w:val="21"/>
          <w:szCs w:val="21"/>
        </w:rPr>
      </w:pPr>
      <w:r>
        <w:rPr>
          <w:rFonts w:ascii="宋体" w:hAnsi="宋体" w:cs="宋体" w:eastAsia="宋体" w:hint="default"/>
          <w:sz w:val="21"/>
          <w:szCs w:val="21"/>
        </w:rPr>
        <w:t>股东单位任职情况：北京中嘉华投资咨询有限公司董事。</w:t>
      </w:r>
      <w:r>
        <w:rPr>
          <w:rFonts w:ascii="宋体" w:hAnsi="宋体" w:cs="宋体" w:eastAsia="宋体" w:hint="default"/>
          <w:spacing w:val="-1"/>
          <w:sz w:val="21"/>
          <w:szCs w:val="21"/>
        </w:rPr>
        <w:t> </w:t>
      </w:r>
      <w:r>
        <w:rPr>
          <w:rFonts w:ascii="宋体" w:hAnsi="宋体" w:cs="宋体" w:eastAsia="宋体" w:hint="default"/>
          <w:spacing w:val="-3"/>
          <w:sz w:val="21"/>
          <w:szCs w:val="21"/>
        </w:rPr>
        <w:t>其他单位任职情况：郑州东港安全印刷有限公司副董事长，北京东港安全印刷有限公司</w:t>
      </w:r>
    </w:p>
    <w:p>
      <w:pPr>
        <w:spacing w:line="355" w:lineRule="auto" w:before="33"/>
        <w:ind w:left="137" w:right="211" w:firstLine="0"/>
        <w:jc w:val="both"/>
        <w:rPr>
          <w:rFonts w:ascii="宋体" w:hAnsi="宋体" w:cs="宋体" w:eastAsia="宋体" w:hint="default"/>
          <w:sz w:val="21"/>
          <w:szCs w:val="21"/>
        </w:rPr>
      </w:pPr>
      <w:r>
        <w:rPr>
          <w:rFonts w:ascii="宋体" w:hAnsi="宋体" w:cs="宋体" w:eastAsia="宋体" w:hint="default"/>
          <w:spacing w:val="-3"/>
          <w:sz w:val="21"/>
          <w:szCs w:val="21"/>
        </w:rPr>
        <w:t>董事长，新疆东港安全印刷有限公司董事，上海东港印刷有限公司董事长、青海东港安全印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刷有限公司董事长，北京东港嘉华安全信息技术有限公司董事，广州东港安全印刷有限公司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董事，上海东港数据处理有限公司董事长，山东东港安全印刷有限公司董事、总经理。</w:t>
      </w:r>
    </w:p>
    <w:p>
      <w:pPr>
        <w:spacing w:line="355" w:lineRule="auto" w:before="33"/>
        <w:ind w:left="137" w:right="114" w:firstLine="423"/>
        <w:jc w:val="both"/>
        <w:rPr>
          <w:rFonts w:ascii="宋体" w:hAnsi="宋体" w:cs="宋体" w:eastAsia="宋体" w:hint="default"/>
          <w:sz w:val="21"/>
          <w:szCs w:val="21"/>
        </w:rPr>
      </w:pPr>
      <w:r>
        <w:rPr>
          <w:rFonts w:ascii="宋体" w:hAnsi="宋体" w:cs="宋体" w:eastAsia="宋体" w:hint="default"/>
          <w:b/>
          <w:bCs/>
          <w:sz w:val="21"/>
          <w:szCs w:val="21"/>
        </w:rPr>
        <w:t>独立董事</w:t>
      </w:r>
      <w:r>
        <w:rPr>
          <w:rFonts w:ascii="宋体" w:hAnsi="宋体" w:cs="宋体" w:eastAsia="宋体" w:hint="default"/>
          <w:b/>
          <w:bCs/>
          <w:spacing w:val="-5"/>
          <w:sz w:val="21"/>
          <w:szCs w:val="21"/>
        </w:rPr>
        <w:t> </w:t>
      </w:r>
      <w:r>
        <w:rPr>
          <w:rFonts w:ascii="宋体" w:hAnsi="宋体" w:cs="宋体" w:eastAsia="宋体" w:hint="default"/>
          <w:b/>
          <w:bCs/>
          <w:sz w:val="21"/>
          <w:szCs w:val="21"/>
        </w:rPr>
        <w:t>武文祥先生</w:t>
      </w:r>
      <w:r>
        <w:rPr>
          <w:rFonts w:ascii="宋体" w:hAnsi="宋体" w:cs="宋体" w:eastAsia="宋体" w:hint="default"/>
          <w:sz w:val="21"/>
          <w:szCs w:val="21"/>
        </w:rPr>
        <w:t>，1934年3月生，中国国籍，大专学历，高级经济师，中共党员。 本届独立董事任职期限为2006年4月1日月至2009年3月31日。</w:t>
      </w:r>
    </w:p>
    <w:p>
      <w:pPr>
        <w:spacing w:line="355" w:lineRule="auto" w:before="33"/>
        <w:ind w:left="561" w:right="107" w:hanging="4"/>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spacing w:val="-1"/>
          <w:sz w:val="21"/>
          <w:szCs w:val="21"/>
        </w:rPr>
        <w:t> </w:t>
      </w:r>
      <w:r>
        <w:rPr>
          <w:rFonts w:ascii="宋体" w:hAnsi="宋体" w:cs="宋体" w:eastAsia="宋体" w:hint="default"/>
          <w:spacing w:val="-3"/>
          <w:sz w:val="21"/>
          <w:szCs w:val="21"/>
        </w:rPr>
        <w:t>其他单位任职情况：曾任中国印刷技术协会理事长，中国印刷物资总公司总经理，中国</w:t>
      </w:r>
    </w:p>
    <w:p>
      <w:pPr>
        <w:spacing w:before="33"/>
        <w:ind w:left="137" w:right="107" w:firstLine="0"/>
        <w:jc w:val="left"/>
        <w:rPr>
          <w:rFonts w:ascii="宋体" w:hAnsi="宋体" w:cs="宋体" w:eastAsia="宋体" w:hint="default"/>
          <w:sz w:val="21"/>
          <w:szCs w:val="21"/>
        </w:rPr>
      </w:pPr>
      <w:r>
        <w:rPr>
          <w:rFonts w:ascii="宋体" w:hAnsi="宋体" w:cs="宋体" w:eastAsia="宋体" w:hint="default"/>
          <w:spacing w:val="-3"/>
          <w:sz w:val="21"/>
          <w:szCs w:val="21"/>
        </w:rPr>
        <w:t>印刷总公司总经理，中国印刷及设备器材工业协会秘书长、副会长，世界印刷大会指导委员</w:t>
      </w:r>
    </w:p>
    <w:p>
      <w:pPr>
        <w:spacing w:before="133"/>
        <w:ind w:left="137" w:right="107" w:firstLine="0"/>
        <w:jc w:val="left"/>
        <w:rPr>
          <w:rFonts w:ascii="宋体" w:hAnsi="宋体" w:cs="宋体" w:eastAsia="宋体" w:hint="default"/>
          <w:sz w:val="21"/>
          <w:szCs w:val="21"/>
        </w:rPr>
      </w:pPr>
      <w:r>
        <w:rPr>
          <w:rFonts w:ascii="宋体" w:hAnsi="宋体" w:cs="宋体" w:eastAsia="宋体" w:hint="default"/>
          <w:spacing w:val="-3"/>
          <w:sz w:val="21"/>
          <w:szCs w:val="21"/>
        </w:rPr>
        <w:t>会委员，中国出版工作者协会副主席，中国包装联合会副会长。现任中国印刷技术协会名誉</w:t>
      </w:r>
    </w:p>
    <w:p>
      <w:pPr>
        <w:spacing w:after="0"/>
        <w:jc w:val="left"/>
        <w:rPr>
          <w:rFonts w:ascii="宋体" w:hAnsi="宋体" w:cs="宋体" w:eastAsia="宋体" w:hint="default"/>
          <w:sz w:val="21"/>
          <w:szCs w:val="21"/>
        </w:rPr>
        <w:sectPr>
          <w:pgSz w:w="11910" w:h="16840"/>
          <w:pgMar w:header="915" w:footer="1712" w:top="1100" w:bottom="1900" w:left="1660" w:right="1580"/>
        </w:sectPr>
      </w:pPr>
    </w:p>
    <w:p>
      <w:pPr>
        <w:spacing w:line="355" w:lineRule="auto" w:before="18"/>
        <w:ind w:left="137" w:right="87"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531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pacing w:val="-3"/>
          <w:sz w:val="21"/>
          <w:szCs w:val="21"/>
        </w:rPr>
        <w:t>理事长、中国印刷总公司高级顾问，中国印刷及设备器材工业协会顾问，中国印刷博物馆监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事顾问委员会副主任，北京北人印刷机械股份有限公司独立董事和香港利奥集团独立董事。</w:t>
      </w:r>
    </w:p>
    <w:p>
      <w:pPr>
        <w:spacing w:line="355" w:lineRule="auto" w:before="33"/>
        <w:ind w:left="137" w:right="103" w:firstLine="423"/>
        <w:jc w:val="both"/>
        <w:rPr>
          <w:rFonts w:ascii="宋体" w:hAnsi="宋体" w:cs="宋体" w:eastAsia="宋体" w:hint="default"/>
          <w:sz w:val="21"/>
          <w:szCs w:val="21"/>
        </w:rPr>
      </w:pPr>
      <w:r>
        <w:rPr>
          <w:rFonts w:ascii="宋体" w:hAnsi="宋体" w:cs="宋体" w:eastAsia="宋体" w:hint="default"/>
          <w:b/>
          <w:bCs/>
          <w:sz w:val="21"/>
          <w:szCs w:val="21"/>
        </w:rPr>
        <w:t>独立董</w:t>
      </w:r>
      <w:r>
        <w:rPr>
          <w:rFonts w:ascii="宋体" w:hAnsi="宋体" w:cs="宋体" w:eastAsia="宋体" w:hint="default"/>
          <w:sz w:val="21"/>
          <w:szCs w:val="21"/>
        </w:rPr>
        <w:t>事</w:t>
      </w:r>
      <w:r>
        <w:rPr>
          <w:rFonts w:ascii="宋体" w:hAnsi="宋体" w:cs="宋体" w:eastAsia="宋体" w:hint="default"/>
          <w:spacing w:val="2"/>
          <w:sz w:val="21"/>
          <w:szCs w:val="21"/>
        </w:rPr>
        <w:t> </w:t>
      </w:r>
      <w:r>
        <w:rPr>
          <w:rFonts w:ascii="宋体" w:hAnsi="宋体" w:cs="宋体" w:eastAsia="宋体" w:hint="default"/>
          <w:spacing w:val="-3"/>
          <w:sz w:val="21"/>
          <w:szCs w:val="21"/>
        </w:rPr>
        <w:t>王桂森先生，1947年5月生，中国国籍，大专学历，中共党员。曾任山东省政</w:t>
      </w:r>
      <w:r>
        <w:rPr>
          <w:rFonts w:ascii="宋体" w:hAnsi="宋体" w:cs="宋体" w:eastAsia="宋体" w:hint="default"/>
          <w:sz w:val="21"/>
          <w:szCs w:val="21"/>
        </w:rPr>
        <w:t> 府办公厅巡视员，现已退休。本届独立董事任职期限为2008年1月26日月至2009年3月31日。</w:t>
      </w:r>
    </w:p>
    <w:p>
      <w:pPr>
        <w:spacing w:line="355" w:lineRule="auto" w:before="33"/>
        <w:ind w:left="561" w:right="5753" w:hanging="4"/>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spacing w:val="-1"/>
          <w:sz w:val="21"/>
          <w:szCs w:val="21"/>
        </w:rPr>
        <w:t> </w:t>
      </w:r>
      <w:r>
        <w:rPr>
          <w:rFonts w:ascii="宋体" w:hAnsi="宋体" w:cs="宋体" w:eastAsia="宋体" w:hint="default"/>
          <w:sz w:val="21"/>
          <w:szCs w:val="21"/>
        </w:rPr>
        <w:t>其他单位任职情况：无。</w:t>
      </w:r>
    </w:p>
    <w:p>
      <w:pPr>
        <w:spacing w:line="357" w:lineRule="auto" w:before="32"/>
        <w:ind w:left="137" w:right="190" w:firstLine="423"/>
        <w:jc w:val="both"/>
        <w:rPr>
          <w:rFonts w:ascii="宋体" w:hAnsi="宋体" w:cs="宋体" w:eastAsia="宋体" w:hint="default"/>
          <w:sz w:val="21"/>
          <w:szCs w:val="21"/>
        </w:rPr>
      </w:pPr>
      <w:r>
        <w:rPr>
          <w:rFonts w:ascii="宋体" w:hAnsi="宋体" w:cs="宋体" w:eastAsia="宋体" w:hint="default"/>
          <w:b/>
          <w:bCs/>
          <w:sz w:val="21"/>
          <w:szCs w:val="21"/>
        </w:rPr>
        <w:t>独立董事</w:t>
      </w:r>
      <w:r>
        <w:rPr>
          <w:rFonts w:ascii="宋体" w:hAnsi="宋体" w:cs="宋体" w:eastAsia="宋体" w:hint="default"/>
          <w:b/>
          <w:bCs/>
          <w:spacing w:val="-5"/>
          <w:sz w:val="21"/>
          <w:szCs w:val="21"/>
        </w:rPr>
        <w:t> </w:t>
      </w:r>
      <w:r>
        <w:rPr>
          <w:rFonts w:ascii="宋体" w:hAnsi="宋体" w:cs="宋体" w:eastAsia="宋体" w:hint="default"/>
          <w:b/>
          <w:bCs/>
          <w:sz w:val="21"/>
          <w:szCs w:val="21"/>
        </w:rPr>
        <w:t>刘洪渭先生</w:t>
      </w:r>
      <w:r>
        <w:rPr>
          <w:rFonts w:ascii="宋体" w:hAnsi="宋体" w:cs="宋体" w:eastAsia="宋体" w:hint="default"/>
          <w:sz w:val="21"/>
          <w:szCs w:val="21"/>
        </w:rPr>
        <w:t>，1962年12月生，中国国籍，硕士研究生，注册会计师。本届独 立董事任职期限为2006年4月1日月至2009年3月31日。</w:t>
      </w:r>
    </w:p>
    <w:p>
      <w:pPr>
        <w:spacing w:line="357" w:lineRule="auto" w:before="30"/>
        <w:ind w:left="559" w:right="2605" w:hanging="3"/>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spacing w:val="-1"/>
          <w:sz w:val="21"/>
          <w:szCs w:val="21"/>
        </w:rPr>
        <w:t> </w:t>
      </w:r>
      <w:r>
        <w:rPr>
          <w:rFonts w:ascii="宋体" w:hAnsi="宋体" w:cs="宋体" w:eastAsia="宋体" w:hint="default"/>
          <w:sz w:val="21"/>
          <w:szCs w:val="21"/>
        </w:rPr>
        <w:t>其他单位任职情况：现任山东大学管理学院副院长、教授。</w:t>
      </w:r>
    </w:p>
    <w:p>
      <w:pPr>
        <w:spacing w:before="150"/>
        <w:ind w:left="559" w:right="87" w:firstLine="0"/>
        <w:jc w:val="left"/>
        <w:rPr>
          <w:rFonts w:ascii="宋体" w:hAnsi="宋体" w:cs="宋体" w:eastAsia="宋体" w:hint="default"/>
          <w:sz w:val="21"/>
          <w:szCs w:val="21"/>
        </w:rPr>
      </w:pPr>
      <w:r>
        <w:rPr>
          <w:rFonts w:ascii="宋体" w:hAnsi="宋体" w:cs="宋体" w:eastAsia="宋体" w:hint="default"/>
          <w:b/>
          <w:bCs/>
          <w:sz w:val="21"/>
          <w:szCs w:val="21"/>
        </w:rPr>
        <w:t>2、监事简介</w:t>
      </w:r>
      <w:r>
        <w:rPr>
          <w:rFonts w:ascii="宋体" w:hAnsi="宋体" w:cs="宋体" w:eastAsia="宋体" w:hint="default"/>
          <w:sz w:val="21"/>
          <w:szCs w:val="21"/>
        </w:rPr>
      </w:r>
    </w:p>
    <w:p>
      <w:pPr>
        <w:spacing w:line="240" w:lineRule="auto" w:before="6"/>
        <w:rPr>
          <w:rFonts w:ascii="宋体" w:hAnsi="宋体" w:cs="宋体" w:eastAsia="宋体" w:hint="default"/>
          <w:b/>
          <w:bCs/>
          <w:sz w:val="19"/>
          <w:szCs w:val="19"/>
        </w:rPr>
      </w:pPr>
    </w:p>
    <w:p>
      <w:pPr>
        <w:spacing w:line="355" w:lineRule="auto" w:before="0"/>
        <w:ind w:left="137" w:right="192" w:firstLine="423"/>
        <w:jc w:val="both"/>
        <w:rPr>
          <w:rFonts w:ascii="宋体" w:hAnsi="宋体" w:cs="宋体" w:eastAsia="宋体" w:hint="default"/>
          <w:sz w:val="21"/>
          <w:szCs w:val="21"/>
        </w:rPr>
      </w:pPr>
      <w:r>
        <w:rPr>
          <w:rFonts w:ascii="宋体" w:hAnsi="宋体" w:cs="宋体" w:eastAsia="宋体" w:hint="default"/>
          <w:b/>
          <w:bCs/>
          <w:sz w:val="21"/>
          <w:szCs w:val="21"/>
        </w:rPr>
        <w:t>监事会主席</w:t>
      </w:r>
      <w:r>
        <w:rPr>
          <w:rFonts w:ascii="宋体" w:hAnsi="宋体" w:cs="宋体" w:eastAsia="宋体" w:hint="default"/>
          <w:b/>
          <w:bCs/>
          <w:spacing w:val="19"/>
          <w:sz w:val="21"/>
          <w:szCs w:val="21"/>
        </w:rPr>
        <w:t> </w:t>
      </w:r>
      <w:r>
        <w:rPr>
          <w:rFonts w:ascii="宋体" w:hAnsi="宋体" w:cs="宋体" w:eastAsia="宋体" w:hint="default"/>
          <w:b/>
          <w:bCs/>
          <w:spacing w:val="-9"/>
          <w:sz w:val="21"/>
          <w:szCs w:val="21"/>
        </w:rPr>
        <w:t>王化文先生</w:t>
      </w:r>
      <w:r>
        <w:rPr>
          <w:rFonts w:ascii="宋体" w:hAnsi="宋体" w:cs="宋体" w:eastAsia="宋体" w:hint="default"/>
          <w:spacing w:val="-9"/>
          <w:sz w:val="21"/>
          <w:szCs w:val="21"/>
        </w:rPr>
        <w:t>，1952年6月生，中国国籍，大专学历，经济师，中共党员。2002</w:t>
      </w:r>
      <w:r>
        <w:rPr>
          <w:rFonts w:ascii="宋体" w:hAnsi="宋体" w:cs="宋体" w:eastAsia="宋体" w:hint="default"/>
          <w:sz w:val="21"/>
          <w:szCs w:val="21"/>
        </w:rPr>
        <w:t> 年12月起任本公司监事会主席。本届监事任职期限为2006年4月1日月至2009年3月31日。</w:t>
      </w:r>
    </w:p>
    <w:p>
      <w:pPr>
        <w:spacing w:line="357" w:lineRule="auto" w:before="32"/>
        <w:ind w:left="561" w:right="5757" w:hanging="4"/>
        <w:jc w:val="left"/>
        <w:rPr>
          <w:rFonts w:ascii="宋体" w:hAnsi="宋体" w:cs="宋体" w:eastAsia="宋体" w:hint="default"/>
          <w:sz w:val="21"/>
          <w:szCs w:val="21"/>
        </w:rPr>
      </w:pPr>
      <w:r>
        <w:rPr>
          <w:rFonts w:ascii="宋体" w:hAnsi="宋体" w:cs="宋体" w:eastAsia="宋体" w:hint="default"/>
          <w:sz w:val="21"/>
          <w:szCs w:val="21"/>
        </w:rPr>
        <w:t>股东单位任职情况：无。 其他单位任职情况：无</w:t>
      </w:r>
    </w:p>
    <w:p>
      <w:pPr>
        <w:spacing w:line="357" w:lineRule="auto" w:before="30"/>
        <w:ind w:left="137" w:right="192" w:firstLine="423"/>
        <w:jc w:val="both"/>
        <w:rPr>
          <w:rFonts w:ascii="宋体" w:hAnsi="宋体" w:cs="宋体" w:eastAsia="宋体" w:hint="default"/>
          <w:sz w:val="21"/>
          <w:szCs w:val="21"/>
        </w:rPr>
      </w:pPr>
      <w:r>
        <w:rPr>
          <w:rFonts w:ascii="宋体" w:hAnsi="宋体" w:cs="宋体" w:eastAsia="宋体" w:hint="default"/>
          <w:b/>
          <w:bCs/>
          <w:sz w:val="21"/>
          <w:szCs w:val="21"/>
        </w:rPr>
        <w:t>监事</w:t>
      </w:r>
      <w:r>
        <w:rPr>
          <w:rFonts w:ascii="宋体" w:hAnsi="宋体" w:cs="宋体" w:eastAsia="宋体" w:hint="default"/>
          <w:b/>
          <w:bCs/>
          <w:spacing w:val="15"/>
          <w:sz w:val="21"/>
          <w:szCs w:val="21"/>
        </w:rPr>
        <w:t> </w:t>
      </w:r>
      <w:r>
        <w:rPr>
          <w:rFonts w:ascii="宋体" w:hAnsi="宋体" w:cs="宋体" w:eastAsia="宋体" w:hint="default"/>
          <w:b/>
          <w:bCs/>
          <w:spacing w:val="-3"/>
          <w:sz w:val="21"/>
          <w:szCs w:val="21"/>
        </w:rPr>
        <w:t>李保政先生</w:t>
      </w:r>
      <w:r>
        <w:rPr>
          <w:rFonts w:ascii="宋体" w:hAnsi="宋体" w:cs="宋体" w:eastAsia="宋体" w:hint="default"/>
          <w:spacing w:val="-3"/>
          <w:sz w:val="21"/>
          <w:szCs w:val="21"/>
        </w:rPr>
        <w:t>，1975年6月生，中国国籍，大学学历，会计师。2002年12月起任本公</w:t>
      </w:r>
      <w:r>
        <w:rPr>
          <w:rFonts w:ascii="宋体" w:hAnsi="宋体" w:cs="宋体" w:eastAsia="宋体" w:hint="default"/>
          <w:sz w:val="21"/>
          <w:szCs w:val="21"/>
        </w:rPr>
        <w:t> 司监事。本届监事任职期限为2006年4月1日月至2009年3月31日。</w:t>
      </w:r>
    </w:p>
    <w:p>
      <w:pPr>
        <w:spacing w:line="357" w:lineRule="auto" w:before="30"/>
        <w:ind w:left="561" w:right="3023" w:firstLine="0"/>
        <w:jc w:val="left"/>
        <w:rPr>
          <w:rFonts w:ascii="宋体" w:hAnsi="宋体" w:cs="宋体" w:eastAsia="宋体" w:hint="default"/>
          <w:sz w:val="21"/>
          <w:szCs w:val="21"/>
        </w:rPr>
      </w:pPr>
      <w:r>
        <w:rPr>
          <w:rFonts w:ascii="宋体" w:hAnsi="宋体" w:cs="宋体" w:eastAsia="宋体" w:hint="default"/>
          <w:sz w:val="21"/>
          <w:szCs w:val="21"/>
        </w:rPr>
        <w:t>股东单位任职情况：无 其他单位任职情况：浪潮集团有限公司财金中心副经理</w:t>
      </w:r>
    </w:p>
    <w:p>
      <w:pPr>
        <w:spacing w:line="355" w:lineRule="auto" w:before="30"/>
        <w:ind w:left="137" w:right="193" w:firstLine="423"/>
        <w:jc w:val="both"/>
        <w:rPr>
          <w:rFonts w:ascii="宋体" w:hAnsi="宋体" w:cs="宋体" w:eastAsia="宋体" w:hint="default"/>
          <w:sz w:val="21"/>
          <w:szCs w:val="21"/>
        </w:rPr>
      </w:pPr>
      <w:r>
        <w:rPr>
          <w:rFonts w:ascii="宋体" w:hAnsi="宋体" w:cs="宋体" w:eastAsia="宋体" w:hint="default"/>
          <w:b/>
          <w:bCs/>
          <w:sz w:val="21"/>
          <w:szCs w:val="21"/>
        </w:rPr>
        <w:t>监事</w:t>
      </w:r>
      <w:r>
        <w:rPr>
          <w:rFonts w:ascii="宋体" w:hAnsi="宋体" w:cs="宋体" w:eastAsia="宋体" w:hint="default"/>
          <w:b/>
          <w:bCs/>
          <w:spacing w:val="16"/>
          <w:sz w:val="21"/>
          <w:szCs w:val="21"/>
        </w:rPr>
        <w:t> </w:t>
      </w:r>
      <w:r>
        <w:rPr>
          <w:rFonts w:ascii="宋体" w:hAnsi="宋体" w:cs="宋体" w:eastAsia="宋体" w:hint="default"/>
          <w:b/>
          <w:bCs/>
          <w:spacing w:val="-3"/>
          <w:sz w:val="21"/>
          <w:szCs w:val="21"/>
        </w:rPr>
        <w:t>孙敬女士</w:t>
      </w:r>
      <w:r>
        <w:rPr>
          <w:rFonts w:ascii="宋体" w:hAnsi="宋体" w:cs="宋体" w:eastAsia="宋体" w:hint="default"/>
          <w:spacing w:val="-3"/>
          <w:sz w:val="21"/>
          <w:szCs w:val="21"/>
        </w:rPr>
        <w:t>，1962年7月生，中国国籍，大专学历，助理统计师。2003年12月起任本</w:t>
      </w:r>
      <w:r>
        <w:rPr>
          <w:rFonts w:ascii="宋体" w:hAnsi="宋体" w:cs="宋体" w:eastAsia="宋体" w:hint="default"/>
          <w:sz w:val="21"/>
          <w:szCs w:val="21"/>
        </w:rPr>
        <w:t> 公司监事。本届监事任职期限为2006年4月1日月至2009年3月31日。</w:t>
      </w:r>
    </w:p>
    <w:p>
      <w:pPr>
        <w:spacing w:line="355" w:lineRule="auto" w:before="33"/>
        <w:ind w:left="559" w:right="5965" w:hanging="3"/>
        <w:jc w:val="left"/>
        <w:rPr>
          <w:rFonts w:ascii="宋体" w:hAnsi="宋体" w:cs="宋体" w:eastAsia="宋体" w:hint="default"/>
          <w:sz w:val="21"/>
          <w:szCs w:val="21"/>
        </w:rPr>
      </w:pPr>
      <w:r>
        <w:rPr>
          <w:rFonts w:ascii="宋体" w:hAnsi="宋体" w:cs="宋体" w:eastAsia="宋体" w:hint="default"/>
          <w:sz w:val="21"/>
          <w:szCs w:val="21"/>
        </w:rPr>
        <w:t>股东单位任职情况：无</w:t>
      </w:r>
      <w:r>
        <w:rPr>
          <w:rFonts w:ascii="宋体" w:hAnsi="宋体" w:cs="宋体" w:eastAsia="宋体" w:hint="default"/>
          <w:spacing w:val="-1"/>
          <w:sz w:val="21"/>
          <w:szCs w:val="21"/>
        </w:rPr>
        <w:t> </w:t>
      </w:r>
      <w:r>
        <w:rPr>
          <w:rFonts w:ascii="宋体" w:hAnsi="宋体" w:cs="宋体" w:eastAsia="宋体" w:hint="default"/>
          <w:sz w:val="21"/>
          <w:szCs w:val="21"/>
        </w:rPr>
        <w:t>其他单位任职情况：无</w:t>
      </w:r>
    </w:p>
    <w:p>
      <w:pPr>
        <w:spacing w:before="153"/>
        <w:ind w:left="559" w:right="87" w:firstLine="0"/>
        <w:jc w:val="left"/>
        <w:rPr>
          <w:rFonts w:ascii="宋体" w:hAnsi="宋体" w:cs="宋体" w:eastAsia="宋体" w:hint="default"/>
          <w:sz w:val="21"/>
          <w:szCs w:val="21"/>
        </w:rPr>
      </w:pPr>
      <w:r>
        <w:rPr>
          <w:rFonts w:ascii="宋体" w:hAnsi="宋体" w:cs="宋体" w:eastAsia="宋体" w:hint="default"/>
          <w:b/>
          <w:bCs/>
          <w:sz w:val="21"/>
          <w:szCs w:val="21"/>
        </w:rPr>
        <w:t>3、高级管理人员简介</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57" w:lineRule="auto" w:before="0"/>
        <w:ind w:left="137" w:right="193" w:firstLine="420"/>
        <w:jc w:val="both"/>
        <w:rPr>
          <w:rFonts w:ascii="宋体" w:hAnsi="宋体" w:cs="宋体" w:eastAsia="宋体" w:hint="default"/>
          <w:sz w:val="21"/>
          <w:szCs w:val="21"/>
        </w:rPr>
      </w:pPr>
      <w:r>
        <w:rPr>
          <w:rFonts w:ascii="宋体" w:hAnsi="宋体" w:cs="宋体" w:eastAsia="宋体" w:hint="default"/>
          <w:b/>
          <w:bCs/>
          <w:sz w:val="21"/>
          <w:szCs w:val="21"/>
        </w:rPr>
        <w:t>常务副总经理</w:t>
      </w:r>
      <w:r>
        <w:rPr>
          <w:rFonts w:ascii="宋体" w:hAnsi="宋体" w:cs="宋体" w:eastAsia="宋体" w:hint="default"/>
          <w:b/>
          <w:bCs/>
          <w:spacing w:val="-3"/>
          <w:sz w:val="21"/>
          <w:szCs w:val="21"/>
        </w:rPr>
        <w:t> </w:t>
      </w:r>
      <w:r>
        <w:rPr>
          <w:rFonts w:ascii="宋体" w:hAnsi="宋体" w:cs="宋体" w:eastAsia="宋体" w:hint="default"/>
          <w:b/>
          <w:bCs/>
          <w:sz w:val="21"/>
          <w:szCs w:val="21"/>
        </w:rPr>
        <w:t>唐国奇先生</w:t>
      </w:r>
      <w:r>
        <w:rPr>
          <w:rFonts w:ascii="宋体" w:hAnsi="宋体" w:cs="宋体" w:eastAsia="宋体" w:hint="default"/>
          <w:sz w:val="21"/>
          <w:szCs w:val="21"/>
        </w:rPr>
        <w:t>，1968年10月生，中国国籍，大学学历，经济师。2002年12 月起任本公司副总经理、技术负责人。本届任职期限为2006年4月1日月至2009年3月31日。</w:t>
      </w:r>
    </w:p>
    <w:p>
      <w:pPr>
        <w:spacing w:line="355" w:lineRule="auto" w:before="30"/>
        <w:ind w:left="557" w:right="87" w:firstLine="0"/>
        <w:jc w:val="left"/>
        <w:rPr>
          <w:rFonts w:ascii="宋体" w:hAnsi="宋体" w:cs="宋体" w:eastAsia="宋体" w:hint="default"/>
          <w:sz w:val="21"/>
          <w:szCs w:val="21"/>
        </w:rPr>
      </w:pPr>
      <w:r>
        <w:rPr>
          <w:rFonts w:ascii="宋体" w:hAnsi="宋体" w:cs="宋体" w:eastAsia="宋体" w:hint="default"/>
          <w:sz w:val="21"/>
          <w:szCs w:val="21"/>
        </w:rPr>
        <w:t>股东单位任职情况：无 </w:t>
      </w:r>
      <w:r>
        <w:rPr>
          <w:rFonts w:ascii="宋体" w:hAnsi="宋体" w:cs="宋体" w:eastAsia="宋体" w:hint="default"/>
          <w:spacing w:val="-3"/>
          <w:sz w:val="21"/>
          <w:szCs w:val="21"/>
        </w:rPr>
        <w:t>其他单位任职情况：郑州东港安全印刷有限公司董事，上海东港印刷有限公司董事，上</w:t>
      </w:r>
    </w:p>
    <w:p>
      <w:pPr>
        <w:spacing w:before="33"/>
        <w:ind w:left="0" w:right="5427" w:firstLine="0"/>
        <w:jc w:val="center"/>
        <w:rPr>
          <w:rFonts w:ascii="宋体" w:hAnsi="宋体" w:cs="宋体" w:eastAsia="宋体" w:hint="default"/>
          <w:sz w:val="21"/>
          <w:szCs w:val="21"/>
        </w:rPr>
      </w:pPr>
      <w:r>
        <w:rPr>
          <w:rFonts w:ascii="宋体" w:hAnsi="宋体" w:cs="宋体" w:eastAsia="宋体" w:hint="default"/>
          <w:sz w:val="21"/>
          <w:szCs w:val="21"/>
        </w:rPr>
        <w:t>海东港数据处理有限公司董事。</w:t>
      </w:r>
    </w:p>
    <w:p>
      <w:pPr>
        <w:spacing w:line="357" w:lineRule="auto" w:before="133"/>
        <w:ind w:left="137" w:right="193" w:firstLine="423"/>
        <w:jc w:val="both"/>
        <w:rPr>
          <w:rFonts w:ascii="宋体" w:hAnsi="宋体" w:cs="宋体" w:eastAsia="宋体" w:hint="default"/>
          <w:sz w:val="21"/>
          <w:szCs w:val="21"/>
        </w:rPr>
      </w:pPr>
      <w:r>
        <w:rPr>
          <w:rFonts w:ascii="宋体" w:hAnsi="宋体" w:cs="宋体" w:eastAsia="宋体" w:hint="default"/>
          <w:b/>
          <w:bCs/>
          <w:sz w:val="21"/>
          <w:szCs w:val="21"/>
        </w:rPr>
        <w:t>副总经理</w:t>
      </w:r>
      <w:r>
        <w:rPr>
          <w:rFonts w:ascii="宋体" w:hAnsi="宋体" w:cs="宋体" w:eastAsia="宋体" w:hint="default"/>
          <w:b/>
          <w:bCs/>
          <w:spacing w:val="2"/>
          <w:sz w:val="21"/>
          <w:szCs w:val="21"/>
        </w:rPr>
        <w:t> </w:t>
      </w:r>
      <w:r>
        <w:rPr>
          <w:rFonts w:ascii="宋体" w:hAnsi="宋体" w:cs="宋体" w:eastAsia="宋体" w:hint="default"/>
          <w:b/>
          <w:bCs/>
          <w:spacing w:val="-3"/>
          <w:sz w:val="21"/>
          <w:szCs w:val="21"/>
        </w:rPr>
        <w:t>朱震先生</w:t>
      </w:r>
      <w:r>
        <w:rPr>
          <w:rFonts w:ascii="宋体" w:hAnsi="宋体" w:cs="宋体" w:eastAsia="宋体" w:hint="default"/>
          <w:spacing w:val="-3"/>
          <w:sz w:val="21"/>
          <w:szCs w:val="21"/>
        </w:rPr>
        <w:t>，1967年2月生，中国国籍，大专学历。曾任济南东港安全印务有限</w:t>
      </w:r>
      <w:r>
        <w:rPr>
          <w:rFonts w:ascii="宋体" w:hAnsi="宋体" w:cs="宋体" w:eastAsia="宋体" w:hint="default"/>
          <w:sz w:val="21"/>
          <w:szCs w:val="21"/>
        </w:rPr>
        <w:t> 公司销售部经理、本公司总经理助理兼销售部经理。2006年3月起任本公司副总经理兼销售 部经理。本届任职期限为2006年4月1日月至2009年3月31日。</w:t>
      </w:r>
    </w:p>
    <w:p>
      <w:pPr>
        <w:spacing w:after="0" w:line="357" w:lineRule="auto"/>
        <w:jc w:val="both"/>
        <w:rPr>
          <w:rFonts w:ascii="宋体" w:hAnsi="宋体" w:cs="宋体" w:eastAsia="宋体" w:hint="default"/>
          <w:sz w:val="21"/>
          <w:szCs w:val="21"/>
        </w:rPr>
        <w:sectPr>
          <w:pgSz w:w="11910" w:h="16840"/>
          <w:pgMar w:header="915" w:footer="1712" w:top="1100" w:bottom="1900" w:left="1660" w:right="1600"/>
        </w:sectPr>
      </w:pPr>
    </w:p>
    <w:p>
      <w:pPr>
        <w:spacing w:line="355" w:lineRule="auto" w:before="18"/>
        <w:ind w:left="561" w:right="107" w:hanging="4"/>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528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z w:val="21"/>
          <w:szCs w:val="21"/>
        </w:rPr>
        <w:t>股东单位任职情况：无 </w:t>
      </w:r>
      <w:r>
        <w:rPr>
          <w:rFonts w:ascii="宋体" w:hAnsi="宋体" w:cs="宋体" w:eastAsia="宋体" w:hint="default"/>
          <w:spacing w:val="-6"/>
          <w:sz w:val="21"/>
          <w:szCs w:val="21"/>
        </w:rPr>
        <w:t>其他单位任职情况：郑州东港安全印刷有限公司董事，广州东港安全印刷有限公司董事、</w:t>
      </w:r>
    </w:p>
    <w:p>
      <w:pPr>
        <w:spacing w:before="33"/>
        <w:ind w:left="137" w:right="107" w:firstLine="0"/>
        <w:jc w:val="left"/>
        <w:rPr>
          <w:rFonts w:ascii="宋体" w:hAnsi="宋体" w:cs="宋体" w:eastAsia="宋体" w:hint="default"/>
          <w:sz w:val="21"/>
          <w:szCs w:val="21"/>
        </w:rPr>
      </w:pPr>
      <w:r>
        <w:rPr>
          <w:rFonts w:ascii="宋体" w:hAnsi="宋体" w:cs="宋体" w:eastAsia="宋体" w:hint="default"/>
          <w:sz w:val="21"/>
          <w:szCs w:val="21"/>
        </w:rPr>
        <w:t>总经理。</w:t>
      </w:r>
    </w:p>
    <w:p>
      <w:pPr>
        <w:spacing w:line="357" w:lineRule="auto" w:before="133"/>
        <w:ind w:left="137" w:right="211" w:firstLine="423"/>
        <w:jc w:val="both"/>
        <w:rPr>
          <w:rFonts w:ascii="宋体" w:hAnsi="宋体" w:cs="宋体" w:eastAsia="宋体" w:hint="default"/>
          <w:sz w:val="21"/>
          <w:szCs w:val="21"/>
        </w:rPr>
      </w:pPr>
      <w:r>
        <w:rPr>
          <w:rFonts w:ascii="宋体" w:hAnsi="宋体" w:cs="宋体" w:eastAsia="宋体" w:hint="default"/>
          <w:b/>
          <w:bCs/>
          <w:sz w:val="21"/>
          <w:szCs w:val="21"/>
        </w:rPr>
        <w:t>副总经理</w:t>
      </w:r>
      <w:r>
        <w:rPr>
          <w:rFonts w:ascii="宋体" w:hAnsi="宋体" w:cs="宋体" w:eastAsia="宋体" w:hint="default"/>
          <w:b/>
          <w:bCs/>
          <w:spacing w:val="2"/>
          <w:sz w:val="21"/>
          <w:szCs w:val="21"/>
        </w:rPr>
        <w:t> </w:t>
      </w:r>
      <w:r>
        <w:rPr>
          <w:rFonts w:ascii="宋体" w:hAnsi="宋体" w:cs="宋体" w:eastAsia="宋体" w:hint="default"/>
          <w:b/>
          <w:bCs/>
          <w:spacing w:val="-3"/>
          <w:sz w:val="21"/>
          <w:szCs w:val="21"/>
        </w:rPr>
        <w:t>刘宏先生</w:t>
      </w:r>
      <w:r>
        <w:rPr>
          <w:rFonts w:ascii="宋体" w:hAnsi="宋体" w:cs="宋体" w:eastAsia="宋体" w:hint="default"/>
          <w:spacing w:val="-3"/>
          <w:sz w:val="21"/>
          <w:szCs w:val="21"/>
        </w:rPr>
        <w:t>，1968年4月生，中国国籍，硕士学历、助理经济师。曾任济南东港</w:t>
      </w:r>
      <w:r>
        <w:rPr>
          <w:rFonts w:ascii="宋体" w:hAnsi="宋体" w:cs="宋体" w:eastAsia="宋体" w:hint="default"/>
          <w:sz w:val="21"/>
          <w:szCs w:val="21"/>
        </w:rPr>
        <w:t> 安全印务有限公司销售部副经理、本公司总经理助理兼北京办事处负责人。2006年3月起任 </w:t>
      </w:r>
      <w:r>
        <w:rPr>
          <w:rFonts w:ascii="宋体" w:hAnsi="宋体" w:cs="宋体" w:eastAsia="宋体" w:hint="default"/>
          <w:spacing w:val="-3"/>
          <w:sz w:val="21"/>
          <w:szCs w:val="21"/>
        </w:rPr>
        <w:t>本公司副总经理，兼北京东港安全印刷有限公司董事、总经理。本届任职期限为2006年4月1</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日月至2009年3月31日。</w:t>
      </w:r>
    </w:p>
    <w:p>
      <w:pPr>
        <w:spacing w:line="355" w:lineRule="auto" w:before="31"/>
        <w:ind w:left="561" w:right="107" w:hanging="4"/>
        <w:jc w:val="left"/>
        <w:rPr>
          <w:rFonts w:ascii="宋体" w:hAnsi="宋体" w:cs="宋体" w:eastAsia="宋体" w:hint="default"/>
          <w:sz w:val="21"/>
          <w:szCs w:val="21"/>
        </w:rPr>
      </w:pPr>
      <w:r>
        <w:rPr>
          <w:rFonts w:ascii="宋体" w:hAnsi="宋体" w:cs="宋体" w:eastAsia="宋体" w:hint="default"/>
          <w:sz w:val="21"/>
          <w:szCs w:val="21"/>
        </w:rPr>
        <w:t>股东单位任职情况：无 </w:t>
      </w:r>
      <w:r>
        <w:rPr>
          <w:rFonts w:ascii="宋体" w:hAnsi="宋体" w:cs="宋体" w:eastAsia="宋体" w:hint="default"/>
          <w:spacing w:val="-3"/>
          <w:sz w:val="21"/>
          <w:szCs w:val="21"/>
        </w:rPr>
        <w:t>其他单位任职情况：北京东港安全印刷有限公司董事、总经理，北京东港嘉华安全信息</w:t>
      </w:r>
    </w:p>
    <w:p>
      <w:pPr>
        <w:spacing w:before="33"/>
        <w:ind w:left="137" w:right="107" w:firstLine="0"/>
        <w:jc w:val="left"/>
        <w:rPr>
          <w:rFonts w:ascii="宋体" w:hAnsi="宋体" w:cs="宋体" w:eastAsia="宋体" w:hint="default"/>
          <w:sz w:val="21"/>
          <w:szCs w:val="21"/>
        </w:rPr>
      </w:pPr>
      <w:r>
        <w:rPr>
          <w:rFonts w:ascii="宋体" w:hAnsi="宋体" w:cs="宋体" w:eastAsia="宋体" w:hint="default"/>
          <w:sz w:val="21"/>
          <w:szCs w:val="21"/>
        </w:rPr>
        <w:t>技术有限公司董事、总经理</w:t>
      </w:r>
    </w:p>
    <w:p>
      <w:pPr>
        <w:spacing w:line="357" w:lineRule="auto" w:before="133"/>
        <w:ind w:left="137" w:right="212" w:firstLine="423"/>
        <w:jc w:val="both"/>
        <w:rPr>
          <w:rFonts w:ascii="宋体" w:hAnsi="宋体" w:cs="宋体" w:eastAsia="宋体" w:hint="default"/>
          <w:sz w:val="21"/>
          <w:szCs w:val="21"/>
        </w:rPr>
      </w:pPr>
      <w:r>
        <w:rPr>
          <w:rFonts w:ascii="宋体" w:hAnsi="宋体" w:cs="宋体" w:eastAsia="宋体" w:hint="default"/>
          <w:b/>
          <w:bCs/>
          <w:sz w:val="21"/>
          <w:szCs w:val="21"/>
        </w:rPr>
        <w:t>副总经理、财务负责人</w:t>
      </w:r>
      <w:r>
        <w:rPr>
          <w:rFonts w:ascii="宋体" w:hAnsi="宋体" w:cs="宋体" w:eastAsia="宋体" w:hint="default"/>
          <w:b/>
          <w:bCs/>
          <w:spacing w:val="-18"/>
          <w:sz w:val="21"/>
          <w:szCs w:val="21"/>
        </w:rPr>
        <w:t> </w:t>
      </w:r>
      <w:r>
        <w:rPr>
          <w:rFonts w:ascii="宋体" w:hAnsi="宋体" w:cs="宋体" w:eastAsia="宋体" w:hint="default"/>
          <w:b/>
          <w:bCs/>
          <w:spacing w:val="-3"/>
          <w:sz w:val="21"/>
          <w:szCs w:val="21"/>
        </w:rPr>
        <w:t>郑理女士</w:t>
      </w:r>
      <w:r>
        <w:rPr>
          <w:rFonts w:ascii="宋体" w:hAnsi="宋体" w:cs="宋体" w:eastAsia="宋体" w:hint="default"/>
          <w:spacing w:val="-3"/>
          <w:sz w:val="21"/>
          <w:szCs w:val="21"/>
        </w:rPr>
        <w:t>，1968年3月生，中国国籍，硕士学历，会计师。曾任</w:t>
      </w:r>
      <w:r>
        <w:rPr>
          <w:rFonts w:ascii="宋体" w:hAnsi="宋体" w:cs="宋体" w:eastAsia="宋体" w:hint="default"/>
          <w:sz w:val="21"/>
          <w:szCs w:val="21"/>
        </w:rPr>
        <w:t> 济南东港安全印务有限公司财务部经理、本公司总经理助理兼财务负责人。2006年3月起任 副总经理兼财务负责人。本届任职期限为2006年4月1日月至2009年3月31日。</w:t>
      </w:r>
    </w:p>
    <w:p>
      <w:pPr>
        <w:spacing w:line="357" w:lineRule="auto" w:before="30"/>
        <w:ind w:left="561" w:right="107" w:hanging="4"/>
        <w:jc w:val="left"/>
        <w:rPr>
          <w:rFonts w:ascii="宋体" w:hAnsi="宋体" w:cs="宋体" w:eastAsia="宋体" w:hint="default"/>
          <w:sz w:val="21"/>
          <w:szCs w:val="21"/>
        </w:rPr>
      </w:pPr>
      <w:r>
        <w:rPr>
          <w:rFonts w:ascii="宋体" w:hAnsi="宋体" w:cs="宋体" w:eastAsia="宋体" w:hint="default"/>
          <w:sz w:val="21"/>
          <w:szCs w:val="21"/>
        </w:rPr>
        <w:t>股东单位任职情况：无 </w:t>
      </w:r>
      <w:r>
        <w:rPr>
          <w:rFonts w:ascii="宋体" w:hAnsi="宋体" w:cs="宋体" w:eastAsia="宋体" w:hint="default"/>
          <w:spacing w:val="-3"/>
          <w:sz w:val="21"/>
          <w:szCs w:val="21"/>
        </w:rPr>
        <w:t>其他单位任职情况：上海东港印刷有限公司董事、财务负责人，上海东港数据处理有限</w:t>
      </w:r>
    </w:p>
    <w:p>
      <w:pPr>
        <w:spacing w:before="30"/>
        <w:ind w:left="137" w:right="107" w:firstLine="0"/>
        <w:jc w:val="left"/>
        <w:rPr>
          <w:rFonts w:ascii="宋体" w:hAnsi="宋体" w:cs="宋体" w:eastAsia="宋体" w:hint="default"/>
          <w:sz w:val="21"/>
          <w:szCs w:val="21"/>
        </w:rPr>
      </w:pPr>
      <w:r>
        <w:rPr>
          <w:rFonts w:ascii="宋体" w:hAnsi="宋体" w:cs="宋体" w:eastAsia="宋体" w:hint="default"/>
          <w:sz w:val="21"/>
          <w:szCs w:val="21"/>
        </w:rPr>
        <w:t>公司董事。</w:t>
      </w:r>
    </w:p>
    <w:p>
      <w:pPr>
        <w:spacing w:line="355" w:lineRule="auto" w:before="134"/>
        <w:ind w:left="137" w:right="210" w:firstLine="412"/>
        <w:jc w:val="both"/>
        <w:rPr>
          <w:rFonts w:ascii="宋体" w:hAnsi="宋体" w:cs="宋体" w:eastAsia="宋体" w:hint="default"/>
          <w:sz w:val="21"/>
          <w:szCs w:val="21"/>
        </w:rPr>
      </w:pPr>
      <w:r>
        <w:rPr>
          <w:rFonts w:ascii="宋体" w:hAnsi="宋体" w:cs="宋体" w:eastAsia="宋体" w:hint="default"/>
          <w:b/>
          <w:bCs/>
          <w:sz w:val="21"/>
          <w:szCs w:val="21"/>
        </w:rPr>
        <w:t>副总经理、董事会秘书</w:t>
      </w:r>
      <w:r>
        <w:rPr>
          <w:rFonts w:ascii="宋体" w:hAnsi="宋体" w:cs="宋体" w:eastAsia="宋体" w:hint="default"/>
          <w:b/>
          <w:bCs/>
          <w:spacing w:val="-8"/>
          <w:sz w:val="21"/>
          <w:szCs w:val="21"/>
        </w:rPr>
        <w:t> </w:t>
      </w:r>
      <w:r>
        <w:rPr>
          <w:rFonts w:ascii="宋体" w:hAnsi="宋体" w:cs="宋体" w:eastAsia="宋体" w:hint="default"/>
          <w:b/>
          <w:bCs/>
          <w:sz w:val="21"/>
          <w:szCs w:val="21"/>
        </w:rPr>
        <w:t>齐利国先生</w:t>
      </w:r>
      <w:r>
        <w:rPr>
          <w:rFonts w:ascii="宋体" w:hAnsi="宋体" w:cs="宋体" w:eastAsia="宋体" w:hint="default"/>
          <w:sz w:val="21"/>
          <w:szCs w:val="21"/>
        </w:rPr>
        <w:t>，1970</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10</w:t>
      </w:r>
      <w:r>
        <w:rPr>
          <w:rFonts w:ascii="宋体" w:hAnsi="宋体" w:cs="宋体" w:eastAsia="宋体" w:hint="default"/>
          <w:spacing w:val="-37"/>
          <w:sz w:val="21"/>
          <w:szCs w:val="21"/>
        </w:rPr>
        <w:t> </w:t>
      </w:r>
      <w:r>
        <w:rPr>
          <w:rFonts w:ascii="宋体" w:hAnsi="宋体" w:cs="宋体" w:eastAsia="宋体" w:hint="default"/>
          <w:sz w:val="21"/>
          <w:szCs w:val="21"/>
        </w:rPr>
        <w:t>月出生，中国国籍，硕士学历。曾任</w:t>
      </w:r>
      <w:r>
        <w:rPr>
          <w:rFonts w:ascii="宋体" w:hAnsi="宋体" w:cs="宋体" w:eastAsia="宋体" w:hint="default"/>
          <w:sz w:val="21"/>
          <w:szCs w:val="21"/>
        </w:rPr>
        <w:t> </w:t>
      </w:r>
      <w:r>
        <w:rPr>
          <w:rFonts w:ascii="宋体" w:hAnsi="宋体" w:cs="宋体" w:eastAsia="宋体" w:hint="default"/>
          <w:spacing w:val="-4"/>
          <w:sz w:val="21"/>
          <w:szCs w:val="21"/>
        </w:rPr>
        <w:t>济南东港安全印务有限公司办公室主任，董事会秘书兼办公室主任、审计部经理。2006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3</w:t>
      </w:r>
    </w:p>
    <w:p>
      <w:pPr>
        <w:spacing w:before="33"/>
        <w:ind w:left="137" w:right="107" w:firstLine="0"/>
        <w:jc w:val="left"/>
        <w:rPr>
          <w:rFonts w:ascii="宋体" w:hAnsi="宋体" w:cs="宋体" w:eastAsia="宋体" w:hint="default"/>
          <w:sz w:val="21"/>
          <w:szCs w:val="21"/>
        </w:rPr>
      </w:pPr>
      <w:r>
        <w:rPr>
          <w:rFonts w:ascii="宋体" w:hAnsi="宋体" w:cs="宋体" w:eastAsia="宋体" w:hint="default"/>
          <w:spacing w:val="-5"/>
          <w:sz w:val="21"/>
          <w:szCs w:val="21"/>
        </w:rPr>
        <w:t>月起任本公司副总经理，兼任董事会秘书、办公室主任、审计部经理。本届任职期限为</w:t>
      </w:r>
      <w:r>
        <w:rPr>
          <w:rFonts w:ascii="宋体" w:hAnsi="宋体" w:cs="宋体" w:eastAsia="宋体" w:hint="default"/>
          <w:spacing w:val="-40"/>
          <w:sz w:val="21"/>
          <w:szCs w:val="21"/>
        </w:rPr>
        <w:t> </w:t>
      </w:r>
      <w:r>
        <w:rPr>
          <w:rFonts w:ascii="宋体" w:hAnsi="宋体" w:cs="宋体" w:eastAsia="宋体" w:hint="default"/>
          <w:sz w:val="21"/>
          <w:szCs w:val="21"/>
        </w:rPr>
        <w:t>2006</w:t>
      </w:r>
    </w:p>
    <w:p>
      <w:pPr>
        <w:spacing w:line="355" w:lineRule="auto" w:before="133"/>
        <w:ind w:left="557" w:right="5369" w:hanging="42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25"/>
          <w:sz w:val="21"/>
          <w:szCs w:val="21"/>
        </w:rPr>
        <w:t>月1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pacing w:val="34"/>
          <w:sz w:val="21"/>
          <w:szCs w:val="21"/>
        </w:rPr>
        <w:t>年3月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股东单位任职情况：无</w:t>
      </w:r>
    </w:p>
    <w:p>
      <w:pPr>
        <w:spacing w:line="355" w:lineRule="auto" w:before="33"/>
        <w:ind w:left="137" w:right="211" w:firstLine="420"/>
        <w:jc w:val="both"/>
        <w:rPr>
          <w:rFonts w:ascii="宋体" w:hAnsi="宋体" w:cs="宋体" w:eastAsia="宋体" w:hint="default"/>
          <w:sz w:val="21"/>
          <w:szCs w:val="21"/>
        </w:rPr>
      </w:pPr>
      <w:r>
        <w:rPr>
          <w:rFonts w:ascii="宋体" w:hAnsi="宋体" w:cs="宋体" w:eastAsia="宋体" w:hint="default"/>
          <w:spacing w:val="-3"/>
          <w:sz w:val="21"/>
          <w:szCs w:val="21"/>
        </w:rPr>
        <w:t>其他单位任职情况：上海东港印刷有限公司监事、青海东港安全印刷有限公司监事，上</w:t>
      </w:r>
      <w:r>
        <w:rPr>
          <w:rFonts w:ascii="宋体" w:hAnsi="宋体" w:cs="宋体" w:eastAsia="宋体" w:hint="default"/>
          <w:sz w:val="21"/>
          <w:szCs w:val="21"/>
        </w:rPr>
        <w:t> 海东港数据处理有限公司监事，成都东港安全印刷有限公司监事。</w:t>
      </w:r>
    </w:p>
    <w:p>
      <w:pPr>
        <w:spacing w:line="240" w:lineRule="auto" w:before="0"/>
        <w:rPr>
          <w:rFonts w:ascii="宋体" w:hAnsi="宋体" w:cs="宋体" w:eastAsia="宋体" w:hint="default"/>
          <w:sz w:val="20"/>
          <w:szCs w:val="20"/>
        </w:rPr>
      </w:pPr>
    </w:p>
    <w:p>
      <w:pPr>
        <w:spacing w:line="357" w:lineRule="auto" w:before="180"/>
        <w:ind w:left="557" w:right="107" w:hanging="42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董事、监事和高级管理人员年度报酬情况</w:t>
      </w:r>
      <w:r>
        <w:rPr>
          <w:rFonts w:ascii="宋体" w:hAnsi="宋体" w:cs="宋体" w:eastAsia="宋体" w:hint="default"/>
          <w:b/>
          <w:bCs/>
          <w:w w:val="99"/>
          <w:sz w:val="21"/>
          <w:szCs w:val="21"/>
        </w:rPr>
        <w:t> </w:t>
      </w:r>
      <w:r>
        <w:rPr>
          <w:rFonts w:ascii="宋体" w:hAnsi="宋体" w:cs="宋体" w:eastAsia="宋体" w:hint="default"/>
          <w:sz w:val="21"/>
          <w:szCs w:val="21"/>
        </w:rPr>
        <w:t>1、报酬的决策程序和报酬确定依据：公司按照《公司章程》的规定确定董事、监事和</w:t>
      </w:r>
    </w:p>
    <w:p>
      <w:pPr>
        <w:spacing w:line="357" w:lineRule="auto" w:before="30"/>
        <w:ind w:left="137" w:right="124" w:firstLine="0"/>
        <w:jc w:val="both"/>
        <w:rPr>
          <w:rFonts w:ascii="宋体" w:hAnsi="宋体" w:cs="宋体" w:eastAsia="宋体" w:hint="default"/>
          <w:sz w:val="21"/>
          <w:szCs w:val="21"/>
        </w:rPr>
      </w:pPr>
      <w:r>
        <w:rPr>
          <w:rFonts w:ascii="宋体" w:hAnsi="宋体" w:cs="宋体" w:eastAsia="宋体" w:hint="default"/>
          <w:spacing w:val="-3"/>
          <w:sz w:val="21"/>
          <w:szCs w:val="21"/>
        </w:rPr>
        <w:t>高级管理人员的报酬。董事会和监事会成员的报酬和支付方法由股东大会确定；高级管理人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员的报酬和支付方法由董事会确定。公司董事、监事和高级管理人员实行年薪制（独立董事</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实行年度津贴制）。公司以行业薪酬水平、经济发展状况、居民生活标准、公司经营业绩、</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岗位职责要求等为依据，在充分协商的前提下确定董事、监事和高级管理人员的年度薪酬。</w:t>
      </w:r>
    </w:p>
    <w:p>
      <w:pPr>
        <w:spacing w:line="357" w:lineRule="auto" w:before="31"/>
        <w:ind w:left="137" w:right="212"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
          <w:sz w:val="21"/>
          <w:szCs w:val="21"/>
        </w:rPr>
        <w:t>、</w:t>
      </w:r>
      <w:r>
        <w:rPr>
          <w:rFonts w:ascii="宋体" w:hAnsi="宋体" w:cs="宋体" w:eastAsia="宋体" w:hint="default"/>
          <w:sz w:val="21"/>
          <w:szCs w:val="21"/>
        </w:rPr>
        <w:t>根据公</w:t>
      </w:r>
      <w:r>
        <w:rPr>
          <w:rFonts w:ascii="宋体" w:hAnsi="宋体" w:cs="宋体" w:eastAsia="宋体" w:hint="default"/>
          <w:spacing w:val="-2"/>
          <w:sz w:val="21"/>
          <w:szCs w:val="21"/>
        </w:rPr>
        <w:t>司</w:t>
      </w:r>
      <w:r>
        <w:rPr>
          <w:rFonts w:ascii="宋体" w:hAnsi="宋体" w:cs="宋体" w:eastAsia="宋体" w:hint="default"/>
          <w:sz w:val="21"/>
          <w:szCs w:val="21"/>
        </w:rPr>
        <w:t>股东大会审议通过的关于公司董事</w:t>
      </w:r>
      <w:r>
        <w:rPr>
          <w:rFonts w:ascii="宋体" w:hAnsi="宋体" w:cs="宋体" w:eastAsia="宋体" w:hint="default"/>
          <w:spacing w:val="-100"/>
          <w:sz w:val="21"/>
          <w:szCs w:val="21"/>
        </w:rPr>
        <w:t>、</w:t>
      </w:r>
      <w:r>
        <w:rPr>
          <w:rFonts w:ascii="宋体" w:hAnsi="宋体" w:cs="宋体" w:eastAsia="宋体" w:hint="default"/>
          <w:sz w:val="21"/>
          <w:szCs w:val="21"/>
        </w:rPr>
        <w:t>独立董事和监事年度津贴的议案</w:t>
      </w:r>
      <w:r>
        <w:rPr>
          <w:rFonts w:ascii="宋体" w:hAnsi="宋体" w:cs="宋体" w:eastAsia="宋体" w:hint="default"/>
          <w:spacing w:val="-100"/>
          <w:sz w:val="21"/>
          <w:szCs w:val="21"/>
        </w:rPr>
        <w:t>，</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07</w:t>
      </w:r>
      <w:r>
        <w:rPr>
          <w:rFonts w:ascii="宋体" w:hAnsi="宋体" w:cs="宋体" w:eastAsia="宋体" w:hint="default"/>
          <w:sz w:val="21"/>
          <w:szCs w:val="21"/>
        </w:rPr>
        <w:t> 年度公司各董事的年度津贴为</w:t>
      </w:r>
      <w:r>
        <w:rPr>
          <w:rFonts w:ascii="宋体" w:hAnsi="宋体" w:cs="宋体" w:eastAsia="宋体" w:hint="default"/>
          <w:spacing w:val="-53"/>
          <w:sz w:val="21"/>
          <w:szCs w:val="21"/>
        </w:rPr>
        <w:t> </w:t>
      </w:r>
      <w:r>
        <w:rPr>
          <w:rFonts w:ascii="宋体" w:hAnsi="宋体" w:cs="宋体" w:eastAsia="宋体" w:hint="default"/>
          <w:sz w:val="21"/>
          <w:szCs w:val="21"/>
        </w:rPr>
        <w:t>23,809.52</w:t>
      </w:r>
      <w:r>
        <w:rPr>
          <w:rFonts w:ascii="宋体" w:hAnsi="宋体" w:cs="宋体" w:eastAsia="宋体" w:hint="default"/>
          <w:spacing w:val="-52"/>
          <w:sz w:val="21"/>
          <w:szCs w:val="21"/>
        </w:rPr>
        <w:t> </w:t>
      </w:r>
      <w:r>
        <w:rPr>
          <w:rFonts w:ascii="宋体" w:hAnsi="宋体" w:cs="宋体" w:eastAsia="宋体" w:hint="default"/>
          <w:spacing w:val="-65"/>
          <w:sz w:val="21"/>
          <w:szCs w:val="21"/>
        </w:rPr>
        <w:t>元</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r>
        <w:rPr>
          <w:rFonts w:ascii="宋体" w:hAnsi="宋体" w:cs="宋体" w:eastAsia="宋体" w:hint="default"/>
          <w:spacing w:val="-105"/>
          <w:sz w:val="21"/>
          <w:szCs w:val="21"/>
        </w:rPr>
        <w:t>）</w:t>
      </w:r>
      <w:r>
        <w:rPr>
          <w:rFonts w:ascii="宋体" w:hAnsi="宋体" w:cs="宋体" w:eastAsia="宋体" w:hint="default"/>
          <w:spacing w:val="-65"/>
          <w:sz w:val="21"/>
          <w:szCs w:val="21"/>
        </w:rPr>
        <w:t>，</w:t>
      </w:r>
      <w:r>
        <w:rPr>
          <w:rFonts w:ascii="宋体" w:hAnsi="宋体" w:cs="宋体" w:eastAsia="宋体" w:hint="default"/>
          <w:sz w:val="21"/>
          <w:szCs w:val="21"/>
        </w:rPr>
        <w:t>独立董事年度津贴为</w:t>
      </w:r>
      <w:r>
        <w:rPr>
          <w:rFonts w:ascii="宋体" w:hAnsi="宋体" w:cs="宋体" w:eastAsia="宋体" w:hint="default"/>
          <w:spacing w:val="-53"/>
          <w:sz w:val="21"/>
          <w:szCs w:val="21"/>
        </w:rPr>
        <w:t> </w:t>
      </w:r>
      <w:r>
        <w:rPr>
          <w:rFonts w:ascii="宋体" w:hAnsi="宋体" w:cs="宋体" w:eastAsia="宋体" w:hint="default"/>
          <w:sz w:val="21"/>
          <w:szCs w:val="21"/>
        </w:rPr>
        <w:t>50,000.00</w:t>
      </w:r>
      <w:r>
        <w:rPr>
          <w:rFonts w:ascii="宋体" w:hAnsi="宋体" w:cs="宋体" w:eastAsia="宋体" w:hint="default"/>
          <w:spacing w:val="-52"/>
          <w:sz w:val="21"/>
          <w:szCs w:val="21"/>
        </w:rPr>
        <w:t> </w:t>
      </w:r>
      <w:r>
        <w:rPr>
          <w:rFonts w:ascii="宋体" w:hAnsi="宋体" w:cs="宋体" w:eastAsia="宋体" w:hint="default"/>
          <w:spacing w:val="-65"/>
          <w:sz w:val="21"/>
          <w:szCs w:val="21"/>
        </w:rPr>
        <w:t>元</w:t>
      </w:r>
      <w:r>
        <w:rPr>
          <w:rFonts w:ascii="宋体" w:hAnsi="宋体" w:cs="宋体" w:eastAsia="宋体" w:hint="default"/>
          <w:sz w:val="21"/>
          <w:szCs w:val="21"/>
        </w:rPr>
        <w:t>（含</w:t>
      </w:r>
      <w:r>
        <w:rPr>
          <w:rFonts w:ascii="宋体" w:hAnsi="宋体" w:cs="宋体" w:eastAsia="宋体" w:hint="default"/>
          <w:sz w:val="21"/>
          <w:szCs w:val="21"/>
        </w:rPr>
        <w:t> 税</w:t>
      </w:r>
      <w:r>
        <w:rPr>
          <w:rFonts w:ascii="宋体" w:hAnsi="宋体" w:cs="宋体" w:eastAsia="宋体" w:hint="default"/>
          <w:spacing w:val="-105"/>
          <w:sz w:val="21"/>
          <w:szCs w:val="21"/>
        </w:rPr>
        <w:t>）</w:t>
      </w:r>
      <w:r>
        <w:rPr>
          <w:rFonts w:ascii="宋体" w:hAnsi="宋体" w:cs="宋体" w:eastAsia="宋体" w:hint="default"/>
          <w:spacing w:val="-1"/>
          <w:sz w:val="21"/>
          <w:szCs w:val="21"/>
        </w:rPr>
        <w:t>，监事</w:t>
      </w:r>
      <w:r>
        <w:rPr>
          <w:rFonts w:ascii="宋体" w:hAnsi="宋体" w:cs="宋体" w:eastAsia="宋体" w:hint="default"/>
          <w:spacing w:val="-2"/>
          <w:sz w:val="21"/>
          <w:szCs w:val="21"/>
        </w:rPr>
        <w:t>年</w:t>
      </w:r>
      <w:r>
        <w:rPr>
          <w:rFonts w:ascii="宋体" w:hAnsi="宋体" w:cs="宋体" w:eastAsia="宋体" w:hint="default"/>
          <w:spacing w:val="-1"/>
          <w:sz w:val="21"/>
          <w:szCs w:val="21"/>
        </w:rPr>
        <w:t>度津贴</w:t>
      </w:r>
      <w:r>
        <w:rPr>
          <w:rFonts w:ascii="宋体" w:hAnsi="宋体" w:cs="宋体" w:eastAsia="宋体" w:hint="default"/>
          <w:sz w:val="21"/>
          <w:szCs w:val="21"/>
        </w:rPr>
        <w:t>为</w:t>
      </w:r>
      <w:r>
        <w:rPr>
          <w:rFonts w:ascii="宋体" w:hAnsi="宋体" w:cs="宋体" w:eastAsia="宋体" w:hint="default"/>
          <w:spacing w:val="-44"/>
          <w:sz w:val="21"/>
          <w:szCs w:val="21"/>
        </w:rPr>
        <w:t> </w:t>
      </w:r>
      <w:r>
        <w:rPr>
          <w:rFonts w:ascii="宋体" w:hAnsi="宋体" w:cs="宋体" w:eastAsia="宋体" w:hint="default"/>
          <w:spacing w:val="-1"/>
          <w:sz w:val="21"/>
          <w:szCs w:val="21"/>
        </w:rPr>
        <w:t>11904.7</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pacing w:val="-1"/>
          <w:sz w:val="21"/>
          <w:szCs w:val="21"/>
        </w:rPr>
        <w:t>元（</w:t>
      </w:r>
      <w:r>
        <w:rPr>
          <w:rFonts w:ascii="宋体" w:hAnsi="宋体" w:cs="宋体" w:eastAsia="宋体" w:hint="default"/>
          <w:spacing w:val="-2"/>
          <w:sz w:val="21"/>
          <w:szCs w:val="21"/>
        </w:rPr>
        <w:t>含</w:t>
      </w:r>
      <w:r>
        <w:rPr>
          <w:rFonts w:ascii="宋体" w:hAnsi="宋体" w:cs="宋体" w:eastAsia="宋体" w:hint="default"/>
          <w:spacing w:val="-1"/>
          <w:sz w:val="21"/>
          <w:szCs w:val="21"/>
        </w:rPr>
        <w:t>税</w:t>
      </w:r>
      <w:r>
        <w:rPr>
          <w:rFonts w:ascii="宋体" w:hAnsi="宋体" w:cs="宋体" w:eastAsia="宋体" w:hint="default"/>
          <w:spacing w:val="-104"/>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负</w:t>
      </w:r>
      <w:r>
        <w:rPr>
          <w:rFonts w:ascii="宋体" w:hAnsi="宋体" w:cs="宋体" w:eastAsia="宋体" w:hint="default"/>
          <w:sz w:val="21"/>
          <w:szCs w:val="21"/>
        </w:rPr>
        <w:t>责董事、独立董事和监事为参加会</w:t>
      </w:r>
      <w:r>
        <w:rPr>
          <w:rFonts w:ascii="宋体" w:hAnsi="宋体" w:cs="宋体" w:eastAsia="宋体" w:hint="default"/>
          <w:spacing w:val="1"/>
          <w:sz w:val="21"/>
          <w:szCs w:val="21"/>
        </w:rPr>
        <w:t>议</w:t>
      </w:r>
      <w:r>
        <w:rPr>
          <w:rFonts w:ascii="宋体" w:hAnsi="宋体" w:cs="宋体" w:eastAsia="宋体" w:hint="default"/>
          <w:sz w:val="21"/>
          <w:szCs w:val="21"/>
        </w:rPr>
        <w:t>发</w:t>
      </w:r>
    </w:p>
    <w:p>
      <w:pPr>
        <w:spacing w:before="30"/>
        <w:ind w:left="137" w:right="107" w:firstLine="0"/>
        <w:jc w:val="left"/>
        <w:rPr>
          <w:rFonts w:ascii="宋体" w:hAnsi="宋体" w:cs="宋体" w:eastAsia="宋体" w:hint="default"/>
          <w:sz w:val="21"/>
          <w:szCs w:val="21"/>
        </w:rPr>
      </w:pPr>
      <w:r>
        <w:rPr>
          <w:rFonts w:ascii="宋体" w:hAnsi="宋体" w:cs="宋体" w:eastAsia="宋体" w:hint="default"/>
          <w:sz w:val="21"/>
          <w:szCs w:val="21"/>
        </w:rPr>
        <w:t>生的差旅费、办公费等履职费用。</w:t>
      </w:r>
    </w:p>
    <w:p>
      <w:pPr>
        <w:spacing w:after="0"/>
        <w:jc w:val="left"/>
        <w:rPr>
          <w:rFonts w:ascii="宋体" w:hAnsi="宋体" w:cs="宋体" w:eastAsia="宋体" w:hint="default"/>
          <w:sz w:val="21"/>
          <w:szCs w:val="21"/>
        </w:rPr>
        <w:sectPr>
          <w:pgSz w:w="11910" w:h="16840"/>
          <w:pgMar w:header="915" w:footer="1712" w:top="1100" w:bottom="1900" w:left="1660" w:right="1580"/>
        </w:sectPr>
      </w:pPr>
    </w:p>
    <w:p>
      <w:pPr>
        <w:spacing w:line="240" w:lineRule="auto" w:before="5"/>
        <w:rPr>
          <w:rFonts w:ascii="Times New Roman" w:hAnsi="Times New Roman" w:cs="Times New Roman" w:eastAsia="Times New Roman" w:hint="default"/>
          <w:sz w:val="17"/>
          <w:szCs w:val="17"/>
        </w:rPr>
      </w:pPr>
      <w:r>
        <w:rPr/>
        <w:pict>
          <v:group style="position:absolute;margin-left:88.019981pt;margin-top:41.999668pt;width:419.35pt;height:16.4pt;mso-position-horizontal-relative:page;mso-position-vertical-relative:page;z-index:1504"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p>
    <w:p>
      <w:pPr>
        <w:spacing w:after="0" w:line="240" w:lineRule="auto"/>
        <w:rPr>
          <w:rFonts w:ascii="Times New Roman" w:hAnsi="Times New Roman" w:cs="Times New Roman" w:eastAsia="Times New Roman" w:hint="default"/>
          <w:sz w:val="17"/>
          <w:szCs w:val="17"/>
        </w:rPr>
        <w:sectPr>
          <w:pgSz w:w="11910" w:h="16840"/>
          <w:pgMar w:header="915" w:footer="1712" w:top="1100" w:bottom="1900" w:left="1660" w:right="1640"/>
        </w:sectPr>
      </w:pPr>
    </w:p>
    <w:p>
      <w:pPr>
        <w:spacing w:before="18"/>
        <w:ind w:left="557" w:right="227"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524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z w:val="21"/>
          <w:szCs w:val="21"/>
        </w:rPr>
        <w:t>3、报告期内，董事、监事和高级管理人员从公司获得报酬情况：</w:t>
      </w:r>
    </w:p>
    <w:p>
      <w:pPr>
        <w:spacing w:line="240" w:lineRule="auto" w:before="10"/>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1620"/>
        <w:gridCol w:w="1762"/>
        <w:gridCol w:w="2496"/>
        <w:gridCol w:w="2522"/>
      </w:tblGrid>
      <w:tr>
        <w:trPr>
          <w:trHeight w:val="568" w:hRule="exact"/>
        </w:trPr>
        <w:tc>
          <w:tcPr>
            <w:tcW w:w="162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1"/>
              <w:ind w:left="531" w:right="0"/>
              <w:jc w:val="left"/>
              <w:rPr>
                <w:rFonts w:ascii="宋体" w:hAnsi="宋体" w:cs="宋体" w:eastAsia="宋体" w:hint="default"/>
                <w:sz w:val="21"/>
                <w:szCs w:val="21"/>
              </w:rPr>
            </w:pPr>
            <w:r>
              <w:rPr>
                <w:rFonts w:ascii="宋体" w:hAnsi="宋体" w:cs="宋体" w:eastAsia="宋体" w:hint="default"/>
                <w:b/>
                <w:bCs/>
                <w:sz w:val="21"/>
                <w:szCs w:val="21"/>
              </w:rPr>
              <w:t>姓</w:t>
            </w:r>
            <w:r>
              <w:rPr>
                <w:rFonts w:ascii="宋体" w:hAnsi="宋体" w:cs="宋体" w:eastAsia="宋体" w:hint="default"/>
                <w:b/>
                <w:bCs/>
                <w:spacing w:val="-1"/>
                <w:sz w:val="21"/>
                <w:szCs w:val="21"/>
              </w:rPr>
              <w:t> </w:t>
            </w:r>
            <w:r>
              <w:rPr>
                <w:rFonts w:ascii="宋体" w:hAnsi="宋体" w:cs="宋体" w:eastAsia="宋体" w:hint="default"/>
                <w:b/>
                <w:bCs/>
                <w:sz w:val="21"/>
                <w:szCs w:val="21"/>
              </w:rPr>
              <w:t>名</w:t>
            </w:r>
            <w:r>
              <w:rPr>
                <w:rFonts w:ascii="宋体" w:hAnsi="宋体" w:cs="宋体" w:eastAsia="宋体" w:hint="default"/>
                <w:sz w:val="21"/>
                <w:szCs w:val="21"/>
              </w:rPr>
            </w:r>
          </w:p>
        </w:tc>
        <w:tc>
          <w:tcPr>
            <w:tcW w:w="1762" w:type="dxa"/>
            <w:tcBorders>
              <w:top w:val="single" w:sz="12" w:space="0" w:color="000000"/>
              <w:left w:val="single" w:sz="6" w:space="0" w:color="000000"/>
              <w:bottom w:val="single" w:sz="6" w:space="0" w:color="000000"/>
              <w:right w:val="single" w:sz="6" w:space="0" w:color="000000"/>
            </w:tcBorders>
          </w:tcPr>
          <w:p>
            <w:pPr>
              <w:pStyle w:val="TableParagraph"/>
              <w:tabs>
                <w:tab w:pos="979" w:val="left" w:leader="none"/>
              </w:tabs>
              <w:spacing w:line="240" w:lineRule="auto" w:before="101"/>
              <w:ind w:left="556" w:right="0"/>
              <w:jc w:val="left"/>
              <w:rPr>
                <w:rFonts w:ascii="宋体" w:hAnsi="宋体" w:cs="宋体" w:eastAsia="宋体" w:hint="default"/>
                <w:sz w:val="21"/>
                <w:szCs w:val="21"/>
              </w:rPr>
            </w:pPr>
            <w:r>
              <w:rPr>
                <w:rFonts w:ascii="宋体" w:hAnsi="宋体" w:cs="宋体" w:eastAsia="宋体" w:hint="default"/>
                <w:b/>
                <w:bCs/>
                <w:w w:val="95"/>
                <w:sz w:val="21"/>
                <w:szCs w:val="21"/>
              </w:rPr>
              <w:t>合</w:t>
              <w:tab/>
            </w:r>
            <w:r>
              <w:rPr>
                <w:rFonts w:ascii="宋体" w:hAnsi="宋体" w:cs="宋体" w:eastAsia="宋体" w:hint="default"/>
                <w:b/>
                <w:bCs/>
                <w:sz w:val="21"/>
                <w:szCs w:val="21"/>
              </w:rPr>
              <w:t>计</w:t>
            </w:r>
            <w:r>
              <w:rPr>
                <w:rFonts w:ascii="宋体" w:hAnsi="宋体" w:cs="宋体" w:eastAsia="宋体" w:hint="default"/>
                <w:sz w:val="21"/>
                <w:szCs w:val="21"/>
              </w:rPr>
            </w:r>
          </w:p>
        </w:tc>
        <w:tc>
          <w:tcPr>
            <w:tcW w:w="2496"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c>
          <w:tcPr>
            <w:tcW w:w="2522" w:type="dxa"/>
            <w:tcBorders>
              <w:top w:val="single" w:sz="12" w:space="0" w:color="000000"/>
              <w:left w:val="single" w:sz="4" w:space="0" w:color="000000"/>
              <w:bottom w:val="single" w:sz="6" w:space="0" w:color="000000"/>
              <w:right w:val="single" w:sz="12" w:space="0" w:color="000000"/>
            </w:tcBorders>
          </w:tcPr>
          <w:p>
            <w:pPr>
              <w:pStyle w:val="TableParagraph"/>
              <w:spacing w:line="240"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是否在股东单位领取津</w:t>
            </w:r>
            <w:r>
              <w:rPr>
                <w:rFonts w:ascii="宋体" w:hAnsi="宋体" w:cs="宋体" w:eastAsia="宋体" w:hint="default"/>
                <w:sz w:val="21"/>
                <w:szCs w:val="21"/>
              </w:rPr>
            </w:r>
          </w:p>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贴报酬</w:t>
            </w:r>
            <w:r>
              <w:rPr>
                <w:rFonts w:ascii="宋体" w:hAnsi="宋体" w:cs="宋体" w:eastAsia="宋体" w:hint="default"/>
                <w:sz w:val="21"/>
                <w:szCs w:val="21"/>
              </w:rPr>
            </w:r>
          </w:p>
        </w:tc>
      </w:tr>
      <w:tr>
        <w:trPr>
          <w:trHeight w:val="288" w:hRule="exact"/>
        </w:trPr>
        <w:tc>
          <w:tcPr>
            <w:tcW w:w="8400"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董事：</w:t>
            </w:r>
            <w:r>
              <w:rPr>
                <w:rFonts w:ascii="宋体" w:hAnsi="宋体" w:cs="宋体" w:eastAsia="宋体" w:hint="default"/>
                <w:sz w:val="21"/>
                <w:szCs w:val="21"/>
              </w:rPr>
            </w:r>
          </w:p>
        </w:tc>
      </w:tr>
      <w:tr>
        <w:trPr>
          <w:trHeight w:val="287" w:hRule="exact"/>
        </w:trPr>
        <w:tc>
          <w:tcPr>
            <w:tcW w:w="16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谷望江</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23,809.52</w:t>
            </w:r>
          </w:p>
        </w:tc>
        <w:tc>
          <w:tcPr>
            <w:tcW w:w="24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2007年董事津贴</w:t>
            </w:r>
          </w:p>
        </w:tc>
        <w:tc>
          <w:tcPr>
            <w:tcW w:w="2522" w:type="dxa"/>
            <w:tcBorders>
              <w:top w:val="single" w:sz="6" w:space="0" w:color="000000"/>
              <w:left w:val="single" w:sz="4"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6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王爱先</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23,809.52</w:t>
            </w:r>
          </w:p>
        </w:tc>
        <w:tc>
          <w:tcPr>
            <w:tcW w:w="24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2007年董事津贴</w:t>
            </w:r>
          </w:p>
        </w:tc>
        <w:tc>
          <w:tcPr>
            <w:tcW w:w="2522" w:type="dxa"/>
            <w:tcBorders>
              <w:top w:val="single" w:sz="6" w:space="0" w:color="000000"/>
              <w:left w:val="single" w:sz="4"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6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张春太</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23,809.52</w:t>
            </w:r>
          </w:p>
        </w:tc>
        <w:tc>
          <w:tcPr>
            <w:tcW w:w="24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2007年董事津贴</w:t>
            </w:r>
          </w:p>
        </w:tc>
        <w:tc>
          <w:tcPr>
            <w:tcW w:w="2522" w:type="dxa"/>
            <w:tcBorders>
              <w:top w:val="single" w:sz="6" w:space="0" w:color="000000"/>
              <w:left w:val="single" w:sz="4"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620" w:type="dxa"/>
            <w:tcBorders>
              <w:top w:val="single" w:sz="6" w:space="0" w:color="000000"/>
              <w:left w:val="single" w:sz="12" w:space="0" w:color="000000"/>
              <w:bottom w:val="single" w:sz="6" w:space="0" w:color="000000"/>
              <w:right w:val="single" w:sz="6" w:space="0" w:color="000000"/>
            </w:tcBorders>
          </w:tcPr>
          <w:p>
            <w:pPr>
              <w:pStyle w:val="TableParagraph"/>
              <w:tabs>
                <w:tab w:pos="900" w:val="left" w:leader="none"/>
              </w:tabs>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石</w:t>
              <w:tab/>
              <w:t>林</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23,809.52</w:t>
            </w:r>
          </w:p>
        </w:tc>
        <w:tc>
          <w:tcPr>
            <w:tcW w:w="24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2007年董事津贴</w:t>
            </w:r>
          </w:p>
        </w:tc>
        <w:tc>
          <w:tcPr>
            <w:tcW w:w="2522" w:type="dxa"/>
            <w:tcBorders>
              <w:top w:val="single" w:sz="6" w:space="0" w:color="000000"/>
              <w:left w:val="single" w:sz="4" w:space="0" w:color="000000"/>
              <w:bottom w:val="single" w:sz="6" w:space="0" w:color="000000"/>
              <w:right w:val="single" w:sz="12" w:space="0" w:color="000000"/>
            </w:tcBorders>
          </w:tcPr>
          <w:p>
            <w:pPr>
              <w:pStyle w:val="TableParagraph"/>
              <w:spacing w:line="241" w:lineRule="exact"/>
              <w:ind w:left="8"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6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史建中</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921,066.52</w:t>
            </w:r>
          </w:p>
        </w:tc>
        <w:tc>
          <w:tcPr>
            <w:tcW w:w="24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在本公司领取薪酬</w:t>
            </w:r>
          </w:p>
        </w:tc>
        <w:tc>
          <w:tcPr>
            <w:tcW w:w="2522" w:type="dxa"/>
            <w:tcBorders>
              <w:top w:val="single" w:sz="6" w:space="0" w:color="000000"/>
              <w:left w:val="single" w:sz="4" w:space="0" w:color="000000"/>
              <w:bottom w:val="single" w:sz="6" w:space="0" w:color="000000"/>
              <w:right w:val="single" w:sz="12"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6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武文祥</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50,000.00</w:t>
            </w:r>
          </w:p>
        </w:tc>
        <w:tc>
          <w:tcPr>
            <w:tcW w:w="24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2007年度独立董事津贴</w:t>
            </w:r>
          </w:p>
        </w:tc>
        <w:tc>
          <w:tcPr>
            <w:tcW w:w="2522" w:type="dxa"/>
            <w:tcBorders>
              <w:top w:val="single" w:sz="6" w:space="0" w:color="000000"/>
              <w:left w:val="single" w:sz="4"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6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512" w:right="0"/>
              <w:jc w:val="left"/>
              <w:rPr>
                <w:rFonts w:ascii="宋体" w:hAnsi="宋体" w:cs="宋体" w:eastAsia="宋体" w:hint="default"/>
                <w:sz w:val="21"/>
                <w:szCs w:val="21"/>
              </w:rPr>
            </w:pPr>
            <w:r>
              <w:rPr>
                <w:rFonts w:ascii="宋体" w:hAnsi="宋体" w:cs="宋体" w:eastAsia="宋体" w:hint="default"/>
                <w:sz w:val="21"/>
                <w:szCs w:val="21"/>
              </w:rPr>
              <w:t>王桂森</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0.00</w:t>
            </w:r>
          </w:p>
        </w:tc>
        <w:tc>
          <w:tcPr>
            <w:tcW w:w="24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2008年1月26日增补</w:t>
            </w:r>
          </w:p>
        </w:tc>
        <w:tc>
          <w:tcPr>
            <w:tcW w:w="2522" w:type="dxa"/>
            <w:tcBorders>
              <w:top w:val="single" w:sz="6" w:space="0" w:color="000000"/>
              <w:left w:val="single" w:sz="4" w:space="0" w:color="000000"/>
              <w:bottom w:val="single" w:sz="6" w:space="0" w:color="000000"/>
              <w:right w:val="single" w:sz="12"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6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刘洪渭</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50,000.00</w:t>
            </w:r>
          </w:p>
        </w:tc>
        <w:tc>
          <w:tcPr>
            <w:tcW w:w="24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2007年度独立董事津贴</w:t>
            </w:r>
          </w:p>
        </w:tc>
        <w:tc>
          <w:tcPr>
            <w:tcW w:w="2522" w:type="dxa"/>
            <w:tcBorders>
              <w:top w:val="single" w:sz="6" w:space="0" w:color="000000"/>
              <w:left w:val="single" w:sz="4"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8400"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监事：</w:t>
            </w:r>
            <w:r>
              <w:rPr>
                <w:rFonts w:ascii="宋体" w:hAnsi="宋体" w:cs="宋体" w:eastAsia="宋体" w:hint="default"/>
                <w:sz w:val="21"/>
                <w:szCs w:val="21"/>
              </w:rPr>
            </w:r>
          </w:p>
        </w:tc>
      </w:tr>
      <w:tr>
        <w:trPr>
          <w:trHeight w:val="287" w:hRule="exact"/>
        </w:trPr>
        <w:tc>
          <w:tcPr>
            <w:tcW w:w="16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王化文</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11,904.76</w:t>
            </w:r>
          </w:p>
        </w:tc>
        <w:tc>
          <w:tcPr>
            <w:tcW w:w="24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2007年监事津贴</w:t>
            </w:r>
          </w:p>
        </w:tc>
        <w:tc>
          <w:tcPr>
            <w:tcW w:w="2522" w:type="dxa"/>
            <w:tcBorders>
              <w:top w:val="single" w:sz="6" w:space="0" w:color="000000"/>
              <w:left w:val="single" w:sz="4"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6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李保政</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11,904.76</w:t>
            </w:r>
          </w:p>
        </w:tc>
        <w:tc>
          <w:tcPr>
            <w:tcW w:w="24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2007年监事津贴</w:t>
            </w:r>
          </w:p>
        </w:tc>
        <w:tc>
          <w:tcPr>
            <w:tcW w:w="2522" w:type="dxa"/>
            <w:tcBorders>
              <w:top w:val="single" w:sz="6" w:space="0" w:color="000000"/>
              <w:left w:val="single" w:sz="4"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620" w:type="dxa"/>
            <w:tcBorders>
              <w:top w:val="single" w:sz="6" w:space="0" w:color="000000"/>
              <w:left w:val="single" w:sz="12" w:space="0" w:color="000000"/>
              <w:bottom w:val="single" w:sz="6" w:space="0" w:color="000000"/>
              <w:right w:val="single" w:sz="6" w:space="0" w:color="000000"/>
            </w:tcBorders>
          </w:tcPr>
          <w:p>
            <w:pPr>
              <w:pStyle w:val="TableParagraph"/>
              <w:tabs>
                <w:tab w:pos="899" w:val="left" w:leader="none"/>
              </w:tabs>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孙</w:t>
              <w:tab/>
              <w:t>敬</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77,692.76</w:t>
            </w:r>
          </w:p>
        </w:tc>
        <w:tc>
          <w:tcPr>
            <w:tcW w:w="24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在本公司领取薪酬</w:t>
            </w:r>
          </w:p>
        </w:tc>
        <w:tc>
          <w:tcPr>
            <w:tcW w:w="2522" w:type="dxa"/>
            <w:tcBorders>
              <w:top w:val="single" w:sz="6" w:space="0" w:color="000000"/>
              <w:left w:val="single" w:sz="4"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8400"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高管人员</w:t>
            </w:r>
            <w:r>
              <w:rPr>
                <w:rFonts w:ascii="宋体" w:hAnsi="宋体" w:cs="宋体" w:eastAsia="宋体" w:hint="default"/>
                <w:sz w:val="21"/>
                <w:szCs w:val="21"/>
              </w:rPr>
            </w:r>
          </w:p>
        </w:tc>
      </w:tr>
      <w:tr>
        <w:trPr>
          <w:trHeight w:val="287" w:hRule="exact"/>
        </w:trPr>
        <w:tc>
          <w:tcPr>
            <w:tcW w:w="16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唐国奇</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439,595.00</w:t>
            </w:r>
          </w:p>
        </w:tc>
        <w:tc>
          <w:tcPr>
            <w:tcW w:w="24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在本公司领取薪酬</w:t>
            </w:r>
          </w:p>
        </w:tc>
        <w:tc>
          <w:tcPr>
            <w:tcW w:w="2522" w:type="dxa"/>
            <w:tcBorders>
              <w:top w:val="single" w:sz="6" w:space="0" w:color="000000"/>
              <w:left w:val="single" w:sz="4" w:space="0" w:color="000000"/>
              <w:bottom w:val="single" w:sz="6" w:space="0" w:color="000000"/>
              <w:right w:val="single" w:sz="12"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620" w:type="dxa"/>
            <w:tcBorders>
              <w:top w:val="single" w:sz="6" w:space="0" w:color="000000"/>
              <w:left w:val="single" w:sz="12" w:space="0" w:color="000000"/>
              <w:bottom w:val="single" w:sz="6" w:space="0" w:color="000000"/>
              <w:right w:val="single" w:sz="6" w:space="0" w:color="000000"/>
            </w:tcBorders>
          </w:tcPr>
          <w:p>
            <w:pPr>
              <w:pStyle w:val="TableParagraph"/>
              <w:tabs>
                <w:tab w:pos="900" w:val="left" w:leader="none"/>
              </w:tabs>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朱</w:t>
              <w:tab/>
              <w:t>震</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372,455.00</w:t>
            </w:r>
          </w:p>
        </w:tc>
        <w:tc>
          <w:tcPr>
            <w:tcW w:w="24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在本公司领取薪酬</w:t>
            </w:r>
          </w:p>
        </w:tc>
        <w:tc>
          <w:tcPr>
            <w:tcW w:w="2522" w:type="dxa"/>
            <w:tcBorders>
              <w:top w:val="single" w:sz="6" w:space="0" w:color="000000"/>
              <w:left w:val="single" w:sz="4"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620" w:type="dxa"/>
            <w:tcBorders>
              <w:top w:val="single" w:sz="6" w:space="0" w:color="000000"/>
              <w:left w:val="single" w:sz="12" w:space="0" w:color="000000"/>
              <w:bottom w:val="single" w:sz="6" w:space="0" w:color="000000"/>
              <w:right w:val="single" w:sz="6" w:space="0" w:color="000000"/>
            </w:tcBorders>
          </w:tcPr>
          <w:p>
            <w:pPr>
              <w:pStyle w:val="TableParagraph"/>
              <w:tabs>
                <w:tab w:pos="900" w:val="left" w:leader="none"/>
              </w:tabs>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刘</w:t>
              <w:tab/>
              <w:t>宏</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372,455.00</w:t>
            </w:r>
          </w:p>
        </w:tc>
        <w:tc>
          <w:tcPr>
            <w:tcW w:w="24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在本公司领取薪酬</w:t>
            </w:r>
          </w:p>
        </w:tc>
        <w:tc>
          <w:tcPr>
            <w:tcW w:w="2522" w:type="dxa"/>
            <w:tcBorders>
              <w:top w:val="single" w:sz="6" w:space="0" w:color="000000"/>
              <w:left w:val="single" w:sz="4"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620" w:type="dxa"/>
            <w:tcBorders>
              <w:top w:val="single" w:sz="6" w:space="0" w:color="000000"/>
              <w:left w:val="single" w:sz="12" w:space="0" w:color="000000"/>
              <w:bottom w:val="single" w:sz="6" w:space="0" w:color="000000"/>
              <w:right w:val="single" w:sz="6" w:space="0" w:color="000000"/>
            </w:tcBorders>
          </w:tcPr>
          <w:p>
            <w:pPr>
              <w:pStyle w:val="TableParagraph"/>
              <w:tabs>
                <w:tab w:pos="900" w:val="left" w:leader="none"/>
              </w:tabs>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郑</w:t>
              <w:tab/>
              <w:t>理</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349,825.00</w:t>
            </w:r>
          </w:p>
        </w:tc>
        <w:tc>
          <w:tcPr>
            <w:tcW w:w="249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在本公司领取薪酬</w:t>
            </w:r>
          </w:p>
        </w:tc>
        <w:tc>
          <w:tcPr>
            <w:tcW w:w="2522" w:type="dxa"/>
            <w:tcBorders>
              <w:top w:val="single" w:sz="6" w:space="0" w:color="000000"/>
              <w:left w:val="single" w:sz="4" w:space="0" w:color="000000"/>
              <w:bottom w:val="single" w:sz="6" w:space="0" w:color="000000"/>
              <w:right w:val="single" w:sz="12" w:space="0" w:color="000000"/>
            </w:tcBorders>
          </w:tcPr>
          <w:p>
            <w:pPr>
              <w:pStyle w:val="TableParagraph"/>
              <w:spacing w:line="241" w:lineRule="exact"/>
              <w:ind w:left="10"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96" w:hRule="exact"/>
        </w:trPr>
        <w:tc>
          <w:tcPr>
            <w:tcW w:w="1620"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齐利国</w:t>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349,825.00</w:t>
            </w:r>
          </w:p>
        </w:tc>
        <w:tc>
          <w:tcPr>
            <w:tcW w:w="2496" w:type="dxa"/>
            <w:tcBorders>
              <w:top w:val="single" w:sz="6" w:space="0" w:color="000000"/>
              <w:left w:val="single" w:sz="6" w:space="0" w:color="000000"/>
              <w:bottom w:val="single" w:sz="12"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在本公司领取薪酬</w:t>
            </w:r>
          </w:p>
        </w:tc>
        <w:tc>
          <w:tcPr>
            <w:tcW w:w="2522" w:type="dxa"/>
            <w:tcBorders>
              <w:top w:val="single" w:sz="6" w:space="0" w:color="000000"/>
              <w:left w:val="single" w:sz="4" w:space="0" w:color="000000"/>
              <w:bottom w:val="single" w:sz="12" w:space="0" w:color="000000"/>
              <w:right w:val="single" w:sz="12"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2"/>
        <w:rPr>
          <w:rFonts w:ascii="宋体" w:hAnsi="宋体" w:cs="宋体" w:eastAsia="宋体" w:hint="default"/>
          <w:sz w:val="25"/>
          <w:szCs w:val="25"/>
        </w:rPr>
      </w:pPr>
    </w:p>
    <w:p>
      <w:pPr>
        <w:spacing w:line="357" w:lineRule="auto" w:before="35"/>
        <w:ind w:left="137" w:right="227" w:firstLine="0"/>
        <w:jc w:val="left"/>
        <w:rPr>
          <w:rFonts w:ascii="宋体" w:hAnsi="宋体" w:cs="宋体" w:eastAsia="宋体" w:hint="default"/>
          <w:sz w:val="21"/>
          <w:szCs w:val="21"/>
        </w:rPr>
      </w:pPr>
      <w:r>
        <w:rPr>
          <w:rFonts w:ascii="宋体" w:hAnsi="宋体" w:cs="宋体" w:eastAsia="宋体" w:hint="default"/>
          <w:b/>
          <w:bCs/>
          <w:spacing w:val="2"/>
          <w:sz w:val="21"/>
          <w:szCs w:val="21"/>
        </w:rPr>
        <w:t>（四）报告期内被选举或离任的董事和监事、以及聘任或解聘的高级管理人员姓名，及董</w:t>
      </w:r>
      <w:r>
        <w:rPr>
          <w:rFonts w:ascii="宋体" w:hAnsi="宋体" w:cs="宋体" w:eastAsia="宋体" w:hint="default"/>
          <w:b/>
          <w:bCs/>
          <w:w w:val="99"/>
          <w:sz w:val="21"/>
          <w:szCs w:val="21"/>
        </w:rPr>
        <w:t> </w:t>
      </w:r>
      <w:r>
        <w:rPr>
          <w:rFonts w:ascii="宋体" w:hAnsi="宋体" w:cs="宋体" w:eastAsia="宋体" w:hint="default"/>
          <w:b/>
          <w:bCs/>
          <w:sz w:val="21"/>
          <w:szCs w:val="21"/>
        </w:rPr>
        <w:t>事和监事离任和高级管理人员解聘原因。</w:t>
      </w:r>
      <w:r>
        <w:rPr>
          <w:rFonts w:ascii="宋体" w:hAnsi="宋体" w:cs="宋体" w:eastAsia="宋体" w:hint="default"/>
          <w:sz w:val="21"/>
          <w:szCs w:val="21"/>
        </w:rPr>
      </w:r>
    </w:p>
    <w:p>
      <w:pPr>
        <w:spacing w:before="30"/>
        <w:ind w:left="557" w:right="227" w:firstLine="0"/>
        <w:jc w:val="left"/>
        <w:rPr>
          <w:rFonts w:ascii="宋体" w:hAnsi="宋体" w:cs="宋体" w:eastAsia="宋体" w:hint="default"/>
          <w:sz w:val="21"/>
          <w:szCs w:val="21"/>
        </w:rPr>
      </w:pPr>
      <w:r>
        <w:rPr>
          <w:rFonts w:ascii="宋体" w:hAnsi="宋体" w:cs="宋体" w:eastAsia="宋体" w:hint="default"/>
          <w:sz w:val="21"/>
          <w:szCs w:val="21"/>
        </w:rPr>
        <w:t>1、在</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日，公司第二届董事会独立董事王文福先生因突发疾病去世。</w:t>
      </w:r>
    </w:p>
    <w:p>
      <w:pPr>
        <w:spacing w:before="134"/>
        <w:ind w:left="557" w:right="96" w:firstLine="0"/>
        <w:jc w:val="left"/>
        <w:rPr>
          <w:rFonts w:ascii="宋体" w:hAnsi="宋体" w:cs="宋体" w:eastAsia="宋体" w:hint="default"/>
          <w:sz w:val="21"/>
          <w:szCs w:val="21"/>
        </w:rPr>
      </w:pPr>
      <w:r>
        <w:rPr>
          <w:rFonts w:ascii="宋体" w:hAnsi="宋体" w:cs="宋体" w:eastAsia="宋体" w:hint="default"/>
          <w:spacing w:val="-10"/>
          <w:sz w:val="21"/>
          <w:szCs w:val="21"/>
        </w:rPr>
        <w:t>2、在</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24</w:t>
      </w:r>
      <w:r>
        <w:rPr>
          <w:rFonts w:ascii="宋体" w:hAnsi="宋体" w:cs="宋体" w:eastAsia="宋体" w:hint="default"/>
          <w:spacing w:val="-48"/>
          <w:sz w:val="21"/>
          <w:szCs w:val="21"/>
        </w:rPr>
        <w:t> </w:t>
      </w:r>
      <w:r>
        <w:rPr>
          <w:rFonts w:ascii="宋体" w:hAnsi="宋体" w:cs="宋体" w:eastAsia="宋体" w:hint="default"/>
          <w:spacing w:val="-3"/>
          <w:sz w:val="21"/>
          <w:szCs w:val="21"/>
        </w:rPr>
        <w:t>日，经公司第二届董事会第十二次会议审议，提名王桂森先生为</w:t>
      </w:r>
    </w:p>
    <w:p>
      <w:pPr>
        <w:spacing w:line="355" w:lineRule="auto" w:before="133"/>
        <w:ind w:left="137" w:right="223" w:firstLine="0"/>
        <w:jc w:val="left"/>
        <w:rPr>
          <w:rFonts w:ascii="宋体" w:hAnsi="宋体" w:cs="宋体" w:eastAsia="宋体" w:hint="default"/>
          <w:sz w:val="21"/>
          <w:szCs w:val="21"/>
        </w:rPr>
      </w:pPr>
      <w:r>
        <w:rPr>
          <w:rFonts w:ascii="宋体" w:hAnsi="宋体" w:cs="宋体" w:eastAsia="宋体" w:hint="default"/>
          <w:sz w:val="21"/>
          <w:szCs w:val="21"/>
        </w:rPr>
        <w:t>独立董事候选人，2008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26</w:t>
      </w:r>
      <w:r>
        <w:rPr>
          <w:rFonts w:ascii="宋体" w:hAnsi="宋体" w:cs="宋体" w:eastAsia="宋体" w:hint="default"/>
          <w:spacing w:val="-43"/>
          <w:sz w:val="21"/>
          <w:szCs w:val="21"/>
        </w:rPr>
        <w:t> </w:t>
      </w:r>
      <w:r>
        <w:rPr>
          <w:rFonts w:ascii="宋体" w:hAnsi="宋体" w:cs="宋体" w:eastAsia="宋体" w:hint="default"/>
          <w:sz w:val="21"/>
          <w:szCs w:val="21"/>
        </w:rPr>
        <w:t>日，经</w:t>
      </w:r>
      <w:r>
        <w:rPr>
          <w:rFonts w:ascii="宋体" w:hAnsi="宋体" w:cs="宋体" w:eastAsia="宋体" w:hint="default"/>
          <w:spacing w:val="-44"/>
          <w:sz w:val="21"/>
          <w:szCs w:val="21"/>
        </w:rPr>
        <w:t> </w:t>
      </w:r>
      <w:r>
        <w:rPr>
          <w:rFonts w:ascii="宋体" w:hAnsi="宋体" w:cs="宋体" w:eastAsia="宋体" w:hint="default"/>
          <w:sz w:val="21"/>
          <w:szCs w:val="21"/>
        </w:rPr>
        <w:t>2008</w:t>
      </w:r>
      <w:r>
        <w:rPr>
          <w:rFonts w:ascii="宋体" w:hAnsi="宋体" w:cs="宋体" w:eastAsia="宋体" w:hint="default"/>
          <w:spacing w:val="-43"/>
          <w:sz w:val="21"/>
          <w:szCs w:val="21"/>
        </w:rPr>
        <w:t> </w:t>
      </w:r>
      <w:r>
        <w:rPr>
          <w:rFonts w:ascii="宋体" w:hAnsi="宋体" w:cs="宋体" w:eastAsia="宋体" w:hint="default"/>
          <w:sz w:val="21"/>
          <w:szCs w:val="21"/>
        </w:rPr>
        <w:t>年度第一次临时股东大会审议，同意增补王</w:t>
      </w:r>
      <w:r>
        <w:rPr>
          <w:rFonts w:ascii="宋体" w:hAnsi="宋体" w:cs="宋体" w:eastAsia="宋体" w:hint="default"/>
          <w:sz w:val="21"/>
          <w:szCs w:val="21"/>
        </w:rPr>
        <w:t> 桂森先生为第二届董事会独立董事。</w:t>
      </w:r>
    </w:p>
    <w:p>
      <w:pPr>
        <w:spacing w:line="240" w:lineRule="auto" w:before="0"/>
        <w:rPr>
          <w:rFonts w:ascii="宋体" w:hAnsi="宋体" w:cs="宋体" w:eastAsia="宋体" w:hint="default"/>
          <w:sz w:val="20"/>
          <w:szCs w:val="20"/>
        </w:rPr>
      </w:pPr>
    </w:p>
    <w:p>
      <w:pPr>
        <w:spacing w:before="180"/>
        <w:ind w:left="137" w:right="227" w:firstLine="0"/>
        <w:jc w:val="left"/>
        <w:rPr>
          <w:rFonts w:ascii="宋体" w:hAnsi="宋体" w:cs="宋体" w:eastAsia="宋体" w:hint="default"/>
          <w:sz w:val="21"/>
          <w:szCs w:val="21"/>
        </w:rPr>
      </w:pPr>
      <w:r>
        <w:rPr>
          <w:rFonts w:ascii="宋体" w:hAnsi="宋体" w:cs="宋体" w:eastAsia="宋体" w:hint="default"/>
          <w:b/>
          <w:bCs/>
          <w:sz w:val="21"/>
          <w:szCs w:val="21"/>
        </w:rPr>
        <w:t>二、员工情况</w:t>
      </w:r>
      <w:r>
        <w:rPr>
          <w:rFonts w:ascii="宋体" w:hAnsi="宋体" w:cs="宋体" w:eastAsia="宋体" w:hint="default"/>
          <w:sz w:val="21"/>
          <w:szCs w:val="21"/>
        </w:rPr>
      </w:r>
    </w:p>
    <w:p>
      <w:pPr>
        <w:spacing w:line="355" w:lineRule="auto" w:before="134"/>
        <w:ind w:left="557" w:right="2519"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4"/>
          <w:sz w:val="21"/>
          <w:szCs w:val="21"/>
        </w:rPr>
        <w:t> </w:t>
      </w:r>
      <w:r>
        <w:rPr>
          <w:rFonts w:ascii="宋体" w:hAnsi="宋体" w:cs="宋体" w:eastAsia="宋体" w:hint="default"/>
          <w:sz w:val="21"/>
          <w:szCs w:val="21"/>
        </w:rPr>
        <w:t>日，本公司员工总数为</w:t>
      </w:r>
      <w:r>
        <w:rPr>
          <w:rFonts w:ascii="宋体" w:hAnsi="宋体" w:cs="宋体" w:eastAsia="宋体" w:hint="default"/>
          <w:spacing w:val="-4"/>
          <w:sz w:val="21"/>
          <w:szCs w:val="21"/>
        </w:rPr>
        <w:t> </w:t>
      </w:r>
      <w:r>
        <w:rPr>
          <w:rFonts w:ascii="宋体" w:hAnsi="宋体" w:cs="宋体" w:eastAsia="宋体" w:hint="default"/>
          <w:sz w:val="21"/>
          <w:szCs w:val="21"/>
        </w:rPr>
        <w:t>659</w:t>
      </w:r>
      <w:r>
        <w:rPr>
          <w:rFonts w:ascii="宋体" w:hAnsi="宋体" w:cs="宋体" w:eastAsia="宋体" w:hint="default"/>
          <w:spacing w:val="-54"/>
          <w:sz w:val="21"/>
          <w:szCs w:val="21"/>
        </w:rPr>
        <w:t> </w:t>
      </w:r>
      <w:r>
        <w:rPr>
          <w:rFonts w:ascii="宋体" w:hAnsi="宋体" w:cs="宋体" w:eastAsia="宋体" w:hint="default"/>
          <w:sz w:val="21"/>
          <w:szCs w:val="21"/>
        </w:rPr>
        <w:t>人。</w:t>
      </w:r>
      <w:r>
        <w:rPr>
          <w:rFonts w:ascii="宋体" w:hAnsi="宋体" w:cs="宋体" w:eastAsia="宋体" w:hint="default"/>
          <w:spacing w:val="-1"/>
          <w:sz w:val="21"/>
          <w:szCs w:val="21"/>
        </w:rPr>
        <w:t> </w:t>
      </w:r>
      <w:r>
        <w:rPr>
          <w:rFonts w:ascii="宋体" w:hAnsi="宋体" w:cs="宋体" w:eastAsia="宋体" w:hint="default"/>
          <w:sz w:val="21"/>
          <w:szCs w:val="21"/>
        </w:rPr>
        <w:t>1、专业构成情况如下：</w:t>
      </w:r>
    </w:p>
    <w:p>
      <w:pPr>
        <w:tabs>
          <w:tab w:pos="3335" w:val="left" w:leader="none"/>
          <w:tab w:pos="5468" w:val="left" w:leader="none"/>
        </w:tabs>
        <w:spacing w:before="32"/>
        <w:ind w:left="1203" w:right="227" w:firstLine="0"/>
        <w:jc w:val="left"/>
        <w:rPr>
          <w:rFonts w:ascii="宋体" w:hAnsi="宋体" w:cs="宋体" w:eastAsia="宋体" w:hint="default"/>
          <w:sz w:val="21"/>
          <w:szCs w:val="21"/>
        </w:rPr>
      </w:pPr>
      <w:r>
        <w:rPr>
          <w:rFonts w:ascii="宋体" w:hAnsi="宋体" w:cs="宋体" w:eastAsia="宋体" w:hint="default"/>
          <w:sz w:val="21"/>
          <w:szCs w:val="21"/>
        </w:rPr>
        <w:t>专业类别</w:t>
        <w:tab/>
        <w:t>人数</w:t>
        <w:tab/>
        <w:t>比例（%）</w:t>
      </w:r>
    </w:p>
    <w:p>
      <w:pPr>
        <w:tabs>
          <w:tab w:pos="3336" w:val="left" w:leader="none"/>
          <w:tab w:pos="5468" w:val="left" w:leader="none"/>
        </w:tabs>
        <w:spacing w:before="64"/>
        <w:ind w:left="1203" w:right="227" w:firstLine="0"/>
        <w:jc w:val="left"/>
        <w:rPr>
          <w:rFonts w:ascii="宋体" w:hAnsi="宋体" w:cs="宋体" w:eastAsia="宋体" w:hint="default"/>
          <w:sz w:val="21"/>
          <w:szCs w:val="21"/>
        </w:rPr>
      </w:pPr>
      <w:r>
        <w:rPr>
          <w:rFonts w:ascii="宋体" w:hAnsi="宋体" w:cs="宋体" w:eastAsia="宋体" w:hint="default"/>
          <w:sz w:val="21"/>
          <w:szCs w:val="21"/>
        </w:rPr>
        <w:t>管理人员</w:t>
        <w:tab/>
        <w:t>57</w:t>
      </w:r>
      <w:r>
        <w:rPr>
          <w:rFonts w:ascii="Times New Roman" w:hAnsi="Times New Roman" w:cs="Times New Roman" w:eastAsia="Times New Roman" w:hint="default"/>
          <w:sz w:val="21"/>
          <w:szCs w:val="21"/>
        </w:rPr>
        <w:tab/>
      </w:r>
      <w:r>
        <w:rPr>
          <w:rFonts w:ascii="宋体" w:hAnsi="宋体" w:cs="宋体" w:eastAsia="宋体" w:hint="default"/>
          <w:sz w:val="21"/>
          <w:szCs w:val="21"/>
        </w:rPr>
        <w:t>8.65</w:t>
      </w:r>
    </w:p>
    <w:p>
      <w:pPr>
        <w:tabs>
          <w:tab w:pos="3336" w:val="left" w:leader="none"/>
          <w:tab w:pos="5468" w:val="left" w:leader="none"/>
        </w:tabs>
        <w:spacing w:before="66"/>
        <w:ind w:left="1203" w:right="227" w:firstLine="0"/>
        <w:jc w:val="left"/>
        <w:rPr>
          <w:rFonts w:ascii="宋体" w:hAnsi="宋体" w:cs="宋体" w:eastAsia="宋体" w:hint="default"/>
          <w:sz w:val="21"/>
          <w:szCs w:val="21"/>
        </w:rPr>
      </w:pPr>
      <w:r>
        <w:rPr>
          <w:rFonts w:ascii="宋体" w:hAnsi="宋体" w:cs="宋体" w:eastAsia="宋体" w:hint="default"/>
          <w:sz w:val="21"/>
          <w:szCs w:val="21"/>
        </w:rPr>
        <w:t>生产人员</w:t>
        <w:tab/>
        <w:t>359</w:t>
      </w:r>
      <w:r>
        <w:rPr>
          <w:rFonts w:ascii="Times New Roman" w:hAnsi="Times New Roman" w:cs="Times New Roman" w:eastAsia="Times New Roman" w:hint="default"/>
          <w:sz w:val="21"/>
          <w:szCs w:val="21"/>
        </w:rPr>
        <w:tab/>
      </w:r>
      <w:r>
        <w:rPr>
          <w:rFonts w:ascii="宋体" w:hAnsi="宋体" w:cs="宋体" w:eastAsia="宋体" w:hint="default"/>
          <w:sz w:val="21"/>
          <w:szCs w:val="21"/>
        </w:rPr>
        <w:t>54.48</w:t>
      </w:r>
    </w:p>
    <w:p>
      <w:pPr>
        <w:tabs>
          <w:tab w:pos="3336" w:val="left" w:leader="none"/>
          <w:tab w:pos="5468" w:val="left" w:leader="none"/>
        </w:tabs>
        <w:spacing w:before="66"/>
        <w:ind w:left="1203" w:right="227" w:firstLine="0"/>
        <w:jc w:val="left"/>
        <w:rPr>
          <w:rFonts w:ascii="宋体" w:hAnsi="宋体" w:cs="宋体" w:eastAsia="宋体" w:hint="default"/>
          <w:sz w:val="21"/>
          <w:szCs w:val="21"/>
        </w:rPr>
      </w:pPr>
      <w:r>
        <w:rPr>
          <w:rFonts w:ascii="宋体" w:hAnsi="宋体" w:cs="宋体" w:eastAsia="宋体" w:hint="default"/>
          <w:sz w:val="21"/>
          <w:szCs w:val="21"/>
        </w:rPr>
        <w:t>销售人员</w:t>
        <w:tab/>
        <w:t>117</w:t>
      </w:r>
      <w:r>
        <w:rPr>
          <w:rFonts w:ascii="Times New Roman" w:hAnsi="Times New Roman" w:cs="Times New Roman" w:eastAsia="Times New Roman" w:hint="default"/>
          <w:sz w:val="21"/>
          <w:szCs w:val="21"/>
        </w:rPr>
        <w:tab/>
      </w:r>
      <w:r>
        <w:rPr>
          <w:rFonts w:ascii="宋体" w:hAnsi="宋体" w:cs="宋体" w:eastAsia="宋体" w:hint="default"/>
          <w:sz w:val="21"/>
          <w:szCs w:val="21"/>
        </w:rPr>
        <w:t>17.75</w:t>
      </w:r>
    </w:p>
    <w:p>
      <w:pPr>
        <w:tabs>
          <w:tab w:pos="3336" w:val="left" w:leader="none"/>
          <w:tab w:pos="5467" w:val="left" w:leader="none"/>
        </w:tabs>
        <w:spacing w:before="64"/>
        <w:ind w:left="1203" w:right="227" w:firstLine="0"/>
        <w:jc w:val="left"/>
        <w:rPr>
          <w:rFonts w:ascii="宋体" w:hAnsi="宋体" w:cs="宋体" w:eastAsia="宋体" w:hint="default"/>
          <w:sz w:val="21"/>
          <w:szCs w:val="21"/>
        </w:rPr>
      </w:pPr>
      <w:r>
        <w:rPr>
          <w:rFonts w:ascii="宋体" w:hAnsi="宋体" w:cs="宋体" w:eastAsia="宋体" w:hint="default"/>
          <w:sz w:val="21"/>
          <w:szCs w:val="21"/>
        </w:rPr>
        <w:t>技术人员</w:t>
        <w:tab/>
        <w:t>90</w:t>
      </w:r>
      <w:r>
        <w:rPr>
          <w:rFonts w:ascii="Times New Roman" w:hAnsi="Times New Roman" w:cs="Times New Roman" w:eastAsia="Times New Roman" w:hint="default"/>
          <w:sz w:val="21"/>
          <w:szCs w:val="21"/>
        </w:rPr>
        <w:tab/>
      </w:r>
      <w:r>
        <w:rPr>
          <w:rFonts w:ascii="宋体" w:hAnsi="宋体" w:cs="宋体" w:eastAsia="宋体" w:hint="default"/>
          <w:sz w:val="21"/>
          <w:szCs w:val="21"/>
        </w:rPr>
        <w:t>13.66</w:t>
      </w:r>
    </w:p>
    <w:p>
      <w:pPr>
        <w:tabs>
          <w:tab w:pos="3336" w:val="left" w:leader="none"/>
          <w:tab w:pos="5468" w:val="left" w:leader="none"/>
        </w:tabs>
        <w:spacing w:before="66"/>
        <w:ind w:left="1203" w:right="227" w:firstLine="0"/>
        <w:jc w:val="left"/>
        <w:rPr>
          <w:rFonts w:ascii="宋体" w:hAnsi="宋体" w:cs="宋体" w:eastAsia="宋体" w:hint="default"/>
          <w:sz w:val="21"/>
          <w:szCs w:val="21"/>
        </w:rPr>
      </w:pPr>
      <w:r>
        <w:rPr>
          <w:rFonts w:ascii="宋体" w:hAnsi="宋体" w:cs="宋体" w:eastAsia="宋体" w:hint="default"/>
          <w:sz w:val="21"/>
          <w:szCs w:val="21"/>
        </w:rPr>
        <w:t>财务人员</w:t>
        <w:tab/>
        <w:t>11</w:t>
      </w:r>
      <w:r>
        <w:rPr>
          <w:rFonts w:ascii="Times New Roman" w:hAnsi="Times New Roman" w:cs="Times New Roman" w:eastAsia="Times New Roman" w:hint="default"/>
          <w:sz w:val="21"/>
          <w:szCs w:val="21"/>
        </w:rPr>
        <w:tab/>
      </w:r>
      <w:r>
        <w:rPr>
          <w:rFonts w:ascii="宋体" w:hAnsi="宋体" w:cs="宋体" w:eastAsia="宋体" w:hint="default"/>
          <w:sz w:val="21"/>
          <w:szCs w:val="21"/>
        </w:rPr>
        <w:t>1.67</w:t>
      </w:r>
    </w:p>
    <w:p>
      <w:pPr>
        <w:tabs>
          <w:tab w:pos="3336" w:val="left" w:leader="none"/>
          <w:tab w:pos="5468" w:val="left" w:leader="none"/>
        </w:tabs>
        <w:spacing w:before="66"/>
        <w:ind w:left="1203" w:right="227" w:firstLine="0"/>
        <w:jc w:val="left"/>
        <w:rPr>
          <w:rFonts w:ascii="宋体" w:hAnsi="宋体" w:cs="宋体" w:eastAsia="宋体" w:hint="default"/>
          <w:sz w:val="21"/>
          <w:szCs w:val="21"/>
        </w:rPr>
      </w:pPr>
      <w:r>
        <w:rPr>
          <w:rFonts w:ascii="宋体" w:hAnsi="宋体" w:cs="宋体" w:eastAsia="宋体" w:hint="default"/>
          <w:sz w:val="21"/>
          <w:szCs w:val="21"/>
        </w:rPr>
        <w:t>行政人员</w:t>
        <w:tab/>
        <w:t>25</w:t>
      </w:r>
      <w:r>
        <w:rPr>
          <w:rFonts w:ascii="Times New Roman" w:hAnsi="Times New Roman" w:cs="Times New Roman" w:eastAsia="Times New Roman" w:hint="default"/>
          <w:sz w:val="21"/>
          <w:szCs w:val="21"/>
        </w:rPr>
        <w:tab/>
      </w:r>
      <w:r>
        <w:rPr>
          <w:rFonts w:ascii="宋体" w:hAnsi="宋体" w:cs="宋体" w:eastAsia="宋体" w:hint="default"/>
          <w:sz w:val="21"/>
          <w:szCs w:val="21"/>
        </w:rPr>
        <w:t>3.79</w:t>
      </w:r>
    </w:p>
    <w:p>
      <w:pPr>
        <w:tabs>
          <w:tab w:pos="3336" w:val="left" w:leader="none"/>
          <w:tab w:pos="5468" w:val="left" w:leader="none"/>
        </w:tabs>
        <w:spacing w:before="64"/>
        <w:ind w:left="1203" w:right="227" w:firstLine="0"/>
        <w:jc w:val="left"/>
        <w:rPr>
          <w:rFonts w:ascii="宋体" w:hAnsi="宋体" w:cs="宋体" w:eastAsia="宋体" w:hint="default"/>
          <w:sz w:val="21"/>
          <w:szCs w:val="21"/>
        </w:rPr>
      </w:pPr>
      <w:r>
        <w:rPr>
          <w:rFonts w:ascii="宋体" w:hAnsi="宋体" w:cs="宋体" w:eastAsia="宋体" w:hint="default"/>
          <w:sz w:val="21"/>
          <w:szCs w:val="21"/>
        </w:rPr>
        <w:t>合计</w:t>
        <w:tab/>
      </w:r>
      <w:r>
        <w:rPr>
          <w:rFonts w:ascii="宋体" w:hAnsi="宋体" w:cs="宋体" w:eastAsia="宋体" w:hint="default"/>
          <w:spacing w:val="-1"/>
          <w:sz w:val="21"/>
          <w:szCs w:val="21"/>
        </w:rPr>
        <w:t>659</w:t>
      </w:r>
      <w:r>
        <w:rPr>
          <w:rFonts w:ascii="Times New Roman" w:hAnsi="Times New Roman" w:cs="Times New Roman" w:eastAsia="Times New Roman" w:hint="default"/>
          <w:spacing w:val="-1"/>
          <w:sz w:val="21"/>
          <w:szCs w:val="21"/>
        </w:rPr>
        <w:tab/>
      </w:r>
      <w:r>
        <w:rPr>
          <w:rFonts w:ascii="宋体" w:hAnsi="宋体" w:cs="宋体" w:eastAsia="宋体" w:hint="default"/>
          <w:spacing w:val="-1"/>
          <w:sz w:val="21"/>
          <w:szCs w:val="21"/>
        </w:rPr>
        <w:t>100</w:t>
      </w:r>
    </w:p>
    <w:p>
      <w:pPr>
        <w:spacing w:after="0"/>
        <w:jc w:val="left"/>
        <w:rPr>
          <w:rFonts w:ascii="宋体" w:hAnsi="宋体" w:cs="宋体" w:eastAsia="宋体" w:hint="default"/>
          <w:sz w:val="21"/>
          <w:szCs w:val="21"/>
        </w:rPr>
        <w:sectPr>
          <w:pgSz w:w="11910" w:h="16840"/>
          <w:pgMar w:header="915" w:footer="1712" w:top="1100" w:bottom="1900" w:left="1660" w:right="1560"/>
        </w:sectPr>
      </w:pPr>
    </w:p>
    <w:p>
      <w:pPr>
        <w:spacing w:before="359"/>
        <w:ind w:left="557" w:right="0"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155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z w:val="21"/>
          <w:szCs w:val="21"/>
        </w:rPr>
        <w:t>2、员工受教育程度构成如下：</w:t>
      </w:r>
    </w:p>
    <w:p>
      <w:pPr>
        <w:spacing w:line="240" w:lineRule="auto" w:before="6"/>
        <w:rPr>
          <w:rFonts w:ascii="宋体" w:hAnsi="宋体" w:cs="宋体" w:eastAsia="宋体" w:hint="default"/>
          <w:sz w:val="7"/>
          <w:szCs w:val="7"/>
        </w:rPr>
      </w:pPr>
    </w:p>
    <w:tbl>
      <w:tblPr>
        <w:tblW w:w="0" w:type="auto"/>
        <w:jc w:val="left"/>
        <w:tblInd w:w="1162" w:type="dxa"/>
        <w:tblLayout w:type="fixed"/>
        <w:tblCellMar>
          <w:top w:w="0" w:type="dxa"/>
          <w:left w:w="0" w:type="dxa"/>
          <w:bottom w:w="0" w:type="dxa"/>
          <w:right w:w="0" w:type="dxa"/>
        </w:tblCellMar>
        <w:tblLook w:val="01E0"/>
      </w:tblPr>
      <w:tblGrid>
        <w:gridCol w:w="2189"/>
        <w:gridCol w:w="1366"/>
        <w:gridCol w:w="1664"/>
      </w:tblGrid>
      <w:tr>
        <w:trPr>
          <w:trHeight w:val="409" w:hRule="exact"/>
        </w:trPr>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教育程度</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62"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8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09" w:hRule="exact"/>
        </w:trPr>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本科及本科以上学历</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63" w:right="0"/>
              <w:jc w:val="left"/>
              <w:rPr>
                <w:rFonts w:ascii="宋体" w:hAnsi="宋体" w:cs="宋体" w:eastAsia="宋体" w:hint="default"/>
                <w:sz w:val="21"/>
                <w:szCs w:val="21"/>
              </w:rPr>
            </w:pPr>
            <w:r>
              <w:rPr>
                <w:rFonts w:ascii="宋体"/>
                <w:sz w:val="21"/>
              </w:rPr>
              <w:t>158</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4" w:right="0"/>
              <w:jc w:val="left"/>
              <w:rPr>
                <w:rFonts w:ascii="宋体" w:hAnsi="宋体" w:cs="宋体" w:eastAsia="宋体" w:hint="default"/>
                <w:sz w:val="21"/>
                <w:szCs w:val="21"/>
              </w:rPr>
            </w:pPr>
            <w:r>
              <w:rPr>
                <w:rFonts w:ascii="宋体"/>
                <w:sz w:val="21"/>
              </w:rPr>
              <w:t>23.98</w:t>
            </w:r>
          </w:p>
        </w:tc>
      </w:tr>
      <w:tr>
        <w:trPr>
          <w:trHeight w:val="409" w:hRule="exact"/>
        </w:trPr>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专科学历</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63" w:right="0"/>
              <w:jc w:val="left"/>
              <w:rPr>
                <w:rFonts w:ascii="宋体" w:hAnsi="宋体" w:cs="宋体" w:eastAsia="宋体" w:hint="default"/>
                <w:sz w:val="21"/>
                <w:szCs w:val="21"/>
              </w:rPr>
            </w:pPr>
            <w:r>
              <w:rPr>
                <w:rFonts w:ascii="宋体"/>
                <w:sz w:val="21"/>
              </w:rPr>
              <w:t>132</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3" w:right="0"/>
              <w:jc w:val="left"/>
              <w:rPr>
                <w:rFonts w:ascii="宋体" w:hAnsi="宋体" w:cs="宋体" w:eastAsia="宋体" w:hint="default"/>
                <w:sz w:val="21"/>
                <w:szCs w:val="21"/>
              </w:rPr>
            </w:pPr>
            <w:r>
              <w:rPr>
                <w:rFonts w:ascii="宋体"/>
                <w:sz w:val="21"/>
              </w:rPr>
              <w:t>20.03</w:t>
            </w:r>
          </w:p>
        </w:tc>
      </w:tr>
      <w:tr>
        <w:trPr>
          <w:trHeight w:val="409" w:hRule="exact"/>
        </w:trPr>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中专、高中学历</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63" w:right="0"/>
              <w:jc w:val="left"/>
              <w:rPr>
                <w:rFonts w:ascii="宋体" w:hAnsi="宋体" w:cs="宋体" w:eastAsia="宋体" w:hint="default"/>
                <w:sz w:val="21"/>
                <w:szCs w:val="21"/>
              </w:rPr>
            </w:pPr>
            <w:r>
              <w:rPr>
                <w:rFonts w:ascii="宋体"/>
                <w:sz w:val="21"/>
              </w:rPr>
              <w:t>215</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3" w:right="0"/>
              <w:jc w:val="left"/>
              <w:rPr>
                <w:rFonts w:ascii="宋体" w:hAnsi="宋体" w:cs="宋体" w:eastAsia="宋体" w:hint="default"/>
                <w:sz w:val="21"/>
                <w:szCs w:val="21"/>
              </w:rPr>
            </w:pPr>
            <w:r>
              <w:rPr>
                <w:rFonts w:ascii="宋体"/>
                <w:sz w:val="21"/>
              </w:rPr>
              <w:t>32.62</w:t>
            </w:r>
          </w:p>
        </w:tc>
      </w:tr>
      <w:tr>
        <w:trPr>
          <w:trHeight w:val="409" w:hRule="exact"/>
        </w:trPr>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高中以下学历</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63" w:right="0"/>
              <w:jc w:val="left"/>
              <w:rPr>
                <w:rFonts w:ascii="宋体" w:hAnsi="宋体" w:cs="宋体" w:eastAsia="宋体" w:hint="default"/>
                <w:sz w:val="21"/>
                <w:szCs w:val="21"/>
              </w:rPr>
            </w:pPr>
            <w:r>
              <w:rPr>
                <w:rFonts w:ascii="宋体"/>
                <w:sz w:val="21"/>
              </w:rPr>
              <w:t>154</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3" w:right="0"/>
              <w:jc w:val="left"/>
              <w:rPr>
                <w:rFonts w:ascii="宋体" w:hAnsi="宋体" w:cs="宋体" w:eastAsia="宋体" w:hint="default"/>
                <w:sz w:val="21"/>
                <w:szCs w:val="21"/>
              </w:rPr>
            </w:pPr>
            <w:r>
              <w:rPr>
                <w:rFonts w:ascii="宋体"/>
                <w:sz w:val="21"/>
              </w:rPr>
              <w:t>23.36</w:t>
            </w:r>
          </w:p>
        </w:tc>
      </w:tr>
      <w:tr>
        <w:trPr>
          <w:trHeight w:val="409" w:hRule="exact"/>
        </w:trPr>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63" w:right="0"/>
              <w:jc w:val="left"/>
              <w:rPr>
                <w:rFonts w:ascii="宋体" w:hAnsi="宋体" w:cs="宋体" w:eastAsia="宋体" w:hint="default"/>
                <w:sz w:val="21"/>
                <w:szCs w:val="21"/>
              </w:rPr>
            </w:pPr>
            <w:r>
              <w:rPr>
                <w:rFonts w:ascii="宋体"/>
                <w:sz w:val="21"/>
              </w:rPr>
              <w:t>659</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3" w:right="0"/>
              <w:jc w:val="lef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3、本公司没有需承担费用的离退休员工。</w:t>
      </w:r>
    </w:p>
    <w:p>
      <w:pPr>
        <w:spacing w:after="0"/>
        <w:jc w:val="left"/>
        <w:rPr>
          <w:rFonts w:ascii="宋体" w:hAnsi="宋体" w:cs="宋体" w:eastAsia="宋体" w:hint="default"/>
          <w:sz w:val="21"/>
          <w:szCs w:val="21"/>
        </w:rPr>
        <w:sectPr>
          <w:pgSz w:w="11910" w:h="16840"/>
          <w:pgMar w:header="915" w:footer="1712" w:top="1100" w:bottom="190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1"/>
        <w:tabs>
          <w:tab w:pos="1356" w:val="left" w:leader="none"/>
        </w:tabs>
        <w:spacing w:line="240" w:lineRule="auto"/>
        <w:ind w:right="74"/>
        <w:jc w:val="center"/>
        <w:rPr>
          <w:b w:val="0"/>
          <w:bCs w:val="0"/>
        </w:rPr>
      </w:pPr>
      <w:bookmarkStart w:name="_TOC_250006" w:id="5"/>
      <w:r>
        <w:rPr>
          <w:w w:val="95"/>
        </w:rPr>
        <w:t>第五节</w:t>
        <w:tab/>
      </w:r>
      <w:r>
        <w:rPr/>
        <w:t>公司治理结构</w:t>
      </w:r>
      <w:bookmarkEnd w:id="5"/>
      <w:r>
        <w:rPr>
          <w:b w:val="0"/>
          <w:bCs w:val="0"/>
        </w:rPr>
      </w:r>
    </w:p>
    <w:p>
      <w:pPr>
        <w:spacing w:line="355" w:lineRule="auto" w:before="207"/>
        <w:ind w:left="557" w:right="107" w:hanging="420"/>
        <w:jc w:val="left"/>
        <w:rPr>
          <w:rFonts w:ascii="宋体" w:hAnsi="宋体" w:cs="宋体" w:eastAsia="宋体" w:hint="default"/>
          <w:sz w:val="21"/>
          <w:szCs w:val="21"/>
        </w:rPr>
      </w:pPr>
      <w:r>
        <w:rPr>
          <w:rFonts w:ascii="宋体" w:hAnsi="宋体" w:cs="宋体" w:eastAsia="宋体" w:hint="default"/>
          <w:b/>
          <w:bCs/>
          <w:sz w:val="21"/>
          <w:szCs w:val="21"/>
        </w:rPr>
        <w:t>一、公司治理基本情况</w:t>
      </w:r>
      <w:r>
        <w:rPr>
          <w:rFonts w:ascii="宋体" w:hAnsi="宋体" w:cs="宋体" w:eastAsia="宋体" w:hint="default"/>
          <w:b/>
          <w:bCs/>
          <w:w w:val="99"/>
          <w:sz w:val="21"/>
          <w:szCs w:val="21"/>
        </w:rPr>
        <w:t> </w:t>
      </w:r>
      <w:r>
        <w:rPr>
          <w:rFonts w:ascii="宋体" w:hAnsi="宋体" w:cs="宋体" w:eastAsia="宋体" w:hint="default"/>
          <w:spacing w:val="-18"/>
          <w:sz w:val="21"/>
          <w:szCs w:val="21"/>
        </w:rPr>
        <w:t>公司严格按照《公司法》、《证券法》、《上市公司治理准则》、《深圳证券交易所股票上市</w:t>
      </w:r>
    </w:p>
    <w:p>
      <w:pPr>
        <w:spacing w:line="357" w:lineRule="auto" w:before="32"/>
        <w:ind w:left="137" w:right="102" w:firstLine="0"/>
        <w:jc w:val="left"/>
        <w:rPr>
          <w:rFonts w:ascii="宋体" w:hAnsi="宋体" w:cs="宋体" w:eastAsia="宋体" w:hint="default"/>
          <w:sz w:val="21"/>
          <w:szCs w:val="21"/>
        </w:rPr>
      </w:pPr>
      <w:r>
        <w:rPr>
          <w:rFonts w:ascii="宋体" w:hAnsi="宋体" w:cs="宋体" w:eastAsia="宋体" w:hint="default"/>
          <w:sz w:val="21"/>
          <w:szCs w:val="21"/>
        </w:rPr>
        <w:t>规则》和中国证监会及深圳证券交易所颁布的其他相关法律法规的要求，制定《公司章程》 </w:t>
      </w:r>
      <w:r>
        <w:rPr>
          <w:rFonts w:ascii="宋体" w:hAnsi="宋体" w:cs="宋体" w:eastAsia="宋体" w:hint="default"/>
          <w:spacing w:val="-5"/>
          <w:sz w:val="21"/>
          <w:szCs w:val="21"/>
        </w:rPr>
        <w:t>及其他内部控制规章制度，完善公司内部法人治理结构，健全内部管理制度，规范公司行为。</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公司的治理结构符合中国证监会关于上市公司治理的相关规范性文件。 </w:t>
      </w:r>
      <w:r>
        <w:rPr>
          <w:rFonts w:ascii="宋体" w:hAnsi="宋体" w:cs="宋体" w:eastAsia="宋体" w:hint="default"/>
          <w:b/>
          <w:bCs/>
          <w:sz w:val="21"/>
          <w:szCs w:val="21"/>
        </w:rPr>
        <w:t>1、关于股东、股东大会</w:t>
      </w:r>
      <w:r>
        <w:rPr>
          <w:rFonts w:ascii="宋体" w:hAnsi="宋体" w:cs="宋体" w:eastAsia="宋体" w:hint="default"/>
          <w:sz w:val="21"/>
          <w:szCs w:val="21"/>
        </w:rPr>
      </w:r>
    </w:p>
    <w:p>
      <w:pPr>
        <w:spacing w:line="357" w:lineRule="auto" w:before="30"/>
        <w:ind w:left="137" w:right="97" w:firstLine="420"/>
        <w:jc w:val="left"/>
        <w:rPr>
          <w:rFonts w:ascii="宋体" w:hAnsi="宋体" w:cs="宋体" w:eastAsia="宋体" w:hint="default"/>
          <w:sz w:val="21"/>
          <w:szCs w:val="21"/>
        </w:rPr>
      </w:pPr>
      <w:r>
        <w:rPr>
          <w:rFonts w:ascii="宋体" w:hAnsi="宋体" w:cs="宋体" w:eastAsia="宋体" w:hint="default"/>
          <w:spacing w:val="-5"/>
          <w:sz w:val="21"/>
          <w:szCs w:val="21"/>
        </w:rPr>
        <w:t>股东大会是公司的权力机构，依法行使下列职权：1）决定公司经营方针和投资计划；2）</w:t>
      </w:r>
      <w:r>
        <w:rPr>
          <w:rFonts w:ascii="宋体" w:hAnsi="宋体" w:cs="宋体" w:eastAsia="宋体" w:hint="default"/>
          <w:sz w:val="21"/>
          <w:szCs w:val="21"/>
        </w:rPr>
        <w:t> 选举和更换董事，决定有关董事的报酬事项；3）选举和更换由股东代表出任的监事，决定</w:t>
      </w:r>
      <w:r>
        <w:rPr>
          <w:rFonts w:ascii="宋体" w:hAnsi="宋体" w:cs="宋体" w:eastAsia="宋体" w:hint="default"/>
          <w:spacing w:val="-1"/>
          <w:sz w:val="21"/>
          <w:szCs w:val="21"/>
        </w:rPr>
        <w:t> </w:t>
      </w:r>
      <w:r>
        <w:rPr>
          <w:rFonts w:ascii="宋体" w:hAnsi="宋体" w:cs="宋体" w:eastAsia="宋体" w:hint="default"/>
          <w:sz w:val="21"/>
          <w:szCs w:val="21"/>
        </w:rPr>
        <w:t>有关监事的报酬事项；4）审议批准董事会的报告；5）审议批准监事会的报告；6）审议批</w:t>
      </w:r>
      <w:r>
        <w:rPr>
          <w:rFonts w:ascii="宋体" w:hAnsi="宋体" w:cs="宋体" w:eastAsia="宋体" w:hint="default"/>
          <w:sz w:val="21"/>
          <w:szCs w:val="21"/>
        </w:rPr>
        <w:t> </w:t>
      </w:r>
      <w:r>
        <w:rPr>
          <w:rFonts w:ascii="宋体" w:hAnsi="宋体" w:cs="宋体" w:eastAsia="宋体" w:hint="default"/>
          <w:spacing w:val="-3"/>
          <w:sz w:val="21"/>
          <w:szCs w:val="21"/>
        </w:rPr>
        <w:t>准公司的年度财务预算方案、决算方案；7）审议批准公司的利润分配方案和弥补亏损方案；</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8）对公司增加或者减少注册资本作出决议；9）对发行公司债券作出决议；10）对公司合并、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分立、解散和清算等事项作出决议；11）修改公司章程；12）对公司聘用、解聘会计师事务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所作出决议；13）审议代表公司发行在外有表决权股份总数的百分之五以上的股东的提案；</w:t>
      </w:r>
      <w:r>
        <w:rPr>
          <w:rFonts w:ascii="宋体" w:hAnsi="宋体" w:cs="宋体" w:eastAsia="宋体" w:hint="default"/>
          <w:sz w:val="21"/>
          <w:szCs w:val="21"/>
        </w:rPr>
        <w:t> 14）审议法律、法规和公司章程规定应当由股东大会决定的其他事项。</w:t>
      </w:r>
    </w:p>
    <w:p>
      <w:pPr>
        <w:spacing w:line="355" w:lineRule="auto" w:before="31"/>
        <w:ind w:left="137" w:right="211" w:firstLine="540"/>
        <w:jc w:val="both"/>
        <w:rPr>
          <w:rFonts w:ascii="宋体" w:hAnsi="宋体" w:cs="宋体" w:eastAsia="宋体" w:hint="default"/>
          <w:sz w:val="21"/>
          <w:szCs w:val="21"/>
        </w:rPr>
      </w:pPr>
      <w:r>
        <w:rPr>
          <w:rFonts w:ascii="宋体" w:hAnsi="宋体" w:cs="宋体" w:eastAsia="宋体" w:hint="default"/>
          <w:sz w:val="21"/>
          <w:szCs w:val="21"/>
        </w:rPr>
        <w:t>本公司还依据《公司法》、《公司章程》、《上市公司治理准则》等文件制定了《股 </w:t>
      </w:r>
      <w:r>
        <w:rPr>
          <w:rFonts w:ascii="宋体" w:hAnsi="宋体" w:cs="宋体" w:eastAsia="宋体" w:hint="default"/>
          <w:spacing w:val="-3"/>
          <w:sz w:val="21"/>
          <w:szCs w:val="21"/>
        </w:rPr>
        <w:t>东大会议事规则》，对股东大会的权力、召开程序、提案、表决、对中小股东权益的保护等</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方面作了具体的规定。</w:t>
      </w:r>
    </w:p>
    <w:p>
      <w:pPr>
        <w:spacing w:line="355" w:lineRule="auto" w:before="33"/>
        <w:ind w:left="557" w:right="207" w:hanging="420"/>
        <w:jc w:val="left"/>
        <w:rPr>
          <w:rFonts w:ascii="宋体" w:hAnsi="宋体" w:cs="宋体" w:eastAsia="宋体" w:hint="default"/>
          <w:sz w:val="21"/>
          <w:szCs w:val="21"/>
        </w:rPr>
      </w:pPr>
      <w:r>
        <w:rPr>
          <w:rFonts w:ascii="宋体" w:hAnsi="宋体" w:cs="宋体" w:eastAsia="宋体" w:hint="default"/>
          <w:b/>
          <w:bCs/>
          <w:sz w:val="21"/>
          <w:szCs w:val="21"/>
        </w:rPr>
        <w:t>2、控股股东与公司</w:t>
      </w:r>
      <w:r>
        <w:rPr>
          <w:rFonts w:ascii="宋体" w:hAnsi="宋体" w:cs="宋体" w:eastAsia="宋体" w:hint="default"/>
          <w:b/>
          <w:bCs/>
          <w:spacing w:val="1"/>
          <w:w w:val="99"/>
          <w:sz w:val="21"/>
          <w:szCs w:val="21"/>
        </w:rPr>
        <w:t> </w:t>
      </w:r>
      <w:r>
        <w:rPr>
          <w:rFonts w:ascii="宋体" w:hAnsi="宋体" w:cs="宋体" w:eastAsia="宋体" w:hint="default"/>
          <w:spacing w:val="-13"/>
          <w:sz w:val="21"/>
          <w:szCs w:val="21"/>
        </w:rPr>
        <w:t>公司控股股东严格根据《上市公司治理准则》、《深圳证券交易所股票上市规则》、《公司</w:t>
      </w:r>
    </w:p>
    <w:p>
      <w:pPr>
        <w:spacing w:line="355" w:lineRule="auto" w:before="33"/>
        <w:ind w:left="137" w:right="107" w:firstLine="0"/>
        <w:jc w:val="left"/>
        <w:rPr>
          <w:rFonts w:ascii="宋体" w:hAnsi="宋体" w:cs="宋体" w:eastAsia="宋体" w:hint="default"/>
          <w:sz w:val="21"/>
          <w:szCs w:val="21"/>
        </w:rPr>
      </w:pPr>
      <w:r>
        <w:rPr>
          <w:rFonts w:ascii="宋体" w:hAnsi="宋体" w:cs="宋体" w:eastAsia="宋体" w:hint="default"/>
          <w:spacing w:val="-3"/>
          <w:sz w:val="21"/>
          <w:szCs w:val="21"/>
        </w:rPr>
        <w:t>章程》规范股东行为，通过股东大会行使股东权利，未发生超越股东大会及董事会而直接干</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预公司经营与决策的行为。</w:t>
      </w:r>
    </w:p>
    <w:p>
      <w:pPr>
        <w:spacing w:line="355" w:lineRule="auto" w:before="33"/>
        <w:ind w:left="557" w:right="209" w:hanging="420"/>
        <w:jc w:val="left"/>
        <w:rPr>
          <w:rFonts w:ascii="宋体" w:hAnsi="宋体" w:cs="宋体" w:eastAsia="宋体" w:hint="default"/>
          <w:sz w:val="21"/>
          <w:szCs w:val="21"/>
        </w:rPr>
      </w:pPr>
      <w:r>
        <w:rPr>
          <w:rFonts w:ascii="宋体" w:hAnsi="宋体" w:cs="宋体" w:eastAsia="宋体" w:hint="default"/>
          <w:b/>
          <w:bCs/>
          <w:sz w:val="21"/>
          <w:szCs w:val="21"/>
        </w:rPr>
        <w:t>3、关于董事与董事会</w:t>
      </w:r>
      <w:r>
        <w:rPr>
          <w:rFonts w:ascii="宋体" w:hAnsi="宋体" w:cs="宋体" w:eastAsia="宋体" w:hint="default"/>
          <w:b/>
          <w:bCs/>
          <w:spacing w:val="1"/>
          <w:w w:val="99"/>
          <w:sz w:val="21"/>
          <w:szCs w:val="21"/>
        </w:rPr>
        <w:t> </w:t>
      </w:r>
      <w:r>
        <w:rPr>
          <w:rFonts w:ascii="宋体" w:hAnsi="宋体" w:cs="宋体" w:eastAsia="宋体" w:hint="default"/>
          <w:spacing w:val="-8"/>
          <w:sz w:val="21"/>
          <w:szCs w:val="21"/>
        </w:rPr>
        <w:t>公司严格按照《公司法》、《公司章程》及《上市公司股东大会规范性意见》等相关法律</w:t>
      </w:r>
    </w:p>
    <w:p>
      <w:pPr>
        <w:spacing w:before="33"/>
        <w:ind w:left="137" w:right="107" w:firstLine="0"/>
        <w:jc w:val="left"/>
        <w:rPr>
          <w:rFonts w:ascii="宋体" w:hAnsi="宋体" w:cs="宋体" w:eastAsia="宋体" w:hint="default"/>
          <w:sz w:val="21"/>
          <w:szCs w:val="21"/>
        </w:rPr>
      </w:pPr>
      <w:r>
        <w:rPr>
          <w:rFonts w:ascii="宋体" w:hAnsi="宋体" w:cs="宋体" w:eastAsia="宋体" w:hint="default"/>
          <w:spacing w:val="-3"/>
          <w:sz w:val="21"/>
          <w:szCs w:val="21"/>
        </w:rPr>
        <w:t>法规选举产生董事人选，董事会人数及人员构成符合法律法规的要求。公司董事会严格按照</w:t>
      </w:r>
    </w:p>
    <w:p>
      <w:pPr>
        <w:spacing w:line="357" w:lineRule="auto" w:before="133"/>
        <w:ind w:left="137" w:right="107" w:firstLine="0"/>
        <w:jc w:val="left"/>
        <w:rPr>
          <w:rFonts w:ascii="宋体" w:hAnsi="宋体" w:cs="宋体" w:eastAsia="宋体" w:hint="default"/>
          <w:sz w:val="21"/>
          <w:szCs w:val="21"/>
        </w:rPr>
      </w:pPr>
      <w:r>
        <w:rPr>
          <w:rFonts w:ascii="宋体" w:hAnsi="宋体" w:cs="宋体" w:eastAsia="宋体" w:hint="default"/>
          <w:spacing w:val="-8"/>
          <w:sz w:val="21"/>
          <w:szCs w:val="21"/>
        </w:rPr>
        <w:t>《公司章程》、《独立董事制度》及《董事会议事规则》《中小企业板块上市公司董事行为指</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引》等相关规定召集召开董事会，各董事认真出席董事会，认真审议各项议案，履行职责， </w:t>
      </w:r>
      <w:r>
        <w:rPr>
          <w:rFonts w:ascii="宋体" w:hAnsi="宋体" w:cs="宋体" w:eastAsia="宋体" w:hint="default"/>
          <w:spacing w:val="-3"/>
          <w:sz w:val="21"/>
          <w:szCs w:val="21"/>
        </w:rPr>
        <w:t>勤勉尽责。独立董事独立履行职责，维护公司整体利益，尤其关注中小股东的合法权益不受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损害，对重要及重大事项发表独立意见。</w:t>
      </w:r>
    </w:p>
    <w:p>
      <w:pPr>
        <w:spacing w:line="355" w:lineRule="auto" w:before="31"/>
        <w:ind w:left="557" w:right="209" w:hanging="420"/>
        <w:jc w:val="left"/>
        <w:rPr>
          <w:rFonts w:ascii="宋体" w:hAnsi="宋体" w:cs="宋体" w:eastAsia="宋体" w:hint="default"/>
          <w:sz w:val="21"/>
          <w:szCs w:val="21"/>
        </w:rPr>
      </w:pPr>
      <w:r>
        <w:rPr>
          <w:rFonts w:ascii="宋体" w:hAnsi="宋体" w:cs="宋体" w:eastAsia="宋体" w:hint="default"/>
          <w:b/>
          <w:bCs/>
          <w:sz w:val="21"/>
          <w:szCs w:val="21"/>
        </w:rPr>
        <w:t>4、关于监事与监事会</w:t>
      </w:r>
      <w:r>
        <w:rPr>
          <w:rFonts w:ascii="宋体" w:hAnsi="宋体" w:cs="宋体" w:eastAsia="宋体" w:hint="default"/>
          <w:b/>
          <w:bCs/>
          <w:spacing w:val="1"/>
          <w:w w:val="99"/>
          <w:sz w:val="21"/>
          <w:szCs w:val="21"/>
        </w:rPr>
        <w:t> </w:t>
      </w:r>
      <w:r>
        <w:rPr>
          <w:rFonts w:ascii="宋体" w:hAnsi="宋体" w:cs="宋体" w:eastAsia="宋体" w:hint="default"/>
          <w:spacing w:val="-8"/>
          <w:sz w:val="21"/>
          <w:szCs w:val="21"/>
        </w:rPr>
        <w:t>公司严格按照《公司法》、《公司章程》及《上市公司股东大会规范性意见》等相关法律</w:t>
      </w:r>
    </w:p>
    <w:p>
      <w:pPr>
        <w:spacing w:after="0" w:line="355" w:lineRule="auto"/>
        <w:jc w:val="left"/>
        <w:rPr>
          <w:rFonts w:ascii="宋体" w:hAnsi="宋体" w:cs="宋体" w:eastAsia="宋体" w:hint="default"/>
          <w:sz w:val="21"/>
          <w:szCs w:val="21"/>
        </w:rPr>
        <w:sectPr>
          <w:headerReference w:type="default" r:id="rId25"/>
          <w:pgSz w:w="11910" w:h="16840"/>
          <w:pgMar w:header="840" w:footer="1712" w:top="1160" w:bottom="1900" w:left="1660" w:right="1580"/>
        </w:sectPr>
      </w:pPr>
    </w:p>
    <w:p>
      <w:pPr>
        <w:spacing w:before="18"/>
        <w:ind w:left="137" w:right="107"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519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pacing w:val="-3"/>
          <w:sz w:val="21"/>
          <w:szCs w:val="21"/>
        </w:rPr>
        <w:t>法规选举产生监事人选，监事会人数及人员构成符合法律法规的要求。公司监事会严格按照</w:t>
      </w:r>
    </w:p>
    <w:p>
      <w:pPr>
        <w:spacing w:line="357" w:lineRule="auto" w:before="133"/>
        <w:ind w:left="137" w:right="107" w:firstLine="0"/>
        <w:jc w:val="left"/>
        <w:rPr>
          <w:rFonts w:ascii="宋体" w:hAnsi="宋体" w:cs="宋体" w:eastAsia="宋体" w:hint="default"/>
          <w:sz w:val="21"/>
          <w:szCs w:val="21"/>
        </w:rPr>
      </w:pPr>
      <w:r>
        <w:rPr>
          <w:rFonts w:ascii="宋体" w:hAnsi="宋体" w:cs="宋体" w:eastAsia="宋体" w:hint="default"/>
          <w:sz w:val="21"/>
          <w:szCs w:val="21"/>
        </w:rPr>
        <w:t>《公司章程》及《监事会议事规则》等相关规定召集召开监事会，各监事认真出席监事会， 认真履行职责，对公司重大事项、关联交易、财务状况等进行监督并发表意见。 </w:t>
      </w:r>
      <w:r>
        <w:rPr>
          <w:rFonts w:ascii="宋体" w:hAnsi="宋体" w:cs="宋体" w:eastAsia="宋体" w:hint="default"/>
          <w:b/>
          <w:bCs/>
          <w:sz w:val="21"/>
          <w:szCs w:val="21"/>
        </w:rPr>
        <w:t>5、关于公司与投资者</w:t>
      </w:r>
      <w:r>
        <w:rPr>
          <w:rFonts w:ascii="宋体" w:hAnsi="宋体" w:cs="宋体" w:eastAsia="宋体" w:hint="default"/>
          <w:sz w:val="21"/>
          <w:szCs w:val="21"/>
        </w:rPr>
      </w:r>
    </w:p>
    <w:p>
      <w:pPr>
        <w:spacing w:line="355" w:lineRule="auto" w:before="31"/>
        <w:ind w:left="137" w:right="212" w:firstLine="420"/>
        <w:jc w:val="both"/>
        <w:rPr>
          <w:rFonts w:ascii="宋体" w:hAnsi="宋体" w:cs="宋体" w:eastAsia="宋体" w:hint="default"/>
          <w:sz w:val="21"/>
          <w:szCs w:val="21"/>
        </w:rPr>
      </w:pPr>
      <w:r>
        <w:rPr>
          <w:rFonts w:ascii="宋体" w:hAnsi="宋体" w:cs="宋体" w:eastAsia="宋体" w:hint="default"/>
          <w:spacing w:val="-3"/>
          <w:sz w:val="21"/>
          <w:szCs w:val="21"/>
        </w:rPr>
        <w:t>为了加强与投资者的双向沟通，公司制定了《投资者关系管理制度》，依托巨潮资讯中</w:t>
      </w:r>
      <w:r>
        <w:rPr>
          <w:rFonts w:ascii="宋体" w:hAnsi="宋体" w:cs="宋体" w:eastAsia="宋体" w:hint="default"/>
          <w:sz w:val="21"/>
          <w:szCs w:val="21"/>
        </w:rPr>
        <w:t> </w:t>
      </w:r>
      <w:r>
        <w:rPr>
          <w:rFonts w:ascii="宋体" w:hAnsi="宋体" w:cs="宋体" w:eastAsia="宋体" w:hint="default"/>
          <w:spacing w:val="2"/>
          <w:sz w:val="21"/>
          <w:szCs w:val="21"/>
        </w:rPr>
        <w:t>小企业路演网建立了与投资者的沟通平台，公司明确了投资者关系管理的职能部门和负责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人，组织实施投资者关系的日常管理工作；</w:t>
      </w:r>
    </w:p>
    <w:p>
      <w:pPr>
        <w:spacing w:line="355" w:lineRule="auto" w:before="33"/>
        <w:ind w:left="557" w:right="209" w:hanging="420"/>
        <w:jc w:val="left"/>
        <w:rPr>
          <w:rFonts w:ascii="宋体" w:hAnsi="宋体" w:cs="宋体" w:eastAsia="宋体" w:hint="default"/>
          <w:sz w:val="21"/>
          <w:szCs w:val="21"/>
        </w:rPr>
      </w:pPr>
      <w:r>
        <w:rPr>
          <w:rFonts w:ascii="宋体" w:hAnsi="宋体" w:cs="宋体" w:eastAsia="宋体" w:hint="default"/>
          <w:b/>
          <w:bCs/>
          <w:sz w:val="21"/>
          <w:szCs w:val="21"/>
        </w:rPr>
        <w:t>6、关于信息披露与透明度</w:t>
      </w:r>
      <w:r>
        <w:rPr>
          <w:rFonts w:ascii="宋体" w:hAnsi="宋体" w:cs="宋体" w:eastAsia="宋体" w:hint="default"/>
          <w:b/>
          <w:bCs/>
          <w:w w:val="99"/>
          <w:sz w:val="21"/>
          <w:szCs w:val="21"/>
        </w:rPr>
        <w:t> </w:t>
      </w:r>
      <w:r>
        <w:rPr>
          <w:rFonts w:ascii="宋体" w:hAnsi="宋体" w:cs="宋体" w:eastAsia="宋体" w:hint="default"/>
          <w:spacing w:val="-8"/>
          <w:sz w:val="21"/>
          <w:szCs w:val="21"/>
        </w:rPr>
        <w:t>公司根据《公司章程》、《深圳证券交易所股票上市规则》和中国证监会及深圳证券交易</w:t>
      </w:r>
    </w:p>
    <w:p>
      <w:pPr>
        <w:spacing w:line="357" w:lineRule="auto" w:before="33"/>
        <w:ind w:left="137" w:right="211" w:firstLine="0"/>
        <w:jc w:val="both"/>
        <w:rPr>
          <w:rFonts w:ascii="宋体" w:hAnsi="宋体" w:cs="宋体" w:eastAsia="宋体" w:hint="default"/>
          <w:sz w:val="21"/>
          <w:szCs w:val="21"/>
        </w:rPr>
      </w:pPr>
      <w:r>
        <w:rPr>
          <w:rFonts w:ascii="宋体" w:hAnsi="宋体" w:cs="宋体" w:eastAsia="宋体" w:hint="default"/>
          <w:spacing w:val="-3"/>
          <w:sz w:val="21"/>
          <w:szCs w:val="21"/>
        </w:rPr>
        <w:t>所的相关法律法规的要求，认真履行信息披露义务。公司指定《证券时报》和“巨潮网”为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公司信息披露的报纸和网站，真实、准确、及时地披露公司信息，确保公司所有股东公平的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获得公司相关信息。</w:t>
      </w:r>
    </w:p>
    <w:p>
      <w:pPr>
        <w:spacing w:line="355" w:lineRule="auto" w:before="30"/>
        <w:ind w:left="557" w:right="107" w:hanging="420"/>
        <w:jc w:val="left"/>
        <w:rPr>
          <w:rFonts w:ascii="宋体" w:hAnsi="宋体" w:cs="宋体" w:eastAsia="宋体" w:hint="default"/>
          <w:sz w:val="21"/>
          <w:szCs w:val="21"/>
        </w:rPr>
      </w:pPr>
      <w:r>
        <w:rPr>
          <w:rFonts w:ascii="宋体" w:hAnsi="宋体" w:cs="宋体" w:eastAsia="宋体" w:hint="default"/>
          <w:b/>
          <w:bCs/>
          <w:sz w:val="21"/>
          <w:szCs w:val="21"/>
        </w:rPr>
        <w:t>7、关于相关利益者</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公司充分尊重和维护相关利益者的合法权益，积极与相关利益者合作，加强与各方的沟</w:t>
      </w:r>
    </w:p>
    <w:p>
      <w:pPr>
        <w:spacing w:line="355" w:lineRule="auto" w:before="33"/>
        <w:ind w:left="557" w:right="102" w:hanging="420"/>
        <w:jc w:val="left"/>
        <w:rPr>
          <w:rFonts w:ascii="宋体" w:hAnsi="宋体" w:cs="宋体" w:eastAsia="宋体" w:hint="default"/>
          <w:sz w:val="21"/>
          <w:szCs w:val="21"/>
        </w:rPr>
      </w:pPr>
      <w:r>
        <w:rPr>
          <w:rFonts w:ascii="宋体" w:hAnsi="宋体" w:cs="宋体" w:eastAsia="宋体" w:hint="default"/>
          <w:spacing w:val="-5"/>
          <w:sz w:val="21"/>
          <w:szCs w:val="21"/>
        </w:rPr>
        <w:t>通和交流，实现股东、员工、社会等各方利益的均衡，以推动公司持续、稳定、健康地发展。</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公司治理的实际情况与中国证监会有关上市公司治理的规范性文件要求基本符合。公司</w:t>
      </w:r>
    </w:p>
    <w:p>
      <w:pPr>
        <w:spacing w:line="355" w:lineRule="auto" w:before="33"/>
        <w:ind w:left="137" w:right="107" w:firstLine="0"/>
        <w:jc w:val="left"/>
        <w:rPr>
          <w:rFonts w:ascii="宋体" w:hAnsi="宋体" w:cs="宋体" w:eastAsia="宋体" w:hint="default"/>
          <w:sz w:val="21"/>
          <w:szCs w:val="21"/>
        </w:rPr>
      </w:pPr>
      <w:r>
        <w:rPr>
          <w:rFonts w:ascii="宋体" w:hAnsi="宋体" w:cs="宋体" w:eastAsia="宋体" w:hint="default"/>
          <w:spacing w:val="-3"/>
          <w:sz w:val="21"/>
          <w:szCs w:val="21"/>
        </w:rPr>
        <w:t>根据新版《深圳证券交易所股票上市规则》的规定，已组织修改和制定包括《公司章程》在</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内的公司相关的内部管理文件。</w:t>
      </w:r>
    </w:p>
    <w:p>
      <w:pPr>
        <w:spacing w:before="33"/>
        <w:ind w:left="137" w:right="107" w:firstLine="0"/>
        <w:jc w:val="left"/>
        <w:rPr>
          <w:rFonts w:ascii="宋体" w:hAnsi="宋体" w:cs="宋体" w:eastAsia="宋体" w:hint="default"/>
          <w:sz w:val="21"/>
          <w:szCs w:val="21"/>
        </w:rPr>
      </w:pPr>
      <w:r>
        <w:rPr>
          <w:rFonts w:ascii="宋体" w:hAnsi="宋体" w:cs="宋体" w:eastAsia="宋体" w:hint="default"/>
          <w:b/>
          <w:bCs/>
          <w:sz w:val="21"/>
          <w:szCs w:val="21"/>
        </w:rPr>
        <w:t>二、上市公司治理专项活动的开展情况</w:t>
      </w:r>
      <w:r>
        <w:rPr>
          <w:rFonts w:ascii="宋体" w:hAnsi="宋体" w:cs="宋体" w:eastAsia="宋体" w:hint="default"/>
          <w:sz w:val="21"/>
          <w:szCs w:val="21"/>
        </w:rPr>
      </w:r>
    </w:p>
    <w:p>
      <w:pPr>
        <w:spacing w:line="357" w:lineRule="auto" w:before="133"/>
        <w:ind w:left="137" w:right="107" w:firstLine="525"/>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月中国证监会下达了关于《关于开展加强上市公司治理专项活动有关事项的</w:t>
      </w:r>
      <w:r>
        <w:rPr>
          <w:rFonts w:ascii="宋体" w:hAnsi="宋体" w:cs="宋体" w:eastAsia="宋体" w:hint="default"/>
          <w:sz w:val="21"/>
          <w:szCs w:val="21"/>
        </w:rPr>
        <w:t> </w:t>
      </w:r>
      <w:r>
        <w:rPr>
          <w:rFonts w:ascii="宋体" w:hAnsi="宋体" w:cs="宋体" w:eastAsia="宋体" w:hint="default"/>
          <w:spacing w:val="-3"/>
          <w:sz w:val="21"/>
          <w:szCs w:val="21"/>
        </w:rPr>
        <w:t>通知》，针对本次公司治理专项活动，公司董事会和管理层高度重视，根据公司自身的特点</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和证券监管部门的要求，认真开展了治理活动。根据中国证监会、山东证监局的统一部署， </w:t>
      </w:r>
      <w:r>
        <w:rPr>
          <w:rFonts w:ascii="宋体" w:hAnsi="宋体" w:cs="宋体" w:eastAsia="宋体" w:hint="default"/>
          <w:spacing w:val="-3"/>
          <w:sz w:val="21"/>
          <w:szCs w:val="21"/>
        </w:rPr>
        <w:t>结合公司的实际情况，开展公司治理专项活动的各阶段工作时间、责任部门、责任人和具体</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整改措施及进展情况如下：</w:t>
      </w:r>
    </w:p>
    <w:p>
      <w:pPr>
        <w:spacing w:before="30"/>
        <w:ind w:left="557" w:right="107" w:firstLine="0"/>
        <w:jc w:val="left"/>
        <w:rPr>
          <w:rFonts w:ascii="宋体" w:hAnsi="宋体" w:cs="宋体" w:eastAsia="宋体" w:hint="default"/>
          <w:sz w:val="21"/>
          <w:szCs w:val="21"/>
        </w:rPr>
      </w:pPr>
      <w:r>
        <w:rPr>
          <w:rFonts w:ascii="宋体" w:hAnsi="宋体" w:cs="宋体" w:eastAsia="宋体" w:hint="default"/>
          <w:sz w:val="21"/>
          <w:szCs w:val="21"/>
        </w:rPr>
        <w:t>１、自查阶段</w:t>
      </w:r>
    </w:p>
    <w:p>
      <w:pPr>
        <w:spacing w:line="357" w:lineRule="auto" w:before="134"/>
        <w:ind w:left="137" w:right="211" w:firstLine="525"/>
        <w:jc w:val="both"/>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30</w:t>
      </w:r>
      <w:r>
        <w:rPr>
          <w:rFonts w:ascii="宋体" w:hAnsi="宋体" w:cs="宋体" w:eastAsia="宋体" w:hint="default"/>
          <w:spacing w:val="-57"/>
          <w:sz w:val="21"/>
          <w:szCs w:val="21"/>
        </w:rPr>
        <w:t> </w:t>
      </w:r>
      <w:r>
        <w:rPr>
          <w:rFonts w:ascii="宋体" w:hAnsi="宋体" w:cs="宋体" w:eastAsia="宋体" w:hint="default"/>
          <w:sz w:val="21"/>
          <w:szCs w:val="21"/>
        </w:rPr>
        <w:t>日至</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30</w:t>
      </w:r>
      <w:r>
        <w:rPr>
          <w:rFonts w:ascii="宋体" w:hAnsi="宋体" w:cs="宋体" w:eastAsia="宋体" w:hint="default"/>
          <w:spacing w:val="-57"/>
          <w:sz w:val="21"/>
          <w:szCs w:val="21"/>
        </w:rPr>
        <w:t> </w:t>
      </w:r>
      <w:r>
        <w:rPr>
          <w:rFonts w:ascii="宋体" w:hAnsi="宋体" w:cs="宋体" w:eastAsia="宋体" w:hint="default"/>
          <w:sz w:val="21"/>
          <w:szCs w:val="21"/>
        </w:rPr>
        <w:t>日，各责任部门严格对照中国证监会、山东证监局下发的</w:t>
      </w:r>
      <w:r>
        <w:rPr>
          <w:rFonts w:ascii="宋体" w:hAnsi="宋体" w:cs="宋体" w:eastAsia="宋体" w:hint="default"/>
          <w:sz w:val="21"/>
          <w:szCs w:val="21"/>
        </w:rPr>
        <w:t> </w:t>
      </w:r>
      <w:r>
        <w:rPr>
          <w:rFonts w:ascii="宋体" w:hAnsi="宋体" w:cs="宋体" w:eastAsia="宋体" w:hint="default"/>
          <w:spacing w:val="-3"/>
          <w:sz w:val="21"/>
          <w:szCs w:val="21"/>
        </w:rPr>
        <w:t>“加强上市公司治理专项活动”自查事项，认真落实查找公司治理工作中存在的各种问题和</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不足，并在此期间陆续将自查问题反馈汇总至公司证券办公室。6</w:t>
      </w:r>
      <w:r>
        <w:rPr>
          <w:rFonts w:ascii="宋体" w:hAnsi="宋体" w:cs="宋体" w:eastAsia="宋体" w:hint="default"/>
          <w:spacing w:val="-39"/>
          <w:sz w:val="21"/>
          <w:szCs w:val="21"/>
        </w:rPr>
        <w:t> </w:t>
      </w:r>
      <w:r>
        <w:rPr>
          <w:rFonts w:ascii="宋体" w:hAnsi="宋体" w:cs="宋体" w:eastAsia="宋体" w:hint="default"/>
          <w:sz w:val="21"/>
          <w:szCs w:val="21"/>
        </w:rPr>
        <w:t>月１日至</w:t>
      </w:r>
      <w:r>
        <w:rPr>
          <w:rFonts w:ascii="宋体" w:hAnsi="宋体" w:cs="宋体" w:eastAsia="宋体" w:hint="default"/>
          <w:spacing w:val="-39"/>
          <w:sz w:val="21"/>
          <w:szCs w:val="21"/>
        </w:rPr>
        <w:t> </w:t>
      </w:r>
      <w:r>
        <w:rPr>
          <w:rFonts w:ascii="宋体" w:hAnsi="宋体" w:cs="宋体" w:eastAsia="宋体" w:hint="default"/>
          <w:sz w:val="21"/>
          <w:szCs w:val="21"/>
        </w:rPr>
        <w:t>6</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15</w:t>
      </w:r>
      <w:r>
        <w:rPr>
          <w:rFonts w:ascii="宋体" w:hAnsi="宋体" w:cs="宋体" w:eastAsia="宋体" w:hint="default"/>
          <w:spacing w:val="-39"/>
          <w:sz w:val="21"/>
          <w:szCs w:val="21"/>
        </w:rPr>
        <w:t> </w:t>
      </w:r>
      <w:r>
        <w:rPr>
          <w:rFonts w:ascii="宋体" w:hAnsi="宋体" w:cs="宋体" w:eastAsia="宋体" w:hint="default"/>
          <w:sz w:val="21"/>
          <w:szCs w:val="21"/>
        </w:rPr>
        <w:t>日公司</w:t>
      </w:r>
      <w:r>
        <w:rPr>
          <w:rFonts w:ascii="宋体" w:hAnsi="宋体" w:cs="宋体" w:eastAsia="宋体" w:hint="default"/>
          <w:sz w:val="21"/>
          <w:szCs w:val="21"/>
        </w:rPr>
        <w:t> </w:t>
      </w:r>
      <w:r>
        <w:rPr>
          <w:rFonts w:ascii="宋体" w:hAnsi="宋体" w:cs="宋体" w:eastAsia="宋体" w:hint="default"/>
          <w:spacing w:val="2"/>
          <w:sz w:val="21"/>
          <w:szCs w:val="21"/>
        </w:rPr>
        <w:t>证券办公室将自查工作过程中所有发现的问题进行归纳汇总，再提交领导小组进行深入分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析，总结提升形成自查报告。公司治理领导小组将所有问题制定明确的整改措施和时间进度</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表，明确整改责任部门和具体工作执行人，形成了初步的整改计划。</w:t>
      </w:r>
    </w:p>
    <w:p>
      <w:pPr>
        <w:spacing w:before="30"/>
        <w:ind w:left="557" w:right="107"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15</w:t>
      </w:r>
      <w:r>
        <w:rPr>
          <w:rFonts w:ascii="宋体" w:hAnsi="宋体" w:cs="宋体" w:eastAsia="宋体" w:hint="default"/>
          <w:spacing w:val="-59"/>
          <w:sz w:val="21"/>
          <w:szCs w:val="21"/>
        </w:rPr>
        <w:t> </w:t>
      </w:r>
      <w:r>
        <w:rPr>
          <w:rFonts w:ascii="宋体" w:hAnsi="宋体" w:cs="宋体" w:eastAsia="宋体" w:hint="default"/>
          <w:sz w:val="21"/>
          <w:szCs w:val="21"/>
        </w:rPr>
        <w:t>日至</w:t>
      </w:r>
      <w:r>
        <w:rPr>
          <w:rFonts w:ascii="宋体" w:hAnsi="宋体" w:cs="宋体" w:eastAsia="宋体" w:hint="default"/>
          <w:spacing w:val="-59"/>
          <w:sz w:val="21"/>
          <w:szCs w:val="21"/>
        </w:rPr>
        <w:t> </w:t>
      </w:r>
      <w:r>
        <w:rPr>
          <w:rFonts w:ascii="宋体" w:hAnsi="宋体" w:cs="宋体" w:eastAsia="宋体" w:hint="default"/>
          <w:sz w:val="21"/>
          <w:szCs w:val="21"/>
        </w:rPr>
        <w:t>6</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30</w:t>
      </w:r>
      <w:r>
        <w:rPr>
          <w:rFonts w:ascii="宋体" w:hAnsi="宋体" w:cs="宋体" w:eastAsia="宋体" w:hint="default"/>
          <w:spacing w:val="-59"/>
          <w:sz w:val="21"/>
          <w:szCs w:val="21"/>
        </w:rPr>
        <w:t> </w:t>
      </w:r>
      <w:r>
        <w:rPr>
          <w:rFonts w:ascii="宋体" w:hAnsi="宋体" w:cs="宋体" w:eastAsia="宋体" w:hint="default"/>
          <w:sz w:val="21"/>
          <w:szCs w:val="21"/>
        </w:rPr>
        <w:t>日，领导小组就自查过程中发现的的问题与公司董事会成员进行了</w:t>
      </w:r>
    </w:p>
    <w:p>
      <w:pPr>
        <w:spacing w:line="410" w:lineRule="atLeast" w:before="0"/>
        <w:ind w:left="137" w:right="107" w:firstLine="0"/>
        <w:jc w:val="left"/>
        <w:rPr>
          <w:rFonts w:ascii="宋体" w:hAnsi="宋体" w:cs="宋体" w:eastAsia="宋体" w:hint="default"/>
          <w:sz w:val="21"/>
          <w:szCs w:val="21"/>
        </w:rPr>
      </w:pPr>
      <w:r>
        <w:rPr>
          <w:rFonts w:ascii="宋体" w:hAnsi="宋体" w:cs="宋体" w:eastAsia="宋体" w:hint="default"/>
          <w:spacing w:val="-3"/>
          <w:sz w:val="21"/>
          <w:szCs w:val="21"/>
        </w:rPr>
        <w:t>深入沟通，并形成了《关于“上市公司治理专项活动”自查情况的报告》，并上报山东证监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局进行审核。</w:t>
      </w:r>
    </w:p>
    <w:p>
      <w:pPr>
        <w:spacing w:after="0" w:line="410" w:lineRule="atLeast"/>
        <w:jc w:val="left"/>
        <w:rPr>
          <w:rFonts w:ascii="宋体" w:hAnsi="宋体" w:cs="宋体" w:eastAsia="宋体" w:hint="default"/>
          <w:sz w:val="21"/>
          <w:szCs w:val="21"/>
        </w:rPr>
        <w:sectPr>
          <w:headerReference w:type="default" r:id="rId26"/>
          <w:pgSz w:w="11910" w:h="16840"/>
          <w:pgMar w:header="915" w:footer="1712" w:top="1100" w:bottom="1900" w:left="1660" w:right="1580"/>
        </w:sectPr>
      </w:pPr>
    </w:p>
    <w:p>
      <w:pPr>
        <w:spacing w:line="355" w:lineRule="auto" w:before="18"/>
        <w:ind w:left="137" w:right="154" w:firstLine="420"/>
        <w:jc w:val="both"/>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516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z w:val="21"/>
          <w:szCs w:val="21"/>
        </w:rPr>
        <w:t>公司自查情况报告经山东证监局审核通过后，公司于</w:t>
      </w:r>
      <w:r>
        <w:rPr>
          <w:rFonts w:ascii="宋体" w:hAnsi="宋体" w:cs="宋体" w:eastAsia="宋体" w:hint="default"/>
          <w:spacing w:val="-30"/>
          <w:sz w:val="21"/>
          <w:szCs w:val="21"/>
        </w:rPr>
        <w:t> </w:t>
      </w:r>
      <w:r>
        <w:rPr>
          <w:rFonts w:ascii="宋体" w:hAnsi="宋体" w:cs="宋体" w:eastAsia="宋体" w:hint="default"/>
          <w:sz w:val="21"/>
          <w:szCs w:val="21"/>
        </w:rPr>
        <w:t>7</w:t>
      </w:r>
      <w:r>
        <w:rPr>
          <w:rFonts w:ascii="宋体" w:hAnsi="宋体" w:cs="宋体" w:eastAsia="宋体"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30"/>
          <w:sz w:val="21"/>
          <w:szCs w:val="21"/>
        </w:rPr>
        <w:t> </w:t>
      </w:r>
      <w:r>
        <w:rPr>
          <w:rFonts w:ascii="宋体" w:hAnsi="宋体" w:cs="宋体" w:eastAsia="宋体" w:hint="default"/>
          <w:sz w:val="21"/>
          <w:szCs w:val="21"/>
        </w:rPr>
        <w:t>13</w:t>
      </w:r>
      <w:r>
        <w:rPr>
          <w:rFonts w:ascii="宋体" w:hAnsi="宋体" w:cs="宋体" w:eastAsia="宋体" w:hint="default"/>
          <w:spacing w:val="-28"/>
          <w:sz w:val="21"/>
          <w:szCs w:val="21"/>
        </w:rPr>
        <w:t> </w:t>
      </w:r>
      <w:r>
        <w:rPr>
          <w:rFonts w:ascii="宋体" w:hAnsi="宋体" w:cs="宋体" w:eastAsia="宋体" w:hint="default"/>
          <w:sz w:val="21"/>
          <w:szCs w:val="21"/>
        </w:rPr>
        <w:t>日发出通知，在</w:t>
      </w:r>
      <w:r>
        <w:rPr>
          <w:rFonts w:ascii="宋体" w:hAnsi="宋体" w:cs="宋体" w:eastAsia="宋体" w:hint="default"/>
          <w:spacing w:val="-30"/>
          <w:sz w:val="21"/>
          <w:szCs w:val="21"/>
        </w:rPr>
        <w:t> </w:t>
      </w:r>
      <w:r>
        <w:rPr>
          <w:rFonts w:ascii="宋体" w:hAnsi="宋体" w:cs="宋体" w:eastAsia="宋体" w:hint="default"/>
          <w:sz w:val="21"/>
          <w:szCs w:val="21"/>
        </w:rPr>
        <w:t>7</w:t>
      </w:r>
      <w:r>
        <w:rPr>
          <w:rFonts w:ascii="宋体" w:hAnsi="宋体" w:cs="宋体" w:eastAsia="宋体" w:hint="default"/>
          <w:spacing w:val="-28"/>
          <w:sz w:val="21"/>
          <w:szCs w:val="21"/>
        </w:rPr>
        <w:t> </w:t>
      </w:r>
      <w:r>
        <w:rPr>
          <w:rFonts w:ascii="宋体" w:hAnsi="宋体" w:cs="宋体" w:eastAsia="宋体" w:hint="default"/>
          <w:sz w:val="21"/>
          <w:szCs w:val="21"/>
        </w:rPr>
        <w:t>月</w:t>
      </w:r>
      <w:r>
        <w:rPr>
          <w:rFonts w:ascii="宋体" w:hAnsi="宋体" w:cs="宋体" w:eastAsia="宋体" w:hint="default"/>
          <w:spacing w:val="-30"/>
          <w:sz w:val="21"/>
          <w:szCs w:val="21"/>
        </w:rPr>
        <w:t> </w:t>
      </w:r>
      <w:r>
        <w:rPr>
          <w:rFonts w:ascii="宋体" w:hAnsi="宋体" w:cs="宋体" w:eastAsia="宋体" w:hint="default"/>
          <w:sz w:val="21"/>
          <w:szCs w:val="21"/>
        </w:rPr>
        <w:t>19</w:t>
      </w:r>
      <w:r>
        <w:rPr>
          <w:rFonts w:ascii="宋体" w:hAnsi="宋体" w:cs="宋体" w:eastAsia="宋体" w:hint="default"/>
          <w:sz w:val="21"/>
          <w:szCs w:val="21"/>
        </w:rPr>
        <w:t> 日召开的第二届董事会第九次会议上以通讯表决方式审议通过。</w:t>
      </w:r>
    </w:p>
    <w:p>
      <w:pPr>
        <w:spacing w:before="33"/>
        <w:ind w:left="557"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29"/>
          <w:sz w:val="21"/>
          <w:szCs w:val="21"/>
        </w:rPr>
        <w:t> </w:t>
      </w:r>
      <w:r>
        <w:rPr>
          <w:rFonts w:ascii="宋体" w:hAnsi="宋体" w:cs="宋体" w:eastAsia="宋体" w:hint="default"/>
          <w:sz w:val="21"/>
          <w:szCs w:val="21"/>
        </w:rPr>
        <w:t>月</w:t>
      </w:r>
      <w:r>
        <w:rPr>
          <w:rFonts w:ascii="宋体" w:hAnsi="宋体" w:cs="宋体" w:eastAsia="宋体" w:hint="default"/>
          <w:spacing w:val="-30"/>
          <w:sz w:val="21"/>
          <w:szCs w:val="21"/>
        </w:rPr>
        <w:t> </w:t>
      </w:r>
      <w:r>
        <w:rPr>
          <w:rFonts w:ascii="宋体" w:hAnsi="宋体" w:cs="宋体" w:eastAsia="宋体" w:hint="default"/>
          <w:sz w:val="21"/>
          <w:szCs w:val="21"/>
        </w:rPr>
        <w:t>20</w:t>
      </w:r>
      <w:r>
        <w:rPr>
          <w:rFonts w:ascii="宋体" w:hAnsi="宋体" w:cs="宋体" w:eastAsia="宋体" w:hint="default"/>
          <w:spacing w:val="-30"/>
          <w:sz w:val="21"/>
          <w:szCs w:val="21"/>
        </w:rPr>
        <w:t> </w:t>
      </w:r>
      <w:r>
        <w:rPr>
          <w:rFonts w:ascii="宋体" w:hAnsi="宋体" w:cs="宋体" w:eastAsia="宋体" w:hint="default"/>
          <w:sz w:val="21"/>
          <w:szCs w:val="21"/>
        </w:rPr>
        <w:t>日，公司将自查报告和整改计划在深圳证券交易所网站上进行了公告，同日在</w:t>
      </w:r>
    </w:p>
    <w:p>
      <w:pPr>
        <w:spacing w:line="357" w:lineRule="auto" w:before="133"/>
        <w:ind w:left="557" w:right="4457" w:hanging="420"/>
        <w:jc w:val="left"/>
        <w:rPr>
          <w:rFonts w:ascii="宋体" w:hAnsi="宋体" w:cs="宋体" w:eastAsia="宋体" w:hint="default"/>
          <w:sz w:val="21"/>
          <w:szCs w:val="21"/>
        </w:rPr>
      </w:pPr>
      <w:r>
        <w:rPr>
          <w:rFonts w:ascii="宋体" w:hAnsi="宋体" w:cs="宋体" w:eastAsia="宋体" w:hint="default"/>
          <w:sz w:val="21"/>
          <w:szCs w:val="21"/>
        </w:rPr>
        <w:t>《证券时报》发布了自查报告和整改计划。 ２、公众评议阶段</w:t>
      </w:r>
    </w:p>
    <w:p>
      <w:pPr>
        <w:spacing w:line="357" w:lineRule="auto" w:before="30"/>
        <w:ind w:left="137" w:right="151" w:firstLine="420"/>
        <w:jc w:val="both"/>
        <w:rPr>
          <w:rFonts w:ascii="宋体" w:hAnsi="宋体" w:cs="宋体" w:eastAsia="宋体" w:hint="default"/>
          <w:sz w:val="21"/>
          <w:szCs w:val="21"/>
        </w:rPr>
      </w:pPr>
      <w:r>
        <w:rPr>
          <w:rFonts w:ascii="宋体" w:hAnsi="宋体" w:cs="宋体" w:eastAsia="宋体" w:hint="default"/>
          <w:sz w:val="21"/>
          <w:szCs w:val="21"/>
        </w:rPr>
        <w:t>公司自在</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20</w:t>
      </w:r>
      <w:r>
        <w:rPr>
          <w:rFonts w:ascii="宋体" w:hAnsi="宋体" w:cs="宋体" w:eastAsia="宋体" w:hint="default"/>
          <w:spacing w:val="-48"/>
          <w:sz w:val="21"/>
          <w:szCs w:val="21"/>
        </w:rPr>
        <w:t> </w:t>
      </w:r>
      <w:r>
        <w:rPr>
          <w:rFonts w:ascii="宋体" w:hAnsi="宋体" w:cs="宋体" w:eastAsia="宋体" w:hint="default"/>
          <w:sz w:val="21"/>
          <w:szCs w:val="21"/>
        </w:rPr>
        <w:t>日起设立了专门的电话和网络平台听取广大投资者、社会公众的意见</w:t>
      </w:r>
      <w:r>
        <w:rPr>
          <w:rFonts w:ascii="宋体" w:hAnsi="宋体" w:cs="宋体" w:eastAsia="宋体" w:hint="default"/>
          <w:sz w:val="21"/>
          <w:szCs w:val="21"/>
        </w:rPr>
        <w:t> 和建议，该电话和网络平台通过网络和报刊公告的方式公布。7</w:t>
      </w:r>
      <w:r>
        <w:rPr>
          <w:rFonts w:ascii="宋体" w:hAnsi="宋体" w:cs="宋体" w:eastAsia="宋体" w:hint="default"/>
          <w:spacing w:val="-29"/>
          <w:sz w:val="21"/>
          <w:szCs w:val="21"/>
        </w:rPr>
        <w:t> </w:t>
      </w:r>
      <w:r>
        <w:rPr>
          <w:rFonts w:ascii="宋体" w:hAnsi="宋体" w:cs="宋体" w:eastAsia="宋体" w:hint="default"/>
          <w:sz w:val="21"/>
          <w:szCs w:val="21"/>
        </w:rPr>
        <w:t>月</w:t>
      </w:r>
      <w:r>
        <w:rPr>
          <w:rFonts w:ascii="宋体" w:hAnsi="宋体" w:cs="宋体" w:eastAsia="宋体" w:hint="default"/>
          <w:spacing w:val="-30"/>
          <w:sz w:val="21"/>
          <w:szCs w:val="21"/>
        </w:rPr>
        <w:t> </w:t>
      </w:r>
      <w:r>
        <w:rPr>
          <w:rFonts w:ascii="宋体" w:hAnsi="宋体" w:cs="宋体" w:eastAsia="宋体" w:hint="default"/>
          <w:sz w:val="21"/>
          <w:szCs w:val="21"/>
        </w:rPr>
        <w:t>20</w:t>
      </w:r>
      <w:r>
        <w:rPr>
          <w:rFonts w:ascii="宋体" w:hAnsi="宋体" w:cs="宋体" w:eastAsia="宋体" w:hint="default"/>
          <w:spacing w:val="-30"/>
          <w:sz w:val="21"/>
          <w:szCs w:val="21"/>
        </w:rPr>
        <w:t> </w:t>
      </w:r>
      <w:r>
        <w:rPr>
          <w:rFonts w:ascii="宋体" w:hAnsi="宋体" w:cs="宋体" w:eastAsia="宋体" w:hint="default"/>
          <w:sz w:val="21"/>
          <w:szCs w:val="21"/>
        </w:rPr>
        <w:t>日至今，公司通过设</w:t>
      </w:r>
      <w:r>
        <w:rPr>
          <w:rFonts w:ascii="宋体" w:hAnsi="宋体" w:cs="宋体" w:eastAsia="宋体" w:hint="default"/>
          <w:sz w:val="21"/>
          <w:szCs w:val="21"/>
        </w:rPr>
        <w:t> </w:t>
      </w:r>
      <w:r>
        <w:rPr>
          <w:rFonts w:ascii="宋体" w:hAnsi="宋体" w:cs="宋体" w:eastAsia="宋体" w:hint="default"/>
          <w:spacing w:val="-3"/>
          <w:sz w:val="21"/>
          <w:szCs w:val="21"/>
        </w:rPr>
        <w:t>立的投资者咨询电话、电子邮件和网络平台，广泛听取和收集广大投资者、社会公众的意见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和建议，期间投资者就公司经营管理等多方面提出了普遍关注的一些问题，但在公司治理方</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面基本未提出其他具体明确的整改建议和意见。</w:t>
      </w:r>
    </w:p>
    <w:p>
      <w:pPr>
        <w:spacing w:before="30"/>
        <w:ind w:left="557" w:right="0"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18</w:t>
      </w:r>
      <w:r>
        <w:rPr>
          <w:rFonts w:ascii="宋体" w:hAnsi="宋体" w:cs="宋体" w:eastAsia="宋体" w:hint="default"/>
          <w:spacing w:val="-43"/>
          <w:sz w:val="21"/>
          <w:szCs w:val="21"/>
        </w:rPr>
        <w:t> </w:t>
      </w:r>
      <w:r>
        <w:rPr>
          <w:rFonts w:ascii="宋体" w:hAnsi="宋体" w:cs="宋体" w:eastAsia="宋体" w:hint="default"/>
          <w:sz w:val="21"/>
          <w:szCs w:val="21"/>
        </w:rPr>
        <w:t>日，山东证监局对本公司进行了公司治理的现场专项检查。并于</w:t>
      </w:r>
      <w:r>
        <w:rPr>
          <w:rFonts w:ascii="宋体" w:hAnsi="宋体" w:cs="宋体" w:eastAsia="宋体" w:hint="default"/>
          <w:spacing w:val="-44"/>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月</w:t>
      </w:r>
    </w:p>
    <w:p>
      <w:pPr>
        <w:spacing w:line="355" w:lineRule="auto" w:before="134"/>
        <w:ind w:left="137" w:right="141" w:firstLine="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11"/>
          <w:sz w:val="21"/>
          <w:szCs w:val="21"/>
        </w:rPr>
        <w:t> </w:t>
      </w:r>
      <w:r>
        <w:rPr>
          <w:rFonts w:ascii="宋体" w:hAnsi="宋体" w:cs="宋体" w:eastAsia="宋体" w:hint="default"/>
          <w:sz w:val="21"/>
          <w:szCs w:val="21"/>
        </w:rPr>
        <w:t>日向我公司下达了《关于对东港安全印刷股份有限公司治理状况的综合评价及整改建议</w:t>
      </w:r>
      <w:r>
        <w:rPr>
          <w:rFonts w:ascii="宋体" w:hAnsi="宋体" w:cs="宋体" w:eastAsia="宋体" w:hint="default"/>
          <w:sz w:val="21"/>
          <w:szCs w:val="21"/>
        </w:rPr>
        <w:t> </w:t>
      </w:r>
      <w:r>
        <w:rPr>
          <w:rFonts w:ascii="宋体" w:hAnsi="宋体" w:cs="宋体" w:eastAsia="宋体" w:hint="default"/>
          <w:spacing w:val="-5"/>
          <w:sz w:val="21"/>
          <w:szCs w:val="21"/>
        </w:rPr>
        <w:t>的函》，对公司治理状况出具了治理情况的综合评价。</w:t>
      </w:r>
    </w:p>
    <w:p>
      <w:pPr>
        <w:spacing w:line="357" w:lineRule="auto" w:before="32"/>
        <w:ind w:left="137" w:right="152" w:firstLine="420"/>
        <w:jc w:val="both"/>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29</w:t>
      </w:r>
      <w:r>
        <w:rPr>
          <w:rFonts w:ascii="宋体" w:hAnsi="宋体" w:cs="宋体" w:eastAsia="宋体" w:hint="default"/>
          <w:spacing w:val="-65"/>
          <w:sz w:val="21"/>
          <w:szCs w:val="21"/>
        </w:rPr>
        <w:t> </w:t>
      </w:r>
      <w:r>
        <w:rPr>
          <w:rFonts w:ascii="宋体" w:hAnsi="宋体" w:cs="宋体" w:eastAsia="宋体" w:hint="default"/>
          <w:sz w:val="21"/>
          <w:szCs w:val="21"/>
        </w:rPr>
        <w:t>日深圳证券交易所向我公司下达了《关于对东港安全印刷股份有限公司治理状</w:t>
      </w:r>
      <w:r>
        <w:rPr>
          <w:rFonts w:ascii="宋体" w:hAnsi="宋体" w:cs="宋体" w:eastAsia="宋体" w:hint="default"/>
          <w:sz w:val="21"/>
          <w:szCs w:val="21"/>
        </w:rPr>
        <w:t> </w:t>
      </w:r>
      <w:r>
        <w:rPr>
          <w:rFonts w:ascii="宋体" w:hAnsi="宋体" w:cs="宋体" w:eastAsia="宋体" w:hint="default"/>
          <w:spacing w:val="-3"/>
          <w:sz w:val="21"/>
          <w:szCs w:val="21"/>
        </w:rPr>
        <w:t>况的综合评价意见》，认为我公司法人治理机构比较健全，三会运作、信息披露等方面未发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现严重违规情况，公司治理状况及提出的整改计划基本符合《关于开展加强上市公司治理专</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项活动有关事项的通知》等相关规定的要求。并建议我公司进一步加强对子公司和募集资金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的管理。</w:t>
      </w:r>
    </w:p>
    <w:p>
      <w:pPr>
        <w:spacing w:line="355" w:lineRule="auto" w:before="31"/>
        <w:ind w:left="557" w:right="0" w:hanging="1"/>
        <w:jc w:val="left"/>
        <w:rPr>
          <w:rFonts w:ascii="宋体" w:hAnsi="宋体" w:cs="宋体" w:eastAsia="宋体" w:hint="default"/>
          <w:sz w:val="21"/>
          <w:szCs w:val="21"/>
        </w:rPr>
      </w:pPr>
      <w:r>
        <w:rPr>
          <w:rFonts w:ascii="宋体" w:hAnsi="宋体" w:cs="宋体" w:eastAsia="宋体" w:hint="default"/>
          <w:sz w:val="21"/>
          <w:szCs w:val="21"/>
        </w:rPr>
        <w:t>3、公司治理活动发现的主要问题、整改措施及整改落实情况 </w:t>
      </w:r>
      <w:r>
        <w:rPr>
          <w:rFonts w:ascii="宋体" w:hAnsi="宋体" w:cs="宋体" w:eastAsia="宋体" w:hint="default"/>
          <w:spacing w:val="-3"/>
          <w:sz w:val="21"/>
          <w:szCs w:val="21"/>
        </w:rPr>
        <w:t>问题一、公司内部各项控制制度中存在个别条款不符合现行规定要求，甚至相互冲突的</w:t>
      </w:r>
    </w:p>
    <w:p>
      <w:pPr>
        <w:spacing w:line="357" w:lineRule="auto" w:before="32"/>
        <w:ind w:left="557" w:right="0" w:hanging="420"/>
        <w:jc w:val="left"/>
        <w:rPr>
          <w:rFonts w:ascii="宋体" w:hAnsi="宋体" w:cs="宋体" w:eastAsia="宋体" w:hint="default"/>
          <w:sz w:val="21"/>
          <w:szCs w:val="21"/>
        </w:rPr>
      </w:pPr>
      <w:r>
        <w:rPr>
          <w:rFonts w:ascii="宋体" w:hAnsi="宋体" w:cs="宋体" w:eastAsia="宋体" w:hint="default"/>
          <w:sz w:val="21"/>
          <w:szCs w:val="21"/>
        </w:rPr>
        <w:t>缺陷，应按照新的法律法规和相关要求及时进行修定。 </w:t>
      </w:r>
      <w:r>
        <w:rPr>
          <w:rFonts w:ascii="宋体" w:hAnsi="宋体" w:cs="宋体" w:eastAsia="宋体" w:hint="default"/>
          <w:spacing w:val="-3"/>
          <w:sz w:val="21"/>
          <w:szCs w:val="21"/>
        </w:rPr>
        <w:t>整改措施：对公司已制定的各项内部控制制度进行全面检查，修定不符合现行法律法规</w:t>
      </w:r>
    </w:p>
    <w:p>
      <w:pPr>
        <w:spacing w:before="30"/>
        <w:ind w:left="137" w:right="0" w:firstLine="0"/>
        <w:jc w:val="left"/>
        <w:rPr>
          <w:rFonts w:ascii="宋体" w:hAnsi="宋体" w:cs="宋体" w:eastAsia="宋体" w:hint="default"/>
          <w:sz w:val="21"/>
          <w:szCs w:val="21"/>
        </w:rPr>
      </w:pPr>
      <w:r>
        <w:rPr>
          <w:rFonts w:ascii="宋体" w:hAnsi="宋体" w:cs="宋体" w:eastAsia="宋体" w:hint="default"/>
          <w:sz w:val="21"/>
          <w:szCs w:val="21"/>
        </w:rPr>
        <w:t>规定的内容。</w:t>
      </w:r>
    </w:p>
    <w:p>
      <w:pPr>
        <w:spacing w:line="357" w:lineRule="auto" w:before="134"/>
        <w:ind w:left="557" w:right="0" w:firstLine="0"/>
        <w:jc w:val="left"/>
        <w:rPr>
          <w:rFonts w:ascii="宋体" w:hAnsi="宋体" w:cs="宋体" w:eastAsia="宋体" w:hint="default"/>
          <w:sz w:val="21"/>
          <w:szCs w:val="21"/>
        </w:rPr>
      </w:pPr>
      <w:r>
        <w:rPr>
          <w:rFonts w:ascii="宋体" w:hAnsi="宋体" w:cs="宋体" w:eastAsia="宋体" w:hint="default"/>
          <w:sz w:val="21"/>
          <w:szCs w:val="21"/>
        </w:rPr>
        <w:t>整改进度：</w:t>
      </w:r>
      <w:r>
        <w:rPr>
          <w:rFonts w:ascii="宋体" w:hAnsi="宋体" w:cs="宋体" w:eastAsia="宋体" w:hint="default"/>
          <w:spacing w:val="-2"/>
          <w:sz w:val="21"/>
          <w:szCs w:val="21"/>
        </w:rPr>
        <w:t> </w:t>
      </w:r>
      <w:r>
        <w:rPr>
          <w:rFonts w:ascii="宋体" w:hAnsi="宋体" w:cs="宋体" w:eastAsia="宋体" w:hint="default"/>
          <w:sz w:val="21"/>
          <w:szCs w:val="21"/>
        </w:rPr>
        <w:t>目前已整改完毕</w:t>
      </w:r>
      <w:r>
        <w:rPr>
          <w:rFonts w:ascii="宋体" w:hAnsi="宋体" w:cs="宋体" w:eastAsia="宋体" w:hint="default"/>
          <w:spacing w:val="-1"/>
          <w:sz w:val="21"/>
          <w:szCs w:val="21"/>
        </w:rPr>
        <w:t> </w:t>
      </w:r>
      <w:r>
        <w:rPr>
          <w:rFonts w:ascii="宋体" w:hAnsi="宋体" w:cs="宋体" w:eastAsia="宋体" w:hint="default"/>
          <w:sz w:val="21"/>
          <w:szCs w:val="21"/>
        </w:rPr>
        <w:t>问题二、公司管理层目前只有年度考核目标，缺乏任期内的中长期考核目标。</w:t>
      </w:r>
      <w:r>
        <w:rPr>
          <w:rFonts w:ascii="宋体" w:hAnsi="宋体" w:cs="宋体" w:eastAsia="宋体" w:hint="default"/>
          <w:sz w:val="21"/>
          <w:szCs w:val="21"/>
        </w:rPr>
        <w:t> </w:t>
      </w:r>
      <w:r>
        <w:rPr>
          <w:rFonts w:ascii="宋体" w:hAnsi="宋体" w:cs="宋体" w:eastAsia="宋体" w:hint="default"/>
          <w:spacing w:val="-3"/>
          <w:sz w:val="21"/>
          <w:szCs w:val="21"/>
        </w:rPr>
        <w:t>整改措施：制定公司管理层的任期内的中长期发展目标，提高高级管理人员的工作积极</w:t>
      </w:r>
    </w:p>
    <w:p>
      <w:pPr>
        <w:spacing w:before="30"/>
        <w:ind w:left="137" w:right="0" w:firstLine="0"/>
        <w:jc w:val="left"/>
        <w:rPr>
          <w:rFonts w:ascii="宋体" w:hAnsi="宋体" w:cs="宋体" w:eastAsia="宋体" w:hint="default"/>
          <w:sz w:val="21"/>
          <w:szCs w:val="21"/>
        </w:rPr>
      </w:pPr>
      <w:r>
        <w:rPr>
          <w:rFonts w:ascii="宋体" w:hAnsi="宋体" w:cs="宋体" w:eastAsia="宋体" w:hint="default"/>
          <w:sz w:val="21"/>
          <w:szCs w:val="21"/>
        </w:rPr>
        <w:t>性，实现长期发展计划与短期经营目标的结合。</w:t>
      </w:r>
    </w:p>
    <w:p>
      <w:pPr>
        <w:spacing w:line="357" w:lineRule="auto" w:before="133"/>
        <w:ind w:left="137" w:right="152" w:firstLine="420"/>
        <w:jc w:val="both"/>
        <w:rPr>
          <w:rFonts w:ascii="宋体" w:hAnsi="宋体" w:cs="宋体" w:eastAsia="宋体" w:hint="default"/>
          <w:sz w:val="21"/>
          <w:szCs w:val="21"/>
        </w:rPr>
      </w:pPr>
      <w:r>
        <w:rPr>
          <w:rFonts w:ascii="宋体" w:hAnsi="宋体" w:cs="宋体" w:eastAsia="宋体" w:hint="default"/>
          <w:sz w:val="21"/>
          <w:szCs w:val="21"/>
        </w:rPr>
        <w:t>落实情况：董事会战略发展委员会在</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日召开的第二届董事会第</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次会</w:t>
      </w:r>
      <w:r>
        <w:rPr>
          <w:rFonts w:ascii="宋体" w:hAnsi="宋体" w:cs="宋体" w:eastAsia="宋体" w:hint="default"/>
          <w:sz w:val="21"/>
          <w:szCs w:val="21"/>
        </w:rPr>
        <w:t> </w:t>
      </w:r>
      <w:r>
        <w:rPr>
          <w:rFonts w:ascii="宋体" w:hAnsi="宋体" w:cs="宋体" w:eastAsia="宋体" w:hint="default"/>
          <w:spacing w:val="-3"/>
          <w:sz w:val="21"/>
          <w:szCs w:val="21"/>
        </w:rPr>
        <w:t>议上，提交了《中长期发展规划》，经董事会审议认为该项议案尚需进一步专项论证，暂不</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表决，因此公司尚需进一步落实该项问题。</w:t>
      </w:r>
    </w:p>
    <w:p>
      <w:pPr>
        <w:spacing w:line="355" w:lineRule="auto" w:before="31"/>
        <w:ind w:left="557" w:right="0" w:firstLine="0"/>
        <w:jc w:val="left"/>
        <w:rPr>
          <w:rFonts w:ascii="宋体" w:hAnsi="宋体" w:cs="宋体" w:eastAsia="宋体" w:hint="default"/>
          <w:sz w:val="21"/>
          <w:szCs w:val="21"/>
        </w:rPr>
      </w:pPr>
      <w:r>
        <w:rPr>
          <w:rFonts w:ascii="宋体" w:hAnsi="宋体" w:cs="宋体" w:eastAsia="宋体" w:hint="default"/>
          <w:sz w:val="21"/>
          <w:szCs w:val="21"/>
        </w:rPr>
        <w:t>问题三、公司网站应建立投资者关系管理和投资者互动平台。 </w:t>
      </w:r>
      <w:r>
        <w:rPr>
          <w:rFonts w:ascii="宋体" w:hAnsi="宋体" w:cs="宋体" w:eastAsia="宋体" w:hint="default"/>
          <w:spacing w:val="-3"/>
          <w:sz w:val="21"/>
          <w:szCs w:val="21"/>
        </w:rPr>
        <w:t>整改措施：在公司网站上增加投资关系管理和互动的专门栏目，收集市场投资者，特别</w:t>
      </w:r>
    </w:p>
    <w:p>
      <w:pPr>
        <w:spacing w:before="33"/>
        <w:ind w:left="137" w:right="0" w:firstLine="0"/>
        <w:jc w:val="left"/>
        <w:rPr>
          <w:rFonts w:ascii="宋体" w:hAnsi="宋体" w:cs="宋体" w:eastAsia="宋体" w:hint="default"/>
          <w:sz w:val="21"/>
          <w:szCs w:val="21"/>
        </w:rPr>
      </w:pPr>
      <w:r>
        <w:rPr>
          <w:rFonts w:ascii="宋体" w:hAnsi="宋体" w:cs="宋体" w:eastAsia="宋体" w:hint="default"/>
          <w:spacing w:val="-3"/>
          <w:sz w:val="21"/>
          <w:szCs w:val="21"/>
        </w:rPr>
        <w:t>是中小股民对公司的期望和要求，并通过该栏目定期回答投资者所关心的问题。根据《信息</w:t>
      </w:r>
    </w:p>
    <w:p>
      <w:pPr>
        <w:spacing w:before="133"/>
        <w:ind w:left="137" w:right="0" w:firstLine="0"/>
        <w:jc w:val="left"/>
        <w:rPr>
          <w:rFonts w:ascii="宋体" w:hAnsi="宋体" w:cs="宋体" w:eastAsia="宋体" w:hint="default"/>
          <w:sz w:val="21"/>
          <w:szCs w:val="21"/>
        </w:rPr>
      </w:pPr>
      <w:r>
        <w:rPr>
          <w:rFonts w:ascii="宋体" w:hAnsi="宋体" w:cs="宋体" w:eastAsia="宋体" w:hint="default"/>
          <w:spacing w:val="-3"/>
          <w:sz w:val="21"/>
          <w:szCs w:val="21"/>
        </w:rPr>
        <w:t>披露管理制度》的要求，在保证重大信息不泄漏的情况下，说明公司生产经营现状，增强公</w:t>
      </w:r>
    </w:p>
    <w:p>
      <w:pPr>
        <w:spacing w:after="0"/>
        <w:jc w:val="left"/>
        <w:rPr>
          <w:rFonts w:ascii="宋体" w:hAnsi="宋体" w:cs="宋体" w:eastAsia="宋体" w:hint="default"/>
          <w:sz w:val="21"/>
          <w:szCs w:val="21"/>
        </w:rPr>
        <w:sectPr>
          <w:pgSz w:w="11910" w:h="16840"/>
          <w:pgMar w:header="915" w:footer="1712" w:top="1100" w:bottom="1900" w:left="1660" w:right="1640"/>
        </w:sectPr>
      </w:pPr>
    </w:p>
    <w:p>
      <w:pPr>
        <w:spacing w:line="355" w:lineRule="auto" w:before="18"/>
        <w:ind w:left="557" w:right="5567" w:hanging="42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5144"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z w:val="21"/>
          <w:szCs w:val="21"/>
        </w:rPr>
        <w:t>司经营管理的透明度。 整改进度：目前已整改完毕</w:t>
      </w:r>
    </w:p>
    <w:p>
      <w:pPr>
        <w:spacing w:line="357" w:lineRule="auto" w:before="33"/>
        <w:ind w:left="137" w:right="211" w:firstLine="420"/>
        <w:jc w:val="right"/>
        <w:rPr>
          <w:rFonts w:ascii="宋体" w:hAnsi="宋体" w:cs="宋体" w:eastAsia="宋体" w:hint="default"/>
          <w:sz w:val="21"/>
          <w:szCs w:val="21"/>
        </w:rPr>
      </w:pPr>
      <w:r>
        <w:rPr>
          <w:rFonts w:ascii="宋体" w:hAnsi="宋体" w:cs="宋体" w:eastAsia="宋体" w:hint="default"/>
          <w:spacing w:val="-3"/>
          <w:sz w:val="21"/>
          <w:szCs w:val="21"/>
        </w:rPr>
        <w:t>问题四、应按照新的法规政策修定《信息披露管理制度》和《投资者关系管理制度》。</w:t>
      </w:r>
      <w:r>
        <w:rPr>
          <w:rFonts w:ascii="宋体" w:hAnsi="宋体" w:cs="宋体" w:eastAsia="宋体" w:hint="default"/>
          <w:sz w:val="21"/>
          <w:szCs w:val="21"/>
        </w:rPr>
        <w:t> 整改措施：根据深圳证券交易所中小企业板信息披露业务备忘录第</w:t>
      </w:r>
      <w:r>
        <w:rPr>
          <w:rFonts w:ascii="宋体" w:hAnsi="宋体" w:cs="宋体" w:eastAsia="宋体" w:hint="default"/>
          <w:spacing w:val="-75"/>
          <w:sz w:val="21"/>
          <w:szCs w:val="21"/>
        </w:rPr>
        <w:t> </w:t>
      </w:r>
      <w:r>
        <w:rPr>
          <w:rFonts w:ascii="宋体" w:hAnsi="宋体" w:cs="宋体" w:eastAsia="宋体" w:hint="default"/>
          <w:sz w:val="21"/>
          <w:szCs w:val="21"/>
        </w:rPr>
        <w:t>8</w:t>
      </w:r>
      <w:r>
        <w:rPr>
          <w:rFonts w:ascii="宋体" w:hAnsi="宋体" w:cs="宋体" w:eastAsia="宋体" w:hint="default"/>
          <w:spacing w:val="-75"/>
          <w:sz w:val="21"/>
          <w:szCs w:val="21"/>
        </w:rPr>
        <w:t> </w:t>
      </w:r>
      <w:r>
        <w:rPr>
          <w:rFonts w:ascii="宋体" w:hAnsi="宋体" w:cs="宋体" w:eastAsia="宋体" w:hint="default"/>
          <w:spacing w:val="-6"/>
          <w:sz w:val="21"/>
          <w:szCs w:val="21"/>
        </w:rPr>
        <w:t>号《信息披露事务</w:t>
      </w:r>
      <w:r>
        <w:rPr>
          <w:rFonts w:ascii="宋体" w:hAnsi="宋体" w:cs="宋体" w:eastAsia="宋体" w:hint="default"/>
          <w:sz w:val="21"/>
          <w:szCs w:val="21"/>
        </w:rPr>
        <w:t> </w:t>
      </w:r>
      <w:r>
        <w:rPr>
          <w:rFonts w:ascii="宋体" w:hAnsi="宋体" w:cs="宋体" w:eastAsia="宋体" w:hint="default"/>
          <w:spacing w:val="-3"/>
          <w:sz w:val="21"/>
          <w:szCs w:val="21"/>
        </w:rPr>
        <w:t>管理制度相关要求》的规定，在《信息披露管理制度》中增加公司发生重大事件的汇报、流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转、审核、披露的程序及相关负责人的明确规定；董事和董事会、监事和监事会、高级管理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3"/>
          <w:sz w:val="21"/>
          <w:szCs w:val="21"/>
        </w:rPr>
        <w:t>人员等对重大信息的报告、审议和披露等职责；信息披露相关文件、资料的档案管理；重大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信息保密制度；财务管理部门、内部审计机构在有关财务信息披露中的责任等相关内容，以</w:t>
      </w:r>
    </w:p>
    <w:p>
      <w:pPr>
        <w:spacing w:line="357" w:lineRule="auto" w:before="30"/>
        <w:ind w:left="557" w:right="4307" w:hanging="420"/>
        <w:jc w:val="left"/>
        <w:rPr>
          <w:rFonts w:ascii="宋体" w:hAnsi="宋体" w:cs="宋体" w:eastAsia="宋体" w:hint="default"/>
          <w:sz w:val="21"/>
          <w:szCs w:val="21"/>
        </w:rPr>
      </w:pPr>
      <w:r>
        <w:rPr>
          <w:rFonts w:ascii="宋体" w:hAnsi="宋体" w:cs="宋体" w:eastAsia="宋体" w:hint="default"/>
          <w:sz w:val="21"/>
          <w:szCs w:val="21"/>
        </w:rPr>
        <w:t>确保公司能够及时、准确、真实的披露信息。 整改进度：目前已整改完毕</w:t>
      </w:r>
    </w:p>
    <w:p>
      <w:pPr>
        <w:spacing w:line="357" w:lineRule="auto" w:before="30"/>
        <w:ind w:left="137" w:right="107" w:firstLine="420"/>
        <w:jc w:val="left"/>
        <w:rPr>
          <w:rFonts w:ascii="宋体" w:hAnsi="宋体" w:cs="宋体" w:eastAsia="宋体" w:hint="default"/>
          <w:sz w:val="21"/>
          <w:szCs w:val="21"/>
        </w:rPr>
      </w:pPr>
      <w:r>
        <w:rPr>
          <w:rFonts w:ascii="宋体" w:hAnsi="宋体" w:cs="宋体" w:eastAsia="宋体" w:hint="default"/>
          <w:spacing w:val="-3"/>
          <w:sz w:val="21"/>
          <w:szCs w:val="21"/>
        </w:rPr>
        <w:t>问题五、公司董事、监事和高级管理人员相关法律法规、规章制度、以及信息披露制度</w:t>
      </w:r>
      <w:r>
        <w:rPr>
          <w:rFonts w:ascii="宋体" w:hAnsi="宋体" w:cs="宋体" w:eastAsia="宋体" w:hint="default"/>
          <w:sz w:val="21"/>
          <w:szCs w:val="21"/>
        </w:rPr>
        <w:t> 等方面的培训需要加强。</w:t>
      </w:r>
    </w:p>
    <w:p>
      <w:pPr>
        <w:spacing w:line="357" w:lineRule="auto" w:before="30"/>
        <w:ind w:left="137" w:right="102" w:firstLine="420"/>
        <w:jc w:val="left"/>
        <w:rPr>
          <w:rFonts w:ascii="宋体" w:hAnsi="宋体" w:cs="宋体" w:eastAsia="宋体" w:hint="default"/>
          <w:sz w:val="21"/>
          <w:szCs w:val="21"/>
        </w:rPr>
      </w:pPr>
      <w:r>
        <w:rPr>
          <w:rFonts w:ascii="宋体" w:hAnsi="宋体" w:cs="宋体" w:eastAsia="宋体" w:hint="default"/>
          <w:spacing w:val="-8"/>
          <w:sz w:val="21"/>
          <w:szCs w:val="21"/>
        </w:rPr>
        <w:t>整改措施：对公司所有董事、监事、高级管理人员进行《股票上市规则》、《上市公司董</w:t>
      </w:r>
      <w:r>
        <w:rPr>
          <w:rFonts w:ascii="宋体" w:hAnsi="宋体" w:cs="宋体" w:eastAsia="宋体" w:hint="default"/>
          <w:sz w:val="21"/>
          <w:szCs w:val="21"/>
        </w:rPr>
        <w:t> </w:t>
      </w:r>
      <w:r>
        <w:rPr>
          <w:rFonts w:ascii="宋体" w:hAnsi="宋体" w:cs="宋体" w:eastAsia="宋体" w:hint="default"/>
          <w:spacing w:val="-3"/>
          <w:sz w:val="21"/>
          <w:szCs w:val="21"/>
        </w:rPr>
        <w:t>事、监事和高级管理人员所持本公司股份及其变动管理业务指引》、等相关规定的培训，使</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3"/>
          <w:sz w:val="21"/>
          <w:szCs w:val="21"/>
        </w:rPr>
        <w:t>之明确各自的权利、义务和法律责任，了解信息披露的基本要求、公司治理的基本原则、以</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及上市公司关联交易、收购兼并、再融资政策等有关法律法规、规章制度，强化董事、监事、</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高级管理人员行为自律意识，完善公司治理结构，推动公司规范运作，同时，通过培训达到</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规范董事、监事、高级管理人员的工作行为的目的，避免违规情况的发生。</w:t>
      </w:r>
    </w:p>
    <w:p>
      <w:pPr>
        <w:spacing w:line="355" w:lineRule="auto" w:before="31"/>
        <w:ind w:left="558" w:right="4831" w:hanging="1"/>
        <w:jc w:val="left"/>
        <w:rPr>
          <w:rFonts w:ascii="宋体" w:hAnsi="宋体" w:cs="宋体" w:eastAsia="宋体" w:hint="default"/>
          <w:sz w:val="21"/>
          <w:szCs w:val="21"/>
        </w:rPr>
      </w:pPr>
      <w:r>
        <w:rPr>
          <w:rFonts w:ascii="宋体" w:hAnsi="宋体" w:cs="宋体" w:eastAsia="宋体" w:hint="default"/>
          <w:sz w:val="21"/>
          <w:szCs w:val="21"/>
        </w:rPr>
        <w:t>整改进度：目前已整改完毕。 4、山东证监局整改建议的整改情况</w:t>
      </w:r>
    </w:p>
    <w:p>
      <w:pPr>
        <w:spacing w:line="357" w:lineRule="auto" w:before="32"/>
        <w:ind w:left="557" w:right="119" w:firstLine="0"/>
        <w:jc w:val="left"/>
        <w:rPr>
          <w:rFonts w:ascii="宋体" w:hAnsi="宋体" w:cs="宋体" w:eastAsia="宋体" w:hint="default"/>
          <w:sz w:val="21"/>
          <w:szCs w:val="21"/>
        </w:rPr>
      </w:pPr>
      <w:r>
        <w:rPr>
          <w:rFonts w:ascii="宋体" w:hAnsi="宋体" w:cs="宋体" w:eastAsia="宋体" w:hint="default"/>
          <w:spacing w:val="-3"/>
          <w:sz w:val="21"/>
          <w:szCs w:val="21"/>
        </w:rPr>
        <w:t>（1）、公司董事会、股东大会会议记录不全面，缺少律师、董秘等部分与会人员签字。</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整改措施：严格按要求做好股东大会、董事会和监事会的会议记录。今后在召开股东大</w:t>
      </w:r>
    </w:p>
    <w:p>
      <w:pPr>
        <w:spacing w:line="357" w:lineRule="auto" w:before="30"/>
        <w:ind w:left="137" w:right="211" w:firstLine="0"/>
        <w:jc w:val="both"/>
        <w:rPr>
          <w:rFonts w:ascii="宋体" w:hAnsi="宋体" w:cs="宋体" w:eastAsia="宋体" w:hint="default"/>
          <w:sz w:val="21"/>
          <w:szCs w:val="21"/>
        </w:rPr>
      </w:pPr>
      <w:r>
        <w:rPr>
          <w:rFonts w:ascii="宋体" w:hAnsi="宋体" w:cs="宋体" w:eastAsia="宋体" w:hint="default"/>
          <w:spacing w:val="-3"/>
          <w:sz w:val="21"/>
          <w:szCs w:val="21"/>
        </w:rPr>
        <w:t>会、董事会和监事会时，要详细写明审议经过、发言要点，除与会的董事、监事外，参加会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议的计票人，律师、会议主持人、董秘、监事均应按要求在会议记录上签名。做到会议记录</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详尽、内容完整、发言要点明确。</w:t>
      </w:r>
    </w:p>
    <w:p>
      <w:pPr>
        <w:spacing w:before="31"/>
        <w:ind w:left="557" w:right="107" w:firstLine="0"/>
        <w:jc w:val="left"/>
        <w:rPr>
          <w:rFonts w:ascii="宋体" w:hAnsi="宋体" w:cs="宋体" w:eastAsia="宋体" w:hint="default"/>
          <w:sz w:val="21"/>
          <w:szCs w:val="21"/>
        </w:rPr>
      </w:pPr>
      <w:r>
        <w:rPr>
          <w:rFonts w:ascii="宋体" w:hAnsi="宋体" w:cs="宋体" w:eastAsia="宋体" w:hint="default"/>
          <w:sz w:val="21"/>
          <w:szCs w:val="21"/>
        </w:rPr>
        <w:t>整改进度：目前已整改完毕。</w:t>
      </w:r>
    </w:p>
    <w:p>
      <w:pPr>
        <w:spacing w:line="355" w:lineRule="auto" w:before="133"/>
        <w:ind w:left="137" w:right="197" w:firstLine="420"/>
        <w:jc w:val="left"/>
        <w:rPr>
          <w:rFonts w:ascii="宋体" w:hAnsi="宋体" w:cs="宋体" w:eastAsia="宋体" w:hint="default"/>
          <w:sz w:val="21"/>
          <w:szCs w:val="21"/>
        </w:rPr>
      </w:pPr>
      <w:r>
        <w:rPr>
          <w:rFonts w:ascii="宋体" w:hAnsi="宋体" w:cs="宋体" w:eastAsia="宋体" w:hint="default"/>
          <w:spacing w:val="-5"/>
          <w:sz w:val="21"/>
          <w:szCs w:val="21"/>
        </w:rPr>
        <w:t>（2）、公司需进一步加强高级管理人员的法律培训。公司上市后，董事、监事及高管人</w:t>
      </w:r>
      <w:r>
        <w:rPr>
          <w:rFonts w:ascii="宋体" w:hAnsi="宋体" w:cs="宋体" w:eastAsia="宋体" w:hint="default"/>
          <w:sz w:val="21"/>
          <w:szCs w:val="21"/>
        </w:rPr>
        <w:t> 员较多侧重于生产经营，对相关法律法规培训学习不够。</w:t>
      </w:r>
    </w:p>
    <w:p>
      <w:pPr>
        <w:spacing w:line="357" w:lineRule="auto" w:before="33"/>
        <w:ind w:left="137" w:right="211" w:firstLine="420"/>
        <w:jc w:val="both"/>
        <w:rPr>
          <w:rFonts w:ascii="宋体" w:hAnsi="宋体" w:cs="宋体" w:eastAsia="宋体" w:hint="default"/>
          <w:sz w:val="21"/>
          <w:szCs w:val="21"/>
        </w:rPr>
      </w:pPr>
      <w:r>
        <w:rPr>
          <w:rFonts w:ascii="宋体" w:hAnsi="宋体" w:cs="宋体" w:eastAsia="宋体" w:hint="default"/>
          <w:spacing w:val="-8"/>
          <w:sz w:val="21"/>
          <w:szCs w:val="21"/>
        </w:rPr>
        <w:t>整改措施：公司对公司董事、监事和高级管理人员进行《上市规则》、《深圳证券交易所</w:t>
      </w:r>
      <w:r>
        <w:rPr>
          <w:rFonts w:ascii="宋体" w:hAnsi="宋体" w:cs="宋体" w:eastAsia="宋体" w:hint="default"/>
          <w:sz w:val="21"/>
          <w:szCs w:val="21"/>
        </w:rPr>
        <w:t> </w:t>
      </w:r>
      <w:r>
        <w:rPr>
          <w:rFonts w:ascii="宋体" w:hAnsi="宋体" w:cs="宋体" w:eastAsia="宋体" w:hint="default"/>
          <w:spacing w:val="-8"/>
          <w:sz w:val="21"/>
          <w:szCs w:val="21"/>
        </w:rPr>
        <w:t>上市公司董事、监事和高级管理人员所持本公司股份及其变动管理业务指引》、《信息披露管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理制度》等法律法规的培训。</w:t>
      </w:r>
    </w:p>
    <w:p>
      <w:pPr>
        <w:spacing w:line="357" w:lineRule="auto" w:before="30"/>
        <w:ind w:left="557" w:right="4832" w:firstLine="0"/>
        <w:jc w:val="left"/>
        <w:rPr>
          <w:rFonts w:ascii="宋体" w:hAnsi="宋体" w:cs="宋体" w:eastAsia="宋体" w:hint="default"/>
          <w:sz w:val="21"/>
          <w:szCs w:val="21"/>
        </w:rPr>
      </w:pPr>
      <w:r>
        <w:rPr>
          <w:rFonts w:ascii="宋体" w:hAnsi="宋体" w:cs="宋体" w:eastAsia="宋体" w:hint="default"/>
          <w:sz w:val="21"/>
          <w:szCs w:val="21"/>
        </w:rPr>
        <w:t>整改进度：目前已整改完毕。 5、东港股份治理专项活动总体成效</w:t>
      </w:r>
    </w:p>
    <w:p>
      <w:pPr>
        <w:spacing w:before="30"/>
        <w:ind w:left="557" w:right="107" w:firstLine="0"/>
        <w:jc w:val="left"/>
        <w:rPr>
          <w:rFonts w:ascii="宋体" w:hAnsi="宋体" w:cs="宋体" w:eastAsia="宋体" w:hint="default"/>
          <w:sz w:val="21"/>
          <w:szCs w:val="21"/>
        </w:rPr>
      </w:pPr>
      <w:r>
        <w:rPr>
          <w:rFonts w:ascii="宋体" w:hAnsi="宋体" w:cs="宋体" w:eastAsia="宋体" w:hint="default"/>
          <w:spacing w:val="-3"/>
          <w:sz w:val="21"/>
          <w:szCs w:val="21"/>
        </w:rPr>
        <w:t>通过本次公司治理专项活动，公司根据有关法律法规和政府监管部门的相关要求，重新</w:t>
      </w:r>
    </w:p>
    <w:p>
      <w:pPr>
        <w:spacing w:after="0"/>
        <w:jc w:val="left"/>
        <w:rPr>
          <w:rFonts w:ascii="宋体" w:hAnsi="宋体" w:cs="宋体" w:eastAsia="宋体" w:hint="default"/>
          <w:sz w:val="21"/>
          <w:szCs w:val="21"/>
        </w:rPr>
        <w:sectPr>
          <w:pgSz w:w="11910" w:h="16840"/>
          <w:pgMar w:header="915" w:footer="1712" w:top="1100" w:bottom="1900" w:left="1660" w:right="1580"/>
        </w:sectPr>
      </w:pPr>
    </w:p>
    <w:p>
      <w:pPr>
        <w:spacing w:line="357" w:lineRule="auto" w:before="18"/>
        <w:ind w:left="677" w:right="671" w:firstLine="0"/>
        <w:jc w:val="both"/>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512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pacing w:val="-3"/>
          <w:sz w:val="21"/>
          <w:szCs w:val="21"/>
        </w:rPr>
        <w:t>审视了自身公司治理的各个环节，从严遵守相关监管要求，补充和完善了法人治理一系列基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础性管理制度和经营规范制度。对公司的公司治理规范度和公平度、信息披露及时性和透明</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度、股东价值提升及认同度、财务会计准则和监管机构规定遵守程度、风险管理机制和内部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控制制度的完善程度方面都起到了明显的促进作用。</w:t>
      </w:r>
    </w:p>
    <w:p>
      <w:pPr>
        <w:spacing w:line="240" w:lineRule="auto" w:before="0"/>
        <w:rPr>
          <w:rFonts w:ascii="宋体" w:hAnsi="宋体" w:cs="宋体" w:eastAsia="宋体" w:hint="default"/>
          <w:sz w:val="20"/>
          <w:szCs w:val="20"/>
        </w:rPr>
      </w:pPr>
    </w:p>
    <w:p>
      <w:pPr>
        <w:spacing w:line="355" w:lineRule="auto" w:before="177"/>
        <w:ind w:left="1097" w:right="552" w:hanging="420"/>
        <w:jc w:val="left"/>
        <w:rPr>
          <w:rFonts w:ascii="宋体" w:hAnsi="宋体" w:cs="宋体" w:eastAsia="宋体" w:hint="default"/>
          <w:sz w:val="21"/>
          <w:szCs w:val="21"/>
        </w:rPr>
      </w:pPr>
      <w:r>
        <w:rPr>
          <w:rFonts w:ascii="宋体" w:hAnsi="宋体" w:cs="宋体" w:eastAsia="宋体" w:hint="default"/>
          <w:b/>
          <w:bCs/>
          <w:sz w:val="21"/>
          <w:szCs w:val="21"/>
        </w:rPr>
        <w:t>三、董事长、独立董事及其他董事履职情况</w:t>
      </w:r>
      <w:r>
        <w:rPr>
          <w:rFonts w:ascii="宋体" w:hAnsi="宋体" w:cs="宋体" w:eastAsia="宋体" w:hint="default"/>
          <w:b/>
          <w:bCs/>
          <w:spacing w:val="1"/>
          <w:w w:val="99"/>
          <w:sz w:val="21"/>
          <w:szCs w:val="21"/>
        </w:rPr>
        <w:t> </w:t>
      </w:r>
      <w:r>
        <w:rPr>
          <w:rFonts w:ascii="宋体" w:hAnsi="宋体" w:cs="宋体" w:eastAsia="宋体" w:hint="default"/>
          <w:spacing w:val="-16"/>
          <w:sz w:val="21"/>
          <w:szCs w:val="21"/>
        </w:rPr>
        <w:t>报告期内，公司董事长、独立董事及其他董事严格按照《公司章程》、《董事会议事规则》、</w:t>
      </w:r>
    </w:p>
    <w:p>
      <w:pPr>
        <w:spacing w:line="355" w:lineRule="auto" w:before="33"/>
        <w:ind w:left="677" w:right="671" w:firstLine="0"/>
        <w:jc w:val="both"/>
        <w:rPr>
          <w:rFonts w:ascii="宋体" w:hAnsi="宋体" w:cs="宋体" w:eastAsia="宋体" w:hint="default"/>
          <w:sz w:val="21"/>
          <w:szCs w:val="21"/>
        </w:rPr>
      </w:pPr>
      <w:r>
        <w:rPr>
          <w:rFonts w:ascii="宋体" w:hAnsi="宋体" w:cs="宋体" w:eastAsia="宋体" w:hint="default"/>
          <w:spacing w:val="-3"/>
          <w:sz w:val="21"/>
          <w:szCs w:val="21"/>
        </w:rPr>
        <w:t>《独立董事工作细则》及其他有关法律法规制度的规定和要求，恪尽职守、诚实守信地履行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职责。</w:t>
      </w:r>
    </w:p>
    <w:p>
      <w:pPr>
        <w:spacing w:line="357" w:lineRule="auto" w:before="33"/>
        <w:ind w:left="677" w:right="552" w:firstLine="420"/>
        <w:jc w:val="left"/>
        <w:rPr>
          <w:rFonts w:ascii="宋体" w:hAnsi="宋体" w:cs="宋体" w:eastAsia="宋体" w:hint="default"/>
          <w:sz w:val="21"/>
          <w:szCs w:val="21"/>
        </w:rPr>
      </w:pPr>
      <w:r>
        <w:rPr>
          <w:rFonts w:ascii="宋体" w:hAnsi="宋体" w:cs="宋体" w:eastAsia="宋体" w:hint="default"/>
          <w:spacing w:val="-5"/>
          <w:sz w:val="21"/>
          <w:szCs w:val="21"/>
        </w:rPr>
        <w:t>董事长全力加强董事会建设，严格按照董事会集体决策机制，决定公司的重大经营事项，</w:t>
      </w:r>
      <w:r>
        <w:rPr>
          <w:rFonts w:ascii="宋体" w:hAnsi="宋体" w:cs="宋体" w:eastAsia="宋体" w:hint="default"/>
          <w:sz w:val="21"/>
          <w:szCs w:val="21"/>
        </w:rPr>
        <w:t> </w:t>
      </w:r>
      <w:r>
        <w:rPr>
          <w:rFonts w:ascii="宋体" w:hAnsi="宋体" w:cs="宋体" w:eastAsia="宋体" w:hint="default"/>
          <w:spacing w:val="-5"/>
          <w:sz w:val="21"/>
          <w:szCs w:val="21"/>
        </w:rPr>
        <w:t>并严格执行股东大会的决议。公司现有独立董事三名，其中一名为会计专业人士。报告期内，</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公司的独立董事能按照有关法律、法规、《公司章程》、《独立董事制度》的规定勤勉地履行</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职责，以认真负责的态度出席</w:t>
      </w:r>
      <w:r>
        <w:rPr>
          <w:rFonts w:ascii="宋体" w:hAnsi="宋体" w:cs="宋体" w:eastAsia="宋体" w:hint="default"/>
          <w:spacing w:val="-44"/>
          <w:sz w:val="21"/>
          <w:szCs w:val="21"/>
        </w:rPr>
        <w:t> </w:t>
      </w:r>
      <w:r>
        <w:rPr>
          <w:rFonts w:ascii="宋体" w:hAnsi="宋体" w:cs="宋体" w:eastAsia="宋体" w:hint="default"/>
          <w:sz w:val="21"/>
          <w:szCs w:val="21"/>
        </w:rPr>
        <w:t>2007</w:t>
      </w:r>
      <w:r>
        <w:rPr>
          <w:rFonts w:ascii="宋体" w:hAnsi="宋体" w:cs="宋体" w:eastAsia="宋体" w:hint="default"/>
          <w:spacing w:val="-44"/>
          <w:sz w:val="21"/>
          <w:szCs w:val="21"/>
        </w:rPr>
        <w:t> </w:t>
      </w:r>
      <w:r>
        <w:rPr>
          <w:rFonts w:ascii="宋体" w:hAnsi="宋体" w:cs="宋体" w:eastAsia="宋体" w:hint="default"/>
          <w:spacing w:val="-4"/>
          <w:sz w:val="21"/>
          <w:szCs w:val="21"/>
        </w:rPr>
        <w:t>年度十次董事会。公司独立董事能恪尽职守、勤勉尽责，</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详细了解公司整个生产运作情况，对公司重大事项发表了独立意见，对董事会决策的公正公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平及保护中小投资者利益起到了积极作用。各位董事严格遵守各项规定，尽职尽责，切实维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护公司及股东利益。</w:t>
      </w:r>
    </w:p>
    <w:p>
      <w:pPr>
        <w:spacing w:before="31"/>
        <w:ind w:left="993" w:right="552" w:firstLine="0"/>
        <w:jc w:val="left"/>
        <w:rPr>
          <w:rFonts w:ascii="宋体" w:hAnsi="宋体" w:cs="宋体" w:eastAsia="宋体" w:hint="default"/>
          <w:sz w:val="21"/>
          <w:szCs w:val="21"/>
        </w:rPr>
      </w:pPr>
      <w:r>
        <w:rPr>
          <w:rFonts w:ascii="宋体" w:hAnsi="宋体" w:cs="宋体" w:eastAsia="宋体" w:hint="default"/>
          <w:sz w:val="21"/>
          <w:szCs w:val="21"/>
        </w:rPr>
        <w:t>公司共召开了十次董事会，董事出席会议情况如下：</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607"/>
        <w:gridCol w:w="1470"/>
        <w:gridCol w:w="1656"/>
        <w:gridCol w:w="1656"/>
        <w:gridCol w:w="1236"/>
        <w:gridCol w:w="1805"/>
      </w:tblGrid>
      <w:tr>
        <w:trPr>
          <w:trHeight w:val="424" w:hRule="exact"/>
        </w:trPr>
        <w:tc>
          <w:tcPr>
            <w:tcW w:w="30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报告期内董事会会议召开次数</w:t>
            </w:r>
          </w:p>
        </w:tc>
        <w:tc>
          <w:tcPr>
            <w:tcW w:w="635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10</w:t>
            </w:r>
          </w:p>
        </w:tc>
      </w:tr>
      <w:tr>
        <w:trPr>
          <w:trHeight w:val="808" w:hRule="exact"/>
        </w:trPr>
        <w:tc>
          <w:tcPr>
            <w:tcW w:w="1607"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470"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656"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亲自出席次数</w:t>
            </w:r>
          </w:p>
        </w:tc>
        <w:tc>
          <w:tcPr>
            <w:tcW w:w="165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23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805" w:type="dxa"/>
            <w:tcBorders>
              <w:top w:val="single" w:sz="6" w:space="0" w:color="000000"/>
              <w:left w:val="single" w:sz="5" w:space="0" w:color="000000"/>
              <w:bottom w:val="single" w:sz="6" w:space="0" w:color="000000"/>
              <w:right w:val="single" w:sz="6" w:space="0" w:color="000000"/>
            </w:tcBorders>
          </w:tcPr>
          <w:p>
            <w:pPr>
              <w:pStyle w:val="TableParagraph"/>
              <w:spacing w:line="272" w:lineRule="exact" w:before="117"/>
              <w:ind w:left="266" w:right="158" w:hanging="106"/>
              <w:jc w:val="left"/>
              <w:rPr>
                <w:rFonts w:ascii="宋体" w:hAnsi="宋体" w:cs="宋体" w:eastAsia="宋体" w:hint="default"/>
                <w:sz w:val="21"/>
                <w:szCs w:val="21"/>
              </w:rPr>
            </w:pPr>
            <w:r>
              <w:rPr>
                <w:rFonts w:ascii="宋体" w:hAnsi="宋体" w:cs="宋体" w:eastAsia="宋体" w:hint="default"/>
                <w:sz w:val="21"/>
                <w:szCs w:val="21"/>
              </w:rPr>
              <w:t>是否连续两次未 亲自出席会议</w:t>
            </w:r>
          </w:p>
        </w:tc>
      </w:tr>
      <w:tr>
        <w:trPr>
          <w:trHeight w:val="422" w:hRule="exact"/>
        </w:trPr>
        <w:tc>
          <w:tcPr>
            <w:tcW w:w="1607" w:type="dxa"/>
            <w:tcBorders>
              <w:top w:val="single" w:sz="6" w:space="0" w:color="000000"/>
              <w:left w:val="single" w:sz="6" w:space="0" w:color="000000"/>
              <w:bottom w:val="single" w:sz="5" w:space="0" w:color="000000"/>
              <w:right w:val="single" w:sz="5"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谷望江</w:t>
            </w:r>
          </w:p>
        </w:tc>
        <w:tc>
          <w:tcPr>
            <w:tcW w:w="1470" w:type="dxa"/>
            <w:tcBorders>
              <w:top w:val="single" w:sz="6" w:space="0" w:color="000000"/>
              <w:left w:val="single" w:sz="5" w:space="0" w:color="000000"/>
              <w:bottom w:val="single" w:sz="5"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656" w:type="dxa"/>
            <w:tcBorders>
              <w:top w:val="single" w:sz="6" w:space="0" w:color="000000"/>
              <w:left w:val="single" w:sz="6" w:space="0" w:color="000000"/>
              <w:bottom w:val="single" w:sz="5" w:space="0" w:color="000000"/>
              <w:right w:val="single" w:sz="5"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10</w:t>
            </w:r>
          </w:p>
        </w:tc>
        <w:tc>
          <w:tcPr>
            <w:tcW w:w="1656" w:type="dxa"/>
            <w:tcBorders>
              <w:top w:val="single" w:sz="6" w:space="0" w:color="000000"/>
              <w:left w:val="single" w:sz="5" w:space="0" w:color="000000"/>
              <w:bottom w:val="single" w:sz="5" w:space="0" w:color="000000"/>
              <w:right w:val="single" w:sz="5"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0</w:t>
            </w:r>
          </w:p>
        </w:tc>
        <w:tc>
          <w:tcPr>
            <w:tcW w:w="1236" w:type="dxa"/>
            <w:tcBorders>
              <w:top w:val="single" w:sz="6" w:space="0" w:color="000000"/>
              <w:left w:val="single" w:sz="5" w:space="0" w:color="000000"/>
              <w:bottom w:val="single" w:sz="5" w:space="0" w:color="000000"/>
              <w:right w:val="single" w:sz="5" w:space="0" w:color="000000"/>
            </w:tcBorders>
          </w:tcPr>
          <w:p>
            <w:pPr>
              <w:pStyle w:val="TableParagraph"/>
              <w:spacing w:line="242" w:lineRule="exact"/>
              <w:ind w:right="1"/>
              <w:jc w:val="center"/>
              <w:rPr>
                <w:rFonts w:ascii="宋体" w:hAnsi="宋体" w:cs="宋体" w:eastAsia="宋体" w:hint="default"/>
                <w:sz w:val="21"/>
                <w:szCs w:val="21"/>
              </w:rPr>
            </w:pPr>
            <w:r>
              <w:rPr>
                <w:rFonts w:ascii="宋体"/>
                <w:sz w:val="21"/>
              </w:rPr>
              <w:t>0</w:t>
            </w:r>
          </w:p>
        </w:tc>
        <w:tc>
          <w:tcPr>
            <w:tcW w:w="1805"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21" w:hRule="exact"/>
        </w:trPr>
        <w:tc>
          <w:tcPr>
            <w:tcW w:w="1607" w:type="dxa"/>
            <w:tcBorders>
              <w:top w:val="single" w:sz="5" w:space="0" w:color="000000"/>
              <w:left w:val="single" w:sz="6" w:space="0" w:color="000000"/>
              <w:bottom w:val="single" w:sz="5"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王爱先</w:t>
            </w:r>
          </w:p>
        </w:tc>
        <w:tc>
          <w:tcPr>
            <w:tcW w:w="1470" w:type="dxa"/>
            <w:tcBorders>
              <w:top w:val="single" w:sz="5" w:space="0" w:color="000000"/>
              <w:left w:val="single" w:sz="5" w:space="0" w:color="000000"/>
              <w:bottom w:val="single" w:sz="5"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656" w:type="dxa"/>
            <w:tcBorders>
              <w:top w:val="single" w:sz="5" w:space="0" w:color="000000"/>
              <w:left w:val="single" w:sz="6" w:space="0" w:color="000000"/>
              <w:bottom w:val="single" w:sz="5" w:space="0" w:color="000000"/>
              <w:right w:val="single" w:sz="5"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w:t>
            </w:r>
          </w:p>
        </w:tc>
        <w:tc>
          <w:tcPr>
            <w:tcW w:w="1656" w:type="dxa"/>
            <w:tcBorders>
              <w:top w:val="single" w:sz="5" w:space="0" w:color="000000"/>
              <w:left w:val="single" w:sz="5" w:space="0" w:color="000000"/>
              <w:bottom w:val="single" w:sz="5"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0</w:t>
            </w:r>
          </w:p>
        </w:tc>
        <w:tc>
          <w:tcPr>
            <w:tcW w:w="1236" w:type="dxa"/>
            <w:tcBorders>
              <w:top w:val="single" w:sz="5" w:space="0" w:color="000000"/>
              <w:left w:val="single" w:sz="5" w:space="0" w:color="000000"/>
              <w:bottom w:val="single" w:sz="5"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80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20" w:hRule="exact"/>
        </w:trPr>
        <w:tc>
          <w:tcPr>
            <w:tcW w:w="1607" w:type="dxa"/>
            <w:tcBorders>
              <w:top w:val="single" w:sz="5" w:space="0" w:color="000000"/>
              <w:left w:val="single" w:sz="6" w:space="0" w:color="000000"/>
              <w:bottom w:val="single" w:sz="5"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张春太</w:t>
            </w:r>
          </w:p>
        </w:tc>
        <w:tc>
          <w:tcPr>
            <w:tcW w:w="1470" w:type="dxa"/>
            <w:tcBorders>
              <w:top w:val="single" w:sz="5" w:space="0" w:color="000000"/>
              <w:left w:val="single" w:sz="5" w:space="0" w:color="000000"/>
              <w:bottom w:val="single" w:sz="5"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656" w:type="dxa"/>
            <w:tcBorders>
              <w:top w:val="single" w:sz="5" w:space="0" w:color="000000"/>
              <w:left w:val="single" w:sz="6" w:space="0" w:color="000000"/>
              <w:bottom w:val="single" w:sz="5" w:space="0" w:color="000000"/>
              <w:right w:val="single" w:sz="5"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w:t>
            </w:r>
          </w:p>
        </w:tc>
        <w:tc>
          <w:tcPr>
            <w:tcW w:w="1656" w:type="dxa"/>
            <w:tcBorders>
              <w:top w:val="single" w:sz="5" w:space="0" w:color="000000"/>
              <w:left w:val="single" w:sz="5" w:space="0" w:color="000000"/>
              <w:bottom w:val="single" w:sz="5"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0</w:t>
            </w:r>
          </w:p>
        </w:tc>
        <w:tc>
          <w:tcPr>
            <w:tcW w:w="1236" w:type="dxa"/>
            <w:tcBorders>
              <w:top w:val="single" w:sz="5" w:space="0" w:color="000000"/>
              <w:left w:val="single" w:sz="5" w:space="0" w:color="000000"/>
              <w:bottom w:val="single" w:sz="5"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80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21" w:hRule="exact"/>
        </w:trPr>
        <w:tc>
          <w:tcPr>
            <w:tcW w:w="1607" w:type="dxa"/>
            <w:tcBorders>
              <w:top w:val="single" w:sz="5" w:space="0" w:color="000000"/>
              <w:left w:val="single" w:sz="6" w:space="0" w:color="000000"/>
              <w:bottom w:val="single" w:sz="5"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石林</w:t>
            </w:r>
          </w:p>
        </w:tc>
        <w:tc>
          <w:tcPr>
            <w:tcW w:w="1470" w:type="dxa"/>
            <w:tcBorders>
              <w:top w:val="single" w:sz="5" w:space="0" w:color="000000"/>
              <w:left w:val="single" w:sz="5" w:space="0" w:color="000000"/>
              <w:bottom w:val="single" w:sz="5"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656" w:type="dxa"/>
            <w:tcBorders>
              <w:top w:val="single" w:sz="5" w:space="0" w:color="000000"/>
              <w:left w:val="single" w:sz="6" w:space="0" w:color="000000"/>
              <w:bottom w:val="single" w:sz="5"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w:t>
            </w:r>
          </w:p>
        </w:tc>
        <w:tc>
          <w:tcPr>
            <w:tcW w:w="1656" w:type="dxa"/>
            <w:tcBorders>
              <w:top w:val="single" w:sz="5" w:space="0" w:color="000000"/>
              <w:left w:val="single" w:sz="5" w:space="0" w:color="000000"/>
              <w:bottom w:val="single" w:sz="5"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0</w:t>
            </w:r>
          </w:p>
        </w:tc>
        <w:tc>
          <w:tcPr>
            <w:tcW w:w="1236" w:type="dxa"/>
            <w:tcBorders>
              <w:top w:val="single" w:sz="5" w:space="0" w:color="000000"/>
              <w:left w:val="single" w:sz="5" w:space="0" w:color="000000"/>
              <w:bottom w:val="single" w:sz="5"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80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20" w:hRule="exact"/>
        </w:trPr>
        <w:tc>
          <w:tcPr>
            <w:tcW w:w="1607" w:type="dxa"/>
            <w:tcBorders>
              <w:top w:val="single" w:sz="5" w:space="0" w:color="000000"/>
              <w:left w:val="single" w:sz="6" w:space="0" w:color="000000"/>
              <w:bottom w:val="single" w:sz="5"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史建中</w:t>
            </w:r>
          </w:p>
        </w:tc>
        <w:tc>
          <w:tcPr>
            <w:tcW w:w="1470" w:type="dxa"/>
            <w:tcBorders>
              <w:top w:val="single" w:sz="5" w:space="0" w:color="000000"/>
              <w:left w:val="single" w:sz="5" w:space="0" w:color="000000"/>
              <w:bottom w:val="single" w:sz="5"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656" w:type="dxa"/>
            <w:tcBorders>
              <w:top w:val="single" w:sz="5" w:space="0" w:color="000000"/>
              <w:left w:val="single" w:sz="6" w:space="0" w:color="000000"/>
              <w:bottom w:val="single" w:sz="5"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w:t>
            </w:r>
          </w:p>
        </w:tc>
        <w:tc>
          <w:tcPr>
            <w:tcW w:w="1656" w:type="dxa"/>
            <w:tcBorders>
              <w:top w:val="single" w:sz="5" w:space="0" w:color="000000"/>
              <w:left w:val="single" w:sz="5" w:space="0" w:color="000000"/>
              <w:bottom w:val="single" w:sz="5"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0</w:t>
            </w:r>
          </w:p>
        </w:tc>
        <w:tc>
          <w:tcPr>
            <w:tcW w:w="1236" w:type="dxa"/>
            <w:tcBorders>
              <w:top w:val="single" w:sz="5" w:space="0" w:color="000000"/>
              <w:left w:val="single" w:sz="5" w:space="0" w:color="000000"/>
              <w:bottom w:val="single" w:sz="5"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80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21" w:hRule="exact"/>
        </w:trPr>
        <w:tc>
          <w:tcPr>
            <w:tcW w:w="1607" w:type="dxa"/>
            <w:tcBorders>
              <w:top w:val="single" w:sz="5" w:space="0" w:color="000000"/>
              <w:left w:val="single" w:sz="6" w:space="0" w:color="000000"/>
              <w:bottom w:val="single" w:sz="5"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武文祥</w:t>
            </w:r>
          </w:p>
        </w:tc>
        <w:tc>
          <w:tcPr>
            <w:tcW w:w="1470" w:type="dxa"/>
            <w:tcBorders>
              <w:top w:val="single" w:sz="5" w:space="0" w:color="000000"/>
              <w:left w:val="single" w:sz="5" w:space="0" w:color="000000"/>
              <w:bottom w:val="single" w:sz="5"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656" w:type="dxa"/>
            <w:tcBorders>
              <w:top w:val="single" w:sz="5" w:space="0" w:color="000000"/>
              <w:left w:val="single" w:sz="6" w:space="0" w:color="000000"/>
              <w:bottom w:val="single" w:sz="5" w:space="0" w:color="000000"/>
              <w:right w:val="single" w:sz="5"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w:t>
            </w:r>
          </w:p>
        </w:tc>
        <w:tc>
          <w:tcPr>
            <w:tcW w:w="1656" w:type="dxa"/>
            <w:tcBorders>
              <w:top w:val="single" w:sz="5" w:space="0" w:color="000000"/>
              <w:left w:val="single" w:sz="5" w:space="0" w:color="000000"/>
              <w:bottom w:val="single" w:sz="5"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0</w:t>
            </w:r>
          </w:p>
        </w:tc>
        <w:tc>
          <w:tcPr>
            <w:tcW w:w="1236" w:type="dxa"/>
            <w:tcBorders>
              <w:top w:val="single" w:sz="5" w:space="0" w:color="000000"/>
              <w:left w:val="single" w:sz="5" w:space="0" w:color="000000"/>
              <w:bottom w:val="single" w:sz="5"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80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56" w:hRule="exact"/>
        </w:trPr>
        <w:tc>
          <w:tcPr>
            <w:tcW w:w="1607" w:type="dxa"/>
            <w:tcBorders>
              <w:top w:val="single" w:sz="5" w:space="0" w:color="000000"/>
              <w:left w:val="single" w:sz="6" w:space="0" w:color="000000"/>
              <w:bottom w:val="single" w:sz="5" w:space="0" w:color="000000"/>
              <w:right w:val="single" w:sz="5" w:space="0" w:color="000000"/>
            </w:tcBorders>
          </w:tcPr>
          <w:p>
            <w:pPr>
              <w:pStyle w:val="TableParagraph"/>
              <w:spacing w:line="238" w:lineRule="exact"/>
              <w:ind w:left="218" w:right="0" w:hanging="52"/>
              <w:jc w:val="left"/>
              <w:rPr>
                <w:rFonts w:ascii="宋体" w:hAnsi="宋体" w:cs="宋体" w:eastAsia="宋体" w:hint="default"/>
                <w:sz w:val="21"/>
                <w:szCs w:val="21"/>
              </w:rPr>
            </w:pPr>
            <w:r>
              <w:rPr>
                <w:rFonts w:ascii="宋体" w:hAnsi="宋体" w:cs="宋体" w:eastAsia="宋体" w:hint="default"/>
                <w:sz w:val="21"/>
                <w:szCs w:val="21"/>
              </w:rPr>
              <w:t>王桂森（2008</w:t>
            </w:r>
          </w:p>
          <w:p>
            <w:pPr>
              <w:pStyle w:val="TableParagraph"/>
              <w:spacing w:line="273" w:lineRule="exact"/>
              <w:ind w:left="218" w:right="0"/>
              <w:jc w:val="left"/>
              <w:rPr>
                <w:rFonts w:ascii="宋体" w:hAnsi="宋体" w:cs="宋体" w:eastAsia="宋体" w:hint="default"/>
                <w:sz w:val="21"/>
                <w:szCs w:val="21"/>
              </w:rPr>
            </w:pPr>
            <w:r>
              <w:rPr>
                <w:rFonts w:ascii="宋体" w:hAnsi="宋体" w:cs="宋体" w:eastAsia="宋体" w:hint="default"/>
                <w:sz w:val="21"/>
                <w:szCs w:val="21"/>
              </w:rPr>
              <w:t>年1月增补）</w:t>
            </w:r>
          </w:p>
        </w:tc>
        <w:tc>
          <w:tcPr>
            <w:tcW w:w="1470"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656" w:type="dxa"/>
            <w:tcBorders>
              <w:top w:val="single" w:sz="5" w:space="0" w:color="000000"/>
              <w:left w:val="single" w:sz="6" w:space="0" w:color="000000"/>
              <w:bottom w:val="single" w:sz="5" w:space="0" w:color="000000"/>
              <w:right w:val="single" w:sz="5"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sz w:val="21"/>
              </w:rPr>
              <w:t>0</w:t>
            </w:r>
          </w:p>
        </w:tc>
        <w:tc>
          <w:tcPr>
            <w:tcW w:w="165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4"/>
              <w:ind w:left="1" w:right="0"/>
              <w:jc w:val="center"/>
              <w:rPr>
                <w:rFonts w:ascii="宋体" w:hAnsi="宋体" w:cs="宋体" w:eastAsia="宋体" w:hint="default"/>
                <w:sz w:val="21"/>
                <w:szCs w:val="21"/>
              </w:rPr>
            </w:pPr>
            <w:r>
              <w:rPr>
                <w:rFonts w:ascii="宋体"/>
                <w:sz w:val="21"/>
              </w:rPr>
              <w:t>0</w:t>
            </w:r>
          </w:p>
        </w:tc>
        <w:tc>
          <w:tcPr>
            <w:tcW w:w="123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sz w:val="21"/>
              </w:rPr>
              <w:t>0</w:t>
            </w:r>
          </w:p>
        </w:tc>
        <w:tc>
          <w:tcPr>
            <w:tcW w:w="180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21" w:hRule="exact"/>
        </w:trPr>
        <w:tc>
          <w:tcPr>
            <w:tcW w:w="1607" w:type="dxa"/>
            <w:tcBorders>
              <w:top w:val="single" w:sz="5" w:space="0" w:color="000000"/>
              <w:left w:val="single" w:sz="6" w:space="0" w:color="000000"/>
              <w:bottom w:val="single" w:sz="5"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刘洪渭</w:t>
            </w:r>
          </w:p>
        </w:tc>
        <w:tc>
          <w:tcPr>
            <w:tcW w:w="1470" w:type="dxa"/>
            <w:tcBorders>
              <w:top w:val="single" w:sz="5" w:space="0" w:color="000000"/>
              <w:left w:val="single" w:sz="5" w:space="0" w:color="000000"/>
              <w:bottom w:val="single" w:sz="5"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656" w:type="dxa"/>
            <w:tcBorders>
              <w:top w:val="single" w:sz="5" w:space="0" w:color="000000"/>
              <w:left w:val="single" w:sz="6" w:space="0" w:color="000000"/>
              <w:bottom w:val="single" w:sz="5" w:space="0" w:color="000000"/>
              <w:right w:val="single" w:sz="5"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w:t>
            </w:r>
          </w:p>
        </w:tc>
        <w:tc>
          <w:tcPr>
            <w:tcW w:w="1656" w:type="dxa"/>
            <w:tcBorders>
              <w:top w:val="single" w:sz="5" w:space="0" w:color="000000"/>
              <w:left w:val="single" w:sz="5" w:space="0" w:color="000000"/>
              <w:bottom w:val="single" w:sz="5"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0</w:t>
            </w:r>
          </w:p>
        </w:tc>
        <w:tc>
          <w:tcPr>
            <w:tcW w:w="1236" w:type="dxa"/>
            <w:tcBorders>
              <w:top w:val="single" w:sz="5" w:space="0" w:color="000000"/>
              <w:left w:val="single" w:sz="5" w:space="0" w:color="000000"/>
              <w:bottom w:val="single" w:sz="5"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805" w:type="dxa"/>
            <w:tcBorders>
              <w:top w:val="single" w:sz="5" w:space="0" w:color="000000"/>
              <w:left w:val="single" w:sz="5" w:space="0" w:color="000000"/>
              <w:bottom w:val="single" w:sz="5" w:space="0" w:color="000000"/>
              <w:right w:val="single" w:sz="6" w:space="0" w:color="000000"/>
            </w:tcBorders>
          </w:tcPr>
          <w:p>
            <w:pPr>
              <w:pStyle w:val="TableParagraph"/>
              <w:spacing w:line="240" w:lineRule="auto" w:before="32"/>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2"/>
        <w:rPr>
          <w:rFonts w:ascii="宋体" w:hAnsi="宋体" w:cs="宋体" w:eastAsia="宋体" w:hint="default"/>
          <w:sz w:val="25"/>
          <w:szCs w:val="25"/>
        </w:rPr>
      </w:pPr>
    </w:p>
    <w:p>
      <w:pPr>
        <w:spacing w:before="35"/>
        <w:ind w:left="1097" w:right="552" w:firstLine="0"/>
        <w:jc w:val="left"/>
        <w:rPr>
          <w:rFonts w:ascii="宋体" w:hAnsi="宋体" w:cs="宋体" w:eastAsia="宋体" w:hint="default"/>
          <w:sz w:val="21"/>
          <w:szCs w:val="21"/>
        </w:rPr>
      </w:pPr>
      <w:r>
        <w:rPr>
          <w:rFonts w:ascii="宋体" w:hAnsi="宋体" w:cs="宋体" w:eastAsia="宋体" w:hint="default"/>
          <w:sz w:val="21"/>
          <w:szCs w:val="21"/>
        </w:rPr>
        <w:t>报告期内，公司现任独立董事对公司董事会议案及公司其他事项没有提出异议。</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357" w:lineRule="auto" w:before="0"/>
        <w:ind w:left="1097" w:right="552" w:hanging="420"/>
        <w:jc w:val="left"/>
        <w:rPr>
          <w:rFonts w:ascii="宋体" w:hAnsi="宋体" w:cs="宋体" w:eastAsia="宋体" w:hint="default"/>
          <w:sz w:val="21"/>
          <w:szCs w:val="21"/>
        </w:rPr>
      </w:pPr>
      <w:r>
        <w:rPr>
          <w:rFonts w:ascii="宋体" w:hAnsi="宋体" w:cs="宋体" w:eastAsia="宋体" w:hint="default"/>
          <w:b/>
          <w:bCs/>
          <w:sz w:val="21"/>
          <w:szCs w:val="21"/>
        </w:rPr>
        <w:t>五、公司与控股股东在业务、人员、资产、机构、财务等方面的情况</w:t>
      </w:r>
      <w:r>
        <w:rPr>
          <w:rFonts w:ascii="宋体" w:hAnsi="宋体" w:cs="宋体" w:eastAsia="宋体" w:hint="default"/>
          <w:b/>
          <w:bCs/>
          <w:w w:val="99"/>
          <w:sz w:val="21"/>
          <w:szCs w:val="21"/>
        </w:rPr>
        <w:t> </w:t>
      </w:r>
      <w:r>
        <w:rPr>
          <w:rFonts w:ascii="宋体" w:hAnsi="宋体" w:cs="宋体" w:eastAsia="宋体" w:hint="default"/>
          <w:spacing w:val="-6"/>
          <w:sz w:val="21"/>
          <w:szCs w:val="21"/>
        </w:rPr>
        <w:t>公司具备完整、规范的产、供、销生产经营管理体制和运行机制，在业务、人员、资产、</w:t>
      </w:r>
    </w:p>
    <w:p>
      <w:pPr>
        <w:spacing w:after="0" w:line="357" w:lineRule="auto"/>
        <w:jc w:val="left"/>
        <w:rPr>
          <w:rFonts w:ascii="宋体" w:hAnsi="宋体" w:cs="宋体" w:eastAsia="宋体" w:hint="default"/>
          <w:sz w:val="21"/>
          <w:szCs w:val="21"/>
        </w:rPr>
        <w:sectPr>
          <w:pgSz w:w="11910" w:h="16840"/>
          <w:pgMar w:header="915" w:footer="1712" w:top="1100" w:bottom="1900" w:left="1120" w:right="1120"/>
        </w:sectPr>
      </w:pPr>
    </w:p>
    <w:p>
      <w:pPr>
        <w:spacing w:before="18"/>
        <w:ind w:left="137" w:right="87"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509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z w:val="21"/>
          <w:szCs w:val="21"/>
        </w:rPr>
        <w:t>机构、财务等方面与股东单位完全分开，独立运作。</w:t>
      </w:r>
    </w:p>
    <w:p>
      <w:pPr>
        <w:spacing w:line="357" w:lineRule="auto" w:before="133"/>
        <w:ind w:left="557" w:right="179" w:hanging="420"/>
        <w:jc w:val="left"/>
        <w:rPr>
          <w:rFonts w:ascii="宋体" w:hAnsi="宋体" w:cs="宋体" w:eastAsia="宋体" w:hint="default"/>
          <w:sz w:val="21"/>
          <w:szCs w:val="21"/>
        </w:rPr>
      </w:pPr>
      <w:r>
        <w:rPr>
          <w:rFonts w:ascii="宋体" w:hAnsi="宋体" w:cs="宋体" w:eastAsia="宋体" w:hint="default"/>
          <w:sz w:val="21"/>
          <w:szCs w:val="21"/>
        </w:rPr>
        <w:t>（一）业务独立 公司具有完整的采购供应体系、完整的生产管理体系和独立的销售运作体系，</w:t>
      </w:r>
      <w:r>
        <w:rPr>
          <w:rFonts w:ascii="宋体" w:hAnsi="宋体" w:cs="宋体" w:eastAsia="宋体" w:hint="default"/>
          <w:spacing w:val="13"/>
          <w:sz w:val="21"/>
          <w:szCs w:val="21"/>
        </w:rPr>
        <w:t> </w:t>
      </w:r>
      <w:r>
        <w:rPr>
          <w:rFonts w:ascii="宋体" w:hAnsi="宋体" w:cs="宋体" w:eastAsia="宋体" w:hint="default"/>
          <w:sz w:val="21"/>
          <w:szCs w:val="21"/>
        </w:rPr>
        <w:t>独立开</w:t>
      </w:r>
    </w:p>
    <w:p>
      <w:pPr>
        <w:spacing w:before="30"/>
        <w:ind w:left="137" w:right="87" w:firstLine="0"/>
        <w:jc w:val="left"/>
        <w:rPr>
          <w:rFonts w:ascii="宋体" w:hAnsi="宋体" w:cs="宋体" w:eastAsia="宋体" w:hint="default"/>
          <w:sz w:val="21"/>
          <w:szCs w:val="21"/>
        </w:rPr>
      </w:pPr>
      <w:r>
        <w:rPr>
          <w:rFonts w:ascii="宋体" w:hAnsi="宋体" w:cs="宋体" w:eastAsia="宋体" w:hint="default"/>
          <w:sz w:val="21"/>
          <w:szCs w:val="21"/>
        </w:rPr>
        <w:t>展业务，不依赖于任何股东及关联方。</w:t>
      </w:r>
    </w:p>
    <w:p>
      <w:pPr>
        <w:spacing w:line="355" w:lineRule="auto" w:before="134"/>
        <w:ind w:left="557" w:right="87" w:hanging="420"/>
        <w:jc w:val="left"/>
        <w:rPr>
          <w:rFonts w:ascii="宋体" w:hAnsi="宋体" w:cs="宋体" w:eastAsia="宋体" w:hint="default"/>
          <w:sz w:val="21"/>
          <w:szCs w:val="21"/>
        </w:rPr>
      </w:pPr>
      <w:r>
        <w:rPr>
          <w:rFonts w:ascii="宋体" w:hAnsi="宋体" w:cs="宋体" w:eastAsia="宋体" w:hint="default"/>
          <w:sz w:val="21"/>
          <w:szCs w:val="21"/>
        </w:rPr>
        <w:t>（二）人员独立 </w:t>
      </w:r>
      <w:r>
        <w:rPr>
          <w:rFonts w:ascii="宋体" w:hAnsi="宋体" w:cs="宋体" w:eastAsia="宋体" w:hint="default"/>
          <w:spacing w:val="-3"/>
          <w:sz w:val="21"/>
          <w:szCs w:val="21"/>
        </w:rPr>
        <w:t>本公司董事、监事及高级管理人员严格按照《公司法》《公司章程》的有关规定产生；</w:t>
      </w:r>
    </w:p>
    <w:p>
      <w:pPr>
        <w:spacing w:line="357" w:lineRule="auto" w:before="32"/>
        <w:ind w:left="137" w:right="87" w:firstLine="0"/>
        <w:jc w:val="left"/>
        <w:rPr>
          <w:rFonts w:ascii="宋体" w:hAnsi="宋体" w:cs="宋体" w:eastAsia="宋体" w:hint="default"/>
          <w:sz w:val="21"/>
          <w:szCs w:val="21"/>
        </w:rPr>
      </w:pPr>
      <w:r>
        <w:rPr>
          <w:rFonts w:ascii="宋体" w:hAnsi="宋体" w:cs="宋体" w:eastAsia="宋体" w:hint="default"/>
          <w:spacing w:val="-3"/>
          <w:sz w:val="21"/>
          <w:szCs w:val="21"/>
        </w:rPr>
        <w:t>公司建有独立的人事及工资管理系统；公司还制订了严格的《人事管理制度》，人员管理做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到了制度化。</w:t>
      </w:r>
    </w:p>
    <w:p>
      <w:pPr>
        <w:spacing w:line="357" w:lineRule="auto" w:before="30"/>
        <w:ind w:left="557" w:right="87" w:hanging="420"/>
        <w:jc w:val="left"/>
        <w:rPr>
          <w:rFonts w:ascii="宋体" w:hAnsi="宋体" w:cs="宋体" w:eastAsia="宋体" w:hint="default"/>
          <w:sz w:val="21"/>
          <w:szCs w:val="21"/>
        </w:rPr>
      </w:pPr>
      <w:r>
        <w:rPr>
          <w:rFonts w:ascii="宋体" w:hAnsi="宋体" w:cs="宋体" w:eastAsia="宋体" w:hint="default"/>
          <w:sz w:val="21"/>
          <w:szCs w:val="21"/>
        </w:rPr>
        <w:t>（三）资产独立 </w:t>
      </w:r>
      <w:r>
        <w:rPr>
          <w:rFonts w:ascii="宋体" w:hAnsi="宋体" w:cs="宋体" w:eastAsia="宋体" w:hint="default"/>
          <w:spacing w:val="-3"/>
          <w:sz w:val="21"/>
          <w:szCs w:val="21"/>
        </w:rPr>
        <w:t>本公司的主要资产包括主营业务所需的完整的生产设备、土地、厂房、办公用房、仓储</w:t>
      </w:r>
    </w:p>
    <w:p>
      <w:pPr>
        <w:spacing w:line="357" w:lineRule="auto" w:before="30"/>
        <w:ind w:left="137" w:right="87" w:firstLine="0"/>
        <w:jc w:val="left"/>
        <w:rPr>
          <w:rFonts w:ascii="宋体" w:hAnsi="宋体" w:cs="宋体" w:eastAsia="宋体" w:hint="default"/>
          <w:sz w:val="21"/>
          <w:szCs w:val="21"/>
        </w:rPr>
      </w:pPr>
      <w:r>
        <w:rPr>
          <w:rFonts w:ascii="宋体" w:hAnsi="宋体" w:cs="宋体" w:eastAsia="宋体" w:hint="default"/>
          <w:spacing w:val="-3"/>
          <w:sz w:val="21"/>
          <w:szCs w:val="21"/>
        </w:rPr>
        <w:t>用房、交通工具和知识产权，具有完整的配套设施。上述资产产权清晰，完全独立于股东单</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位。</w:t>
      </w:r>
    </w:p>
    <w:p>
      <w:pPr>
        <w:spacing w:line="355" w:lineRule="auto" w:before="30"/>
        <w:ind w:left="557" w:right="87" w:hanging="420"/>
        <w:jc w:val="left"/>
        <w:rPr>
          <w:rFonts w:ascii="宋体" w:hAnsi="宋体" w:cs="宋体" w:eastAsia="宋体" w:hint="default"/>
          <w:sz w:val="21"/>
          <w:szCs w:val="21"/>
        </w:rPr>
      </w:pPr>
      <w:r>
        <w:rPr>
          <w:rFonts w:ascii="宋体" w:hAnsi="宋体" w:cs="宋体" w:eastAsia="宋体" w:hint="default"/>
          <w:sz w:val="21"/>
          <w:szCs w:val="21"/>
        </w:rPr>
        <w:t>（四）机构独立 本公司设股东大会、董事会、监事会，按照《公司章程》的规定履行相关权利和义务。</w:t>
      </w:r>
    </w:p>
    <w:p>
      <w:pPr>
        <w:spacing w:line="355" w:lineRule="auto" w:before="33"/>
        <w:ind w:left="137" w:right="87" w:firstLine="0"/>
        <w:jc w:val="left"/>
        <w:rPr>
          <w:rFonts w:ascii="宋体" w:hAnsi="宋体" w:cs="宋体" w:eastAsia="宋体" w:hint="default"/>
          <w:sz w:val="21"/>
          <w:szCs w:val="21"/>
        </w:rPr>
      </w:pPr>
      <w:r>
        <w:rPr>
          <w:rFonts w:ascii="宋体" w:hAnsi="宋体" w:cs="宋体" w:eastAsia="宋体" w:hint="default"/>
          <w:spacing w:val="-3"/>
          <w:sz w:val="21"/>
          <w:szCs w:val="21"/>
        </w:rPr>
        <w:t>公司拥有独立的组织机构，拥有独立的运作、管理和考核机制。公司总经理、副总经理、董</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事会秘书、财务总监均在公司领取报酬。</w:t>
      </w:r>
    </w:p>
    <w:p>
      <w:pPr>
        <w:spacing w:line="355" w:lineRule="auto" w:before="33"/>
        <w:ind w:left="557" w:right="87" w:hanging="420"/>
        <w:jc w:val="left"/>
        <w:rPr>
          <w:rFonts w:ascii="宋体" w:hAnsi="宋体" w:cs="宋体" w:eastAsia="宋体" w:hint="default"/>
          <w:sz w:val="21"/>
          <w:szCs w:val="21"/>
        </w:rPr>
      </w:pPr>
      <w:r>
        <w:rPr>
          <w:rFonts w:ascii="宋体" w:hAnsi="宋体" w:cs="宋体" w:eastAsia="宋体" w:hint="default"/>
          <w:sz w:val="21"/>
          <w:szCs w:val="21"/>
        </w:rPr>
        <w:t>（五）财务独立 </w:t>
      </w:r>
      <w:r>
        <w:rPr>
          <w:rFonts w:ascii="宋体" w:hAnsi="宋体" w:cs="宋体" w:eastAsia="宋体" w:hint="default"/>
          <w:spacing w:val="-3"/>
          <w:sz w:val="21"/>
          <w:szCs w:val="21"/>
        </w:rPr>
        <w:t>公司设有独立的财务部门，建立独立的财务会计核算体系和财务管理制度，财务人员与</w:t>
      </w:r>
    </w:p>
    <w:p>
      <w:pPr>
        <w:spacing w:line="355" w:lineRule="auto" w:before="33"/>
        <w:ind w:left="137" w:right="87" w:firstLine="0"/>
        <w:jc w:val="left"/>
        <w:rPr>
          <w:rFonts w:ascii="宋体" w:hAnsi="宋体" w:cs="宋体" w:eastAsia="宋体" w:hint="default"/>
          <w:sz w:val="21"/>
          <w:szCs w:val="21"/>
        </w:rPr>
      </w:pPr>
      <w:r>
        <w:rPr>
          <w:rFonts w:ascii="宋体" w:hAnsi="宋体" w:cs="宋体" w:eastAsia="宋体" w:hint="default"/>
          <w:spacing w:val="-3"/>
          <w:sz w:val="21"/>
          <w:szCs w:val="21"/>
        </w:rPr>
        <w:t>股东单位完全独立，不存在交叉任职情况。公司独立开设银行帐户，作为独立的纳税人依法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独立纳税。</w:t>
      </w:r>
    </w:p>
    <w:p>
      <w:pPr>
        <w:spacing w:line="357" w:lineRule="auto" w:before="32"/>
        <w:ind w:left="559" w:right="87" w:hanging="423"/>
        <w:jc w:val="left"/>
        <w:rPr>
          <w:rFonts w:ascii="宋体" w:hAnsi="宋体" w:cs="宋体" w:eastAsia="宋体" w:hint="default"/>
          <w:sz w:val="21"/>
          <w:szCs w:val="21"/>
        </w:rPr>
      </w:pPr>
      <w:r>
        <w:rPr>
          <w:rFonts w:ascii="宋体" w:hAnsi="宋体" w:cs="宋体" w:eastAsia="宋体" w:hint="default"/>
          <w:b/>
          <w:bCs/>
          <w:sz w:val="21"/>
          <w:szCs w:val="21"/>
        </w:rPr>
        <w:t>六、公司内部控制制度的建设和执行情况</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公司根据中国证监会关于规范公司治理结构的相关文件，建立健全了包括《股东大会议</w:t>
      </w:r>
    </w:p>
    <w:p>
      <w:pPr>
        <w:spacing w:line="357" w:lineRule="auto" w:before="30"/>
        <w:ind w:left="137" w:right="87" w:firstLine="0"/>
        <w:jc w:val="left"/>
        <w:rPr>
          <w:rFonts w:ascii="宋体" w:hAnsi="宋体" w:cs="宋体" w:eastAsia="宋体" w:hint="default"/>
          <w:sz w:val="21"/>
          <w:szCs w:val="21"/>
        </w:rPr>
      </w:pPr>
      <w:r>
        <w:rPr>
          <w:rFonts w:ascii="宋体" w:hAnsi="宋体" w:cs="宋体" w:eastAsia="宋体" w:hint="default"/>
          <w:spacing w:val="-20"/>
          <w:sz w:val="21"/>
          <w:szCs w:val="21"/>
        </w:rPr>
        <w:t>事规则》、《董事会议事规则》、《监事会议事规则》、《独立董事制度》、《募集资金管理制度》</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等在内的内部控制制度，并在今年上市公司治理专项活动中，进行了修订和完善，达到了证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券监管部门的要求。</w:t>
      </w:r>
    </w:p>
    <w:p>
      <w:pPr>
        <w:spacing w:line="357" w:lineRule="auto" w:before="31"/>
        <w:ind w:left="137" w:right="191" w:firstLine="420"/>
        <w:jc w:val="both"/>
        <w:rPr>
          <w:rFonts w:ascii="宋体" w:hAnsi="宋体" w:cs="宋体" w:eastAsia="宋体" w:hint="default"/>
          <w:sz w:val="21"/>
          <w:szCs w:val="21"/>
        </w:rPr>
      </w:pPr>
      <w:r>
        <w:rPr>
          <w:rFonts w:ascii="宋体" w:hAnsi="宋体" w:cs="宋体" w:eastAsia="宋体" w:hint="default"/>
          <w:spacing w:val="-3"/>
          <w:sz w:val="21"/>
          <w:szCs w:val="21"/>
        </w:rPr>
        <w:t>董事会及其下设的专业委员会发挥职能，负责批准公司的经营战略和重大决策，公司高</w:t>
      </w:r>
      <w:r>
        <w:rPr>
          <w:rFonts w:ascii="宋体" w:hAnsi="宋体" w:cs="宋体" w:eastAsia="宋体" w:hint="default"/>
          <w:sz w:val="21"/>
          <w:szCs w:val="21"/>
        </w:rPr>
        <w:t> </w:t>
      </w:r>
      <w:r>
        <w:rPr>
          <w:rFonts w:ascii="宋体" w:hAnsi="宋体" w:cs="宋体" w:eastAsia="宋体" w:hint="default"/>
          <w:spacing w:val="-3"/>
          <w:sz w:val="21"/>
          <w:szCs w:val="21"/>
        </w:rPr>
        <w:t>级管理层在董事会的授权范围内，负责公司的日常生产经营活动，高管层和董事会之间责权</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关系明确。公司的各项内部控制制度健全，并将内控制度的检查融入了日常工作中，并不断</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完善，以适应公司管理和发展的需要，有效保证了公司生产经营和规范化运作。董事会下属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的审计委员会和审计部认真履行职责，通过内部审计发现问题，预防风险，通过对内部财务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数据和工作流程的审计，规范内部运作，提高财务信息披露质量，保证了公司日常生产经营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的合法性和规范化。公司将在今后的工作中进一步完善内部控制制度，规范运作，为公司健</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康稳定的发展奠定基础。</w:t>
      </w:r>
    </w:p>
    <w:p>
      <w:pPr>
        <w:spacing w:after="0" w:line="357" w:lineRule="auto"/>
        <w:jc w:val="both"/>
        <w:rPr>
          <w:rFonts w:ascii="宋体" w:hAnsi="宋体" w:cs="宋体" w:eastAsia="宋体" w:hint="default"/>
          <w:sz w:val="21"/>
          <w:szCs w:val="21"/>
        </w:rPr>
        <w:sectPr>
          <w:pgSz w:w="11910" w:h="16840"/>
          <w:pgMar w:header="915" w:footer="1712" w:top="1100" w:bottom="1900" w:left="1660" w:right="1600"/>
        </w:sectPr>
      </w:pPr>
    </w:p>
    <w:p>
      <w:pPr>
        <w:spacing w:before="18"/>
        <w:ind w:left="137" w:right="0"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507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b/>
          <w:bCs/>
          <w:sz w:val="21"/>
          <w:szCs w:val="21"/>
        </w:rPr>
        <w:t>七、公司对高级管理人员的考评及激励机制</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57" w:lineRule="auto" w:before="0"/>
        <w:ind w:left="137" w:right="152" w:firstLine="420"/>
        <w:jc w:val="both"/>
        <w:rPr>
          <w:rFonts w:ascii="宋体" w:hAnsi="宋体" w:cs="宋体" w:eastAsia="宋体" w:hint="default"/>
          <w:sz w:val="21"/>
          <w:szCs w:val="21"/>
        </w:rPr>
      </w:pPr>
      <w:r>
        <w:rPr>
          <w:rFonts w:ascii="宋体" w:hAnsi="宋体" w:cs="宋体" w:eastAsia="宋体" w:hint="default"/>
          <w:sz w:val="21"/>
          <w:szCs w:val="21"/>
        </w:rPr>
        <w:t>1、考评机制：由公司董事会按年度对公司高级管理人员的业绩和履职情况进行考评， </w:t>
      </w:r>
      <w:r>
        <w:rPr>
          <w:rFonts w:ascii="宋体" w:hAnsi="宋体" w:cs="宋体" w:eastAsia="宋体" w:hint="default"/>
          <w:spacing w:val="-3"/>
          <w:sz w:val="21"/>
          <w:szCs w:val="21"/>
        </w:rPr>
        <w:t>并根据工作业绩决定年度薪酬，以考核结果作为下一年度的岗位安排、年薪档次、是否续聘</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及职位升降和下一届任免的依据。</w:t>
      </w:r>
    </w:p>
    <w:p>
      <w:pPr>
        <w:spacing w:line="357" w:lineRule="auto" w:before="151"/>
        <w:ind w:left="137" w:right="152" w:firstLine="420"/>
        <w:jc w:val="both"/>
        <w:rPr>
          <w:rFonts w:ascii="宋体" w:hAnsi="宋体" w:cs="宋体" w:eastAsia="宋体" w:hint="default"/>
          <w:sz w:val="21"/>
          <w:szCs w:val="21"/>
        </w:rPr>
      </w:pPr>
      <w:r>
        <w:rPr>
          <w:rFonts w:ascii="宋体" w:hAnsi="宋体" w:cs="宋体" w:eastAsia="宋体" w:hint="default"/>
          <w:sz w:val="21"/>
          <w:szCs w:val="21"/>
        </w:rPr>
        <w:t>2、激励机制：公司对高级管理人员实行年薪制，分为工资和奖金两部分。年初，董事 </w:t>
      </w:r>
      <w:r>
        <w:rPr>
          <w:rFonts w:ascii="宋体" w:hAnsi="宋体" w:cs="宋体" w:eastAsia="宋体" w:hint="default"/>
          <w:spacing w:val="-3"/>
          <w:sz w:val="21"/>
          <w:szCs w:val="21"/>
        </w:rPr>
        <w:t>会根据公司的经营计划和个人的岗位职责，确定年度工资额；年终董事会根据高级管理人员</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本年度的工作业绩进行考评后确定对高管人员的奖金总额。同时，对部分高级管理人员实施</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了股权激励。</w:t>
      </w:r>
    </w:p>
    <w:p>
      <w:pPr>
        <w:spacing w:before="30"/>
        <w:ind w:left="557" w:right="0" w:firstLine="0"/>
        <w:jc w:val="left"/>
        <w:rPr>
          <w:rFonts w:ascii="宋体" w:hAnsi="宋体" w:cs="宋体" w:eastAsia="宋体" w:hint="default"/>
          <w:sz w:val="21"/>
          <w:szCs w:val="21"/>
        </w:rPr>
      </w:pPr>
      <w:r>
        <w:rPr>
          <w:rFonts w:ascii="宋体" w:hAnsi="宋体" w:cs="宋体" w:eastAsia="宋体" w:hint="default"/>
          <w:spacing w:val="-16"/>
          <w:sz w:val="21"/>
          <w:szCs w:val="21"/>
        </w:rPr>
        <w:t>3、在</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pacing w:val="-3"/>
          <w:sz w:val="21"/>
          <w:szCs w:val="21"/>
        </w:rPr>
        <w:t>日召开的第二届董事会第五次会议审议通过了《关于</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年度对</w:t>
      </w:r>
    </w:p>
    <w:p>
      <w:pPr>
        <w:spacing w:before="134"/>
        <w:ind w:left="137" w:right="0" w:firstLine="0"/>
        <w:jc w:val="left"/>
        <w:rPr>
          <w:rFonts w:ascii="宋体" w:hAnsi="宋体" w:cs="宋体" w:eastAsia="宋体" w:hint="default"/>
          <w:sz w:val="21"/>
          <w:szCs w:val="21"/>
        </w:rPr>
      </w:pPr>
      <w:r>
        <w:rPr>
          <w:rFonts w:ascii="宋体" w:hAnsi="宋体" w:cs="宋体" w:eastAsia="宋体" w:hint="default"/>
          <w:sz w:val="21"/>
          <w:szCs w:val="21"/>
        </w:rPr>
        <w:t>公司管理层奖励的议案》，同意奖励高级管理人员</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after="0"/>
        <w:jc w:val="left"/>
        <w:rPr>
          <w:rFonts w:ascii="宋体" w:hAnsi="宋体" w:cs="宋体" w:eastAsia="宋体" w:hint="default"/>
          <w:sz w:val="21"/>
          <w:szCs w:val="21"/>
        </w:rPr>
        <w:sectPr>
          <w:pgSz w:w="11910" w:h="16840"/>
          <w:pgMar w:header="915" w:footer="1712" w:top="1100" w:bottom="1900" w:left="1660" w:right="1640"/>
        </w:sectPr>
      </w:pPr>
    </w:p>
    <w:p>
      <w:pPr>
        <w:spacing w:line="240" w:lineRule="auto" w:before="3"/>
        <w:rPr>
          <w:rFonts w:ascii="宋体" w:hAnsi="宋体" w:cs="宋体" w:eastAsia="宋体" w:hint="default"/>
          <w:sz w:val="27"/>
          <w:szCs w:val="27"/>
        </w:rPr>
      </w:pPr>
      <w:r>
        <w:rPr/>
        <w:pict>
          <v:group style="position:absolute;margin-left:88.019981pt;margin-top:41.999668pt;width:419.35pt;height:16.4pt;mso-position-horizontal-relative:page;mso-position-vertical-relative:page;z-index:172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p>
    <w:p>
      <w:pPr>
        <w:pStyle w:val="Heading1"/>
        <w:tabs>
          <w:tab w:pos="1356" w:val="left" w:leader="none"/>
        </w:tabs>
        <w:spacing w:line="240" w:lineRule="auto"/>
        <w:ind w:right="74"/>
        <w:jc w:val="center"/>
        <w:rPr>
          <w:b w:val="0"/>
          <w:bCs w:val="0"/>
        </w:rPr>
      </w:pPr>
      <w:bookmarkStart w:name="_TOC_250005" w:id="6"/>
      <w:r>
        <w:rPr>
          <w:w w:val="95"/>
        </w:rPr>
        <w:t>第六节</w:t>
        <w:tab/>
      </w:r>
      <w:r>
        <w:rPr/>
        <w:t>股东大会情况简介</w:t>
      </w:r>
      <w:bookmarkEnd w:id="6"/>
      <w:r>
        <w:rPr>
          <w:b w:val="0"/>
          <w:bCs w:val="0"/>
        </w:rPr>
      </w:r>
    </w:p>
    <w:p>
      <w:pPr>
        <w:spacing w:line="240" w:lineRule="auto" w:before="0"/>
        <w:rPr>
          <w:rFonts w:ascii="宋体" w:hAnsi="宋体" w:cs="宋体" w:eastAsia="宋体" w:hint="default"/>
          <w:b/>
          <w:bCs/>
          <w:sz w:val="30"/>
          <w:szCs w:val="30"/>
        </w:rPr>
      </w:pPr>
    </w:p>
    <w:p>
      <w:pPr>
        <w:spacing w:line="355" w:lineRule="auto" w:before="222"/>
        <w:ind w:left="557" w:right="92" w:hanging="420"/>
        <w:jc w:val="left"/>
        <w:rPr>
          <w:rFonts w:ascii="宋体" w:hAnsi="宋体" w:cs="宋体" w:eastAsia="宋体" w:hint="default"/>
          <w:sz w:val="21"/>
          <w:szCs w:val="21"/>
        </w:rPr>
      </w:pPr>
      <w:r>
        <w:rPr>
          <w:rFonts w:ascii="宋体" w:hAnsi="宋体" w:cs="宋体" w:eastAsia="宋体" w:hint="default"/>
          <w:b/>
          <w:bCs/>
          <w:sz w:val="21"/>
          <w:szCs w:val="21"/>
        </w:rPr>
        <w:t>一、报告期内召开年度股东大会和临时股东大会的情况</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报告期内，公司共召开了一次年度股东大会和一次临时股东大会：2006</w:t>
      </w:r>
      <w:r>
        <w:rPr>
          <w:rFonts w:ascii="宋体" w:hAnsi="宋体" w:cs="宋体" w:eastAsia="宋体" w:hint="default"/>
          <w:spacing w:val="9"/>
          <w:sz w:val="21"/>
          <w:szCs w:val="21"/>
        </w:rPr>
        <w:t> </w:t>
      </w:r>
      <w:r>
        <w:rPr>
          <w:rFonts w:ascii="宋体" w:hAnsi="宋体" w:cs="宋体" w:eastAsia="宋体" w:hint="default"/>
          <w:sz w:val="21"/>
          <w:szCs w:val="21"/>
        </w:rPr>
        <w:t>年度股东大会、</w:t>
      </w:r>
    </w:p>
    <w:p>
      <w:pPr>
        <w:spacing w:before="32"/>
        <w:ind w:left="137" w:right="107"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2"/>
          <w:sz w:val="21"/>
          <w:szCs w:val="21"/>
        </w:rPr>
        <w:t> </w:t>
      </w:r>
      <w:r>
        <w:rPr>
          <w:rFonts w:ascii="宋体" w:hAnsi="宋体" w:cs="宋体" w:eastAsia="宋体" w:hint="default"/>
          <w:sz w:val="21"/>
          <w:szCs w:val="21"/>
        </w:rPr>
        <w:t>年第一次临时股东大会。</w:t>
      </w:r>
    </w:p>
    <w:p>
      <w:pPr>
        <w:spacing w:before="134"/>
        <w:ind w:left="137" w:right="107" w:firstLine="0"/>
        <w:jc w:val="left"/>
        <w:rPr>
          <w:rFonts w:ascii="宋体" w:hAnsi="宋体" w:cs="宋体" w:eastAsia="宋体" w:hint="default"/>
          <w:sz w:val="21"/>
          <w:szCs w:val="21"/>
        </w:rPr>
      </w:pPr>
      <w:r>
        <w:rPr>
          <w:rFonts w:ascii="宋体" w:hAnsi="宋体" w:cs="宋体" w:eastAsia="宋体" w:hint="default"/>
          <w:sz w:val="21"/>
          <w:szCs w:val="21"/>
        </w:rPr>
        <w:t>（一）公司于</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日召开了</w:t>
      </w:r>
      <w:r>
        <w:rPr>
          <w:rFonts w:ascii="宋体" w:hAnsi="宋体" w:cs="宋体" w:eastAsia="宋体" w:hint="default"/>
          <w:spacing w:val="-55"/>
          <w:sz w:val="21"/>
          <w:szCs w:val="21"/>
        </w:rPr>
        <w:t> </w:t>
      </w: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年年度股东大会。该次股东大会的会议决议刊</w:t>
      </w:r>
    </w:p>
    <w:p>
      <w:pPr>
        <w:spacing w:before="133"/>
        <w:ind w:left="137" w:right="107" w:firstLine="0"/>
        <w:jc w:val="left"/>
        <w:rPr>
          <w:rFonts w:ascii="宋体" w:hAnsi="宋体" w:cs="宋体" w:eastAsia="宋体" w:hint="default"/>
          <w:sz w:val="21"/>
          <w:szCs w:val="21"/>
        </w:rPr>
      </w:pPr>
      <w:r>
        <w:rPr>
          <w:rFonts w:ascii="宋体" w:hAnsi="宋体" w:cs="宋体" w:eastAsia="宋体" w:hint="default"/>
          <w:sz w:val="21"/>
          <w:szCs w:val="21"/>
        </w:rPr>
        <w:t>登在</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14</w:t>
      </w:r>
      <w:r>
        <w:rPr>
          <w:rFonts w:ascii="宋体" w:hAnsi="宋体" w:cs="宋体" w:eastAsia="宋体" w:hint="default"/>
          <w:spacing w:val="-59"/>
          <w:sz w:val="21"/>
          <w:szCs w:val="21"/>
        </w:rPr>
        <w:t> </w:t>
      </w:r>
      <w:r>
        <w:rPr>
          <w:rFonts w:ascii="宋体" w:hAnsi="宋体" w:cs="宋体" w:eastAsia="宋体" w:hint="default"/>
          <w:sz w:val="21"/>
          <w:szCs w:val="21"/>
        </w:rPr>
        <w:t>日的</w:t>
      </w:r>
      <w:hyperlink r:id="rId19">
        <w:r>
          <w:rPr>
            <w:rFonts w:ascii="宋体" w:hAnsi="宋体" w:cs="宋体" w:eastAsia="宋体" w:hint="default"/>
            <w:sz w:val="21"/>
            <w:szCs w:val="21"/>
          </w:rPr>
          <w:t>《证券时报》和巨潮资讯网（w</w:t>
        </w:r>
      </w:hyperlink>
      <w:r>
        <w:rPr>
          <w:rFonts w:ascii="宋体" w:hAnsi="宋体" w:cs="宋体" w:eastAsia="宋体" w:hint="default"/>
          <w:sz w:val="21"/>
          <w:szCs w:val="21"/>
        </w:rPr>
        <w:t>ww.cninfo</w:t>
      </w:r>
      <w:hyperlink r:id="rId19">
        <w:r>
          <w:rPr>
            <w:rFonts w:ascii="宋体" w:hAnsi="宋体" w:cs="宋体" w:eastAsia="宋体" w:hint="default"/>
            <w:sz w:val="21"/>
            <w:szCs w:val="21"/>
          </w:rPr>
          <w:t>.com.cn）上。</w:t>
        </w:r>
      </w:hyperlink>
    </w:p>
    <w:p>
      <w:pPr>
        <w:spacing w:before="134"/>
        <w:ind w:left="137" w:right="107" w:firstLine="0"/>
        <w:jc w:val="left"/>
        <w:rPr>
          <w:rFonts w:ascii="宋体" w:hAnsi="宋体" w:cs="宋体" w:eastAsia="宋体" w:hint="default"/>
          <w:sz w:val="21"/>
          <w:szCs w:val="21"/>
        </w:rPr>
      </w:pPr>
      <w:r>
        <w:rPr>
          <w:rFonts w:ascii="宋体" w:hAnsi="宋体" w:cs="宋体" w:eastAsia="宋体" w:hint="default"/>
          <w:sz w:val="21"/>
          <w:szCs w:val="21"/>
        </w:rPr>
        <w:t>（二）公司于</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5"/>
          <w:sz w:val="21"/>
          <w:szCs w:val="21"/>
        </w:rPr>
        <w:t> </w:t>
      </w:r>
      <w:r>
        <w:rPr>
          <w:rFonts w:ascii="宋体" w:hAnsi="宋体" w:cs="宋体" w:eastAsia="宋体" w:hint="default"/>
          <w:sz w:val="21"/>
          <w:szCs w:val="21"/>
        </w:rPr>
        <w:t>日召开了</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年第一次临时股东大会。该次股东大会的会议</w:t>
      </w:r>
    </w:p>
    <w:p>
      <w:pPr>
        <w:spacing w:before="133"/>
        <w:ind w:left="137" w:right="107" w:firstLine="0"/>
        <w:jc w:val="left"/>
        <w:rPr>
          <w:rFonts w:ascii="宋体" w:hAnsi="宋体" w:cs="宋体" w:eastAsia="宋体" w:hint="default"/>
          <w:sz w:val="21"/>
          <w:szCs w:val="21"/>
        </w:rPr>
      </w:pPr>
      <w:r>
        <w:rPr>
          <w:rFonts w:ascii="宋体" w:hAnsi="宋体" w:cs="宋体" w:eastAsia="宋体" w:hint="default"/>
          <w:sz w:val="21"/>
          <w:szCs w:val="21"/>
        </w:rPr>
        <w:t>决议刊登在</w:t>
      </w:r>
      <w:r>
        <w:rPr>
          <w:rFonts w:ascii="宋体" w:hAnsi="宋体" w:cs="宋体" w:eastAsia="宋体" w:hint="default"/>
          <w:spacing w:val="-61"/>
          <w:sz w:val="21"/>
          <w:szCs w:val="21"/>
        </w:rPr>
        <w:t> </w:t>
      </w: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9</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15</w:t>
      </w:r>
      <w:r>
        <w:rPr>
          <w:rFonts w:ascii="宋体" w:hAnsi="宋体" w:cs="宋体" w:eastAsia="宋体" w:hint="default"/>
          <w:spacing w:val="-60"/>
          <w:sz w:val="21"/>
          <w:szCs w:val="21"/>
        </w:rPr>
        <w:t> </w:t>
      </w:r>
      <w:r>
        <w:rPr>
          <w:rFonts w:ascii="宋体" w:hAnsi="宋体" w:cs="宋体" w:eastAsia="宋体" w:hint="default"/>
          <w:sz w:val="21"/>
          <w:szCs w:val="21"/>
        </w:rPr>
        <w:t>日的《证券</w:t>
      </w:r>
      <w:hyperlink r:id="rId19">
        <w:r>
          <w:rPr>
            <w:rFonts w:ascii="宋体" w:hAnsi="宋体" w:cs="宋体" w:eastAsia="宋体" w:hint="default"/>
            <w:sz w:val="21"/>
            <w:szCs w:val="21"/>
          </w:rPr>
          <w:t>时报》和巨潮资讯网（www.cninfo.com.cn）上。</w:t>
        </w:r>
      </w:hyperlink>
    </w:p>
    <w:p>
      <w:pPr>
        <w:spacing w:after="0"/>
        <w:jc w:val="left"/>
        <w:rPr>
          <w:rFonts w:ascii="宋体" w:hAnsi="宋体" w:cs="宋体" w:eastAsia="宋体" w:hint="default"/>
          <w:sz w:val="21"/>
          <w:szCs w:val="21"/>
        </w:rPr>
        <w:sectPr>
          <w:pgSz w:w="11910" w:h="16840"/>
          <w:pgMar w:header="915" w:footer="1712" w:top="1100" w:bottom="1900" w:left="1660" w:right="1580"/>
        </w:sectPr>
      </w:pPr>
    </w:p>
    <w:p>
      <w:pPr>
        <w:spacing w:line="240" w:lineRule="auto" w:before="2"/>
        <w:rPr>
          <w:rFonts w:ascii="宋体" w:hAnsi="宋体" w:cs="宋体" w:eastAsia="宋体" w:hint="default"/>
          <w:sz w:val="23"/>
          <w:szCs w:val="23"/>
        </w:rPr>
      </w:pPr>
    </w:p>
    <w:p>
      <w:pPr>
        <w:pStyle w:val="Heading1"/>
        <w:tabs>
          <w:tab w:pos="4518" w:val="left" w:leader="none"/>
        </w:tabs>
        <w:spacing w:line="240" w:lineRule="auto"/>
        <w:ind w:left="3162" w:right="0"/>
        <w:jc w:val="left"/>
        <w:rPr>
          <w:b w:val="0"/>
          <w:bCs w:val="0"/>
        </w:rPr>
      </w:pPr>
      <w:bookmarkStart w:name="_TOC_250004" w:id="7"/>
      <w:r>
        <w:rPr>
          <w:w w:val="95"/>
        </w:rPr>
        <w:t>第七节</w:t>
        <w:tab/>
      </w:r>
      <w:r>
        <w:rPr/>
        <w:t>董事会报告</w:t>
      </w:r>
      <w:bookmarkEnd w:id="7"/>
      <w:r>
        <w:rPr>
          <w:b w:val="0"/>
          <w:bCs w:val="0"/>
        </w:rPr>
      </w:r>
    </w:p>
    <w:p>
      <w:pPr>
        <w:spacing w:line="240" w:lineRule="auto" w:before="0"/>
        <w:rPr>
          <w:rFonts w:ascii="宋体" w:hAnsi="宋体" w:cs="宋体" w:eastAsia="宋体" w:hint="default"/>
          <w:b/>
          <w:bCs/>
          <w:sz w:val="30"/>
          <w:szCs w:val="30"/>
        </w:rPr>
      </w:pPr>
    </w:p>
    <w:p>
      <w:pPr>
        <w:spacing w:before="222"/>
        <w:ind w:left="437" w:right="0" w:firstLine="0"/>
        <w:jc w:val="left"/>
        <w:rPr>
          <w:rFonts w:ascii="宋体" w:hAnsi="宋体" w:cs="宋体" w:eastAsia="宋体" w:hint="default"/>
          <w:sz w:val="21"/>
          <w:szCs w:val="21"/>
        </w:rPr>
      </w:pPr>
      <w:r>
        <w:rPr>
          <w:rFonts w:ascii="宋体" w:hAnsi="宋体" w:cs="宋体" w:eastAsia="宋体" w:hint="default"/>
          <w:b/>
          <w:bCs/>
          <w:sz w:val="21"/>
          <w:szCs w:val="21"/>
        </w:rPr>
        <w:t>一、公司经营情况</w:t>
      </w:r>
      <w:r>
        <w:rPr>
          <w:rFonts w:ascii="宋体" w:hAnsi="宋体" w:cs="宋体" w:eastAsia="宋体" w:hint="default"/>
          <w:sz w:val="21"/>
          <w:szCs w:val="21"/>
        </w:rPr>
      </w:r>
    </w:p>
    <w:p>
      <w:pPr>
        <w:spacing w:line="355" w:lineRule="auto" w:before="133"/>
        <w:ind w:left="437" w:right="5134" w:firstLine="0"/>
        <w:jc w:val="left"/>
        <w:rPr>
          <w:rFonts w:ascii="宋体" w:hAnsi="宋体" w:cs="宋体" w:eastAsia="宋体" w:hint="default"/>
          <w:sz w:val="21"/>
          <w:szCs w:val="21"/>
        </w:rPr>
      </w:pPr>
      <w:r>
        <w:rPr>
          <w:rFonts w:ascii="宋体" w:hAnsi="宋体" w:cs="宋体" w:eastAsia="宋体" w:hint="default"/>
          <w:b/>
          <w:bCs/>
          <w:sz w:val="21"/>
          <w:szCs w:val="21"/>
        </w:rPr>
        <w:t>（一）报告期内公司经营情况的回顾</w:t>
      </w:r>
      <w:r>
        <w:rPr>
          <w:rFonts w:ascii="宋体" w:hAnsi="宋体" w:cs="宋体" w:eastAsia="宋体" w:hint="default"/>
          <w:b/>
          <w:bCs/>
          <w:w w:val="99"/>
          <w:sz w:val="21"/>
          <w:szCs w:val="21"/>
        </w:rPr>
        <w:t> </w:t>
      </w:r>
      <w:r>
        <w:rPr>
          <w:rFonts w:ascii="宋体" w:hAnsi="宋体" w:cs="宋体" w:eastAsia="宋体" w:hint="default"/>
          <w:sz w:val="21"/>
          <w:szCs w:val="21"/>
        </w:rPr>
        <w:t>1、公司总体经营情况分析</w:t>
      </w:r>
    </w:p>
    <w:p>
      <w:pPr>
        <w:spacing w:line="357" w:lineRule="auto" w:before="33"/>
        <w:ind w:left="437" w:right="176" w:firstLine="525"/>
        <w:jc w:val="both"/>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年商业票据印刷市场的竞争更加激烈，各大客户普遍采用招标的方式进行采购，</w:t>
      </w:r>
      <w:r>
        <w:rPr>
          <w:rFonts w:ascii="宋体" w:hAnsi="宋体" w:cs="宋体" w:eastAsia="宋体" w:hint="default"/>
          <w:sz w:val="21"/>
          <w:szCs w:val="21"/>
        </w:rPr>
        <w:t> </w:t>
      </w:r>
      <w:r>
        <w:rPr>
          <w:rFonts w:ascii="宋体" w:hAnsi="宋体" w:cs="宋体" w:eastAsia="宋体" w:hint="default"/>
          <w:spacing w:val="-3"/>
          <w:sz w:val="21"/>
          <w:szCs w:val="21"/>
        </w:rPr>
        <w:t>公司原高利润产品订单的价格大幅度下降，同时原纸、油墨等原材料价格增长较快。面对不</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利的经营环境，公司围绕开源节流的原则，努力开发新客户，提高高毛利产品的销售和生产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比例，不断降低生产成本，保证了公司经营指标地稳步增长。2007 年公司实现营业总收入</w:t>
      </w:r>
      <w:r>
        <w:rPr>
          <w:rFonts w:ascii="宋体" w:hAnsi="宋体" w:cs="宋体" w:eastAsia="宋体" w:hint="default"/>
          <w:sz w:val="21"/>
          <w:szCs w:val="21"/>
        </w:rPr>
        <w:t> 4.69</w:t>
      </w:r>
      <w:r>
        <w:rPr>
          <w:rFonts w:ascii="宋体" w:hAnsi="宋体" w:cs="宋体" w:eastAsia="宋体" w:hint="default"/>
          <w:spacing w:val="-54"/>
          <w:sz w:val="21"/>
          <w:szCs w:val="21"/>
        </w:rPr>
        <w:t> </w:t>
      </w:r>
      <w:r>
        <w:rPr>
          <w:rFonts w:ascii="宋体" w:hAnsi="宋体" w:cs="宋体" w:eastAsia="宋体" w:hint="default"/>
          <w:sz w:val="21"/>
          <w:szCs w:val="21"/>
        </w:rPr>
        <w:t>亿元，同比增长</w:t>
      </w:r>
      <w:r>
        <w:rPr>
          <w:rFonts w:ascii="宋体" w:hAnsi="宋体" w:cs="宋体" w:eastAsia="宋体" w:hint="default"/>
          <w:spacing w:val="-55"/>
          <w:sz w:val="21"/>
          <w:szCs w:val="21"/>
        </w:rPr>
        <w:t> </w:t>
      </w:r>
      <w:r>
        <w:rPr>
          <w:rFonts w:ascii="宋体" w:hAnsi="宋体" w:cs="宋体" w:eastAsia="宋体" w:hint="default"/>
          <w:sz w:val="21"/>
          <w:szCs w:val="21"/>
        </w:rPr>
        <w:t>12.73％，实现净利润</w:t>
      </w:r>
      <w:r>
        <w:rPr>
          <w:rFonts w:ascii="宋体" w:hAnsi="宋体" w:cs="宋体" w:eastAsia="宋体" w:hint="default"/>
          <w:spacing w:val="-55"/>
          <w:sz w:val="21"/>
          <w:szCs w:val="21"/>
        </w:rPr>
        <w:t> </w:t>
      </w:r>
      <w:r>
        <w:rPr>
          <w:rFonts w:ascii="宋体" w:hAnsi="宋体" w:cs="宋体" w:eastAsia="宋体" w:hint="default"/>
          <w:sz w:val="21"/>
          <w:szCs w:val="21"/>
        </w:rPr>
        <w:t>5607</w:t>
      </w:r>
      <w:r>
        <w:rPr>
          <w:rFonts w:ascii="宋体" w:hAnsi="宋体" w:cs="宋体" w:eastAsia="宋体" w:hint="default"/>
          <w:spacing w:val="-55"/>
          <w:sz w:val="21"/>
          <w:szCs w:val="21"/>
        </w:rPr>
        <w:t> </w:t>
      </w:r>
      <w:r>
        <w:rPr>
          <w:rFonts w:ascii="宋体" w:hAnsi="宋体" w:cs="宋体" w:eastAsia="宋体" w:hint="default"/>
          <w:sz w:val="21"/>
          <w:szCs w:val="21"/>
        </w:rPr>
        <w:t>万元，同比增长</w:t>
      </w:r>
      <w:r>
        <w:rPr>
          <w:rFonts w:ascii="宋体" w:hAnsi="宋体" w:cs="宋体" w:eastAsia="宋体" w:hint="default"/>
          <w:spacing w:val="-55"/>
          <w:sz w:val="21"/>
          <w:szCs w:val="21"/>
        </w:rPr>
        <w:t> </w:t>
      </w:r>
      <w:r>
        <w:rPr>
          <w:rFonts w:ascii="宋体" w:hAnsi="宋体" w:cs="宋体" w:eastAsia="宋体" w:hint="default"/>
          <w:sz w:val="21"/>
          <w:szCs w:val="21"/>
        </w:rPr>
        <w:t>6.54％。</w:t>
      </w:r>
    </w:p>
    <w:p>
      <w:pPr>
        <w:spacing w:before="30"/>
        <w:ind w:left="437" w:right="0" w:firstLine="0"/>
        <w:jc w:val="left"/>
        <w:rPr>
          <w:rFonts w:ascii="宋体" w:hAnsi="宋体" w:cs="宋体" w:eastAsia="宋体" w:hint="default"/>
          <w:sz w:val="21"/>
          <w:szCs w:val="21"/>
        </w:rPr>
      </w:pPr>
      <w:r>
        <w:rPr>
          <w:rFonts w:ascii="宋体" w:hAnsi="宋体" w:cs="宋体" w:eastAsia="宋体" w:hint="default"/>
          <w:sz w:val="21"/>
          <w:szCs w:val="21"/>
        </w:rPr>
        <w:t>2、2007</w:t>
      </w:r>
      <w:r>
        <w:rPr>
          <w:rFonts w:ascii="宋体" w:hAnsi="宋体" w:cs="宋体" w:eastAsia="宋体" w:hint="default"/>
          <w:spacing w:val="-71"/>
          <w:sz w:val="21"/>
          <w:szCs w:val="21"/>
        </w:rPr>
        <w:t> </w:t>
      </w:r>
      <w:r>
        <w:rPr>
          <w:rFonts w:ascii="宋体" w:hAnsi="宋体" w:cs="宋体" w:eastAsia="宋体" w:hint="default"/>
          <w:sz w:val="21"/>
          <w:szCs w:val="21"/>
        </w:rPr>
        <w:t>年公司主营业务及其经营状况</w:t>
      </w:r>
    </w:p>
    <w:p>
      <w:pPr>
        <w:spacing w:line="357" w:lineRule="auto" w:before="133"/>
        <w:ind w:left="920" w:right="0" w:hanging="63"/>
        <w:jc w:val="left"/>
        <w:rPr>
          <w:rFonts w:ascii="宋体" w:hAnsi="宋体" w:cs="宋体" w:eastAsia="宋体" w:hint="default"/>
          <w:sz w:val="21"/>
          <w:szCs w:val="21"/>
        </w:rPr>
      </w:pPr>
      <w:r>
        <w:rPr>
          <w:rFonts w:ascii="宋体" w:hAnsi="宋体" w:cs="宋体" w:eastAsia="宋体" w:hint="default"/>
          <w:sz w:val="21"/>
          <w:szCs w:val="21"/>
        </w:rPr>
        <w:t>（1）主营业务的范围 公司经营范围：出版物、包装装潢印刷品、其他类印刷品印刷。公司目前主要从事商</w:t>
      </w:r>
    </w:p>
    <w:p>
      <w:pPr>
        <w:spacing w:before="30"/>
        <w:ind w:left="437" w:right="0" w:firstLine="0"/>
        <w:jc w:val="left"/>
        <w:rPr>
          <w:rFonts w:ascii="宋体" w:hAnsi="宋体" w:cs="宋体" w:eastAsia="宋体" w:hint="default"/>
          <w:sz w:val="21"/>
          <w:szCs w:val="21"/>
        </w:rPr>
      </w:pPr>
      <w:r>
        <w:rPr>
          <w:rFonts w:ascii="宋体" w:hAnsi="宋体" w:cs="宋体" w:eastAsia="宋体" w:hint="default"/>
          <w:sz w:val="21"/>
          <w:szCs w:val="21"/>
        </w:rPr>
        <w:t>业票据印刷以及纸制品的加工、销售业务。</w:t>
      </w:r>
    </w:p>
    <w:p>
      <w:pPr>
        <w:spacing w:before="134"/>
        <w:ind w:left="920" w:right="0" w:firstLine="0"/>
        <w:jc w:val="left"/>
        <w:rPr>
          <w:rFonts w:ascii="宋体" w:hAnsi="宋体" w:cs="宋体" w:eastAsia="宋体" w:hint="default"/>
          <w:sz w:val="21"/>
          <w:szCs w:val="21"/>
        </w:rPr>
      </w:pPr>
      <w:r>
        <w:rPr>
          <w:rFonts w:ascii="宋体" w:hAnsi="宋体" w:cs="宋体" w:eastAsia="宋体" w:hint="default"/>
          <w:sz w:val="21"/>
          <w:szCs w:val="21"/>
        </w:rPr>
        <w:t>（2）主营业务产品经营情况</w:t>
      </w:r>
    </w:p>
    <w:p>
      <w:pPr>
        <w:spacing w:line="240" w:lineRule="auto" w:before="5"/>
        <w:rPr>
          <w:rFonts w:ascii="宋体" w:hAnsi="宋体" w:cs="宋体" w:eastAsia="宋体" w:hint="default"/>
          <w:sz w:val="19"/>
          <w:szCs w:val="19"/>
        </w:rPr>
      </w:pPr>
    </w:p>
    <w:p>
      <w:pPr>
        <w:spacing w:before="0"/>
        <w:ind w:left="1067" w:right="0" w:firstLine="0"/>
        <w:jc w:val="left"/>
        <w:rPr>
          <w:rFonts w:ascii="宋体" w:hAnsi="宋体" w:cs="宋体" w:eastAsia="宋体" w:hint="default"/>
          <w:sz w:val="21"/>
          <w:szCs w:val="21"/>
        </w:rPr>
      </w:pPr>
      <w:r>
        <w:rPr>
          <w:rFonts w:ascii="宋体" w:hAnsi="宋体" w:cs="宋体" w:eastAsia="宋体" w:hint="default"/>
          <w:sz w:val="21"/>
          <w:szCs w:val="21"/>
        </w:rPr>
        <w:t>①分产品经营情况（单位：万元）</w:t>
      </w:r>
    </w:p>
    <w:p>
      <w:pPr>
        <w:spacing w:line="240" w:lineRule="auto" w:before="0"/>
        <w:rPr>
          <w:rFonts w:ascii="宋体" w:hAnsi="宋体" w:cs="宋体" w:eastAsia="宋体"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1156"/>
        <w:gridCol w:w="1260"/>
        <w:gridCol w:w="1162"/>
        <w:gridCol w:w="938"/>
        <w:gridCol w:w="1366"/>
        <w:gridCol w:w="1470"/>
        <w:gridCol w:w="1361"/>
      </w:tblGrid>
      <w:tr>
        <w:trPr>
          <w:trHeight w:val="827"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415" w:right="203" w:hanging="210"/>
              <w:jc w:val="left"/>
              <w:rPr>
                <w:rFonts w:ascii="宋体" w:hAnsi="宋体" w:cs="宋体" w:eastAsia="宋体" w:hint="default"/>
                <w:sz w:val="21"/>
                <w:szCs w:val="21"/>
              </w:rPr>
            </w:pPr>
            <w:r>
              <w:rPr>
                <w:rFonts w:ascii="宋体" w:hAnsi="宋体" w:cs="宋体" w:eastAsia="宋体" w:hint="default"/>
                <w:sz w:val="21"/>
                <w:szCs w:val="21"/>
              </w:rPr>
              <w:t>主营业务 收入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66" w:right="155" w:hanging="210"/>
              <w:jc w:val="left"/>
              <w:rPr>
                <w:rFonts w:ascii="宋体" w:hAnsi="宋体" w:cs="宋体" w:eastAsia="宋体" w:hint="default"/>
                <w:sz w:val="21"/>
                <w:szCs w:val="21"/>
              </w:rPr>
            </w:pPr>
            <w:r>
              <w:rPr>
                <w:rFonts w:ascii="宋体" w:hAnsi="宋体" w:cs="宋体" w:eastAsia="宋体" w:hint="default"/>
                <w:sz w:val="21"/>
                <w:szCs w:val="21"/>
              </w:rPr>
              <w:t>主营业务 成本</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9"/>
              <w:jc w:val="right"/>
              <w:rPr>
                <w:rFonts w:ascii="宋体" w:hAnsi="宋体" w:cs="宋体" w:eastAsia="宋体" w:hint="default"/>
                <w:sz w:val="21"/>
                <w:szCs w:val="21"/>
              </w:rPr>
            </w:pPr>
            <w:r>
              <w:rPr>
                <w:rFonts w:ascii="宋体" w:hAnsi="宋体" w:cs="宋体" w:eastAsia="宋体" w:hint="default"/>
                <w:sz w:val="21"/>
                <w:szCs w:val="21"/>
              </w:rPr>
              <w:t>毛利率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2" w:right="0"/>
              <w:jc w:val="left"/>
              <w:rPr>
                <w:rFonts w:ascii="宋体" w:hAnsi="宋体" w:cs="宋体" w:eastAsia="宋体" w:hint="default"/>
                <w:sz w:val="21"/>
                <w:szCs w:val="21"/>
              </w:rPr>
            </w:pPr>
            <w:r>
              <w:rPr>
                <w:rFonts w:ascii="宋体" w:hAnsi="宋体" w:cs="宋体" w:eastAsia="宋体" w:hint="default"/>
                <w:sz w:val="21"/>
                <w:szCs w:val="21"/>
              </w:rPr>
              <w:t>主营业务收</w:t>
            </w:r>
          </w:p>
          <w:p>
            <w:pPr>
              <w:pStyle w:val="TableParagraph"/>
              <w:spacing w:line="272" w:lineRule="exact" w:before="26"/>
              <w:ind w:left="309" w:right="151" w:hanging="158"/>
              <w:jc w:val="left"/>
              <w:rPr>
                <w:rFonts w:ascii="宋体" w:hAnsi="宋体" w:cs="宋体" w:eastAsia="宋体" w:hint="default"/>
                <w:sz w:val="21"/>
                <w:szCs w:val="21"/>
              </w:rPr>
            </w:pPr>
            <w:r>
              <w:rPr>
                <w:rFonts w:ascii="宋体" w:hAnsi="宋体" w:cs="宋体" w:eastAsia="宋体" w:hint="default"/>
                <w:sz w:val="21"/>
                <w:szCs w:val="21"/>
              </w:rPr>
              <w:t>入比上年同 期增减%</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jc w:val="left"/>
              <w:rPr>
                <w:rFonts w:ascii="宋体" w:hAnsi="宋体" w:cs="宋体" w:eastAsia="宋体" w:hint="default"/>
                <w:sz w:val="21"/>
                <w:szCs w:val="21"/>
              </w:rPr>
            </w:pPr>
            <w:r>
              <w:rPr>
                <w:rFonts w:ascii="宋体" w:hAnsi="宋体" w:cs="宋体" w:eastAsia="宋体" w:hint="default"/>
                <w:sz w:val="21"/>
                <w:szCs w:val="21"/>
              </w:rPr>
              <w:t>主营业务成</w:t>
            </w:r>
          </w:p>
          <w:p>
            <w:pPr>
              <w:pStyle w:val="TableParagraph"/>
              <w:spacing w:line="272" w:lineRule="exact" w:before="26"/>
              <w:ind w:left="362" w:right="203" w:hanging="158"/>
              <w:jc w:val="left"/>
              <w:rPr>
                <w:rFonts w:ascii="宋体" w:hAnsi="宋体" w:cs="宋体" w:eastAsia="宋体" w:hint="default"/>
                <w:sz w:val="21"/>
                <w:szCs w:val="21"/>
              </w:rPr>
            </w:pPr>
            <w:r>
              <w:rPr>
                <w:rFonts w:ascii="宋体" w:hAnsi="宋体" w:cs="宋体" w:eastAsia="宋体" w:hint="default"/>
                <w:sz w:val="21"/>
                <w:szCs w:val="21"/>
              </w:rPr>
              <w:t>本比上年同 期增减%</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毛利率比上</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年同期增减</w:t>
            </w:r>
          </w:p>
          <w:p>
            <w:pPr>
              <w:pStyle w:val="TableParagraph"/>
              <w:spacing w:line="274" w:lineRule="exact"/>
              <w:ind w:right="0"/>
              <w:jc w:val="center"/>
              <w:rPr>
                <w:rFonts w:ascii="宋体" w:hAnsi="宋体" w:cs="宋体" w:eastAsia="宋体" w:hint="default"/>
                <w:sz w:val="21"/>
                <w:szCs w:val="21"/>
              </w:rPr>
            </w:pPr>
            <w:r>
              <w:rPr>
                <w:rFonts w:ascii="宋体"/>
                <w:sz w:val="21"/>
              </w:rPr>
              <w:t>%</w:t>
            </w:r>
          </w:p>
        </w:tc>
      </w:tr>
      <w:tr>
        <w:trPr>
          <w:trHeight w:val="419"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hAnsi="宋体" w:cs="宋体" w:eastAsia="宋体" w:hint="default"/>
                <w:sz w:val="21"/>
                <w:szCs w:val="21"/>
              </w:rPr>
              <w:t>印刷品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39,198.93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24,524.21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12.83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12.17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0.37</w:t>
            </w:r>
          </w:p>
        </w:tc>
      </w:tr>
      <w:tr>
        <w:trPr>
          <w:trHeight w:val="418"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hAnsi="宋体" w:cs="宋体" w:eastAsia="宋体" w:hint="default"/>
                <w:sz w:val="21"/>
                <w:szCs w:val="21"/>
              </w:rPr>
              <w:t>纸制品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5,117.91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4,690.60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-3.60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-6.73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3.07</w:t>
            </w:r>
          </w:p>
        </w:tc>
      </w:tr>
      <w:tr>
        <w:trPr>
          <w:trHeight w:val="419"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hAnsi="宋体" w:cs="宋体" w:eastAsia="宋体" w:hint="default"/>
                <w:sz w:val="21"/>
                <w:szCs w:val="21"/>
              </w:rPr>
              <w:t>标签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1,037.37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819.70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12.19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56.35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-22.32</w:t>
            </w:r>
          </w:p>
        </w:tc>
      </w:tr>
      <w:tr>
        <w:trPr>
          <w:trHeight w:val="419" w:hRule="exact"/>
        </w:trPr>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21"/>
                <w:szCs w:val="21"/>
              </w:rPr>
            </w:pPr>
            <w:r>
              <w:rPr>
                <w:rFonts w:ascii="宋体" w:hAnsi="宋体" w:cs="宋体" w:eastAsia="宋体" w:hint="default"/>
                <w:sz w:val="21"/>
                <w:szCs w:val="21"/>
              </w:rPr>
              <w:t>数据产品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729.33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655.84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499.33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231.03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72.90</w:t>
            </w:r>
          </w:p>
        </w:tc>
      </w:tr>
    </w:tbl>
    <w:p>
      <w:pPr>
        <w:spacing w:line="240" w:lineRule="auto" w:before="13"/>
        <w:rPr>
          <w:rFonts w:ascii="宋体" w:hAnsi="宋体" w:cs="宋体" w:eastAsia="宋体" w:hint="default"/>
          <w:sz w:val="25"/>
          <w:szCs w:val="25"/>
        </w:rPr>
      </w:pPr>
    </w:p>
    <w:p>
      <w:pPr>
        <w:spacing w:before="35"/>
        <w:ind w:left="857" w:right="0" w:firstLine="0"/>
        <w:jc w:val="left"/>
        <w:rPr>
          <w:rFonts w:ascii="宋体" w:hAnsi="宋体" w:cs="宋体" w:eastAsia="宋体" w:hint="default"/>
          <w:sz w:val="21"/>
          <w:szCs w:val="21"/>
        </w:rPr>
      </w:pPr>
      <w:r>
        <w:rPr>
          <w:rFonts w:ascii="宋体" w:hAnsi="宋体" w:cs="宋体" w:eastAsia="宋体" w:hint="default"/>
          <w:sz w:val="21"/>
          <w:szCs w:val="21"/>
        </w:rPr>
        <w:t>（3）分地</w:t>
      </w:r>
      <w:r>
        <w:rPr>
          <w:rFonts w:ascii="宋体" w:hAnsi="宋体" w:cs="宋体" w:eastAsia="宋体" w:hint="default"/>
          <w:spacing w:val="-2"/>
          <w:sz w:val="21"/>
          <w:szCs w:val="21"/>
        </w:rPr>
        <w:t>区</w:t>
      </w:r>
      <w:r>
        <w:rPr>
          <w:rFonts w:ascii="宋体" w:hAnsi="宋体" w:cs="宋体" w:eastAsia="宋体" w:hint="default"/>
          <w:sz w:val="21"/>
          <w:szCs w:val="21"/>
        </w:rPr>
        <w:t>经营情况</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单位：万元）</w:t>
      </w:r>
    </w:p>
    <w:p>
      <w:pPr>
        <w:spacing w:line="240" w:lineRule="auto" w:before="10"/>
        <w:rPr>
          <w:rFonts w:ascii="宋体" w:hAnsi="宋体" w:cs="宋体" w:eastAsia="宋体" w:hint="default"/>
          <w:sz w:val="12"/>
          <w:szCs w:val="12"/>
        </w:rPr>
      </w:pPr>
    </w:p>
    <w:tbl>
      <w:tblPr>
        <w:tblW w:w="0" w:type="auto"/>
        <w:jc w:val="left"/>
        <w:tblInd w:w="324" w:type="dxa"/>
        <w:tblLayout w:type="fixed"/>
        <w:tblCellMar>
          <w:top w:w="0" w:type="dxa"/>
          <w:left w:w="0" w:type="dxa"/>
          <w:bottom w:w="0" w:type="dxa"/>
          <w:right w:w="0" w:type="dxa"/>
        </w:tblCellMar>
        <w:tblLook w:val="01E0"/>
      </w:tblPr>
      <w:tblGrid>
        <w:gridCol w:w="1704"/>
        <w:gridCol w:w="1704"/>
        <w:gridCol w:w="1704"/>
        <w:gridCol w:w="1705"/>
        <w:gridCol w:w="1705"/>
      </w:tblGrid>
      <w:tr>
        <w:trPr>
          <w:trHeight w:val="55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1"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7"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7"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8" w:right="0"/>
              <w:jc w:val="left"/>
              <w:rPr>
                <w:rFonts w:ascii="宋体" w:hAnsi="宋体" w:cs="宋体" w:eastAsia="宋体" w:hint="default"/>
                <w:sz w:val="21"/>
                <w:szCs w:val="21"/>
              </w:rPr>
            </w:pPr>
            <w:r>
              <w:rPr>
                <w:rFonts w:ascii="宋体" w:hAnsi="宋体" w:cs="宋体" w:eastAsia="宋体" w:hint="default"/>
                <w:sz w:val="21"/>
                <w:szCs w:val="21"/>
              </w:rPr>
              <w:t>毛利率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hanging="52"/>
              <w:jc w:val="left"/>
              <w:rPr>
                <w:rFonts w:ascii="宋体" w:hAnsi="宋体" w:cs="宋体" w:eastAsia="宋体" w:hint="default"/>
                <w:sz w:val="21"/>
                <w:szCs w:val="21"/>
              </w:rPr>
            </w:pPr>
            <w:r>
              <w:rPr>
                <w:rFonts w:ascii="宋体" w:hAnsi="宋体" w:cs="宋体" w:eastAsia="宋体" w:hint="default"/>
                <w:sz w:val="21"/>
                <w:szCs w:val="21"/>
              </w:rPr>
              <w:t>主营业务收入比</w:t>
            </w:r>
          </w:p>
          <w:p>
            <w:pPr>
              <w:pStyle w:val="TableParagraph"/>
              <w:spacing w:line="274" w:lineRule="exact"/>
              <w:ind w:left="164" w:right="0"/>
              <w:jc w:val="left"/>
              <w:rPr>
                <w:rFonts w:ascii="宋体" w:hAnsi="宋体" w:cs="宋体" w:eastAsia="宋体" w:hint="default"/>
                <w:sz w:val="21"/>
                <w:szCs w:val="21"/>
              </w:rPr>
            </w:pPr>
            <w:r>
              <w:rPr>
                <w:rFonts w:ascii="宋体" w:hAnsi="宋体" w:cs="宋体" w:eastAsia="宋体" w:hint="default"/>
                <w:sz w:val="21"/>
                <w:szCs w:val="21"/>
              </w:rPr>
              <w:t>上年同期增减%</w:t>
            </w:r>
          </w:p>
        </w:tc>
      </w:tr>
      <w:tr>
        <w:trPr>
          <w:trHeight w:val="38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2,118.88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1,411.12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33.40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-30.70</w:t>
            </w:r>
          </w:p>
        </w:tc>
      </w:tr>
      <w:tr>
        <w:trPr>
          <w:trHeight w:val="38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17,913.88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11,930.15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33.40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29.11</w:t>
            </w:r>
          </w:p>
        </w:tc>
      </w:tr>
      <w:tr>
        <w:trPr>
          <w:trHeight w:val="38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2,861.27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1,905.53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33.40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4.22</w:t>
            </w:r>
          </w:p>
        </w:tc>
      </w:tr>
      <w:tr>
        <w:trPr>
          <w:trHeight w:val="38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14,372.63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9,571.78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33.40</w:t>
            </w:r>
            <w:r>
              <w:rPr>
                <w:rFonts w:ascii="宋体"/>
                <w:sz w:val="21"/>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11.48</w:t>
            </w:r>
          </w:p>
        </w:tc>
      </w:tr>
      <w:tr>
        <w:trPr>
          <w:trHeight w:val="38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2,158.48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1,437.49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33.40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43.50</w:t>
            </w:r>
          </w:p>
        </w:tc>
      </w:tr>
      <w:tr>
        <w:trPr>
          <w:trHeight w:val="38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4,323.01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2,879.01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33.40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20.73</w:t>
            </w:r>
          </w:p>
        </w:tc>
      </w:tr>
    </w:tbl>
    <w:p>
      <w:pPr>
        <w:spacing w:after="0" w:line="240" w:lineRule="exact"/>
        <w:jc w:val="right"/>
        <w:rPr>
          <w:rFonts w:ascii="宋体" w:hAnsi="宋体" w:cs="宋体" w:eastAsia="宋体" w:hint="default"/>
          <w:sz w:val="21"/>
          <w:szCs w:val="21"/>
        </w:rPr>
        <w:sectPr>
          <w:headerReference w:type="default" r:id="rId27"/>
          <w:pgSz w:w="11910" w:h="16840"/>
          <w:pgMar w:header="840" w:footer="1712" w:top="1160" w:bottom="1900" w:left="1360" w:right="1580"/>
        </w:sectPr>
      </w:pPr>
    </w:p>
    <w:p>
      <w:pPr>
        <w:spacing w:line="240" w:lineRule="auto" w:before="12"/>
        <w:rPr>
          <w:rFonts w:ascii="宋体" w:hAnsi="宋体" w:cs="宋体" w:eastAsia="宋体" w:hint="default"/>
          <w:sz w:val="2"/>
          <w:szCs w:val="2"/>
        </w:rPr>
      </w:pPr>
      <w:r>
        <w:rPr/>
        <w:pict>
          <v:shape style="position:absolute;margin-left:90.18pt;margin-top:41.999668pt;width:18.240pt;height:15.719999pt;mso-position-horizontal-relative:page;mso-position-vertical-relative:page;z-index:-595024" type="#_x0000_t75" stroked="false">
            <v:imagedata r:id="rId11" o:title=""/>
          </v:shape>
        </w:pict>
      </w:r>
    </w:p>
    <w:tbl>
      <w:tblPr>
        <w:tblW w:w="0" w:type="auto"/>
        <w:jc w:val="left"/>
        <w:tblInd w:w="104" w:type="dxa"/>
        <w:tblLayout w:type="fixed"/>
        <w:tblCellMar>
          <w:top w:w="0" w:type="dxa"/>
          <w:left w:w="0" w:type="dxa"/>
          <w:bottom w:w="0" w:type="dxa"/>
          <w:right w:w="0" w:type="dxa"/>
        </w:tblCellMar>
        <w:tblLook w:val="01E0"/>
      </w:tblPr>
      <w:tblGrid>
        <w:gridCol w:w="1704"/>
        <w:gridCol w:w="1704"/>
        <w:gridCol w:w="1704"/>
        <w:gridCol w:w="1705"/>
        <w:gridCol w:w="1705"/>
      </w:tblGrid>
      <w:tr>
        <w:trPr>
          <w:trHeight w:val="392" w:hRule="exact"/>
        </w:trPr>
        <w:tc>
          <w:tcPr>
            <w:tcW w:w="1704"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1704"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left="751" w:right="0"/>
              <w:jc w:val="left"/>
              <w:rPr>
                <w:rFonts w:ascii="宋体" w:hAnsi="宋体" w:cs="宋体" w:eastAsia="宋体" w:hint="default"/>
                <w:sz w:val="21"/>
                <w:szCs w:val="21"/>
              </w:rPr>
            </w:pPr>
            <w:r>
              <w:rPr>
                <w:rFonts w:ascii="宋体"/>
                <w:sz w:val="21"/>
              </w:rPr>
              <w:t>2,335.38</w:t>
            </w:r>
          </w:p>
        </w:tc>
        <w:tc>
          <w:tcPr>
            <w:tcW w:w="1704"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left="750" w:right="0"/>
              <w:jc w:val="left"/>
              <w:rPr>
                <w:rFonts w:ascii="宋体" w:hAnsi="宋体" w:cs="宋体" w:eastAsia="宋体" w:hint="default"/>
                <w:sz w:val="21"/>
                <w:szCs w:val="21"/>
              </w:rPr>
            </w:pPr>
            <w:r>
              <w:rPr>
                <w:rFonts w:ascii="宋体"/>
                <w:sz w:val="21"/>
              </w:rPr>
              <w:t>1,555.30</w:t>
            </w:r>
          </w:p>
        </w:tc>
        <w:tc>
          <w:tcPr>
            <w:tcW w:w="1705"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left="1067" w:right="0"/>
              <w:jc w:val="left"/>
              <w:rPr>
                <w:rFonts w:ascii="宋体" w:hAnsi="宋体" w:cs="宋体" w:eastAsia="宋体" w:hint="default"/>
                <w:sz w:val="21"/>
                <w:szCs w:val="21"/>
              </w:rPr>
            </w:pPr>
            <w:r>
              <w:rPr>
                <w:rFonts w:ascii="宋体"/>
                <w:sz w:val="21"/>
              </w:rPr>
              <w:t>33.40</w:t>
            </w:r>
          </w:p>
        </w:tc>
        <w:tc>
          <w:tcPr>
            <w:tcW w:w="1705"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left="1066" w:right="0"/>
              <w:jc w:val="left"/>
              <w:rPr>
                <w:rFonts w:ascii="宋体" w:hAnsi="宋体" w:cs="宋体" w:eastAsia="宋体" w:hint="default"/>
                <w:sz w:val="21"/>
                <w:szCs w:val="21"/>
              </w:rPr>
            </w:pPr>
            <w:r>
              <w:rPr>
                <w:rFonts w:ascii="宋体"/>
                <w:sz w:val="21"/>
              </w:rPr>
              <w:t>29.44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35"/>
        <w:ind w:left="427" w:right="537" w:firstLine="0"/>
        <w:jc w:val="left"/>
        <w:rPr>
          <w:rFonts w:ascii="宋体" w:hAnsi="宋体" w:cs="宋体" w:eastAsia="宋体" w:hint="default"/>
          <w:sz w:val="21"/>
          <w:szCs w:val="21"/>
        </w:rPr>
      </w:pPr>
      <w:r>
        <w:rPr>
          <w:rFonts w:ascii="宋体" w:hAnsi="宋体" w:cs="宋体" w:eastAsia="宋体" w:hint="default"/>
          <w:sz w:val="21"/>
          <w:szCs w:val="21"/>
        </w:rPr>
        <w:t>（4）占主</w:t>
      </w:r>
      <w:r>
        <w:rPr>
          <w:rFonts w:ascii="宋体" w:hAnsi="宋体" w:cs="宋体" w:eastAsia="宋体" w:hint="default"/>
          <w:spacing w:val="-2"/>
          <w:sz w:val="21"/>
          <w:szCs w:val="21"/>
        </w:rPr>
        <w:t>营</w:t>
      </w:r>
      <w:r>
        <w:rPr>
          <w:rFonts w:ascii="宋体" w:hAnsi="宋体" w:cs="宋体" w:eastAsia="宋体" w:hint="default"/>
          <w:sz w:val="21"/>
          <w:szCs w:val="21"/>
        </w:rPr>
        <w:t>业务收入或主营业务利润</w:t>
      </w:r>
      <w:r>
        <w:rPr>
          <w:rFonts w:ascii="宋体" w:hAnsi="宋体" w:cs="宋体" w:eastAsia="宋体" w:hint="default"/>
          <w:spacing w:val="-53"/>
          <w:sz w:val="21"/>
          <w:szCs w:val="21"/>
        </w:rPr>
        <w:t> </w:t>
      </w:r>
      <w:r>
        <w:rPr>
          <w:rFonts w:ascii="宋体" w:hAnsi="宋体" w:cs="宋体" w:eastAsia="宋体" w:hint="default"/>
          <w:sz w:val="21"/>
          <w:szCs w:val="21"/>
        </w:rPr>
        <w:t>10%以上</w:t>
      </w:r>
      <w:r>
        <w:rPr>
          <w:rFonts w:ascii="宋体" w:hAnsi="宋体" w:cs="宋体" w:eastAsia="宋体" w:hint="default"/>
          <w:spacing w:val="-2"/>
          <w:sz w:val="21"/>
          <w:szCs w:val="21"/>
        </w:rPr>
        <w:t>的</w:t>
      </w:r>
      <w:r>
        <w:rPr>
          <w:rFonts w:ascii="宋体" w:hAnsi="宋体" w:cs="宋体" w:eastAsia="宋体" w:hint="default"/>
          <w:sz w:val="21"/>
          <w:szCs w:val="21"/>
        </w:rPr>
        <w:t>产品经营情况</w:t>
      </w:r>
      <w:r>
        <w:rPr>
          <w:rFonts w:ascii="宋体" w:hAnsi="宋体" w:cs="宋体" w:eastAsia="宋体" w:hint="default"/>
          <w:spacing w:val="-105"/>
          <w:sz w:val="21"/>
          <w:szCs w:val="21"/>
        </w:rPr>
        <w:t>：</w:t>
      </w:r>
      <w:r>
        <w:rPr>
          <w:rFonts w:ascii="宋体" w:hAnsi="宋体" w:cs="宋体" w:eastAsia="宋体" w:hint="default"/>
          <w:sz w:val="21"/>
          <w:szCs w:val="21"/>
        </w:rPr>
        <w:t>（单位</w:t>
      </w:r>
      <w:r>
        <w:rPr>
          <w:rFonts w:ascii="宋体" w:hAnsi="宋体" w:cs="宋体" w:eastAsia="宋体" w:hint="default"/>
          <w:spacing w:val="-2"/>
          <w:sz w:val="21"/>
          <w:szCs w:val="21"/>
        </w:rPr>
        <w:t>：</w:t>
      </w:r>
      <w:r>
        <w:rPr>
          <w:rFonts w:ascii="宋体" w:hAnsi="宋体" w:cs="宋体" w:eastAsia="宋体" w:hint="default"/>
          <w:sz w:val="21"/>
          <w:szCs w:val="21"/>
        </w:rPr>
        <w:t>万元）</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130"/>
        <w:gridCol w:w="2130"/>
        <w:gridCol w:w="2131"/>
        <w:gridCol w:w="2131"/>
      </w:tblGrid>
      <w:tr>
        <w:trPr>
          <w:trHeight w:val="283"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产品名称</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9"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3" w:right="0"/>
              <w:jc w:val="left"/>
              <w:rPr>
                <w:rFonts w:ascii="宋体" w:hAnsi="宋体" w:cs="宋体" w:eastAsia="宋体" w:hint="default"/>
                <w:sz w:val="21"/>
                <w:szCs w:val="21"/>
              </w:rPr>
            </w:pPr>
            <w:r>
              <w:rPr>
                <w:rFonts w:ascii="宋体" w:hAnsi="宋体" w:cs="宋体" w:eastAsia="宋体" w:hint="default"/>
                <w:sz w:val="21"/>
                <w:szCs w:val="21"/>
              </w:rPr>
              <w:t>毛利率（%）</w:t>
            </w:r>
          </w:p>
        </w:tc>
      </w:tr>
      <w:tr>
        <w:trPr>
          <w:trHeight w:val="418"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印刷品</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39,198.93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24,524.21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37.44</w:t>
            </w:r>
          </w:p>
        </w:tc>
      </w:tr>
      <w:tr>
        <w:trPr>
          <w:trHeight w:val="419" w:hRule="exact"/>
        </w:trPr>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纸制品</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5,117.91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4,690.60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8.35</w:t>
            </w:r>
          </w:p>
        </w:tc>
      </w:tr>
    </w:tbl>
    <w:p>
      <w:pPr>
        <w:spacing w:line="240" w:lineRule="auto" w:before="13"/>
        <w:rPr>
          <w:rFonts w:ascii="宋体" w:hAnsi="宋体" w:cs="宋体" w:eastAsia="宋体" w:hint="default"/>
          <w:sz w:val="25"/>
          <w:szCs w:val="25"/>
        </w:rPr>
      </w:pPr>
    </w:p>
    <w:p>
      <w:pPr>
        <w:spacing w:line="355" w:lineRule="auto" w:before="35"/>
        <w:ind w:left="217" w:right="537" w:firstLine="420"/>
        <w:jc w:val="left"/>
        <w:rPr>
          <w:rFonts w:ascii="宋体" w:hAnsi="宋体" w:cs="宋体" w:eastAsia="宋体" w:hint="default"/>
          <w:sz w:val="21"/>
          <w:szCs w:val="21"/>
        </w:rPr>
      </w:pPr>
      <w:r>
        <w:rPr>
          <w:rFonts w:ascii="宋体" w:hAnsi="宋体" w:cs="宋体" w:eastAsia="宋体" w:hint="default"/>
          <w:spacing w:val="-4"/>
          <w:sz w:val="21"/>
          <w:szCs w:val="21"/>
        </w:rPr>
        <w:t>（5）报告期内向前五名供应商采购金额合计</w:t>
      </w:r>
      <w:r>
        <w:rPr>
          <w:rFonts w:ascii="宋体" w:hAnsi="宋体" w:cs="宋体" w:eastAsia="宋体" w:hint="default"/>
          <w:spacing w:val="-49"/>
          <w:sz w:val="21"/>
          <w:szCs w:val="21"/>
        </w:rPr>
        <w:t> </w:t>
      </w:r>
      <w:r>
        <w:rPr>
          <w:rFonts w:ascii="宋体" w:hAnsi="宋体" w:cs="宋体" w:eastAsia="宋体" w:hint="default"/>
          <w:sz w:val="21"/>
          <w:szCs w:val="21"/>
        </w:rPr>
        <w:t>10,850.84</w:t>
      </w:r>
      <w:r>
        <w:rPr>
          <w:rFonts w:ascii="宋体" w:hAnsi="宋体" w:cs="宋体" w:eastAsia="宋体" w:hint="default"/>
          <w:spacing w:val="-47"/>
          <w:sz w:val="21"/>
          <w:szCs w:val="21"/>
        </w:rPr>
        <w:t> </w:t>
      </w:r>
      <w:r>
        <w:rPr>
          <w:rFonts w:ascii="宋体" w:hAnsi="宋体" w:cs="宋体" w:eastAsia="宋体" w:hint="default"/>
          <w:spacing w:val="-8"/>
          <w:sz w:val="21"/>
          <w:szCs w:val="21"/>
        </w:rPr>
        <w:t>万元，占采购总额比重</w:t>
      </w:r>
      <w:r>
        <w:rPr>
          <w:rFonts w:ascii="宋体" w:hAnsi="宋体" w:cs="宋体" w:eastAsia="宋体" w:hint="default"/>
          <w:spacing w:val="-49"/>
          <w:sz w:val="21"/>
          <w:szCs w:val="21"/>
        </w:rPr>
        <w:t> </w:t>
      </w:r>
      <w:r>
        <w:rPr>
          <w:rFonts w:ascii="宋体" w:hAnsi="宋体" w:cs="宋体" w:eastAsia="宋体" w:hint="default"/>
          <w:sz w:val="21"/>
          <w:szCs w:val="21"/>
        </w:rPr>
        <w:t>36.70%，</w:t>
      </w:r>
      <w:r>
        <w:rPr>
          <w:rFonts w:ascii="宋体" w:hAnsi="宋体" w:cs="宋体" w:eastAsia="宋体" w:hint="default"/>
          <w:sz w:val="21"/>
          <w:szCs w:val="21"/>
        </w:rPr>
        <w:t> 向前五名销售客户销售金额合计</w:t>
      </w:r>
      <w:r>
        <w:rPr>
          <w:rFonts w:ascii="宋体" w:hAnsi="宋体" w:cs="宋体" w:eastAsia="宋体" w:hint="default"/>
          <w:spacing w:val="-66"/>
          <w:sz w:val="21"/>
          <w:szCs w:val="21"/>
        </w:rPr>
        <w:t> </w:t>
      </w:r>
      <w:r>
        <w:rPr>
          <w:rFonts w:ascii="宋体" w:hAnsi="宋体" w:cs="宋体" w:eastAsia="宋体" w:hint="default"/>
          <w:sz w:val="21"/>
          <w:szCs w:val="21"/>
        </w:rPr>
        <w:t>7,019.17</w:t>
      </w:r>
      <w:r>
        <w:rPr>
          <w:rFonts w:ascii="宋体" w:hAnsi="宋体" w:cs="宋体" w:eastAsia="宋体" w:hint="default"/>
          <w:spacing w:val="-65"/>
          <w:sz w:val="21"/>
          <w:szCs w:val="21"/>
        </w:rPr>
        <w:t> </w:t>
      </w:r>
      <w:r>
        <w:rPr>
          <w:rFonts w:ascii="宋体" w:hAnsi="宋体" w:cs="宋体" w:eastAsia="宋体" w:hint="default"/>
          <w:sz w:val="21"/>
          <w:szCs w:val="21"/>
        </w:rPr>
        <w:t>万元，占销售总额比重</w:t>
      </w:r>
      <w:r>
        <w:rPr>
          <w:rFonts w:ascii="宋体" w:hAnsi="宋体" w:cs="宋体" w:eastAsia="宋体" w:hint="default"/>
          <w:spacing w:val="-66"/>
          <w:sz w:val="21"/>
          <w:szCs w:val="21"/>
        </w:rPr>
        <w:t> </w:t>
      </w:r>
      <w:r>
        <w:rPr>
          <w:rFonts w:ascii="宋体" w:hAnsi="宋体" w:cs="宋体" w:eastAsia="宋体" w:hint="default"/>
          <w:sz w:val="21"/>
          <w:szCs w:val="21"/>
        </w:rPr>
        <w:t>14.98%。</w:t>
      </w:r>
    </w:p>
    <w:p>
      <w:pPr>
        <w:spacing w:before="33"/>
        <w:ind w:left="637" w:right="537" w:firstLine="0"/>
        <w:jc w:val="left"/>
        <w:rPr>
          <w:rFonts w:ascii="宋体" w:hAnsi="宋体" w:cs="宋体" w:eastAsia="宋体" w:hint="default"/>
          <w:sz w:val="21"/>
          <w:szCs w:val="21"/>
        </w:rPr>
      </w:pPr>
      <w:r>
        <w:rPr>
          <w:rFonts w:ascii="宋体" w:hAnsi="宋体" w:cs="宋体" w:eastAsia="宋体" w:hint="default"/>
          <w:sz w:val="21"/>
          <w:szCs w:val="21"/>
        </w:rPr>
        <w:t>（6）报告期内，公司主营业务及其结构、主营业务盈利能力未发生重大变化。</w:t>
      </w:r>
    </w:p>
    <w:p>
      <w:pPr>
        <w:spacing w:line="357" w:lineRule="auto" w:before="133"/>
        <w:ind w:left="217" w:right="1912" w:firstLine="420"/>
        <w:jc w:val="left"/>
        <w:rPr>
          <w:rFonts w:ascii="宋体" w:hAnsi="宋体" w:cs="宋体" w:eastAsia="宋体" w:hint="default"/>
          <w:sz w:val="21"/>
          <w:szCs w:val="21"/>
        </w:rPr>
      </w:pPr>
      <w:r>
        <w:rPr>
          <w:rFonts w:ascii="宋体" w:hAnsi="宋体" w:cs="宋体" w:eastAsia="宋体" w:hint="default"/>
          <w:sz w:val="21"/>
          <w:szCs w:val="21"/>
        </w:rPr>
        <w:t>（7）报告期内，公司主营业务市场、主营业务成本构成未发生显著变化 3、公司主要资产构成：</w:t>
      </w:r>
    </w:p>
    <w:p>
      <w:pPr>
        <w:spacing w:line="240" w:lineRule="auto" w:before="12"/>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1656"/>
        <w:gridCol w:w="1686"/>
        <w:gridCol w:w="1309"/>
        <w:gridCol w:w="1686"/>
        <w:gridCol w:w="1310"/>
        <w:gridCol w:w="1309"/>
      </w:tblGrid>
      <w:tr>
        <w:trPr>
          <w:trHeight w:val="282" w:hRule="exact"/>
        </w:trPr>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309" w:type="dxa"/>
            <w:vMerge w:val="restart"/>
            <w:tcBorders>
              <w:top w:val="single" w:sz="4" w:space="0" w:color="000000"/>
              <w:left w:val="single" w:sz="4" w:space="0" w:color="000000"/>
              <w:right w:val="single" w:sz="4" w:space="0" w:color="000000"/>
            </w:tcBorders>
          </w:tcPr>
          <w:p>
            <w:pPr>
              <w:pStyle w:val="TableParagraph"/>
              <w:spacing w:line="274" w:lineRule="exact" w:before="100"/>
              <w:ind w:right="1"/>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56" w:hRule="exact"/>
        </w:trPr>
        <w:tc>
          <w:tcPr>
            <w:tcW w:w="1656"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74" w:lineRule="exact"/>
              <w:ind w:left="62" w:right="0"/>
              <w:jc w:val="center"/>
              <w:rPr>
                <w:rFonts w:ascii="宋体" w:hAnsi="宋体" w:cs="宋体" w:eastAsia="宋体" w:hint="default"/>
                <w:sz w:val="21"/>
                <w:szCs w:val="21"/>
              </w:rPr>
            </w:pPr>
            <w:r>
              <w:rPr>
                <w:rFonts w:ascii="宋体" w:hAnsi="宋体" w:cs="宋体" w:eastAsia="宋体" w:hint="default"/>
                <w:sz w:val="21"/>
                <w:szCs w:val="21"/>
              </w:rPr>
              <w:t>的比重（%）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74" w:lineRule="exact"/>
              <w:ind w:left="61" w:right="0"/>
              <w:jc w:val="center"/>
              <w:rPr>
                <w:rFonts w:ascii="宋体" w:hAnsi="宋体" w:cs="宋体" w:eastAsia="宋体" w:hint="default"/>
                <w:sz w:val="21"/>
                <w:szCs w:val="21"/>
              </w:rPr>
            </w:pPr>
            <w:r>
              <w:rPr>
                <w:rFonts w:ascii="宋体" w:hAnsi="宋体" w:cs="宋体" w:eastAsia="宋体" w:hint="default"/>
                <w:sz w:val="21"/>
                <w:szCs w:val="21"/>
              </w:rPr>
              <w:t>的比重（%）</w:t>
            </w:r>
          </w:p>
        </w:tc>
        <w:tc>
          <w:tcPr>
            <w:tcW w:w="1309" w:type="dxa"/>
            <w:vMerge/>
            <w:tcBorders>
              <w:left w:val="single" w:sz="4" w:space="0" w:color="000000"/>
              <w:bottom w:val="single" w:sz="4" w:space="0" w:color="000000"/>
              <w:right w:val="single" w:sz="4" w:space="0" w:color="000000"/>
            </w:tcBorders>
          </w:tcPr>
          <w:p>
            <w:pPr/>
          </w:p>
        </w:tc>
      </w:tr>
      <w:tr>
        <w:trPr>
          <w:trHeight w:val="28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705,042,776.85</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499,356,584.61</w:t>
            </w:r>
            <w:r>
              <w:rPr>
                <w:rFonts w:ascii="宋体"/>
                <w:sz w:val="21"/>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41.19</w:t>
            </w:r>
          </w:p>
        </w:tc>
      </w:tr>
      <w:tr>
        <w:trPr>
          <w:trHeight w:val="28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59,807,692.61</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8.41</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71,978,750.96</w:t>
            </w:r>
            <w:r>
              <w:rPr>
                <w:rFonts w:ascii="宋体"/>
                <w:sz w:val="21"/>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14.41</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-16.91</w:t>
            </w:r>
          </w:p>
        </w:tc>
      </w:tr>
      <w:tr>
        <w:trPr>
          <w:trHeight w:val="28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57,714,217.77</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8.19</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36,871,758.03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7.38</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3"/>
              <w:jc w:val="right"/>
              <w:rPr>
                <w:rFonts w:ascii="宋体" w:hAnsi="宋体" w:cs="宋体" w:eastAsia="宋体" w:hint="default"/>
                <w:sz w:val="21"/>
                <w:szCs w:val="21"/>
              </w:rPr>
            </w:pPr>
            <w:r>
              <w:rPr>
                <w:rFonts w:ascii="宋体"/>
                <w:spacing w:val="-1"/>
                <w:sz w:val="21"/>
              </w:rPr>
              <w:t>56.53</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固定资产原值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409,170,152.01</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58.03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327,013,529.24</w:t>
            </w:r>
            <w:r>
              <w:rPr>
                <w:rFonts w:ascii="宋体"/>
                <w:sz w:val="21"/>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w w:val="95"/>
                <w:sz w:val="21"/>
              </w:rPr>
              <w:t>65.49</w:t>
            </w:r>
            <w:r>
              <w:rPr>
                <w:rFonts w:ascii="宋体"/>
                <w:w w:val="95"/>
                <w:sz w:val="21"/>
              </w:rPr>
            </w:r>
          </w:p>
        </w:tc>
        <w:tc>
          <w:tcPr>
            <w:tcW w:w="13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22,983,734.11</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3.26</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24,991,330.61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-8.03</w:t>
            </w:r>
          </w:p>
        </w:tc>
      </w:tr>
      <w:tr>
        <w:trPr>
          <w:trHeight w:val="28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10,000,000.00</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1.42</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107,460,000.00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21.52</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-90.69</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23,000,000.00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23,000,000.00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4.61</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0.00</w:t>
            </w:r>
          </w:p>
        </w:tc>
      </w:tr>
    </w:tbl>
    <w:p>
      <w:pPr>
        <w:spacing w:line="241" w:lineRule="exact" w:before="0"/>
        <w:ind w:left="217" w:right="537" w:firstLine="0"/>
        <w:jc w:val="left"/>
        <w:rPr>
          <w:rFonts w:ascii="宋体" w:hAnsi="宋体" w:cs="宋体" w:eastAsia="宋体" w:hint="default"/>
          <w:sz w:val="21"/>
          <w:szCs w:val="21"/>
        </w:rPr>
      </w:pPr>
      <w:r>
        <w:rPr>
          <w:rFonts w:ascii="宋体" w:hAnsi="宋体" w:cs="宋体" w:eastAsia="宋体" w:hint="default"/>
          <w:sz w:val="21"/>
          <w:szCs w:val="21"/>
        </w:rPr>
        <w:t>变动说明：</w:t>
      </w:r>
    </w:p>
    <w:p>
      <w:pPr>
        <w:spacing w:line="357" w:lineRule="auto" w:before="133"/>
        <w:ind w:left="637" w:right="537" w:firstLine="0"/>
        <w:jc w:val="left"/>
        <w:rPr>
          <w:rFonts w:ascii="宋体" w:hAnsi="宋体" w:cs="宋体" w:eastAsia="宋体" w:hint="default"/>
          <w:sz w:val="21"/>
          <w:szCs w:val="21"/>
        </w:rPr>
      </w:pPr>
      <w:r>
        <w:rPr>
          <w:rFonts w:ascii="宋体" w:hAnsi="宋体" w:cs="宋体" w:eastAsia="宋体" w:hint="default"/>
          <w:sz w:val="21"/>
          <w:szCs w:val="21"/>
        </w:rPr>
        <w:t>本期总资产增加</w:t>
      </w:r>
      <w:r>
        <w:rPr>
          <w:rFonts w:ascii="宋体" w:hAnsi="宋体" w:cs="宋体" w:eastAsia="宋体" w:hint="default"/>
          <w:spacing w:val="-53"/>
          <w:sz w:val="21"/>
          <w:szCs w:val="21"/>
        </w:rPr>
        <w:t> </w:t>
      </w:r>
      <w:r>
        <w:rPr>
          <w:rFonts w:ascii="宋体" w:hAnsi="宋体" w:cs="宋体" w:eastAsia="宋体" w:hint="default"/>
          <w:sz w:val="21"/>
          <w:szCs w:val="21"/>
        </w:rPr>
        <w:t>41.19%，是由于公司本年发行上市，股本及资本公积增加所致。</w:t>
      </w:r>
      <w:r>
        <w:rPr>
          <w:rFonts w:ascii="宋体" w:hAnsi="宋体" w:cs="宋体" w:eastAsia="宋体" w:hint="default"/>
          <w:sz w:val="21"/>
          <w:szCs w:val="21"/>
        </w:rPr>
        <w:t> </w:t>
      </w:r>
      <w:r>
        <w:rPr>
          <w:rFonts w:ascii="宋体" w:hAnsi="宋体" w:cs="宋体" w:eastAsia="宋体" w:hint="default"/>
          <w:spacing w:val="-3"/>
          <w:sz w:val="21"/>
          <w:szCs w:val="21"/>
        </w:rPr>
        <w:t>应收帐款减少，主要原因是今年公司进一步加强了对应收货款的催收与管理，缩短了货</w:t>
      </w:r>
    </w:p>
    <w:p>
      <w:pPr>
        <w:spacing w:line="357" w:lineRule="auto" w:before="30"/>
        <w:ind w:left="637" w:right="532" w:hanging="420"/>
        <w:jc w:val="left"/>
        <w:rPr>
          <w:rFonts w:ascii="宋体" w:hAnsi="宋体" w:cs="宋体" w:eastAsia="宋体" w:hint="default"/>
          <w:sz w:val="21"/>
          <w:szCs w:val="21"/>
        </w:rPr>
      </w:pPr>
      <w:r>
        <w:rPr>
          <w:rFonts w:ascii="宋体" w:hAnsi="宋体" w:cs="宋体" w:eastAsia="宋体" w:hint="default"/>
          <w:sz w:val="21"/>
          <w:szCs w:val="21"/>
        </w:rPr>
        <w:t>币资金的回笼周期。 </w:t>
      </w:r>
      <w:r>
        <w:rPr>
          <w:rFonts w:ascii="宋体" w:hAnsi="宋体" w:cs="宋体" w:eastAsia="宋体" w:hint="default"/>
          <w:spacing w:val="-5"/>
          <w:sz w:val="21"/>
          <w:szCs w:val="21"/>
        </w:rPr>
        <w:t>存货增加的原因，主要是为克服原材料市场价格不断上涨的影响，有计划地加大了常用、</w:t>
      </w:r>
    </w:p>
    <w:p>
      <w:pPr>
        <w:spacing w:line="355" w:lineRule="auto" w:before="30"/>
        <w:ind w:left="637" w:right="537" w:hanging="420"/>
        <w:jc w:val="left"/>
        <w:rPr>
          <w:rFonts w:ascii="宋体" w:hAnsi="宋体" w:cs="宋体" w:eastAsia="宋体" w:hint="default"/>
          <w:sz w:val="21"/>
          <w:szCs w:val="21"/>
        </w:rPr>
      </w:pPr>
      <w:r>
        <w:rPr>
          <w:rFonts w:ascii="宋体" w:hAnsi="宋体" w:cs="宋体" w:eastAsia="宋体" w:hint="default"/>
          <w:sz w:val="21"/>
          <w:szCs w:val="21"/>
        </w:rPr>
        <w:t>大宗原材料的采购量，增加储备量造成的。 </w:t>
      </w:r>
      <w:r>
        <w:rPr>
          <w:rFonts w:ascii="宋体" w:hAnsi="宋体" w:cs="宋体" w:eastAsia="宋体" w:hint="default"/>
          <w:spacing w:val="-3"/>
          <w:sz w:val="21"/>
          <w:szCs w:val="21"/>
        </w:rPr>
        <w:t>固定资产原值增加，一方面募集资金到位，募投项目建设得以迅速推进，项目内设备采</w:t>
      </w:r>
    </w:p>
    <w:p>
      <w:pPr>
        <w:spacing w:line="357" w:lineRule="auto" w:before="33"/>
        <w:ind w:left="637" w:right="537" w:hanging="420"/>
        <w:jc w:val="left"/>
        <w:rPr>
          <w:rFonts w:ascii="宋体" w:hAnsi="宋体" w:cs="宋体" w:eastAsia="宋体" w:hint="default"/>
          <w:sz w:val="21"/>
          <w:szCs w:val="21"/>
        </w:rPr>
      </w:pPr>
      <w:r>
        <w:rPr>
          <w:rFonts w:ascii="宋体" w:hAnsi="宋体" w:cs="宋体" w:eastAsia="宋体" w:hint="default"/>
          <w:sz w:val="21"/>
          <w:szCs w:val="21"/>
        </w:rPr>
        <w:t>购增加，另一方面，公司办公楼竣工投入使用，房产原值增加。 在建工程减少，原因是今年公司办公楼竣工投入使用，房产价值转入固定资产所致。 </w:t>
      </w:r>
      <w:r>
        <w:rPr>
          <w:rFonts w:ascii="宋体" w:hAnsi="宋体" w:cs="宋体" w:eastAsia="宋体" w:hint="default"/>
          <w:spacing w:val="-3"/>
          <w:sz w:val="21"/>
          <w:szCs w:val="21"/>
        </w:rPr>
        <w:t>本期短期借款减少，主要是今年加强货款回收力度，资金运转平稳，同时募集资金到位</w:t>
      </w:r>
    </w:p>
    <w:p>
      <w:pPr>
        <w:spacing w:line="357" w:lineRule="auto" w:before="30"/>
        <w:ind w:left="217" w:right="537" w:firstLine="0"/>
        <w:jc w:val="left"/>
        <w:rPr>
          <w:rFonts w:ascii="宋体" w:hAnsi="宋体" w:cs="宋体" w:eastAsia="宋体" w:hint="default"/>
          <w:sz w:val="21"/>
          <w:szCs w:val="21"/>
        </w:rPr>
      </w:pPr>
      <w:r>
        <w:rPr>
          <w:rFonts w:ascii="宋体" w:hAnsi="宋体" w:cs="宋体" w:eastAsia="宋体" w:hint="default"/>
          <w:spacing w:val="-3"/>
          <w:sz w:val="21"/>
          <w:szCs w:val="21"/>
        </w:rPr>
        <w:t>后，置换了前期使用自有资金实施募集项目的资金，公司营运资金充足，归还了银行短期贷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款。</w:t>
      </w:r>
    </w:p>
    <w:p>
      <w:pPr>
        <w:spacing w:before="30"/>
        <w:ind w:left="637" w:right="537" w:firstLine="0"/>
        <w:jc w:val="left"/>
        <w:rPr>
          <w:rFonts w:ascii="宋体" w:hAnsi="宋体" w:cs="宋体" w:eastAsia="宋体" w:hint="default"/>
          <w:sz w:val="21"/>
          <w:szCs w:val="21"/>
        </w:rPr>
      </w:pPr>
      <w:r>
        <w:rPr>
          <w:rFonts w:ascii="宋体" w:hAnsi="宋体" w:cs="宋体" w:eastAsia="宋体" w:hint="default"/>
          <w:sz w:val="21"/>
          <w:szCs w:val="21"/>
        </w:rPr>
        <w:t>4、公司主要费用情况（单位：元）</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144"/>
        <w:gridCol w:w="1740"/>
        <w:gridCol w:w="1741"/>
        <w:gridCol w:w="1918"/>
        <w:gridCol w:w="1986"/>
      </w:tblGrid>
      <w:tr>
        <w:trPr>
          <w:trHeight w:val="283"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7" w:right="0"/>
              <w:jc w:val="left"/>
              <w:rPr>
                <w:rFonts w:ascii="宋体" w:hAnsi="宋体" w:cs="宋体" w:eastAsia="宋体" w:hint="default"/>
                <w:sz w:val="21"/>
                <w:szCs w:val="21"/>
              </w:rPr>
            </w:pPr>
            <w:r>
              <w:rPr>
                <w:rFonts w:ascii="宋体" w:hAnsi="宋体" w:cs="宋体" w:eastAsia="宋体" w:hint="default"/>
                <w:sz w:val="21"/>
                <w:szCs w:val="21"/>
              </w:rPr>
              <w:t>同比增减额</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5" w:right="0"/>
              <w:jc w:val="left"/>
              <w:rPr>
                <w:rFonts w:ascii="宋体" w:hAnsi="宋体" w:cs="宋体" w:eastAsia="宋体" w:hint="default"/>
                <w:sz w:val="21"/>
                <w:szCs w:val="21"/>
              </w:rPr>
            </w:pPr>
            <w:r>
              <w:rPr>
                <w:rFonts w:ascii="宋体" w:hAnsi="宋体" w:cs="宋体" w:eastAsia="宋体" w:hint="default"/>
                <w:sz w:val="21"/>
                <w:szCs w:val="21"/>
              </w:rPr>
              <w:t>同比增减（%）</w:t>
            </w:r>
          </w:p>
        </w:tc>
      </w:tr>
    </w:tbl>
    <w:p>
      <w:pPr>
        <w:spacing w:after="0" w:line="240" w:lineRule="exact"/>
        <w:jc w:val="left"/>
        <w:rPr>
          <w:rFonts w:ascii="宋体" w:hAnsi="宋体" w:cs="宋体" w:eastAsia="宋体" w:hint="default"/>
          <w:sz w:val="21"/>
          <w:szCs w:val="21"/>
        </w:rPr>
        <w:sectPr>
          <w:headerReference w:type="default" r:id="rId28"/>
          <w:pgSz w:w="11910" w:h="16840"/>
          <w:pgMar w:header="915" w:footer="1712" w:top="1100" w:bottom="1900" w:left="1580" w:right="1140"/>
        </w:sectPr>
      </w:pPr>
    </w:p>
    <w:tbl>
      <w:tblPr>
        <w:tblW w:w="0" w:type="auto"/>
        <w:jc w:val="left"/>
        <w:tblInd w:w="104" w:type="dxa"/>
        <w:tblLayout w:type="fixed"/>
        <w:tblCellMar>
          <w:top w:w="0" w:type="dxa"/>
          <w:left w:w="0" w:type="dxa"/>
          <w:bottom w:w="0" w:type="dxa"/>
          <w:right w:w="0" w:type="dxa"/>
        </w:tblCellMar>
        <w:tblLook w:val="01E0"/>
      </w:tblPr>
      <w:tblGrid>
        <w:gridCol w:w="1144"/>
        <w:gridCol w:w="1740"/>
        <w:gridCol w:w="1741"/>
        <w:gridCol w:w="1918"/>
        <w:gridCol w:w="1986"/>
      </w:tblGrid>
      <w:tr>
        <w:trPr>
          <w:trHeight w:val="289" w:hRule="exact"/>
        </w:trPr>
        <w:tc>
          <w:tcPr>
            <w:tcW w:w="1144"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40"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57,758,980.11</w:t>
            </w:r>
          </w:p>
        </w:tc>
        <w:tc>
          <w:tcPr>
            <w:tcW w:w="1741"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42,980,995.10</w:t>
            </w:r>
            <w:r>
              <w:rPr>
                <w:rFonts w:ascii="宋体"/>
                <w:sz w:val="21"/>
              </w:rPr>
            </w:r>
          </w:p>
        </w:tc>
        <w:tc>
          <w:tcPr>
            <w:tcW w:w="1918"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14,777,985.01</w:t>
            </w:r>
            <w:r>
              <w:rPr>
                <w:rFonts w:ascii="宋体"/>
                <w:sz w:val="21"/>
              </w:rPr>
            </w:r>
          </w:p>
        </w:tc>
        <w:tc>
          <w:tcPr>
            <w:tcW w:w="1986" w:type="dxa"/>
            <w:tcBorders>
              <w:top w:val="single" w:sz="10"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34.38</w:t>
            </w:r>
            <w:r>
              <w:rPr>
                <w:rFonts w:ascii="宋体"/>
                <w:sz w:val="21"/>
              </w:rPr>
            </w:r>
          </w:p>
        </w:tc>
      </w:tr>
      <w:tr>
        <w:trPr>
          <w:trHeight w:val="282"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25,748,614.97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19,613,434.26</w:t>
            </w:r>
            <w:r>
              <w:rPr>
                <w:rFonts w:ascii="宋体"/>
                <w:sz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6,135,180.71</w:t>
            </w:r>
            <w:r>
              <w:rPr>
                <w:rFonts w:ascii="宋体"/>
                <w:sz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w w:val="95"/>
                <w:sz w:val="21"/>
              </w:rPr>
              <w:t>31.28</w:t>
            </w:r>
            <w:r>
              <w:rPr>
                <w:rFonts w:ascii="宋体"/>
                <w:w w:val="95"/>
                <w:sz w:val="21"/>
              </w:rPr>
            </w:r>
          </w:p>
        </w:tc>
      </w:tr>
      <w:tr>
        <w:trPr>
          <w:trHeight w:val="283"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2,194,328.90</w:t>
            </w:r>
            <w:r>
              <w:rPr>
                <w:rFonts w:ascii="宋体"/>
                <w:sz w:val="21"/>
              </w:rPr>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5,337,587.57</w:t>
            </w:r>
            <w:r>
              <w:rPr>
                <w:rFonts w:ascii="宋体"/>
                <w:sz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-3,143,258.67</w:t>
            </w:r>
            <w:r>
              <w:rPr>
                <w:rFonts w:ascii="宋体"/>
                <w:sz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-58.89</w:t>
            </w:r>
            <w:r>
              <w:rPr>
                <w:rFonts w:ascii="宋体"/>
                <w:sz w:val="21"/>
              </w:rPr>
            </w:r>
          </w:p>
        </w:tc>
      </w:tr>
      <w:tr>
        <w:trPr>
          <w:trHeight w:val="282"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 得</w:t>
            </w:r>
            <w:r>
              <w:rPr>
                <w:rFonts w:ascii="宋体" w:hAnsi="宋体" w:cs="宋体" w:eastAsia="宋体" w:hint="default"/>
                <w:spacing w:val="2"/>
                <w:sz w:val="21"/>
                <w:szCs w:val="21"/>
              </w:rPr>
              <w:t> </w:t>
            </w:r>
            <w:r>
              <w:rPr>
                <w:rFonts w:ascii="宋体" w:hAnsi="宋体" w:cs="宋体" w:eastAsia="宋体" w:hint="default"/>
                <w:sz w:val="21"/>
                <w:szCs w:val="21"/>
              </w:rPr>
              <w:t>税</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8,433,144.72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6,426,575.28</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2,006,569.44</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31.22</w:t>
            </w:r>
          </w:p>
        </w:tc>
      </w:tr>
    </w:tbl>
    <w:p>
      <w:pPr>
        <w:spacing w:line="240" w:lineRule="auto" w:before="13"/>
        <w:rPr>
          <w:rFonts w:ascii="宋体" w:hAnsi="宋体" w:cs="宋体" w:eastAsia="宋体" w:hint="default"/>
          <w:sz w:val="25"/>
          <w:szCs w:val="25"/>
        </w:rPr>
      </w:pPr>
    </w:p>
    <w:p>
      <w:pPr>
        <w:spacing w:before="35"/>
        <w:ind w:left="217" w:right="219" w:firstLine="0"/>
        <w:jc w:val="left"/>
        <w:rPr>
          <w:rFonts w:ascii="宋体" w:hAnsi="宋体" w:cs="宋体" w:eastAsia="宋体" w:hint="default"/>
          <w:sz w:val="21"/>
          <w:szCs w:val="21"/>
        </w:rPr>
      </w:pPr>
      <w:r>
        <w:rPr>
          <w:rFonts w:ascii="宋体" w:hAnsi="宋体" w:cs="宋体" w:eastAsia="宋体" w:hint="default"/>
          <w:sz w:val="21"/>
          <w:szCs w:val="21"/>
        </w:rPr>
        <w:t>变动说明：</w:t>
      </w:r>
    </w:p>
    <w:p>
      <w:pPr>
        <w:spacing w:line="357" w:lineRule="auto" w:before="133"/>
        <w:ind w:left="637" w:right="219" w:firstLine="0"/>
        <w:jc w:val="left"/>
        <w:rPr>
          <w:rFonts w:ascii="宋体" w:hAnsi="宋体" w:cs="宋体" w:eastAsia="宋体" w:hint="default"/>
          <w:sz w:val="21"/>
          <w:szCs w:val="21"/>
        </w:rPr>
      </w:pPr>
      <w:r>
        <w:rPr>
          <w:rFonts w:ascii="宋体" w:hAnsi="宋体" w:cs="宋体" w:eastAsia="宋体" w:hint="default"/>
          <w:sz w:val="21"/>
          <w:szCs w:val="21"/>
        </w:rPr>
        <w:t>销售费用同比增加</w:t>
      </w:r>
      <w:r>
        <w:rPr>
          <w:rFonts w:ascii="宋体" w:hAnsi="宋体" w:cs="宋体" w:eastAsia="宋体" w:hint="default"/>
          <w:spacing w:val="-84"/>
          <w:sz w:val="21"/>
          <w:szCs w:val="21"/>
        </w:rPr>
        <w:t> </w:t>
      </w:r>
      <w:r>
        <w:rPr>
          <w:rFonts w:ascii="宋体" w:hAnsi="宋体" w:cs="宋体" w:eastAsia="宋体" w:hint="default"/>
          <w:sz w:val="21"/>
          <w:szCs w:val="21"/>
        </w:rPr>
        <w:t>34.38%，主要原因是：业务宣传费、发运费以及合并范围增加所致。</w:t>
      </w:r>
      <w:r>
        <w:rPr>
          <w:rFonts w:ascii="宋体" w:hAnsi="宋体" w:cs="宋体" w:eastAsia="宋体" w:hint="default"/>
          <w:sz w:val="21"/>
          <w:szCs w:val="21"/>
        </w:rPr>
        <w:t> 管理费用同比增加</w:t>
      </w:r>
      <w:r>
        <w:rPr>
          <w:rFonts w:ascii="宋体" w:hAnsi="宋体" w:cs="宋体" w:eastAsia="宋体" w:hint="default"/>
          <w:spacing w:val="-55"/>
          <w:sz w:val="21"/>
          <w:szCs w:val="21"/>
        </w:rPr>
        <w:t> </w:t>
      </w:r>
      <w:r>
        <w:rPr>
          <w:rFonts w:ascii="宋体" w:hAnsi="宋体" w:cs="宋体" w:eastAsia="宋体" w:hint="default"/>
          <w:sz w:val="21"/>
          <w:szCs w:val="21"/>
        </w:rPr>
        <w:t>31.28%，主要原因是：本年合并范围增加所致。</w:t>
      </w:r>
    </w:p>
    <w:p>
      <w:pPr>
        <w:spacing w:line="357" w:lineRule="auto" w:before="30"/>
        <w:ind w:left="217" w:right="231" w:firstLine="420"/>
        <w:jc w:val="both"/>
        <w:rPr>
          <w:rFonts w:ascii="宋体" w:hAnsi="宋体" w:cs="宋体" w:eastAsia="宋体" w:hint="default"/>
          <w:sz w:val="21"/>
          <w:szCs w:val="21"/>
        </w:rPr>
      </w:pPr>
      <w:r>
        <w:rPr>
          <w:rFonts w:ascii="宋体" w:hAnsi="宋体" w:cs="宋体" w:eastAsia="宋体" w:hint="default"/>
          <w:sz w:val="21"/>
          <w:szCs w:val="21"/>
        </w:rPr>
        <w:t>财务费用减少</w:t>
      </w:r>
      <w:r>
        <w:rPr>
          <w:rFonts w:ascii="宋体" w:hAnsi="宋体" w:cs="宋体" w:eastAsia="宋体" w:hint="default"/>
          <w:spacing w:val="10"/>
          <w:sz w:val="21"/>
          <w:szCs w:val="21"/>
        </w:rPr>
        <w:t> </w:t>
      </w:r>
      <w:r>
        <w:rPr>
          <w:rFonts w:ascii="宋体" w:hAnsi="宋体" w:cs="宋体" w:eastAsia="宋体" w:hint="default"/>
          <w:sz w:val="21"/>
          <w:szCs w:val="21"/>
        </w:rPr>
        <w:t>59.89%的主要原因是：本报告期内加大货款回收力度，提高流动资金周</w:t>
      </w:r>
      <w:r>
        <w:rPr>
          <w:rFonts w:ascii="宋体" w:hAnsi="宋体" w:cs="宋体" w:eastAsia="宋体" w:hint="default"/>
          <w:sz w:val="21"/>
          <w:szCs w:val="21"/>
        </w:rPr>
        <w:t> </w:t>
      </w:r>
      <w:r>
        <w:rPr>
          <w:rFonts w:ascii="宋体" w:hAnsi="宋体" w:cs="宋体" w:eastAsia="宋体" w:hint="default"/>
          <w:spacing w:val="-3"/>
          <w:sz w:val="21"/>
          <w:szCs w:val="21"/>
        </w:rPr>
        <w:t>转效率，同时募集资金到位后，置换了前期使用自有资金实施募集项目的资金，公司营运资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金充足，归还了大部分银行贷款，节约了利息费用。</w:t>
      </w:r>
    </w:p>
    <w:p>
      <w:pPr>
        <w:spacing w:line="357" w:lineRule="auto" w:before="30"/>
        <w:ind w:left="217" w:right="232" w:firstLine="420"/>
        <w:jc w:val="both"/>
        <w:rPr>
          <w:rFonts w:ascii="宋体" w:hAnsi="宋体" w:cs="宋体" w:eastAsia="宋体" w:hint="default"/>
          <w:sz w:val="21"/>
          <w:szCs w:val="21"/>
        </w:rPr>
      </w:pPr>
      <w:r>
        <w:rPr>
          <w:rFonts w:ascii="宋体" w:hAnsi="宋体" w:cs="宋体" w:eastAsia="宋体" w:hint="default"/>
          <w:spacing w:val="-3"/>
          <w:sz w:val="21"/>
          <w:szCs w:val="21"/>
        </w:rPr>
        <w:t>所得税费用增加，是因为享受外商投资企业所得税优惠政策的子公司结束免税期，进入</w:t>
      </w:r>
      <w:r>
        <w:rPr>
          <w:rFonts w:ascii="宋体" w:hAnsi="宋体" w:cs="宋体" w:eastAsia="宋体" w:hint="default"/>
          <w:sz w:val="21"/>
          <w:szCs w:val="21"/>
        </w:rPr>
        <w:t> 减税期，开始计算缴纳企业所得税所致。北京东港安全印刷有限公司在</w:t>
      </w:r>
      <w:r>
        <w:rPr>
          <w:rFonts w:ascii="宋体" w:hAnsi="宋体" w:cs="宋体" w:eastAsia="宋体" w:hint="default"/>
          <w:spacing w:val="-45"/>
          <w:sz w:val="21"/>
          <w:szCs w:val="21"/>
        </w:rPr>
        <w:t> </w:t>
      </w:r>
      <w:r>
        <w:rPr>
          <w:rFonts w:ascii="宋体" w:hAnsi="宋体" w:cs="宋体" w:eastAsia="宋体" w:hint="default"/>
          <w:sz w:val="21"/>
          <w:szCs w:val="21"/>
        </w:rPr>
        <w:t>2006</w:t>
      </w:r>
      <w:r>
        <w:rPr>
          <w:rFonts w:ascii="宋体" w:hAnsi="宋体" w:cs="宋体" w:eastAsia="宋体" w:hint="default"/>
          <w:spacing w:val="-45"/>
          <w:sz w:val="21"/>
          <w:szCs w:val="21"/>
        </w:rPr>
        <w:t> </w:t>
      </w:r>
      <w:r>
        <w:rPr>
          <w:rFonts w:ascii="宋体" w:hAnsi="宋体" w:cs="宋体" w:eastAsia="宋体" w:hint="default"/>
          <w:sz w:val="21"/>
          <w:szCs w:val="21"/>
        </w:rPr>
        <w:t>年享受外商投</w:t>
      </w:r>
    </w:p>
    <w:p>
      <w:pPr>
        <w:spacing w:line="357" w:lineRule="auto" w:before="30"/>
        <w:ind w:left="217" w:right="1492" w:firstLine="0"/>
        <w:jc w:val="left"/>
        <w:rPr>
          <w:rFonts w:ascii="宋体" w:hAnsi="宋体" w:cs="宋体" w:eastAsia="宋体" w:hint="default"/>
          <w:sz w:val="21"/>
          <w:szCs w:val="21"/>
        </w:rPr>
      </w:pPr>
      <w:r>
        <w:rPr>
          <w:rFonts w:ascii="宋体" w:hAnsi="宋体" w:cs="宋体" w:eastAsia="宋体" w:hint="default"/>
          <w:sz w:val="21"/>
          <w:szCs w:val="21"/>
        </w:rPr>
        <w:t>资企业免税政策，而在</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年享受所得税减半的优惠政策。</w:t>
      </w:r>
      <w:r>
        <w:rPr>
          <w:rFonts w:ascii="宋体" w:hAnsi="宋体" w:cs="宋体" w:eastAsia="宋体" w:hint="default"/>
          <w:spacing w:val="-1"/>
          <w:sz w:val="21"/>
          <w:szCs w:val="21"/>
        </w:rPr>
        <w:t> </w:t>
      </w:r>
      <w:r>
        <w:rPr>
          <w:rFonts w:ascii="宋体" w:hAnsi="宋体" w:cs="宋体" w:eastAsia="宋体" w:hint="default"/>
          <w:sz w:val="21"/>
          <w:szCs w:val="21"/>
        </w:rPr>
        <w:t>5、公司经营活动、投资活动和筹资活动产生的现金的构成情况（单位；元）</w:t>
      </w:r>
    </w:p>
    <w:p>
      <w:pPr>
        <w:spacing w:line="240" w:lineRule="auto" w:before="12"/>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2838"/>
        <w:gridCol w:w="1792"/>
        <w:gridCol w:w="1884"/>
        <w:gridCol w:w="1574"/>
      </w:tblGrid>
      <w:tr>
        <w:trPr>
          <w:trHeight w:val="282"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4"/>
              <w:jc w:val="right"/>
              <w:rPr>
                <w:rFonts w:ascii="宋体" w:hAnsi="宋体" w:cs="宋体" w:eastAsia="宋体" w:hint="default"/>
                <w:sz w:val="21"/>
                <w:szCs w:val="21"/>
              </w:rPr>
            </w:pPr>
            <w:r>
              <w:rPr>
                <w:rFonts w:ascii="宋体" w:hAnsi="宋体" w:cs="宋体" w:eastAsia="宋体" w:hint="default"/>
                <w:sz w:val="21"/>
                <w:szCs w:val="21"/>
              </w:rPr>
              <w:t>同比增减（%）</w:t>
            </w:r>
          </w:p>
        </w:tc>
      </w:tr>
      <w:tr>
        <w:trPr>
          <w:trHeight w:val="556"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一、经营活动产生的现金流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73,782,493.73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76,171,947.98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-3.14</w:t>
            </w:r>
            <w:r>
              <w:rPr>
                <w:rFonts w:ascii="宋体"/>
                <w:sz w:val="21"/>
              </w:rPr>
            </w:r>
          </w:p>
        </w:tc>
      </w:tr>
      <w:tr>
        <w:trPr>
          <w:trHeight w:val="282"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578,091,904.88</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458,350,737.59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26.12</w:t>
            </w:r>
          </w:p>
        </w:tc>
      </w:tr>
      <w:tr>
        <w:trPr>
          <w:trHeight w:val="282"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504,309,411.15</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382,178,789.61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31.96</w:t>
            </w:r>
          </w:p>
        </w:tc>
      </w:tr>
      <w:tr>
        <w:trPr>
          <w:trHeight w:val="554"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二、投资活动产生的现金流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-104,922,162.20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-100,541,693.14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4.36</w:t>
            </w:r>
          </w:p>
        </w:tc>
      </w:tr>
      <w:tr>
        <w:trPr>
          <w:trHeight w:val="28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5,653,740.69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4,278,749.33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32.14</w:t>
            </w:r>
          </w:p>
        </w:tc>
      </w:tr>
      <w:tr>
        <w:trPr>
          <w:trHeight w:val="282"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110,575,902.89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104,820,442.47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5.49</w:t>
            </w:r>
          </w:p>
        </w:tc>
      </w:tr>
      <w:tr>
        <w:trPr>
          <w:trHeight w:val="554"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三、筹资活动产生的现金流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134,221,173.64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37,347,753.50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259.38</w:t>
            </w:r>
          </w:p>
        </w:tc>
      </w:tr>
      <w:tr>
        <w:trPr>
          <w:trHeight w:val="28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293,566,579.26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180,460,000.00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62.68</w:t>
            </w:r>
          </w:p>
        </w:tc>
      </w:tr>
      <w:tr>
        <w:trPr>
          <w:trHeight w:val="282"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159,345,405.62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143,112,246.50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11.34</w:t>
            </w:r>
          </w:p>
        </w:tc>
      </w:tr>
      <w:tr>
        <w:trPr>
          <w:trHeight w:val="554"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四、现金及现金等价物净额</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103,081,505.17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12,978,008.34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694.28</w:t>
            </w:r>
          </w:p>
        </w:tc>
      </w:tr>
      <w:tr>
        <w:trPr>
          <w:trHeight w:val="282"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现金流入总计</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877,312,224.83</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643,089,486.92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36.42</w:t>
            </w:r>
          </w:p>
        </w:tc>
      </w:tr>
      <w:tr>
        <w:trPr>
          <w:trHeight w:val="283" w:hRule="exact"/>
        </w:trPr>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现金流出总计</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774,230,719.66</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630,111,478.58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22.87</w:t>
            </w:r>
          </w:p>
        </w:tc>
      </w:tr>
    </w:tbl>
    <w:p>
      <w:pPr>
        <w:spacing w:line="241" w:lineRule="exact" w:before="0"/>
        <w:ind w:left="217" w:right="219" w:firstLine="0"/>
        <w:jc w:val="left"/>
        <w:rPr>
          <w:rFonts w:ascii="宋体" w:hAnsi="宋体" w:cs="宋体" w:eastAsia="宋体" w:hint="default"/>
          <w:sz w:val="21"/>
          <w:szCs w:val="21"/>
        </w:rPr>
      </w:pPr>
      <w:r>
        <w:rPr>
          <w:rFonts w:ascii="宋体" w:hAnsi="宋体" w:cs="宋体" w:eastAsia="宋体" w:hint="default"/>
          <w:sz w:val="21"/>
          <w:szCs w:val="21"/>
        </w:rPr>
        <w:t>变动说明：</w:t>
      </w:r>
    </w:p>
    <w:p>
      <w:pPr>
        <w:spacing w:line="357" w:lineRule="auto" w:before="133"/>
        <w:ind w:left="217" w:right="113" w:firstLine="419"/>
        <w:jc w:val="left"/>
        <w:rPr>
          <w:rFonts w:ascii="宋体" w:hAnsi="宋体" w:cs="宋体" w:eastAsia="宋体" w:hint="default"/>
          <w:sz w:val="21"/>
          <w:szCs w:val="21"/>
        </w:rPr>
      </w:pPr>
      <w:r>
        <w:rPr>
          <w:rFonts w:ascii="宋体" w:hAnsi="宋体" w:cs="宋体" w:eastAsia="宋体" w:hint="default"/>
          <w:spacing w:val="-5"/>
          <w:sz w:val="21"/>
          <w:szCs w:val="21"/>
        </w:rPr>
        <w:t>①、经营活动产生的现金净流量同比变化不大，现金流入量与流出量基本呈同比例增长，</w:t>
      </w:r>
      <w:r>
        <w:rPr>
          <w:rFonts w:ascii="宋体" w:hAnsi="宋体" w:cs="宋体" w:eastAsia="宋体" w:hint="default"/>
          <w:sz w:val="21"/>
          <w:szCs w:val="21"/>
        </w:rPr>
        <w:t> 反映公司经营活动的正常有序发展。</w:t>
      </w:r>
    </w:p>
    <w:p>
      <w:pPr>
        <w:spacing w:line="309" w:lineRule="auto" w:before="30"/>
        <w:ind w:left="217" w:right="219" w:firstLine="420"/>
        <w:jc w:val="left"/>
        <w:rPr>
          <w:rFonts w:ascii="宋体" w:hAnsi="宋体" w:cs="宋体" w:eastAsia="宋体" w:hint="default"/>
          <w:sz w:val="21"/>
          <w:szCs w:val="21"/>
        </w:rPr>
      </w:pPr>
      <w:r>
        <w:rPr>
          <w:rFonts w:ascii="宋体" w:hAnsi="宋体" w:cs="宋体" w:eastAsia="宋体" w:hint="default"/>
          <w:sz w:val="21"/>
          <w:szCs w:val="21"/>
        </w:rPr>
        <w:t>②、筹资活动产生的净现金流量同比增加</w:t>
      </w:r>
      <w:r>
        <w:rPr>
          <w:rFonts w:ascii="宋体" w:hAnsi="宋体" w:cs="宋体" w:eastAsia="宋体" w:hint="default"/>
          <w:spacing w:val="-66"/>
          <w:sz w:val="21"/>
          <w:szCs w:val="21"/>
        </w:rPr>
        <w:t> </w:t>
      </w:r>
      <w:r>
        <w:rPr>
          <w:rFonts w:ascii="宋体" w:hAnsi="宋体" w:cs="宋体" w:eastAsia="宋体" w:hint="default"/>
          <w:sz w:val="21"/>
          <w:szCs w:val="21"/>
        </w:rPr>
        <w:t>259.38%，原因是公司在年初发行</w:t>
      </w:r>
      <w:r>
        <w:rPr>
          <w:rFonts w:ascii="宋体" w:hAnsi="宋体" w:cs="宋体" w:eastAsia="宋体" w:hint="default"/>
          <w:spacing w:val="-66"/>
          <w:sz w:val="21"/>
          <w:szCs w:val="21"/>
        </w:rPr>
        <w:t> </w:t>
      </w:r>
      <w:r>
        <w:rPr>
          <w:rFonts w:ascii="宋体" w:hAnsi="宋体" w:cs="宋体" w:eastAsia="宋体" w:hint="default"/>
          <w:sz w:val="21"/>
          <w:szCs w:val="21"/>
        </w:rPr>
        <w:t>A</w:t>
      </w:r>
      <w:r>
        <w:rPr>
          <w:rFonts w:ascii="宋体" w:hAnsi="宋体" w:cs="宋体" w:eastAsia="宋体" w:hint="default"/>
          <w:spacing w:val="-65"/>
          <w:sz w:val="21"/>
          <w:szCs w:val="21"/>
        </w:rPr>
        <w:t> </w:t>
      </w:r>
      <w:r>
        <w:rPr>
          <w:rFonts w:ascii="宋体" w:hAnsi="宋体" w:cs="宋体" w:eastAsia="宋体" w:hint="default"/>
          <w:sz w:val="21"/>
          <w:szCs w:val="21"/>
        </w:rPr>
        <w:t>股融资收</w:t>
      </w:r>
      <w:r>
        <w:rPr>
          <w:rFonts w:ascii="宋体" w:hAnsi="宋体" w:cs="宋体" w:eastAsia="宋体" w:hint="default"/>
          <w:sz w:val="21"/>
          <w:szCs w:val="21"/>
        </w:rPr>
        <w:t> 到大量现金。</w:t>
      </w:r>
    </w:p>
    <w:p>
      <w:pPr>
        <w:spacing w:line="309" w:lineRule="auto" w:before="18"/>
        <w:ind w:left="217" w:right="217" w:firstLine="420"/>
        <w:jc w:val="left"/>
        <w:rPr>
          <w:rFonts w:ascii="宋体" w:hAnsi="宋体" w:cs="宋体" w:eastAsia="宋体" w:hint="default"/>
          <w:sz w:val="21"/>
          <w:szCs w:val="21"/>
        </w:rPr>
      </w:pPr>
      <w:r>
        <w:rPr>
          <w:rFonts w:ascii="宋体" w:hAnsi="宋体" w:cs="宋体" w:eastAsia="宋体" w:hint="default"/>
          <w:sz w:val="21"/>
          <w:szCs w:val="21"/>
        </w:rPr>
        <w:t>③、现金及现金等价物净额增加同比上涨</w:t>
      </w:r>
      <w:r>
        <w:rPr>
          <w:rFonts w:ascii="宋体" w:hAnsi="宋体" w:cs="宋体" w:eastAsia="宋体" w:hint="default"/>
          <w:spacing w:val="-65"/>
          <w:sz w:val="21"/>
          <w:szCs w:val="21"/>
        </w:rPr>
        <w:t> </w:t>
      </w:r>
      <w:r>
        <w:rPr>
          <w:rFonts w:ascii="宋体" w:hAnsi="宋体" w:cs="宋体" w:eastAsia="宋体" w:hint="default"/>
          <w:sz w:val="21"/>
          <w:szCs w:val="21"/>
        </w:rPr>
        <w:t>694.28%，原因是公司发行</w:t>
      </w:r>
      <w:r>
        <w:rPr>
          <w:rFonts w:ascii="宋体" w:hAnsi="宋体" w:cs="宋体" w:eastAsia="宋体" w:hint="default"/>
          <w:spacing w:val="-65"/>
          <w:sz w:val="21"/>
          <w:szCs w:val="21"/>
        </w:rPr>
        <w:t> </w:t>
      </w:r>
      <w:r>
        <w:rPr>
          <w:rFonts w:ascii="宋体" w:hAnsi="宋体" w:cs="宋体" w:eastAsia="宋体" w:hint="default"/>
          <w:sz w:val="21"/>
          <w:szCs w:val="21"/>
        </w:rPr>
        <w:t>A</w:t>
      </w:r>
      <w:r>
        <w:rPr>
          <w:rFonts w:ascii="宋体" w:hAnsi="宋体" w:cs="宋体" w:eastAsia="宋体" w:hint="default"/>
          <w:spacing w:val="-65"/>
          <w:sz w:val="21"/>
          <w:szCs w:val="21"/>
        </w:rPr>
        <w:t> </w:t>
      </w:r>
      <w:r>
        <w:rPr>
          <w:rFonts w:ascii="宋体" w:hAnsi="宋体" w:cs="宋体" w:eastAsia="宋体" w:hint="default"/>
          <w:sz w:val="21"/>
          <w:szCs w:val="21"/>
        </w:rPr>
        <w:t>股募集资金的到</w:t>
      </w:r>
      <w:r>
        <w:rPr>
          <w:rFonts w:ascii="宋体" w:hAnsi="宋体" w:cs="宋体" w:eastAsia="宋体" w:hint="default"/>
          <w:sz w:val="21"/>
          <w:szCs w:val="21"/>
        </w:rPr>
        <w:t> 位以及公司资金周转效率提高所致。</w:t>
      </w:r>
    </w:p>
    <w:p>
      <w:pPr>
        <w:spacing w:line="240" w:lineRule="auto" w:before="6"/>
        <w:rPr>
          <w:rFonts w:ascii="宋体" w:hAnsi="宋体" w:cs="宋体" w:eastAsia="宋体" w:hint="default"/>
          <w:sz w:val="28"/>
          <w:szCs w:val="28"/>
        </w:rPr>
      </w:pPr>
    </w:p>
    <w:p>
      <w:pPr>
        <w:spacing w:before="0"/>
        <w:ind w:left="217" w:right="113" w:firstLine="0"/>
        <w:jc w:val="left"/>
        <w:rPr>
          <w:rFonts w:ascii="宋体" w:hAnsi="宋体" w:cs="宋体" w:eastAsia="宋体" w:hint="default"/>
          <w:sz w:val="21"/>
          <w:szCs w:val="21"/>
        </w:rPr>
      </w:pPr>
      <w:r>
        <w:rPr>
          <w:rFonts w:ascii="宋体" w:hAnsi="宋体" w:cs="宋体" w:eastAsia="宋体" w:hint="default"/>
          <w:sz w:val="21"/>
          <w:szCs w:val="21"/>
        </w:rPr>
        <w:t>6、公司的生产设备运转良好，全部设备完好，设备开工率在</w:t>
      </w:r>
      <w:r>
        <w:rPr>
          <w:rFonts w:ascii="宋体" w:hAnsi="宋体" w:cs="宋体" w:eastAsia="宋体" w:hint="default"/>
          <w:spacing w:val="-2"/>
          <w:sz w:val="21"/>
          <w:szCs w:val="21"/>
        </w:rPr>
        <w:t> </w:t>
      </w:r>
      <w:r>
        <w:rPr>
          <w:rFonts w:ascii="宋体" w:hAnsi="宋体" w:cs="宋体" w:eastAsia="宋体" w:hint="default"/>
          <w:sz w:val="21"/>
          <w:szCs w:val="21"/>
        </w:rPr>
        <w:t>98%以上；在本报告期内公司</w:t>
      </w:r>
    </w:p>
    <w:p>
      <w:pPr>
        <w:spacing w:after="0"/>
        <w:jc w:val="left"/>
        <w:rPr>
          <w:rFonts w:ascii="宋体" w:hAnsi="宋体" w:cs="宋体" w:eastAsia="宋体" w:hint="default"/>
          <w:sz w:val="21"/>
          <w:szCs w:val="21"/>
        </w:rPr>
        <w:sectPr>
          <w:headerReference w:type="default" r:id="rId29"/>
          <w:pgSz w:w="11910" w:h="16840"/>
          <w:pgMar w:header="840" w:footer="1712" w:top="1140" w:bottom="1900" w:left="1580" w:right="1560"/>
        </w:sectPr>
      </w:pPr>
    </w:p>
    <w:p>
      <w:pPr>
        <w:spacing w:before="18"/>
        <w:ind w:left="217" w:right="1035"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500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z w:val="21"/>
          <w:szCs w:val="21"/>
        </w:rPr>
        <w:t>产品无积压；公司的主要技术人员在本报告期内无变动。</w:t>
      </w:r>
    </w:p>
    <w:p>
      <w:pPr>
        <w:spacing w:line="240" w:lineRule="auto" w:before="0"/>
        <w:rPr>
          <w:rFonts w:ascii="宋体" w:hAnsi="宋体" w:cs="宋体" w:eastAsia="宋体" w:hint="default"/>
          <w:sz w:val="20"/>
          <w:szCs w:val="20"/>
        </w:rPr>
      </w:pPr>
    </w:p>
    <w:p>
      <w:pPr>
        <w:spacing w:before="171"/>
        <w:ind w:left="217" w:right="1035" w:firstLine="0"/>
        <w:jc w:val="left"/>
        <w:rPr>
          <w:rFonts w:ascii="宋体" w:hAnsi="宋体" w:cs="宋体" w:eastAsia="宋体" w:hint="default"/>
          <w:sz w:val="21"/>
          <w:szCs w:val="21"/>
        </w:rPr>
      </w:pPr>
      <w:r>
        <w:rPr>
          <w:rFonts w:ascii="宋体" w:hAnsi="宋体" w:cs="宋体" w:eastAsia="宋体" w:hint="default"/>
          <w:sz w:val="21"/>
          <w:szCs w:val="21"/>
        </w:rPr>
        <w:t>7、主要控股公司及参股公司的经营情况及业绩：</w:t>
      </w:r>
    </w:p>
    <w:p>
      <w:pPr>
        <w:spacing w:before="79"/>
        <w:ind w:left="217" w:right="1035" w:firstLine="0"/>
        <w:jc w:val="left"/>
        <w:rPr>
          <w:rFonts w:ascii="宋体" w:hAnsi="宋体" w:cs="宋体" w:eastAsia="宋体" w:hint="default"/>
          <w:sz w:val="21"/>
          <w:szCs w:val="21"/>
        </w:rPr>
      </w:pPr>
      <w:r>
        <w:rPr>
          <w:rFonts w:ascii="宋体" w:hAnsi="宋体" w:cs="宋体" w:eastAsia="宋体" w:hint="default"/>
          <w:sz w:val="21"/>
          <w:szCs w:val="21"/>
        </w:rPr>
        <w:t>（1）控股子公司—郑州东港安全印刷有限公司</w:t>
      </w:r>
    </w:p>
    <w:p>
      <w:pPr>
        <w:spacing w:line="309" w:lineRule="auto" w:before="79"/>
        <w:ind w:left="217" w:right="128" w:firstLine="458"/>
        <w:jc w:val="left"/>
        <w:rPr>
          <w:rFonts w:ascii="宋体" w:hAnsi="宋体" w:cs="宋体" w:eastAsia="宋体" w:hint="default"/>
          <w:sz w:val="21"/>
          <w:szCs w:val="21"/>
        </w:rPr>
      </w:pPr>
      <w:r>
        <w:rPr>
          <w:rFonts w:ascii="宋体" w:hAnsi="宋体" w:cs="宋体" w:eastAsia="宋体" w:hint="default"/>
          <w:sz w:val="21"/>
          <w:szCs w:val="21"/>
        </w:rPr>
        <w:t>公司法定代表人：谷望宁。注册资本</w:t>
      </w:r>
      <w:r>
        <w:rPr>
          <w:rFonts w:ascii="宋体" w:hAnsi="宋体" w:cs="宋体" w:eastAsia="宋体" w:hint="default"/>
          <w:spacing w:val="-55"/>
          <w:sz w:val="21"/>
          <w:szCs w:val="21"/>
        </w:rPr>
        <w:t> </w:t>
      </w:r>
      <w:r>
        <w:rPr>
          <w:rFonts w:ascii="宋体" w:hAnsi="宋体" w:cs="宋体" w:eastAsia="宋体" w:hint="default"/>
          <w:sz w:val="21"/>
          <w:szCs w:val="21"/>
        </w:rPr>
        <w:t>3,000</w:t>
      </w:r>
      <w:r>
        <w:rPr>
          <w:rFonts w:ascii="宋体" w:hAnsi="宋体" w:cs="宋体" w:eastAsia="宋体" w:hint="default"/>
          <w:spacing w:val="-54"/>
          <w:sz w:val="21"/>
          <w:szCs w:val="21"/>
        </w:rPr>
        <w:t> </w:t>
      </w:r>
      <w:r>
        <w:rPr>
          <w:rFonts w:ascii="宋体" w:hAnsi="宋体" w:cs="宋体" w:eastAsia="宋体" w:hint="default"/>
          <w:sz w:val="21"/>
          <w:szCs w:val="21"/>
        </w:rPr>
        <w:t>万元，本公司持股比例为</w:t>
      </w:r>
      <w:r>
        <w:rPr>
          <w:rFonts w:ascii="宋体" w:hAnsi="宋体" w:cs="宋体" w:eastAsia="宋体" w:hint="default"/>
          <w:spacing w:val="-55"/>
          <w:sz w:val="21"/>
          <w:szCs w:val="21"/>
        </w:rPr>
        <w:t> </w:t>
      </w:r>
      <w:r>
        <w:rPr>
          <w:rFonts w:ascii="宋体" w:hAnsi="宋体" w:cs="宋体" w:eastAsia="宋体" w:hint="default"/>
          <w:sz w:val="21"/>
          <w:szCs w:val="21"/>
        </w:rPr>
        <w:t>75%。注册地址：</w:t>
      </w:r>
      <w:r>
        <w:rPr>
          <w:rFonts w:ascii="宋体" w:hAnsi="宋体" w:cs="宋体" w:eastAsia="宋体" w:hint="default"/>
          <w:sz w:val="21"/>
          <w:szCs w:val="21"/>
        </w:rPr>
        <w:t> 河南省郑州高新区国槐街</w:t>
      </w:r>
      <w:r>
        <w:rPr>
          <w:rFonts w:ascii="宋体" w:hAnsi="宋体" w:cs="宋体" w:eastAsia="宋体" w:hint="default"/>
          <w:spacing w:val="-45"/>
          <w:sz w:val="21"/>
          <w:szCs w:val="21"/>
        </w:rPr>
        <w:t> </w:t>
      </w:r>
      <w:r>
        <w:rPr>
          <w:rFonts w:ascii="宋体" w:hAnsi="宋体" w:cs="宋体" w:eastAsia="宋体" w:hint="default"/>
          <w:sz w:val="21"/>
          <w:szCs w:val="21"/>
        </w:rPr>
        <w:t>11</w:t>
      </w:r>
      <w:r>
        <w:rPr>
          <w:rFonts w:ascii="宋体" w:hAnsi="宋体" w:cs="宋体" w:eastAsia="宋体" w:hint="default"/>
          <w:spacing w:val="-45"/>
          <w:sz w:val="21"/>
          <w:szCs w:val="21"/>
        </w:rPr>
        <w:t> </w:t>
      </w:r>
      <w:r>
        <w:rPr>
          <w:rFonts w:ascii="宋体" w:hAnsi="宋体" w:cs="宋体" w:eastAsia="宋体" w:hint="default"/>
          <w:sz w:val="21"/>
          <w:szCs w:val="21"/>
        </w:rPr>
        <w:t>号。经营范围：高档纸（不含新闻纸）及纸制品生产加工、印</w:t>
      </w:r>
      <w:r>
        <w:rPr>
          <w:rFonts w:ascii="宋体" w:hAnsi="宋体" w:cs="宋体" w:eastAsia="宋体" w:hint="default"/>
          <w:sz w:val="21"/>
          <w:szCs w:val="21"/>
        </w:rPr>
        <w:t> </w:t>
      </w:r>
      <w:r>
        <w:rPr>
          <w:rFonts w:ascii="宋体" w:hAnsi="宋体" w:cs="宋体" w:eastAsia="宋体" w:hint="default"/>
          <w:spacing w:val="-5"/>
          <w:sz w:val="21"/>
          <w:szCs w:val="21"/>
        </w:rPr>
        <w:t>刷（不含图书、期刊、报纸），销售本公司生产的产品。</w:t>
      </w:r>
    </w:p>
    <w:p>
      <w:pPr>
        <w:spacing w:before="18"/>
        <w:ind w:left="676" w:right="1035" w:firstLine="0"/>
        <w:jc w:val="left"/>
        <w:rPr>
          <w:rFonts w:ascii="宋体" w:hAnsi="宋体" w:cs="宋体" w:eastAsia="宋体" w:hint="default"/>
          <w:sz w:val="21"/>
          <w:szCs w:val="21"/>
        </w:rPr>
      </w:pPr>
      <w:r>
        <w:rPr>
          <w:rFonts w:ascii="宋体" w:hAnsi="宋体" w:cs="宋体" w:eastAsia="宋体" w:hint="default"/>
          <w:sz w:val="21"/>
          <w:szCs w:val="21"/>
        </w:rPr>
        <w:t>报告期实现净利润</w:t>
      </w:r>
      <w:r>
        <w:rPr>
          <w:rFonts w:ascii="宋体" w:hAnsi="宋体" w:cs="宋体" w:eastAsia="宋体" w:hint="default"/>
          <w:spacing w:val="-62"/>
          <w:sz w:val="21"/>
          <w:szCs w:val="21"/>
        </w:rPr>
        <w:t> </w:t>
      </w:r>
      <w:r>
        <w:rPr>
          <w:rFonts w:ascii="宋体" w:hAnsi="宋体" w:cs="宋体" w:eastAsia="宋体" w:hint="default"/>
          <w:sz w:val="21"/>
          <w:szCs w:val="21"/>
        </w:rPr>
        <w:t>568.46</w:t>
      </w:r>
      <w:r>
        <w:rPr>
          <w:rFonts w:ascii="宋体" w:hAnsi="宋体" w:cs="宋体" w:eastAsia="宋体" w:hint="default"/>
          <w:spacing w:val="-61"/>
          <w:sz w:val="21"/>
          <w:szCs w:val="21"/>
        </w:rPr>
        <w:t> </w:t>
      </w:r>
      <w:r>
        <w:rPr>
          <w:rFonts w:ascii="宋体" w:hAnsi="宋体" w:cs="宋体" w:eastAsia="宋体" w:hint="default"/>
          <w:sz w:val="21"/>
          <w:szCs w:val="21"/>
        </w:rPr>
        <w:t>万元，报告本期末资产总额为</w:t>
      </w:r>
      <w:r>
        <w:rPr>
          <w:rFonts w:ascii="宋体" w:hAnsi="宋体" w:cs="宋体" w:eastAsia="宋体" w:hint="default"/>
          <w:spacing w:val="-62"/>
          <w:sz w:val="21"/>
          <w:szCs w:val="21"/>
        </w:rPr>
        <w:t> </w:t>
      </w:r>
      <w:r>
        <w:rPr>
          <w:rFonts w:ascii="宋体" w:hAnsi="宋体" w:cs="宋体" w:eastAsia="宋体" w:hint="default"/>
          <w:sz w:val="21"/>
          <w:szCs w:val="21"/>
        </w:rPr>
        <w:t>4,750.34</w:t>
      </w:r>
      <w:r>
        <w:rPr>
          <w:rFonts w:ascii="宋体" w:hAnsi="宋体" w:cs="宋体" w:eastAsia="宋体" w:hint="default"/>
          <w:spacing w:val="-61"/>
          <w:sz w:val="21"/>
          <w:szCs w:val="21"/>
        </w:rPr>
        <w:t> </w:t>
      </w:r>
      <w:r>
        <w:rPr>
          <w:rFonts w:ascii="宋体" w:hAnsi="宋体" w:cs="宋体" w:eastAsia="宋体" w:hint="default"/>
          <w:sz w:val="21"/>
          <w:szCs w:val="21"/>
        </w:rPr>
        <w:t>万元。</w:t>
      </w:r>
    </w:p>
    <w:p>
      <w:pPr>
        <w:spacing w:before="79"/>
        <w:ind w:left="217" w:right="1035" w:firstLine="0"/>
        <w:jc w:val="left"/>
        <w:rPr>
          <w:rFonts w:ascii="宋体" w:hAnsi="宋体" w:cs="宋体" w:eastAsia="宋体" w:hint="default"/>
          <w:sz w:val="21"/>
          <w:szCs w:val="21"/>
        </w:rPr>
      </w:pPr>
      <w:r>
        <w:rPr>
          <w:rFonts w:ascii="宋体" w:hAnsi="宋体" w:cs="宋体" w:eastAsia="宋体" w:hint="default"/>
          <w:sz w:val="21"/>
          <w:szCs w:val="21"/>
        </w:rPr>
        <w:t>（2）控股子公司—北京东港安全印刷有限公司：</w:t>
      </w:r>
    </w:p>
    <w:p>
      <w:pPr>
        <w:spacing w:line="309" w:lineRule="auto" w:before="79"/>
        <w:ind w:left="217" w:right="107" w:firstLine="458"/>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2"/>
          <w:sz w:val="21"/>
          <w:szCs w:val="21"/>
        </w:rPr>
        <w:t> </w:t>
      </w:r>
      <w:r>
        <w:rPr>
          <w:rFonts w:ascii="宋体" w:hAnsi="宋体" w:cs="宋体" w:eastAsia="宋体" w:hint="default"/>
          <w:sz w:val="21"/>
          <w:szCs w:val="21"/>
        </w:rPr>
        <w:t>2004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pacing w:val="-4"/>
          <w:sz w:val="21"/>
          <w:szCs w:val="21"/>
        </w:rPr>
        <w:t>日成立，注册资本</w:t>
      </w:r>
      <w:r>
        <w:rPr>
          <w:rFonts w:ascii="宋体" w:hAnsi="宋体" w:cs="宋体" w:eastAsia="宋体" w:hint="default"/>
          <w:spacing w:val="-52"/>
          <w:sz w:val="21"/>
          <w:szCs w:val="21"/>
        </w:rPr>
        <w:t> </w:t>
      </w:r>
      <w:r>
        <w:rPr>
          <w:rFonts w:ascii="宋体" w:hAnsi="宋体" w:cs="宋体" w:eastAsia="宋体" w:hint="default"/>
          <w:sz w:val="21"/>
          <w:szCs w:val="21"/>
        </w:rPr>
        <w:t>3,000</w:t>
      </w:r>
      <w:r>
        <w:rPr>
          <w:rFonts w:ascii="宋体" w:hAnsi="宋体" w:cs="宋体" w:eastAsia="宋体" w:hint="default"/>
          <w:spacing w:val="-52"/>
          <w:sz w:val="21"/>
          <w:szCs w:val="21"/>
        </w:rPr>
        <w:t> </w:t>
      </w:r>
      <w:r>
        <w:rPr>
          <w:rFonts w:ascii="宋体" w:hAnsi="宋体" w:cs="宋体" w:eastAsia="宋体" w:hint="default"/>
          <w:spacing w:val="-3"/>
          <w:sz w:val="21"/>
          <w:szCs w:val="21"/>
        </w:rPr>
        <w:t>万元，本公司持股比例为</w:t>
      </w:r>
      <w:r>
        <w:rPr>
          <w:rFonts w:ascii="宋体" w:hAnsi="宋体" w:cs="宋体" w:eastAsia="宋体" w:hint="default"/>
          <w:spacing w:val="-52"/>
          <w:sz w:val="21"/>
          <w:szCs w:val="21"/>
        </w:rPr>
        <w:t> </w:t>
      </w:r>
      <w:r>
        <w:rPr>
          <w:rFonts w:ascii="宋体" w:hAnsi="宋体" w:cs="宋体" w:eastAsia="宋体" w:hint="default"/>
          <w:spacing w:val="-4"/>
          <w:sz w:val="21"/>
          <w:szCs w:val="21"/>
        </w:rPr>
        <w:t>75%。公司法</w:t>
      </w:r>
      <w:r>
        <w:rPr>
          <w:rFonts w:ascii="宋体" w:hAnsi="宋体" w:cs="宋体" w:eastAsia="宋体" w:hint="default"/>
          <w:sz w:val="21"/>
          <w:szCs w:val="21"/>
        </w:rPr>
        <w:t> 定代表人：史建中。注册地址：北京市通州区光机电一体化产业基地。经营范围：出版物、 包装装潢印刷品印刷，其他印刷品印刷；软件产品的开发生产。</w:t>
      </w:r>
    </w:p>
    <w:p>
      <w:pPr>
        <w:spacing w:line="309" w:lineRule="auto" w:before="18"/>
        <w:ind w:left="676" w:right="200" w:firstLine="0"/>
        <w:jc w:val="left"/>
        <w:rPr>
          <w:rFonts w:ascii="宋体" w:hAnsi="宋体" w:cs="宋体" w:eastAsia="宋体" w:hint="default"/>
          <w:sz w:val="21"/>
          <w:szCs w:val="21"/>
        </w:rPr>
      </w:pPr>
      <w:r>
        <w:rPr>
          <w:rFonts w:ascii="宋体" w:hAnsi="宋体" w:cs="宋体" w:eastAsia="宋体" w:hint="default"/>
          <w:sz w:val="21"/>
          <w:szCs w:val="21"/>
        </w:rPr>
        <w:t>报告期实现净利润</w:t>
      </w:r>
      <w:r>
        <w:rPr>
          <w:rFonts w:ascii="宋体" w:hAnsi="宋体" w:cs="宋体" w:eastAsia="宋体" w:hint="default"/>
          <w:spacing w:val="-55"/>
          <w:sz w:val="21"/>
          <w:szCs w:val="21"/>
        </w:rPr>
        <w:t> </w:t>
      </w:r>
      <w:r>
        <w:rPr>
          <w:rFonts w:ascii="宋体" w:hAnsi="宋体" w:cs="宋体" w:eastAsia="宋体" w:hint="default"/>
          <w:sz w:val="21"/>
          <w:szCs w:val="21"/>
        </w:rPr>
        <w:t>2,669.28</w:t>
      </w:r>
      <w:r>
        <w:rPr>
          <w:rFonts w:ascii="宋体" w:hAnsi="宋体" w:cs="宋体" w:eastAsia="宋体" w:hint="default"/>
          <w:spacing w:val="-54"/>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55"/>
          <w:sz w:val="21"/>
          <w:szCs w:val="21"/>
        </w:rPr>
        <w:t> </w:t>
      </w:r>
      <w:r>
        <w:rPr>
          <w:rFonts w:ascii="宋体" w:hAnsi="宋体" w:cs="宋体" w:eastAsia="宋体" w:hint="default"/>
          <w:sz w:val="21"/>
          <w:szCs w:val="21"/>
        </w:rPr>
        <w:t>8,253.95</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pacing w:val="-1"/>
          <w:sz w:val="21"/>
          <w:szCs w:val="21"/>
        </w:rPr>
        <w:t> </w:t>
      </w:r>
      <w:r>
        <w:rPr>
          <w:rFonts w:ascii="宋体" w:hAnsi="宋体" w:cs="宋体" w:eastAsia="宋体" w:hint="default"/>
          <w:spacing w:val="8"/>
          <w:sz w:val="21"/>
          <w:szCs w:val="21"/>
        </w:rPr>
        <w:t>根据中瑞岳华会计师事务所有限公司出具的审计报告，北京东港安全印刷有限公司</w:t>
      </w:r>
      <w:r>
        <w:rPr>
          <w:rFonts w:ascii="宋体" w:hAnsi="宋体" w:cs="宋体" w:eastAsia="宋体" w:hint="default"/>
          <w:sz w:val="21"/>
          <w:szCs w:val="21"/>
        </w:rPr>
      </w:r>
    </w:p>
    <w:p>
      <w:pPr>
        <w:spacing w:before="18"/>
        <w:ind w:left="217" w:right="1035"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年度主要财务数据如下（单位：元）</w:t>
      </w:r>
    </w:p>
    <w:p>
      <w:pPr>
        <w:spacing w:line="240" w:lineRule="auto" w:before="9"/>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4261"/>
        <w:gridCol w:w="4261"/>
      </w:tblGrid>
      <w:tr>
        <w:trPr>
          <w:trHeight w:val="365"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64"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102,686,737.70</w:t>
            </w:r>
            <w:r>
              <w:rPr>
                <w:rFonts w:ascii="宋体"/>
                <w:sz w:val="21"/>
              </w:rPr>
            </w:r>
          </w:p>
        </w:tc>
      </w:tr>
      <w:tr>
        <w:trPr>
          <w:trHeight w:val="365"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70,792,116.32</w:t>
            </w:r>
          </w:p>
        </w:tc>
      </w:tr>
      <w:tr>
        <w:trPr>
          <w:trHeight w:val="364"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28,433,083.86</w:t>
            </w:r>
          </w:p>
        </w:tc>
      </w:tr>
      <w:tr>
        <w:trPr>
          <w:trHeight w:val="364"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28,473,297.67</w:t>
            </w:r>
          </w:p>
        </w:tc>
      </w:tr>
      <w:tr>
        <w:trPr>
          <w:trHeight w:val="365"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26,692,845.48</w:t>
            </w:r>
          </w:p>
        </w:tc>
      </w:tr>
    </w:tbl>
    <w:p>
      <w:pPr>
        <w:spacing w:line="240" w:lineRule="auto" w:before="10"/>
        <w:rPr>
          <w:rFonts w:ascii="宋体" w:hAnsi="宋体" w:cs="宋体" w:eastAsia="宋体" w:hint="default"/>
          <w:sz w:val="21"/>
          <w:szCs w:val="21"/>
        </w:rPr>
      </w:pPr>
    </w:p>
    <w:p>
      <w:pPr>
        <w:spacing w:before="35"/>
        <w:ind w:left="217" w:right="1035" w:firstLine="0"/>
        <w:jc w:val="left"/>
        <w:rPr>
          <w:rFonts w:ascii="宋体" w:hAnsi="宋体" w:cs="宋体" w:eastAsia="宋体" w:hint="default"/>
          <w:sz w:val="21"/>
          <w:szCs w:val="21"/>
        </w:rPr>
      </w:pPr>
      <w:r>
        <w:rPr>
          <w:rFonts w:ascii="宋体" w:hAnsi="宋体" w:cs="宋体" w:eastAsia="宋体" w:hint="default"/>
          <w:sz w:val="21"/>
          <w:szCs w:val="21"/>
        </w:rPr>
        <w:t>（3）控股子公司—新疆东港安全印刷有限公司：</w:t>
      </w:r>
    </w:p>
    <w:p>
      <w:pPr>
        <w:spacing w:line="357" w:lineRule="auto" w:before="134"/>
        <w:ind w:left="217" w:right="212" w:firstLine="42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6"/>
          <w:sz w:val="21"/>
          <w:szCs w:val="21"/>
        </w:rPr>
        <w:t> </w:t>
      </w:r>
      <w:r>
        <w:rPr>
          <w:rFonts w:ascii="宋体" w:hAnsi="宋体" w:cs="宋体" w:eastAsia="宋体" w:hint="default"/>
          <w:sz w:val="21"/>
          <w:szCs w:val="21"/>
        </w:rPr>
        <w:t>2005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46"/>
          <w:sz w:val="21"/>
          <w:szCs w:val="21"/>
        </w:rPr>
        <w:t> </w:t>
      </w:r>
      <w:r>
        <w:rPr>
          <w:rFonts w:ascii="宋体" w:hAnsi="宋体" w:cs="宋体" w:eastAsia="宋体" w:hint="default"/>
          <w:sz w:val="21"/>
          <w:szCs w:val="21"/>
        </w:rPr>
        <w:t>日成立，注册资本</w:t>
      </w:r>
      <w:r>
        <w:rPr>
          <w:rFonts w:ascii="宋体" w:hAnsi="宋体" w:cs="宋体" w:eastAsia="宋体" w:hint="default"/>
          <w:spacing w:val="-46"/>
          <w:sz w:val="21"/>
          <w:szCs w:val="21"/>
        </w:rPr>
        <w:t> </w:t>
      </w:r>
      <w:r>
        <w:rPr>
          <w:rFonts w:ascii="宋体" w:hAnsi="宋体" w:cs="宋体" w:eastAsia="宋体" w:hint="default"/>
          <w:sz w:val="21"/>
          <w:szCs w:val="21"/>
        </w:rPr>
        <w:t>500</w:t>
      </w:r>
      <w:r>
        <w:rPr>
          <w:rFonts w:ascii="宋体" w:hAnsi="宋体" w:cs="宋体" w:eastAsia="宋体" w:hint="default"/>
          <w:spacing w:val="-46"/>
          <w:sz w:val="21"/>
          <w:szCs w:val="21"/>
        </w:rPr>
        <w:t> </w:t>
      </w:r>
      <w:r>
        <w:rPr>
          <w:rFonts w:ascii="宋体" w:hAnsi="宋体" w:cs="宋体" w:eastAsia="宋体" w:hint="default"/>
          <w:sz w:val="21"/>
          <w:szCs w:val="21"/>
        </w:rPr>
        <w:t>万元，本公司持股比例为</w:t>
      </w:r>
      <w:r>
        <w:rPr>
          <w:rFonts w:ascii="宋体" w:hAnsi="宋体" w:cs="宋体" w:eastAsia="宋体" w:hint="default"/>
          <w:spacing w:val="-46"/>
          <w:sz w:val="21"/>
          <w:szCs w:val="21"/>
        </w:rPr>
        <w:t> </w:t>
      </w:r>
      <w:r>
        <w:rPr>
          <w:rFonts w:ascii="宋体" w:hAnsi="宋体" w:cs="宋体" w:eastAsia="宋体" w:hint="default"/>
          <w:sz w:val="21"/>
          <w:szCs w:val="21"/>
        </w:rPr>
        <w:t>75%。公司法定</w:t>
      </w:r>
      <w:r>
        <w:rPr>
          <w:rFonts w:ascii="宋体" w:hAnsi="宋体" w:cs="宋体" w:eastAsia="宋体" w:hint="default"/>
          <w:sz w:val="21"/>
          <w:szCs w:val="21"/>
        </w:rPr>
        <w:t> </w:t>
      </w:r>
      <w:r>
        <w:rPr>
          <w:rFonts w:ascii="宋体" w:hAnsi="宋体" w:cs="宋体" w:eastAsia="宋体" w:hint="default"/>
          <w:spacing w:val="-3"/>
          <w:sz w:val="21"/>
          <w:szCs w:val="21"/>
        </w:rPr>
        <w:t>代表人：谷望江。注册地址：乌鲁木齐经济技术开发区上海西路。经营范围：自治区区域内</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的其他印刷品印刷（票证）。纸制品的生产、销售；高档纸的防伪处理、销售；数据打印系</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统的开发、生产；科技信息咨询服务；IC</w:t>
      </w:r>
      <w:r>
        <w:rPr>
          <w:rFonts w:ascii="宋体" w:hAnsi="宋体" w:cs="宋体" w:eastAsia="宋体" w:hint="default"/>
          <w:spacing w:val="-54"/>
          <w:sz w:val="21"/>
          <w:szCs w:val="21"/>
        </w:rPr>
        <w:t> </w:t>
      </w:r>
      <w:r>
        <w:rPr>
          <w:rFonts w:ascii="宋体" w:hAnsi="宋体" w:cs="宋体" w:eastAsia="宋体" w:hint="default"/>
          <w:sz w:val="21"/>
          <w:szCs w:val="21"/>
        </w:rPr>
        <w:t>卡产品、智能标签产品的生产、销售。</w:t>
      </w:r>
    </w:p>
    <w:p>
      <w:pPr>
        <w:spacing w:before="30"/>
        <w:ind w:left="637" w:right="1035" w:firstLine="0"/>
        <w:jc w:val="left"/>
        <w:rPr>
          <w:rFonts w:ascii="宋体" w:hAnsi="宋体" w:cs="宋体" w:eastAsia="宋体" w:hint="default"/>
          <w:sz w:val="21"/>
          <w:szCs w:val="21"/>
        </w:rPr>
      </w:pPr>
      <w:r>
        <w:rPr>
          <w:rFonts w:ascii="宋体" w:hAnsi="宋体" w:cs="宋体" w:eastAsia="宋体" w:hint="default"/>
          <w:sz w:val="21"/>
          <w:szCs w:val="21"/>
        </w:rPr>
        <w:t>报告期实现净利</w:t>
      </w:r>
      <w:r>
        <w:rPr>
          <w:rFonts w:ascii="宋体" w:hAnsi="宋体" w:cs="宋体" w:eastAsia="宋体" w:hint="default"/>
          <w:spacing w:val="-61"/>
          <w:sz w:val="21"/>
          <w:szCs w:val="21"/>
        </w:rPr>
        <w:t> </w:t>
      </w:r>
      <w:r>
        <w:rPr>
          <w:rFonts w:ascii="宋体" w:hAnsi="宋体" w:cs="宋体" w:eastAsia="宋体" w:hint="default"/>
          <w:sz w:val="21"/>
          <w:szCs w:val="21"/>
        </w:rPr>
        <w:t>312.41</w:t>
      </w:r>
      <w:r>
        <w:rPr>
          <w:rFonts w:ascii="宋体" w:hAnsi="宋体" w:cs="宋体" w:eastAsia="宋体" w:hint="default"/>
          <w:spacing w:val="-61"/>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61"/>
          <w:sz w:val="21"/>
          <w:szCs w:val="21"/>
        </w:rPr>
        <w:t> </w:t>
      </w:r>
      <w:r>
        <w:rPr>
          <w:rFonts w:ascii="宋体" w:hAnsi="宋体" w:cs="宋体" w:eastAsia="宋体" w:hint="default"/>
          <w:sz w:val="21"/>
          <w:szCs w:val="21"/>
        </w:rPr>
        <w:t>1128.97</w:t>
      </w:r>
      <w:r>
        <w:rPr>
          <w:rFonts w:ascii="宋体" w:hAnsi="宋体" w:cs="宋体" w:eastAsia="宋体" w:hint="default"/>
          <w:spacing w:val="-61"/>
          <w:sz w:val="21"/>
          <w:szCs w:val="21"/>
        </w:rPr>
        <w:t> </w:t>
      </w:r>
      <w:r>
        <w:rPr>
          <w:rFonts w:ascii="宋体" w:hAnsi="宋体" w:cs="宋体" w:eastAsia="宋体" w:hint="default"/>
          <w:sz w:val="21"/>
          <w:szCs w:val="21"/>
        </w:rPr>
        <w:t>万元。</w:t>
      </w:r>
    </w:p>
    <w:p>
      <w:pPr>
        <w:spacing w:before="134"/>
        <w:ind w:left="217" w:right="1035" w:firstLine="0"/>
        <w:jc w:val="left"/>
        <w:rPr>
          <w:rFonts w:ascii="宋体" w:hAnsi="宋体" w:cs="宋体" w:eastAsia="宋体" w:hint="default"/>
          <w:sz w:val="21"/>
          <w:szCs w:val="21"/>
        </w:rPr>
      </w:pPr>
      <w:r>
        <w:rPr>
          <w:rFonts w:ascii="宋体" w:hAnsi="宋体" w:cs="宋体" w:eastAsia="宋体" w:hint="default"/>
          <w:sz w:val="21"/>
          <w:szCs w:val="21"/>
        </w:rPr>
        <w:t>（4）控股子公司—上海东港印刷有限公司：</w:t>
      </w:r>
    </w:p>
    <w:p>
      <w:pPr>
        <w:spacing w:before="133"/>
        <w:ind w:left="637" w:right="128" w:firstLine="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6"/>
          <w:sz w:val="21"/>
          <w:szCs w:val="21"/>
        </w:rPr>
        <w:t> </w:t>
      </w:r>
      <w:r>
        <w:rPr>
          <w:rFonts w:ascii="宋体" w:hAnsi="宋体" w:cs="宋体" w:eastAsia="宋体" w:hint="default"/>
          <w:sz w:val="21"/>
          <w:szCs w:val="21"/>
        </w:rPr>
        <w:t>2006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日成立，注册资本</w:t>
      </w:r>
      <w:r>
        <w:rPr>
          <w:rFonts w:ascii="宋体" w:hAnsi="宋体" w:cs="宋体" w:eastAsia="宋体" w:hint="default"/>
          <w:spacing w:val="-46"/>
          <w:sz w:val="21"/>
          <w:szCs w:val="21"/>
        </w:rPr>
        <w:t> </w:t>
      </w:r>
      <w:r>
        <w:rPr>
          <w:rFonts w:ascii="宋体" w:hAnsi="宋体" w:cs="宋体" w:eastAsia="宋体" w:hint="default"/>
          <w:sz w:val="21"/>
          <w:szCs w:val="21"/>
        </w:rPr>
        <w:t>3,000</w:t>
      </w:r>
      <w:r>
        <w:rPr>
          <w:rFonts w:ascii="宋体" w:hAnsi="宋体" w:cs="宋体" w:eastAsia="宋体" w:hint="default"/>
          <w:spacing w:val="-47"/>
          <w:sz w:val="21"/>
          <w:szCs w:val="21"/>
        </w:rPr>
        <w:t> </w:t>
      </w:r>
      <w:r>
        <w:rPr>
          <w:rFonts w:ascii="宋体" w:hAnsi="宋体" w:cs="宋体" w:eastAsia="宋体" w:hint="default"/>
          <w:sz w:val="21"/>
          <w:szCs w:val="21"/>
        </w:rPr>
        <w:t>万元，本公司持股比例为</w:t>
      </w:r>
      <w:r>
        <w:rPr>
          <w:rFonts w:ascii="宋体" w:hAnsi="宋体" w:cs="宋体" w:eastAsia="宋体" w:hint="default"/>
          <w:spacing w:val="-46"/>
          <w:sz w:val="21"/>
          <w:szCs w:val="21"/>
        </w:rPr>
        <w:t> </w:t>
      </w:r>
      <w:r>
        <w:rPr>
          <w:rFonts w:ascii="宋体" w:hAnsi="宋体" w:cs="宋体" w:eastAsia="宋体" w:hint="default"/>
          <w:sz w:val="21"/>
          <w:szCs w:val="21"/>
        </w:rPr>
        <w:t>75%。公司法</w:t>
      </w:r>
    </w:p>
    <w:p>
      <w:pPr>
        <w:spacing w:line="355" w:lineRule="auto" w:before="134"/>
        <w:ind w:left="217" w:right="203" w:firstLine="0"/>
        <w:jc w:val="left"/>
        <w:rPr>
          <w:rFonts w:ascii="宋体" w:hAnsi="宋体" w:cs="宋体" w:eastAsia="宋体" w:hint="default"/>
          <w:sz w:val="21"/>
          <w:szCs w:val="21"/>
        </w:rPr>
      </w:pPr>
      <w:r>
        <w:rPr>
          <w:rFonts w:ascii="宋体" w:hAnsi="宋体" w:cs="宋体" w:eastAsia="宋体" w:hint="default"/>
          <w:spacing w:val="-3"/>
          <w:sz w:val="21"/>
          <w:szCs w:val="21"/>
        </w:rPr>
        <w:t>定代表人：史建中。注册地址：闵行区莘庄工业区联农路</w:t>
      </w:r>
      <w:r>
        <w:rPr>
          <w:rFonts w:ascii="宋体" w:hAnsi="宋体" w:cs="宋体" w:eastAsia="宋体" w:hint="default"/>
          <w:spacing w:val="-48"/>
          <w:sz w:val="21"/>
          <w:szCs w:val="21"/>
        </w:rPr>
        <w:t> </w:t>
      </w:r>
      <w:r>
        <w:rPr>
          <w:rFonts w:ascii="宋体" w:hAnsi="宋体" w:cs="宋体" w:eastAsia="宋体" w:hint="default"/>
          <w:sz w:val="21"/>
          <w:szCs w:val="21"/>
        </w:rPr>
        <w:t>589</w:t>
      </w:r>
      <w:r>
        <w:rPr>
          <w:rFonts w:ascii="宋体" w:hAnsi="宋体" w:cs="宋体" w:eastAsia="宋体" w:hint="default"/>
          <w:spacing w:val="-48"/>
          <w:sz w:val="21"/>
          <w:szCs w:val="21"/>
        </w:rPr>
        <w:t> </w:t>
      </w:r>
      <w:r>
        <w:rPr>
          <w:rFonts w:ascii="宋体" w:hAnsi="宋体" w:cs="宋体" w:eastAsia="宋体" w:hint="default"/>
          <w:sz w:val="21"/>
          <w:szCs w:val="21"/>
        </w:rPr>
        <w:t>号</w:t>
      </w:r>
      <w:r>
        <w:rPr>
          <w:rFonts w:ascii="宋体" w:hAnsi="宋体" w:cs="宋体" w:eastAsia="宋体" w:hint="default"/>
          <w:spacing w:val="-48"/>
          <w:sz w:val="21"/>
          <w:szCs w:val="21"/>
        </w:rPr>
        <w:t> </w:t>
      </w:r>
      <w:r>
        <w:rPr>
          <w:rFonts w:ascii="宋体" w:hAnsi="宋体" w:cs="宋体" w:eastAsia="宋体" w:hint="default"/>
          <w:sz w:val="21"/>
          <w:szCs w:val="21"/>
        </w:rPr>
        <w:t>143</w:t>
      </w:r>
      <w:r>
        <w:rPr>
          <w:rFonts w:ascii="宋体" w:hAnsi="宋体" w:cs="宋体" w:eastAsia="宋体" w:hint="default"/>
          <w:spacing w:val="-47"/>
          <w:sz w:val="21"/>
          <w:szCs w:val="21"/>
        </w:rPr>
        <w:t> </w:t>
      </w:r>
      <w:r>
        <w:rPr>
          <w:rFonts w:ascii="宋体" w:hAnsi="宋体" w:cs="宋体" w:eastAsia="宋体" w:hint="default"/>
          <w:spacing w:val="-4"/>
          <w:sz w:val="21"/>
          <w:szCs w:val="21"/>
        </w:rPr>
        <w:t>弄。经营范围：包包装</w:t>
      </w:r>
      <w:r>
        <w:rPr>
          <w:rFonts w:ascii="宋体" w:hAnsi="宋体" w:cs="宋体" w:eastAsia="宋体" w:hint="default"/>
          <w:sz w:val="21"/>
          <w:szCs w:val="21"/>
        </w:rPr>
        <w:t> 装潢印刷，零件印刷，计算机软件开发。</w:t>
      </w:r>
    </w:p>
    <w:p>
      <w:pPr>
        <w:spacing w:before="32"/>
        <w:ind w:left="637" w:right="1035" w:firstLine="0"/>
        <w:jc w:val="left"/>
        <w:rPr>
          <w:rFonts w:ascii="宋体" w:hAnsi="宋体" w:cs="宋体" w:eastAsia="宋体" w:hint="default"/>
          <w:sz w:val="21"/>
          <w:szCs w:val="21"/>
        </w:rPr>
      </w:pPr>
      <w:r>
        <w:rPr>
          <w:rFonts w:ascii="宋体" w:hAnsi="宋体" w:cs="宋体" w:eastAsia="宋体" w:hint="default"/>
          <w:sz w:val="21"/>
          <w:szCs w:val="21"/>
        </w:rPr>
        <w:t>报告期实现净利润</w:t>
      </w:r>
      <w:r>
        <w:rPr>
          <w:rFonts w:ascii="宋体" w:hAnsi="宋体" w:cs="宋体" w:eastAsia="宋体" w:hint="default"/>
          <w:spacing w:val="-62"/>
          <w:sz w:val="21"/>
          <w:szCs w:val="21"/>
        </w:rPr>
        <w:t> </w:t>
      </w:r>
      <w:r>
        <w:rPr>
          <w:rFonts w:ascii="宋体" w:hAnsi="宋体" w:cs="宋体" w:eastAsia="宋体" w:hint="default"/>
          <w:sz w:val="21"/>
          <w:szCs w:val="21"/>
        </w:rPr>
        <w:t>156.88</w:t>
      </w:r>
      <w:r>
        <w:rPr>
          <w:rFonts w:ascii="宋体" w:hAnsi="宋体" w:cs="宋体" w:eastAsia="宋体" w:hint="default"/>
          <w:spacing w:val="-61"/>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62"/>
          <w:sz w:val="21"/>
          <w:szCs w:val="21"/>
        </w:rPr>
        <w:t> </w:t>
      </w:r>
      <w:r>
        <w:rPr>
          <w:rFonts w:ascii="宋体" w:hAnsi="宋体" w:cs="宋体" w:eastAsia="宋体" w:hint="default"/>
          <w:sz w:val="21"/>
          <w:szCs w:val="21"/>
        </w:rPr>
        <w:t>9,088.47</w:t>
      </w:r>
      <w:r>
        <w:rPr>
          <w:rFonts w:ascii="宋体" w:hAnsi="宋体" w:cs="宋体" w:eastAsia="宋体" w:hint="default"/>
          <w:spacing w:val="-62"/>
          <w:sz w:val="21"/>
          <w:szCs w:val="21"/>
        </w:rPr>
        <w:t> </w:t>
      </w:r>
      <w:r>
        <w:rPr>
          <w:rFonts w:ascii="宋体" w:hAnsi="宋体" w:cs="宋体" w:eastAsia="宋体" w:hint="default"/>
          <w:sz w:val="21"/>
          <w:szCs w:val="21"/>
        </w:rPr>
        <w:t>万元。</w:t>
      </w:r>
    </w:p>
    <w:p>
      <w:pPr>
        <w:spacing w:before="134"/>
        <w:ind w:left="217" w:right="1035" w:firstLine="0"/>
        <w:jc w:val="left"/>
        <w:rPr>
          <w:rFonts w:ascii="宋体" w:hAnsi="宋体" w:cs="宋体" w:eastAsia="宋体" w:hint="default"/>
          <w:sz w:val="21"/>
          <w:szCs w:val="21"/>
        </w:rPr>
      </w:pPr>
      <w:r>
        <w:rPr>
          <w:rFonts w:ascii="宋体" w:hAnsi="宋体" w:cs="宋体" w:eastAsia="宋体" w:hint="default"/>
          <w:sz w:val="21"/>
          <w:szCs w:val="21"/>
        </w:rPr>
        <w:t>（5）控股子公司—青海东港安全印刷有限公司：</w:t>
      </w:r>
    </w:p>
    <w:p>
      <w:pPr>
        <w:spacing w:line="357" w:lineRule="auto" w:before="133"/>
        <w:ind w:left="217" w:right="212" w:firstLine="42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6"/>
          <w:sz w:val="21"/>
          <w:szCs w:val="21"/>
        </w:rPr>
        <w:t> </w:t>
      </w:r>
      <w:r>
        <w:rPr>
          <w:rFonts w:ascii="宋体" w:hAnsi="宋体" w:cs="宋体" w:eastAsia="宋体" w:hint="default"/>
          <w:sz w:val="21"/>
          <w:szCs w:val="21"/>
        </w:rPr>
        <w:t>2006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10</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23</w:t>
      </w:r>
      <w:r>
        <w:rPr>
          <w:rFonts w:ascii="宋体" w:hAnsi="宋体" w:cs="宋体" w:eastAsia="宋体" w:hint="default"/>
          <w:spacing w:val="-47"/>
          <w:sz w:val="21"/>
          <w:szCs w:val="21"/>
        </w:rPr>
        <w:t> </w:t>
      </w:r>
      <w:r>
        <w:rPr>
          <w:rFonts w:ascii="宋体" w:hAnsi="宋体" w:cs="宋体" w:eastAsia="宋体" w:hint="default"/>
          <w:sz w:val="21"/>
          <w:szCs w:val="21"/>
        </w:rPr>
        <w:t>日成立，注册资本</w:t>
      </w:r>
      <w:r>
        <w:rPr>
          <w:rFonts w:ascii="宋体" w:hAnsi="宋体" w:cs="宋体" w:eastAsia="宋体" w:hint="default"/>
          <w:spacing w:val="-46"/>
          <w:sz w:val="21"/>
          <w:szCs w:val="21"/>
        </w:rPr>
        <w:t> </w:t>
      </w:r>
      <w:r>
        <w:rPr>
          <w:rFonts w:ascii="宋体" w:hAnsi="宋体" w:cs="宋体" w:eastAsia="宋体" w:hint="default"/>
          <w:sz w:val="21"/>
          <w:szCs w:val="21"/>
        </w:rPr>
        <w:t>500</w:t>
      </w:r>
      <w:r>
        <w:rPr>
          <w:rFonts w:ascii="宋体" w:hAnsi="宋体" w:cs="宋体" w:eastAsia="宋体" w:hint="default"/>
          <w:spacing w:val="-47"/>
          <w:sz w:val="21"/>
          <w:szCs w:val="21"/>
        </w:rPr>
        <w:t> </w:t>
      </w:r>
      <w:r>
        <w:rPr>
          <w:rFonts w:ascii="宋体" w:hAnsi="宋体" w:cs="宋体" w:eastAsia="宋体" w:hint="default"/>
          <w:sz w:val="21"/>
          <w:szCs w:val="21"/>
        </w:rPr>
        <w:t>万元，本公司持股比例为</w:t>
      </w:r>
      <w:r>
        <w:rPr>
          <w:rFonts w:ascii="宋体" w:hAnsi="宋体" w:cs="宋体" w:eastAsia="宋体" w:hint="default"/>
          <w:spacing w:val="-46"/>
          <w:sz w:val="21"/>
          <w:szCs w:val="21"/>
        </w:rPr>
        <w:t> </w:t>
      </w:r>
      <w:r>
        <w:rPr>
          <w:rFonts w:ascii="宋体" w:hAnsi="宋体" w:cs="宋体" w:eastAsia="宋体" w:hint="default"/>
          <w:sz w:val="21"/>
          <w:szCs w:val="21"/>
        </w:rPr>
        <w:t>75%。公司法</w:t>
      </w:r>
      <w:r>
        <w:rPr>
          <w:rFonts w:ascii="宋体" w:hAnsi="宋体" w:cs="宋体" w:eastAsia="宋体" w:hint="default"/>
          <w:sz w:val="21"/>
          <w:szCs w:val="21"/>
        </w:rPr>
        <w:t> </w:t>
      </w:r>
      <w:r>
        <w:rPr>
          <w:rFonts w:ascii="宋体" w:hAnsi="宋体" w:cs="宋体" w:eastAsia="宋体" w:hint="default"/>
          <w:spacing w:val="-3"/>
          <w:sz w:val="21"/>
          <w:szCs w:val="21"/>
        </w:rPr>
        <w:t>定代表人：谷望江。注册地址：西宁经济技术开发区中小企业创业园。经营范围：包装装潢</w:t>
      </w:r>
    </w:p>
    <w:p>
      <w:pPr>
        <w:spacing w:after="0" w:line="357" w:lineRule="auto"/>
        <w:jc w:val="both"/>
        <w:rPr>
          <w:rFonts w:ascii="宋体" w:hAnsi="宋体" w:cs="宋体" w:eastAsia="宋体" w:hint="default"/>
          <w:sz w:val="21"/>
          <w:szCs w:val="21"/>
        </w:rPr>
        <w:sectPr>
          <w:headerReference w:type="default" r:id="rId30"/>
          <w:pgSz w:w="11910" w:h="16840"/>
          <w:pgMar w:header="915" w:footer="1712" w:top="1100" w:bottom="1900" w:left="1580" w:right="1580"/>
        </w:sectPr>
      </w:pPr>
    </w:p>
    <w:p>
      <w:pPr>
        <w:spacing w:before="18"/>
        <w:ind w:left="137" w:right="107"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497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z w:val="21"/>
          <w:szCs w:val="21"/>
        </w:rPr>
        <w:t>印刷和其他印刷品印刷，软件的开发、生产。</w:t>
      </w:r>
    </w:p>
    <w:p>
      <w:pPr>
        <w:spacing w:line="357" w:lineRule="auto" w:before="133"/>
        <w:ind w:left="137" w:right="107" w:firstLine="420"/>
        <w:jc w:val="left"/>
        <w:rPr>
          <w:rFonts w:ascii="宋体" w:hAnsi="宋体" w:cs="宋体" w:eastAsia="宋体" w:hint="default"/>
          <w:sz w:val="21"/>
          <w:szCs w:val="21"/>
        </w:rPr>
      </w:pPr>
      <w:r>
        <w:rPr>
          <w:rFonts w:ascii="宋体" w:hAnsi="宋体" w:cs="宋体" w:eastAsia="宋体" w:hint="default"/>
          <w:sz w:val="21"/>
          <w:szCs w:val="21"/>
        </w:rPr>
        <w:t>报告期实现净利润</w:t>
      </w:r>
      <w:r>
        <w:rPr>
          <w:rFonts w:ascii="宋体" w:hAnsi="宋体" w:cs="宋体" w:eastAsia="宋体" w:hint="default"/>
          <w:spacing w:val="-60"/>
          <w:sz w:val="21"/>
          <w:szCs w:val="21"/>
        </w:rPr>
        <w:t> </w:t>
      </w:r>
      <w:r>
        <w:rPr>
          <w:rFonts w:ascii="宋体" w:hAnsi="宋体" w:cs="宋体" w:eastAsia="宋体" w:hint="default"/>
          <w:sz w:val="21"/>
          <w:szCs w:val="21"/>
        </w:rPr>
        <w:t>301.05</w:t>
      </w:r>
      <w:r>
        <w:rPr>
          <w:rFonts w:ascii="宋体" w:hAnsi="宋体" w:cs="宋体" w:eastAsia="宋体" w:hint="default"/>
          <w:spacing w:val="-59"/>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60"/>
          <w:sz w:val="21"/>
          <w:szCs w:val="21"/>
        </w:rPr>
        <w:t> </w:t>
      </w:r>
      <w:r>
        <w:rPr>
          <w:rFonts w:ascii="宋体" w:hAnsi="宋体" w:cs="宋体" w:eastAsia="宋体" w:hint="default"/>
          <w:sz w:val="21"/>
          <w:szCs w:val="21"/>
        </w:rPr>
        <w:t>964.62</w:t>
      </w:r>
      <w:r>
        <w:rPr>
          <w:rFonts w:ascii="宋体" w:hAnsi="宋体" w:cs="宋体" w:eastAsia="宋体" w:hint="default"/>
          <w:spacing w:val="-59"/>
          <w:sz w:val="21"/>
          <w:szCs w:val="21"/>
        </w:rPr>
        <w:t> </w:t>
      </w:r>
      <w:r>
        <w:rPr>
          <w:rFonts w:ascii="宋体" w:hAnsi="宋体" w:cs="宋体" w:eastAsia="宋体" w:hint="default"/>
          <w:sz w:val="21"/>
          <w:szCs w:val="21"/>
        </w:rPr>
        <w:t>万元。</w:t>
      </w:r>
      <w:r>
        <w:rPr>
          <w:rFonts w:ascii="宋体" w:hAnsi="宋体" w:cs="宋体" w:eastAsia="宋体" w:hint="default"/>
          <w:spacing w:val="-1"/>
          <w:sz w:val="21"/>
          <w:szCs w:val="21"/>
        </w:rPr>
        <w:t> </w:t>
      </w:r>
      <w:r>
        <w:rPr>
          <w:rFonts w:ascii="宋体" w:hAnsi="宋体" w:cs="宋体" w:eastAsia="宋体" w:hint="default"/>
          <w:sz w:val="21"/>
          <w:szCs w:val="21"/>
        </w:rPr>
        <w:t>8、报告期内设置子公司的情况</w:t>
      </w:r>
    </w:p>
    <w:p>
      <w:pPr>
        <w:spacing w:line="357" w:lineRule="auto" w:before="30"/>
        <w:ind w:left="557" w:right="197" w:hanging="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山东东港安全印刷有限公司</w:t>
      </w:r>
      <w:r>
        <w:rPr>
          <w:rFonts w:ascii="宋体" w:hAnsi="宋体" w:cs="宋体" w:eastAsia="宋体" w:hint="default"/>
          <w:sz w:val="21"/>
          <w:szCs w:val="21"/>
        </w:rPr>
        <w:t> 为建立集团化管理的架构，实现集团对各控股子公司的统一管理，公司于</w:t>
      </w:r>
      <w:r>
        <w:rPr>
          <w:rFonts w:ascii="宋体" w:hAnsi="宋体" w:cs="宋体" w:eastAsia="宋体" w:hint="default"/>
          <w:spacing w:val="-49"/>
          <w:sz w:val="21"/>
          <w:szCs w:val="21"/>
        </w:rPr>
        <w:t> </w:t>
      </w: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w:t>
      </w:r>
    </w:p>
    <w:p>
      <w:pPr>
        <w:spacing w:line="355" w:lineRule="auto" w:before="30"/>
        <w:ind w:left="137" w:right="107" w:firstLine="0"/>
        <w:jc w:val="left"/>
        <w:rPr>
          <w:rFonts w:ascii="宋体" w:hAnsi="宋体" w:cs="宋体" w:eastAsia="宋体" w:hint="default"/>
          <w:sz w:val="21"/>
          <w:szCs w:val="21"/>
        </w:rPr>
      </w:pPr>
      <w:r>
        <w:rPr>
          <w:rFonts w:ascii="宋体" w:hAnsi="宋体" w:cs="宋体" w:eastAsia="宋体" w:hint="default"/>
          <w:spacing w:val="-3"/>
          <w:sz w:val="21"/>
          <w:szCs w:val="21"/>
        </w:rPr>
        <w:t>独资设立了山东东港安全印刷有限公司，详情见</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r>
        <w:rPr>
          <w:rFonts w:ascii="宋体" w:hAnsi="宋体" w:cs="宋体" w:eastAsia="宋体" w:hint="default"/>
          <w:spacing w:val="-50"/>
          <w:sz w:val="21"/>
          <w:szCs w:val="21"/>
        </w:rPr>
        <w:t> </w:t>
      </w:r>
      <w:r>
        <w:rPr>
          <w:rFonts w:ascii="宋体" w:hAnsi="宋体" w:cs="宋体" w:eastAsia="宋体" w:hint="default"/>
          <w:spacing w:val="-6"/>
          <w:sz w:val="21"/>
          <w:szCs w:val="21"/>
        </w:rPr>
        <w:t>日在《证券时报》和巨潮资</w:t>
      </w:r>
      <w:hyperlink r:id="rId19">
        <w:r>
          <w:rPr>
            <w:rFonts w:ascii="宋体" w:hAnsi="宋体" w:cs="宋体" w:eastAsia="宋体" w:hint="default"/>
            <w:spacing w:val="-1"/>
            <w:sz w:val="21"/>
            <w:szCs w:val="21"/>
          </w:rPr>
          <w:t> </w:t>
        </w:r>
        <w:r>
          <w:rPr>
            <w:rFonts w:ascii="宋体" w:hAnsi="宋体" w:cs="宋体" w:eastAsia="宋体" w:hint="default"/>
            <w:spacing w:val="-4"/>
            <w:sz w:val="21"/>
            <w:szCs w:val="21"/>
          </w:rPr>
          <w:t>讯网（www.cninfo.com.cn）上公告的</w:t>
        </w:r>
      </w:hyperlink>
      <w:r>
        <w:rPr>
          <w:rFonts w:ascii="宋体" w:hAnsi="宋体" w:cs="宋体" w:eastAsia="宋体" w:hint="default"/>
          <w:spacing w:val="-4"/>
          <w:sz w:val="21"/>
          <w:szCs w:val="21"/>
        </w:rPr>
        <w:t>《第二届董事会第八次会议决议公告》。</w:t>
      </w:r>
    </w:p>
    <w:p>
      <w:pPr>
        <w:spacing w:before="33"/>
        <w:ind w:left="557" w:right="107"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该公司报告期实现净利润-0.15</w:t>
      </w:r>
      <w:r>
        <w:rPr>
          <w:rFonts w:ascii="宋体" w:hAnsi="宋体" w:cs="宋体" w:eastAsia="宋体" w:hint="default"/>
          <w:spacing w:val="-64"/>
          <w:sz w:val="21"/>
          <w:szCs w:val="21"/>
        </w:rPr>
        <w:t> </w:t>
      </w:r>
      <w:r>
        <w:rPr>
          <w:rFonts w:ascii="宋体" w:hAnsi="宋体" w:cs="宋体" w:eastAsia="宋体" w:hint="default"/>
          <w:sz w:val="21"/>
          <w:szCs w:val="21"/>
        </w:rPr>
        <w:t>元，报告期末资产总额</w:t>
      </w:r>
      <w:r>
        <w:rPr>
          <w:rFonts w:ascii="宋体" w:hAnsi="宋体" w:cs="宋体" w:eastAsia="宋体" w:hint="default"/>
          <w:spacing w:val="-65"/>
          <w:sz w:val="21"/>
          <w:szCs w:val="21"/>
        </w:rPr>
        <w:t> </w:t>
      </w:r>
      <w:r>
        <w:rPr>
          <w:rFonts w:ascii="宋体" w:hAnsi="宋体" w:cs="宋体" w:eastAsia="宋体" w:hint="default"/>
          <w:sz w:val="21"/>
          <w:szCs w:val="21"/>
        </w:rPr>
        <w:t>3,010.04</w:t>
      </w:r>
      <w:r>
        <w:rPr>
          <w:rFonts w:ascii="宋体" w:hAnsi="宋体" w:cs="宋体" w:eastAsia="宋体" w:hint="default"/>
          <w:spacing w:val="-64"/>
          <w:sz w:val="21"/>
          <w:szCs w:val="21"/>
        </w:rPr>
        <w:t> </w:t>
      </w:r>
      <w:r>
        <w:rPr>
          <w:rFonts w:ascii="宋体" w:hAnsi="宋体" w:cs="宋体" w:eastAsia="宋体" w:hint="default"/>
          <w:sz w:val="21"/>
          <w:szCs w:val="21"/>
        </w:rPr>
        <w:t>万元。</w:t>
      </w:r>
    </w:p>
    <w:p>
      <w:pPr>
        <w:spacing w:before="133"/>
        <w:ind w:left="137" w:right="10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成都东港安全印刷有限公司</w:t>
      </w:r>
    </w:p>
    <w:p>
      <w:pPr>
        <w:spacing w:before="134"/>
        <w:ind w:left="557" w:right="107" w:firstLine="0"/>
        <w:jc w:val="left"/>
        <w:rPr>
          <w:rFonts w:ascii="宋体" w:hAnsi="宋体" w:cs="宋体" w:eastAsia="宋体" w:hint="default"/>
          <w:sz w:val="21"/>
          <w:szCs w:val="21"/>
        </w:rPr>
      </w:pPr>
      <w:r>
        <w:rPr>
          <w:rFonts w:ascii="宋体" w:hAnsi="宋体" w:cs="宋体" w:eastAsia="宋体" w:hint="default"/>
          <w:spacing w:val="-5"/>
          <w:sz w:val="21"/>
          <w:szCs w:val="21"/>
        </w:rPr>
        <w:t>为开拓四川地区的业务，扩大市场份额，公司于</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月独资设立了成都东港安全</w:t>
      </w:r>
    </w:p>
    <w:p>
      <w:pPr>
        <w:spacing w:before="133"/>
        <w:ind w:left="137" w:right="0" w:firstLine="0"/>
        <w:jc w:val="left"/>
        <w:rPr>
          <w:rFonts w:ascii="宋体" w:hAnsi="宋体" w:cs="宋体" w:eastAsia="宋体" w:hint="default"/>
          <w:sz w:val="21"/>
          <w:szCs w:val="21"/>
        </w:rPr>
      </w:pPr>
      <w:r>
        <w:rPr>
          <w:rFonts w:ascii="宋体" w:hAnsi="宋体" w:cs="宋体" w:eastAsia="宋体" w:hint="default"/>
          <w:sz w:val="21"/>
          <w:szCs w:val="21"/>
        </w:rPr>
        <w:t>印刷有限公司</w:t>
      </w:r>
      <w:r>
        <w:rPr>
          <w:rFonts w:ascii="宋体" w:hAnsi="宋体" w:cs="宋体" w:eastAsia="宋体" w:hint="default"/>
          <w:spacing w:val="-101"/>
          <w:sz w:val="21"/>
          <w:szCs w:val="21"/>
        </w:rPr>
        <w:t>，</w:t>
      </w:r>
      <w:r>
        <w:rPr>
          <w:rFonts w:ascii="宋体" w:hAnsi="宋体" w:cs="宋体" w:eastAsia="宋体" w:hint="default"/>
          <w:sz w:val="21"/>
          <w:szCs w:val="21"/>
        </w:rPr>
        <w:t>详情见</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101"/>
          <w:sz w:val="21"/>
          <w:szCs w:val="21"/>
        </w:rPr>
        <w:t>在</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时报</w:t>
      </w:r>
      <w:r>
        <w:rPr>
          <w:rFonts w:ascii="宋体" w:hAnsi="宋体" w:cs="宋体" w:eastAsia="宋体" w:hint="default"/>
          <w:spacing w:val="-101"/>
          <w:sz w:val="21"/>
          <w:szCs w:val="21"/>
        </w:rPr>
        <w:t>》</w:t>
      </w:r>
      <w:r>
        <w:rPr>
          <w:rFonts w:ascii="宋体" w:hAnsi="宋体" w:cs="宋体" w:eastAsia="宋体" w:hint="default"/>
          <w:sz w:val="21"/>
          <w:szCs w:val="21"/>
        </w:rPr>
        <w:t>和巨潮资讯</w:t>
      </w:r>
      <w:r>
        <w:rPr>
          <w:rFonts w:ascii="宋体" w:hAnsi="宋体" w:cs="宋体" w:eastAsia="宋体" w:hint="default"/>
          <w:spacing w:val="-101"/>
          <w:sz w:val="21"/>
          <w:szCs w:val="21"/>
        </w:rPr>
        <w:t>网</w:t>
      </w:r>
      <w:hyperlink r:id="rId19">
        <w:r>
          <w:rPr>
            <w:rFonts w:ascii="宋体" w:hAnsi="宋体" w:cs="宋体" w:eastAsia="宋体" w:hint="default"/>
            <w:spacing w:val="-1"/>
            <w:sz w:val="21"/>
            <w:szCs w:val="21"/>
          </w:rPr>
          <w:t>（</w:t>
        </w:r>
        <w:r>
          <w:rPr>
            <w:rFonts w:ascii="宋体" w:hAnsi="宋体" w:cs="宋体" w:eastAsia="宋体" w:hint="default"/>
            <w:sz w:val="21"/>
            <w:szCs w:val="21"/>
          </w:rPr>
          <w:t>w</w:t>
        </w:r>
      </w:hyperlink>
      <w:r>
        <w:rPr>
          <w:rFonts w:ascii="宋体" w:hAnsi="宋体" w:cs="宋体" w:eastAsia="宋体" w:hint="default"/>
          <w:sz w:val="21"/>
          <w:szCs w:val="21"/>
        </w:rPr>
        <w:t>w</w:t>
      </w:r>
      <w:hyperlink r:id="rId19">
        <w:r>
          <w:rPr>
            <w:rFonts w:ascii="宋体" w:hAnsi="宋体" w:cs="宋体" w:eastAsia="宋体" w:hint="default"/>
            <w:spacing w:val="-1"/>
            <w:sz w:val="21"/>
            <w:szCs w:val="21"/>
          </w:rPr>
          <w:t>w.</w:t>
        </w:r>
        <w:r>
          <w:rPr>
            <w:rFonts w:ascii="宋体" w:hAnsi="宋体" w:cs="宋体" w:eastAsia="宋体" w:hint="default"/>
            <w:sz w:val="21"/>
            <w:szCs w:val="21"/>
          </w:rPr>
          <w:t>c</w:t>
        </w:r>
        <w:r>
          <w:rPr>
            <w:rFonts w:ascii="宋体" w:hAnsi="宋体" w:cs="宋体" w:eastAsia="宋体" w:hint="default"/>
            <w:spacing w:val="-1"/>
            <w:sz w:val="21"/>
            <w:szCs w:val="21"/>
          </w:rPr>
          <w:t>n</w:t>
        </w:r>
        <w:r>
          <w:rPr>
            <w:rFonts w:ascii="宋体" w:hAnsi="宋体" w:cs="宋体" w:eastAsia="宋体" w:hint="default"/>
            <w:sz w:val="21"/>
            <w:szCs w:val="21"/>
          </w:rPr>
          <w:t>i</w:t>
        </w:r>
        <w:r>
          <w:rPr>
            <w:rFonts w:ascii="宋体" w:hAnsi="宋体" w:cs="宋体" w:eastAsia="宋体" w:hint="default"/>
            <w:spacing w:val="-1"/>
            <w:sz w:val="21"/>
            <w:szCs w:val="21"/>
          </w:rPr>
          <w:t>n</w:t>
        </w:r>
        <w:r>
          <w:rPr>
            <w:rFonts w:ascii="宋体" w:hAnsi="宋体" w:cs="宋体" w:eastAsia="宋体" w:hint="default"/>
            <w:sz w:val="21"/>
            <w:szCs w:val="21"/>
          </w:rPr>
          <w:t>f</w:t>
        </w:r>
        <w:r>
          <w:rPr>
            <w:rFonts w:ascii="宋体" w:hAnsi="宋体" w:cs="宋体" w:eastAsia="宋体" w:hint="default"/>
            <w:spacing w:val="-1"/>
            <w:sz w:val="21"/>
            <w:szCs w:val="21"/>
          </w:rPr>
          <w:t>o</w:t>
        </w:r>
        <w:r>
          <w:rPr>
            <w:rFonts w:ascii="宋体" w:hAnsi="宋体" w:cs="宋体" w:eastAsia="宋体" w:hint="default"/>
            <w:sz w:val="21"/>
            <w:szCs w:val="21"/>
          </w:rPr>
          <w:t>.</w:t>
        </w:r>
        <w:r>
          <w:rPr>
            <w:rFonts w:ascii="宋体" w:hAnsi="宋体" w:cs="宋体" w:eastAsia="宋体" w:hint="default"/>
            <w:spacing w:val="-1"/>
            <w:sz w:val="21"/>
            <w:szCs w:val="21"/>
          </w:rPr>
          <w:t>c</w:t>
        </w:r>
        <w:r>
          <w:rPr>
            <w:rFonts w:ascii="宋体" w:hAnsi="宋体" w:cs="宋体" w:eastAsia="宋体" w:hint="default"/>
            <w:sz w:val="21"/>
            <w:szCs w:val="21"/>
          </w:rPr>
          <w:t>o</w:t>
        </w:r>
        <w:r>
          <w:rPr>
            <w:rFonts w:ascii="宋体" w:hAnsi="宋体" w:cs="宋体" w:eastAsia="宋体" w:hint="default"/>
            <w:spacing w:val="-1"/>
            <w:sz w:val="21"/>
            <w:szCs w:val="21"/>
          </w:rPr>
          <w:t>m.</w:t>
        </w:r>
        <w:r>
          <w:rPr>
            <w:rFonts w:ascii="宋体" w:hAnsi="宋体" w:cs="宋体" w:eastAsia="宋体" w:hint="default"/>
            <w:sz w:val="21"/>
            <w:szCs w:val="21"/>
          </w:rPr>
          <w:t>cn</w:t>
        </w:r>
      </w:hyperlink>
      <w:r>
        <w:rPr>
          <w:rFonts w:ascii="宋体" w:hAnsi="宋体" w:cs="宋体" w:eastAsia="宋体" w:hint="default"/>
          <w:sz w:val="21"/>
          <w:szCs w:val="21"/>
        </w:rPr>
        <w:t>）</w:t>
      </w:r>
    </w:p>
    <w:p>
      <w:pPr>
        <w:spacing w:line="355" w:lineRule="auto" w:before="134"/>
        <w:ind w:left="137" w:right="200" w:firstLine="0"/>
        <w:jc w:val="left"/>
        <w:rPr>
          <w:rFonts w:ascii="宋体" w:hAnsi="宋体" w:cs="宋体" w:eastAsia="宋体" w:hint="default"/>
          <w:sz w:val="21"/>
          <w:szCs w:val="21"/>
        </w:rPr>
      </w:pPr>
      <w:r>
        <w:rPr>
          <w:rFonts w:ascii="宋体" w:hAnsi="宋体" w:cs="宋体" w:eastAsia="宋体" w:hint="default"/>
          <w:sz w:val="21"/>
          <w:szCs w:val="21"/>
        </w:rPr>
        <w:t>上公告的《第二届董事会第十二次会议决议公告》和</w:t>
      </w:r>
      <w:r>
        <w:rPr>
          <w:rFonts w:ascii="宋体" w:hAnsi="宋体" w:cs="宋体" w:eastAsia="宋体" w:hint="default"/>
          <w:spacing w:val="-63"/>
          <w:sz w:val="21"/>
          <w:szCs w:val="21"/>
        </w:rPr>
        <w:t> </w:t>
      </w:r>
      <w:r>
        <w:rPr>
          <w:rFonts w:ascii="宋体" w:hAnsi="宋体" w:cs="宋体" w:eastAsia="宋体" w:hint="default"/>
          <w:sz w:val="21"/>
          <w:szCs w:val="21"/>
        </w:rPr>
        <w:t>12</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19</w:t>
      </w:r>
      <w:r>
        <w:rPr>
          <w:rFonts w:ascii="宋体" w:hAnsi="宋体" w:cs="宋体" w:eastAsia="宋体" w:hint="default"/>
          <w:spacing w:val="-62"/>
          <w:sz w:val="21"/>
          <w:szCs w:val="21"/>
        </w:rPr>
        <w:t> </w:t>
      </w:r>
      <w:r>
        <w:rPr>
          <w:rFonts w:ascii="宋体" w:hAnsi="宋体" w:cs="宋体" w:eastAsia="宋体" w:hint="default"/>
          <w:spacing w:val="-4"/>
          <w:sz w:val="21"/>
          <w:szCs w:val="21"/>
        </w:rPr>
        <w:t>日在《证券时报》和巨潮资讯</w:t>
      </w:r>
      <w:r>
        <w:rPr>
          <w:rFonts w:ascii="宋体" w:hAnsi="宋体" w:cs="宋体" w:eastAsia="宋体" w:hint="default"/>
          <w:sz w:val="21"/>
          <w:szCs w:val="21"/>
        </w:rPr>
        <w:t> </w:t>
      </w:r>
      <w:hyperlink r:id="rId19">
        <w:r>
          <w:rPr>
            <w:rFonts w:ascii="宋体" w:hAnsi="宋体" w:cs="宋体" w:eastAsia="宋体" w:hint="default"/>
            <w:sz w:val="21"/>
            <w:szCs w:val="21"/>
          </w:rPr>
          <w:t>网（www.cninfo.com.cn）上公告的《第二届董事会第十四次会议决议公告》</w:t>
        </w:r>
      </w:hyperlink>
    </w:p>
    <w:p>
      <w:pPr>
        <w:spacing w:before="32"/>
        <w:ind w:left="663" w:right="107" w:firstLine="0"/>
        <w:jc w:val="left"/>
        <w:rPr>
          <w:rFonts w:ascii="宋体" w:hAnsi="宋体" w:cs="宋体" w:eastAsia="宋体" w:hint="default"/>
          <w:sz w:val="21"/>
          <w:szCs w:val="21"/>
        </w:rPr>
      </w:pPr>
      <w:r>
        <w:rPr>
          <w:rFonts w:ascii="宋体" w:hAnsi="宋体" w:cs="宋体" w:eastAsia="宋体" w:hint="default"/>
          <w:sz w:val="21"/>
          <w:szCs w:val="21"/>
        </w:rPr>
        <w:t>该公司报告期末资产总额</w:t>
      </w:r>
      <w:r>
        <w:rPr>
          <w:rFonts w:ascii="宋体" w:hAnsi="宋体" w:cs="宋体" w:eastAsia="宋体" w:hint="default"/>
          <w:spacing w:val="-54"/>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355" w:lineRule="auto" w:before="134"/>
        <w:ind w:left="557" w:right="92" w:hanging="421"/>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北京东港嘉华安全信息技术有限公司</w:t>
      </w:r>
      <w:r>
        <w:rPr>
          <w:rFonts w:ascii="宋体" w:hAnsi="宋体" w:cs="宋体" w:eastAsia="宋体" w:hint="default"/>
          <w:sz w:val="21"/>
          <w:szCs w:val="21"/>
        </w:rPr>
        <w:t> </w:t>
      </w:r>
      <w:r>
        <w:rPr>
          <w:rFonts w:ascii="宋体" w:hAnsi="宋体" w:cs="宋体" w:eastAsia="宋体" w:hint="default"/>
          <w:spacing w:val="-5"/>
          <w:sz w:val="21"/>
          <w:szCs w:val="21"/>
        </w:rPr>
        <w:t>根据公司第二届董事会第八次会议决议，公司将“合资建立北京东港安全印刷有限公司”</w:t>
      </w:r>
    </w:p>
    <w:p>
      <w:pPr>
        <w:spacing w:before="33"/>
        <w:ind w:left="137" w:right="0" w:firstLine="0"/>
        <w:jc w:val="left"/>
        <w:rPr>
          <w:rFonts w:ascii="宋体" w:hAnsi="宋体" w:cs="宋体" w:eastAsia="宋体" w:hint="default"/>
          <w:sz w:val="21"/>
          <w:szCs w:val="21"/>
        </w:rPr>
      </w:pPr>
      <w:r>
        <w:rPr>
          <w:rFonts w:ascii="宋体" w:hAnsi="宋体" w:cs="宋体" w:eastAsia="宋体" w:hint="default"/>
          <w:sz w:val="21"/>
          <w:szCs w:val="21"/>
        </w:rPr>
        <w:t>项目的实施方式变更为：将北京东港的原计划注册资金由</w:t>
      </w:r>
      <w:r>
        <w:rPr>
          <w:rFonts w:ascii="宋体" w:hAnsi="宋体" w:cs="宋体" w:eastAsia="宋体" w:hint="default"/>
          <w:spacing w:val="-54"/>
          <w:sz w:val="21"/>
          <w:szCs w:val="21"/>
        </w:rPr>
        <w:t> </w:t>
      </w:r>
      <w:r>
        <w:rPr>
          <w:rFonts w:ascii="宋体" w:hAnsi="宋体" w:cs="宋体" w:eastAsia="宋体" w:hint="default"/>
          <w:sz w:val="21"/>
          <w:szCs w:val="21"/>
        </w:rPr>
        <w:t>8,000</w:t>
      </w:r>
      <w:r>
        <w:rPr>
          <w:rFonts w:ascii="宋体" w:hAnsi="宋体" w:cs="宋体" w:eastAsia="宋体" w:hint="default"/>
          <w:spacing w:val="-53"/>
          <w:sz w:val="21"/>
          <w:szCs w:val="21"/>
        </w:rPr>
        <w:t> </w:t>
      </w:r>
      <w:r>
        <w:rPr>
          <w:rFonts w:ascii="宋体" w:hAnsi="宋体" w:cs="宋体" w:eastAsia="宋体" w:hint="default"/>
          <w:sz w:val="21"/>
          <w:szCs w:val="21"/>
        </w:rPr>
        <w:t>万元，变更为</w:t>
      </w:r>
      <w:r>
        <w:rPr>
          <w:rFonts w:ascii="宋体" w:hAnsi="宋体" w:cs="宋体" w:eastAsia="宋体" w:hint="default"/>
          <w:spacing w:val="-54"/>
          <w:sz w:val="21"/>
          <w:szCs w:val="21"/>
        </w:rPr>
        <w:t> </w:t>
      </w:r>
      <w:r>
        <w:rPr>
          <w:rFonts w:ascii="宋体" w:hAnsi="宋体" w:cs="宋体" w:eastAsia="宋体" w:hint="default"/>
          <w:sz w:val="21"/>
          <w:szCs w:val="21"/>
        </w:rPr>
        <w:t>3,000</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357" w:lineRule="auto" w:before="133"/>
        <w:ind w:left="137" w:right="124" w:firstLine="0"/>
        <w:jc w:val="both"/>
        <w:rPr>
          <w:rFonts w:ascii="宋体" w:hAnsi="宋体" w:cs="宋体" w:eastAsia="宋体" w:hint="default"/>
          <w:sz w:val="21"/>
          <w:szCs w:val="21"/>
        </w:rPr>
      </w:pPr>
      <w:r>
        <w:rPr>
          <w:rFonts w:ascii="宋体" w:hAnsi="宋体" w:cs="宋体" w:eastAsia="宋体" w:hint="default"/>
          <w:sz w:val="21"/>
          <w:szCs w:val="21"/>
        </w:rPr>
        <w:t>其余</w:t>
      </w:r>
      <w:r>
        <w:rPr>
          <w:rFonts w:ascii="宋体" w:hAnsi="宋体" w:cs="宋体" w:eastAsia="宋体" w:hint="default"/>
          <w:spacing w:val="-45"/>
          <w:sz w:val="21"/>
          <w:szCs w:val="21"/>
        </w:rPr>
        <w:t> </w:t>
      </w:r>
      <w:r>
        <w:rPr>
          <w:rFonts w:ascii="宋体" w:hAnsi="宋体" w:cs="宋体" w:eastAsia="宋体" w:hint="default"/>
          <w:sz w:val="21"/>
          <w:szCs w:val="21"/>
        </w:rPr>
        <w:t>5000</w:t>
      </w:r>
      <w:r>
        <w:rPr>
          <w:rFonts w:ascii="宋体" w:hAnsi="宋体" w:cs="宋体" w:eastAsia="宋体" w:hint="default"/>
          <w:spacing w:val="-45"/>
          <w:sz w:val="21"/>
          <w:szCs w:val="21"/>
        </w:rPr>
        <w:t> </w:t>
      </w:r>
      <w:r>
        <w:rPr>
          <w:rFonts w:ascii="宋体" w:hAnsi="宋体" w:cs="宋体" w:eastAsia="宋体" w:hint="default"/>
          <w:sz w:val="21"/>
          <w:szCs w:val="21"/>
        </w:rPr>
        <w:t>万元投资到新注册成立的北京东港嘉华安全信息技术有限公司（简称北京东港嘉</w:t>
      </w:r>
      <w:r>
        <w:rPr>
          <w:rFonts w:ascii="宋体" w:hAnsi="宋体" w:cs="宋体" w:eastAsia="宋体" w:hint="default"/>
          <w:sz w:val="21"/>
          <w:szCs w:val="21"/>
        </w:rPr>
        <w:t> </w:t>
      </w:r>
      <w:r>
        <w:rPr>
          <w:rFonts w:ascii="宋体" w:hAnsi="宋体" w:cs="宋体" w:eastAsia="宋体" w:hint="default"/>
          <w:spacing w:val="-10"/>
          <w:sz w:val="21"/>
          <w:szCs w:val="21"/>
        </w:rPr>
        <w:t>华），其中东港股份投资</w:t>
      </w:r>
      <w:r>
        <w:rPr>
          <w:rFonts w:ascii="宋体" w:hAnsi="宋体" w:cs="宋体" w:eastAsia="宋体" w:hint="default"/>
          <w:spacing w:val="-51"/>
          <w:sz w:val="21"/>
          <w:szCs w:val="21"/>
        </w:rPr>
        <w:t> </w:t>
      </w:r>
      <w:r>
        <w:rPr>
          <w:rFonts w:ascii="宋体" w:hAnsi="宋体" w:cs="宋体" w:eastAsia="宋体" w:hint="default"/>
          <w:sz w:val="21"/>
          <w:szCs w:val="21"/>
        </w:rPr>
        <w:t>3,750</w:t>
      </w:r>
      <w:r>
        <w:rPr>
          <w:rFonts w:ascii="宋体" w:hAnsi="宋体" w:cs="宋体" w:eastAsia="宋体" w:hint="default"/>
          <w:spacing w:val="-50"/>
          <w:sz w:val="21"/>
          <w:szCs w:val="21"/>
        </w:rPr>
        <w:t> </w:t>
      </w:r>
      <w:r>
        <w:rPr>
          <w:rFonts w:ascii="宋体" w:hAnsi="宋体" w:cs="宋体" w:eastAsia="宋体" w:hint="default"/>
          <w:spacing w:val="-1"/>
          <w:sz w:val="21"/>
          <w:szCs w:val="21"/>
        </w:rPr>
        <w:t>万元，占</w:t>
      </w:r>
      <w:r>
        <w:rPr>
          <w:rFonts w:ascii="宋体" w:hAnsi="宋体" w:cs="宋体" w:eastAsia="宋体" w:hint="default"/>
          <w:spacing w:val="-51"/>
          <w:sz w:val="21"/>
          <w:szCs w:val="21"/>
        </w:rPr>
        <w:t> </w:t>
      </w:r>
      <w:r>
        <w:rPr>
          <w:rFonts w:ascii="宋体" w:hAnsi="宋体" w:cs="宋体" w:eastAsia="宋体" w:hint="default"/>
          <w:spacing w:val="-1"/>
          <w:sz w:val="21"/>
          <w:szCs w:val="21"/>
        </w:rPr>
        <w:t>75％的股权，外方</w:t>
      </w:r>
      <w:r>
        <w:rPr>
          <w:rFonts w:ascii="宋体" w:hAnsi="宋体" w:cs="宋体" w:eastAsia="宋体" w:hint="default"/>
          <w:spacing w:val="-51"/>
          <w:sz w:val="21"/>
          <w:szCs w:val="21"/>
        </w:rPr>
        <w:t> </w:t>
      </w:r>
      <w:r>
        <w:rPr>
          <w:rFonts w:ascii="宋体" w:hAnsi="宋体" w:cs="宋体" w:eastAsia="宋体" w:hint="default"/>
          <w:sz w:val="21"/>
          <w:szCs w:val="21"/>
        </w:rPr>
        <w:t>Joy</w:t>
      </w:r>
      <w:r>
        <w:rPr>
          <w:rFonts w:ascii="宋体" w:hAnsi="宋体" w:cs="宋体" w:eastAsia="宋体" w:hint="default"/>
          <w:spacing w:val="-41"/>
          <w:sz w:val="21"/>
          <w:szCs w:val="21"/>
        </w:rPr>
        <w:t> </w:t>
      </w:r>
      <w:r>
        <w:rPr>
          <w:rFonts w:ascii="宋体" w:hAnsi="宋体" w:cs="宋体" w:eastAsia="宋体" w:hint="default"/>
          <w:sz w:val="21"/>
          <w:szCs w:val="21"/>
        </w:rPr>
        <w:t>Spring</w:t>
      </w:r>
      <w:r>
        <w:rPr>
          <w:rFonts w:ascii="宋体" w:hAnsi="宋体" w:cs="宋体" w:eastAsia="宋体" w:hint="default"/>
          <w:spacing w:val="-42"/>
          <w:sz w:val="21"/>
          <w:szCs w:val="21"/>
        </w:rPr>
        <w:t> </w:t>
      </w:r>
      <w:r>
        <w:rPr>
          <w:rFonts w:ascii="宋体" w:hAnsi="宋体" w:cs="宋体" w:eastAsia="宋体" w:hint="default"/>
          <w:spacing w:val="-1"/>
          <w:sz w:val="21"/>
          <w:szCs w:val="21"/>
        </w:rPr>
        <w:t>Limited（欣泉有限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公司）投资</w:t>
      </w:r>
      <w:r>
        <w:rPr>
          <w:rFonts w:ascii="宋体" w:hAnsi="宋体" w:cs="宋体" w:eastAsia="宋体" w:hint="default"/>
          <w:spacing w:val="-31"/>
          <w:sz w:val="21"/>
          <w:szCs w:val="21"/>
        </w:rPr>
        <w:t> </w:t>
      </w:r>
      <w:r>
        <w:rPr>
          <w:rFonts w:ascii="宋体" w:hAnsi="宋体" w:cs="宋体" w:eastAsia="宋体" w:hint="default"/>
          <w:sz w:val="21"/>
          <w:szCs w:val="21"/>
        </w:rPr>
        <w:t>1,250</w:t>
      </w:r>
      <w:r>
        <w:rPr>
          <w:rFonts w:ascii="宋体" w:hAnsi="宋体" w:cs="宋体" w:eastAsia="宋体" w:hint="default"/>
          <w:spacing w:val="-30"/>
          <w:sz w:val="21"/>
          <w:szCs w:val="21"/>
        </w:rPr>
        <w:t> </w:t>
      </w:r>
      <w:r>
        <w:rPr>
          <w:rFonts w:ascii="宋体" w:hAnsi="宋体" w:cs="宋体" w:eastAsia="宋体" w:hint="default"/>
          <w:sz w:val="21"/>
          <w:szCs w:val="21"/>
        </w:rPr>
        <w:t>万元，占</w:t>
      </w:r>
      <w:r>
        <w:rPr>
          <w:rFonts w:ascii="宋体" w:hAnsi="宋体" w:cs="宋体" w:eastAsia="宋体" w:hint="default"/>
          <w:spacing w:val="-31"/>
          <w:sz w:val="21"/>
          <w:szCs w:val="21"/>
        </w:rPr>
        <w:t> </w:t>
      </w:r>
      <w:r>
        <w:rPr>
          <w:rFonts w:ascii="宋体" w:hAnsi="宋体" w:cs="宋体" w:eastAsia="宋体" w:hint="default"/>
          <w:sz w:val="21"/>
          <w:szCs w:val="21"/>
        </w:rPr>
        <w:t>25％的股权，新注册公司的法人代表为谷望江女士，注册地址</w:t>
      </w:r>
      <w:r>
        <w:rPr>
          <w:rFonts w:ascii="宋体" w:hAnsi="宋体" w:cs="宋体" w:eastAsia="宋体" w:hint="default"/>
          <w:sz w:val="21"/>
          <w:szCs w:val="21"/>
        </w:rPr>
        <w:t> 为北京经济技术开发区。该项投资主要用于原投资计划的土建工程费用与设备购置及安装。</w:t>
      </w:r>
    </w:p>
    <w:p>
      <w:pPr>
        <w:spacing w:before="31"/>
        <w:ind w:left="663" w:right="107" w:firstLine="0"/>
        <w:jc w:val="left"/>
        <w:rPr>
          <w:rFonts w:ascii="宋体" w:hAnsi="宋体" w:cs="宋体" w:eastAsia="宋体" w:hint="default"/>
          <w:sz w:val="21"/>
          <w:szCs w:val="21"/>
        </w:rPr>
      </w:pPr>
      <w:r>
        <w:rPr>
          <w:rFonts w:ascii="宋体" w:hAnsi="宋体" w:cs="宋体" w:eastAsia="宋体" w:hint="default"/>
          <w:sz w:val="21"/>
          <w:szCs w:val="21"/>
        </w:rPr>
        <w:t>该公司报告期实现净利润-34.92</w:t>
      </w:r>
      <w:r>
        <w:rPr>
          <w:rFonts w:ascii="宋体" w:hAnsi="宋体" w:cs="宋体" w:eastAsia="宋体" w:hint="default"/>
          <w:spacing w:val="-65"/>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66"/>
          <w:sz w:val="21"/>
          <w:szCs w:val="21"/>
        </w:rPr>
        <w:t> </w:t>
      </w:r>
      <w:r>
        <w:rPr>
          <w:rFonts w:ascii="宋体" w:hAnsi="宋体" w:cs="宋体" w:eastAsia="宋体" w:hint="default"/>
          <w:sz w:val="21"/>
          <w:szCs w:val="21"/>
        </w:rPr>
        <w:t>1,368.76</w:t>
      </w:r>
      <w:r>
        <w:rPr>
          <w:rFonts w:ascii="宋体" w:hAnsi="宋体" w:cs="宋体" w:eastAsia="宋体" w:hint="default"/>
          <w:spacing w:val="-65"/>
          <w:sz w:val="21"/>
          <w:szCs w:val="21"/>
        </w:rPr>
        <w:t> </w:t>
      </w:r>
      <w:r>
        <w:rPr>
          <w:rFonts w:ascii="宋体" w:hAnsi="宋体" w:cs="宋体" w:eastAsia="宋体" w:hint="default"/>
          <w:sz w:val="21"/>
          <w:szCs w:val="21"/>
        </w:rPr>
        <w:t>万元。</w:t>
      </w:r>
    </w:p>
    <w:p>
      <w:pPr>
        <w:spacing w:before="133"/>
        <w:ind w:left="137" w:right="107" w:firstLine="0"/>
        <w:jc w:val="left"/>
        <w:rPr>
          <w:rFonts w:ascii="宋体" w:hAnsi="宋体" w:cs="宋体" w:eastAsia="宋体" w:hint="default"/>
          <w:sz w:val="21"/>
          <w:szCs w:val="21"/>
        </w:rPr>
      </w:pPr>
      <w:r>
        <w:rPr>
          <w:rFonts w:ascii="宋体" w:hAnsi="宋体" w:cs="宋体" w:eastAsia="宋体" w:hint="default"/>
          <w:sz w:val="21"/>
          <w:szCs w:val="21"/>
        </w:rPr>
        <w:t>（4）广州东港安全印刷有限公司</w:t>
      </w:r>
    </w:p>
    <w:p>
      <w:pPr>
        <w:spacing w:line="357" w:lineRule="auto" w:before="134"/>
        <w:ind w:left="137" w:right="177" w:firstLine="420"/>
        <w:jc w:val="both"/>
        <w:rPr>
          <w:rFonts w:ascii="宋体" w:hAnsi="宋体" w:cs="宋体" w:eastAsia="宋体" w:hint="default"/>
          <w:sz w:val="21"/>
          <w:szCs w:val="21"/>
        </w:rPr>
      </w:pPr>
      <w:r>
        <w:rPr>
          <w:rFonts w:ascii="宋体" w:hAnsi="宋体" w:cs="宋体" w:eastAsia="宋体" w:hint="default"/>
          <w:sz w:val="21"/>
          <w:szCs w:val="21"/>
        </w:rPr>
        <w:t>为开拓华南地区的业务，扩大市场份额，公司于</w:t>
      </w:r>
      <w:r>
        <w:rPr>
          <w:rFonts w:ascii="宋体" w:hAnsi="宋体" w:cs="宋体" w:eastAsia="宋体" w:hint="default"/>
          <w:spacing w:val="-49"/>
          <w:sz w:val="21"/>
          <w:szCs w:val="21"/>
        </w:rPr>
        <w:t> </w:t>
      </w: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月投资设立的广州东港安全</w:t>
      </w:r>
      <w:r>
        <w:rPr>
          <w:rFonts w:ascii="宋体" w:hAnsi="宋体" w:cs="宋体" w:eastAsia="宋体" w:hint="default"/>
          <w:sz w:val="21"/>
          <w:szCs w:val="21"/>
        </w:rPr>
        <w:t> 印刷有限公司，注册资本</w:t>
      </w:r>
      <w:r>
        <w:rPr>
          <w:rFonts w:ascii="宋体" w:hAnsi="宋体" w:cs="宋体" w:eastAsia="宋体" w:hint="default"/>
          <w:spacing w:val="-55"/>
          <w:sz w:val="21"/>
          <w:szCs w:val="21"/>
        </w:rPr>
        <w:t> </w:t>
      </w:r>
      <w:r>
        <w:rPr>
          <w:rFonts w:ascii="宋体" w:hAnsi="宋体" w:cs="宋体" w:eastAsia="宋体" w:hint="default"/>
          <w:sz w:val="21"/>
          <w:szCs w:val="21"/>
        </w:rPr>
        <w:t>4,200</w:t>
      </w:r>
      <w:r>
        <w:rPr>
          <w:rFonts w:ascii="宋体" w:hAnsi="宋体" w:cs="宋体" w:eastAsia="宋体" w:hint="default"/>
          <w:spacing w:val="-54"/>
          <w:sz w:val="21"/>
          <w:szCs w:val="21"/>
        </w:rPr>
        <w:t> </w:t>
      </w:r>
      <w:r>
        <w:rPr>
          <w:rFonts w:ascii="宋体" w:hAnsi="宋体" w:cs="宋体" w:eastAsia="宋体" w:hint="default"/>
          <w:sz w:val="21"/>
          <w:szCs w:val="21"/>
        </w:rPr>
        <w:t>万元，本公司持股比例为</w:t>
      </w:r>
      <w:r>
        <w:rPr>
          <w:rFonts w:ascii="宋体" w:hAnsi="宋体" w:cs="宋体" w:eastAsia="宋体" w:hint="default"/>
          <w:spacing w:val="-55"/>
          <w:sz w:val="21"/>
          <w:szCs w:val="21"/>
        </w:rPr>
        <w:t> </w:t>
      </w:r>
      <w:r>
        <w:rPr>
          <w:rFonts w:ascii="宋体" w:hAnsi="宋体" w:cs="宋体" w:eastAsia="宋体" w:hint="default"/>
          <w:sz w:val="21"/>
          <w:szCs w:val="21"/>
        </w:rPr>
        <w:t>75%。公司法定代表人：谷望江。</w:t>
      </w:r>
      <w:r>
        <w:rPr>
          <w:rFonts w:ascii="宋体" w:hAnsi="宋体" w:cs="宋体" w:eastAsia="宋体" w:hint="default"/>
          <w:sz w:val="21"/>
          <w:szCs w:val="21"/>
        </w:rPr>
        <w:t> 注册地址：广州经济技术开发区玉树工业园富康西街</w:t>
      </w:r>
      <w:r>
        <w:rPr>
          <w:rFonts w:ascii="宋体" w:hAnsi="宋体" w:cs="宋体" w:eastAsia="宋体" w:hint="default"/>
          <w:spacing w:val="-59"/>
          <w:sz w:val="21"/>
          <w:szCs w:val="21"/>
        </w:rPr>
        <w:t> </w:t>
      </w:r>
      <w:r>
        <w:rPr>
          <w:rFonts w:ascii="宋体" w:hAnsi="宋体" w:cs="宋体" w:eastAsia="宋体" w:hint="default"/>
          <w:sz w:val="21"/>
          <w:szCs w:val="21"/>
        </w:rPr>
        <w:t>C</w:t>
      </w:r>
      <w:r>
        <w:rPr>
          <w:rFonts w:ascii="宋体" w:hAnsi="宋体" w:cs="宋体" w:eastAsia="宋体" w:hint="default"/>
          <w:spacing w:val="-58"/>
          <w:sz w:val="21"/>
          <w:szCs w:val="21"/>
        </w:rPr>
        <w:t> </w:t>
      </w:r>
      <w:r>
        <w:rPr>
          <w:rFonts w:ascii="宋体" w:hAnsi="宋体" w:cs="宋体" w:eastAsia="宋体" w:hint="default"/>
          <w:sz w:val="21"/>
          <w:szCs w:val="21"/>
        </w:rPr>
        <w:t>栋首层</w:t>
      </w:r>
      <w:r>
        <w:rPr>
          <w:rFonts w:ascii="宋体" w:hAnsi="宋体" w:cs="宋体" w:eastAsia="宋体" w:hint="default"/>
          <w:spacing w:val="-59"/>
          <w:sz w:val="21"/>
          <w:szCs w:val="21"/>
        </w:rPr>
        <w:t> </w:t>
      </w:r>
      <w:r>
        <w:rPr>
          <w:rFonts w:ascii="宋体" w:hAnsi="宋体" w:cs="宋体" w:eastAsia="宋体" w:hint="default"/>
          <w:sz w:val="21"/>
          <w:szCs w:val="21"/>
        </w:rPr>
        <w:t>103</w:t>
      </w:r>
      <w:r>
        <w:rPr>
          <w:rFonts w:ascii="宋体" w:hAnsi="宋体" w:cs="宋体" w:eastAsia="宋体" w:hint="default"/>
          <w:spacing w:val="-58"/>
          <w:sz w:val="21"/>
          <w:szCs w:val="21"/>
        </w:rPr>
        <w:t> </w:t>
      </w:r>
      <w:r>
        <w:rPr>
          <w:rFonts w:ascii="宋体" w:hAnsi="宋体" w:cs="宋体" w:eastAsia="宋体" w:hint="default"/>
          <w:spacing w:val="-6"/>
          <w:sz w:val="21"/>
          <w:szCs w:val="21"/>
        </w:rPr>
        <w:t>房。经营范围：包装装潢</w:t>
      </w:r>
      <w:r>
        <w:rPr>
          <w:rFonts w:ascii="宋体" w:hAnsi="宋体" w:cs="宋体" w:eastAsia="宋体" w:hint="default"/>
          <w:sz w:val="21"/>
          <w:szCs w:val="21"/>
        </w:rPr>
        <w:t> 及其他类印刷品印刷，软件的开发及生产。目前该公司尚处于筹建阶段。</w:t>
      </w:r>
    </w:p>
    <w:p>
      <w:pPr>
        <w:spacing w:line="357" w:lineRule="auto" w:before="30"/>
        <w:ind w:left="137" w:right="107" w:firstLine="630"/>
        <w:jc w:val="left"/>
        <w:rPr>
          <w:rFonts w:ascii="宋体" w:hAnsi="宋体" w:cs="宋体" w:eastAsia="宋体" w:hint="default"/>
          <w:sz w:val="21"/>
          <w:szCs w:val="21"/>
        </w:rPr>
      </w:pPr>
      <w:r>
        <w:rPr>
          <w:rFonts w:ascii="宋体" w:hAnsi="宋体" w:cs="宋体" w:eastAsia="宋体" w:hint="default"/>
          <w:sz w:val="21"/>
          <w:szCs w:val="21"/>
        </w:rPr>
        <w:t>报告期实现净利润-68.07</w:t>
      </w:r>
      <w:r>
        <w:rPr>
          <w:rFonts w:ascii="宋体" w:hAnsi="宋体" w:cs="宋体" w:eastAsia="宋体" w:hint="default"/>
          <w:spacing w:val="-62"/>
          <w:sz w:val="21"/>
          <w:szCs w:val="21"/>
        </w:rPr>
        <w:t> </w:t>
      </w:r>
      <w:r>
        <w:rPr>
          <w:rFonts w:ascii="宋体" w:hAnsi="宋体" w:cs="宋体" w:eastAsia="宋体" w:hint="default"/>
          <w:sz w:val="21"/>
          <w:szCs w:val="21"/>
        </w:rPr>
        <w:t>万元，报告期末资产总额</w:t>
      </w:r>
      <w:r>
        <w:rPr>
          <w:rFonts w:ascii="宋体" w:hAnsi="宋体" w:cs="宋体" w:eastAsia="宋体" w:hint="default"/>
          <w:spacing w:val="-62"/>
          <w:sz w:val="21"/>
          <w:szCs w:val="21"/>
        </w:rPr>
        <w:t> </w:t>
      </w:r>
      <w:r>
        <w:rPr>
          <w:rFonts w:ascii="宋体" w:hAnsi="宋体" w:cs="宋体" w:eastAsia="宋体" w:hint="default"/>
          <w:sz w:val="21"/>
          <w:szCs w:val="21"/>
        </w:rPr>
        <w:t>1,515.48</w:t>
      </w:r>
      <w:r>
        <w:rPr>
          <w:rFonts w:ascii="宋体" w:hAnsi="宋体" w:cs="宋体" w:eastAsia="宋体" w:hint="default"/>
          <w:spacing w:val="-62"/>
          <w:sz w:val="21"/>
          <w:szCs w:val="21"/>
        </w:rPr>
        <w:t> </w:t>
      </w:r>
      <w:r>
        <w:rPr>
          <w:rFonts w:ascii="宋体" w:hAnsi="宋体" w:cs="宋体" w:eastAsia="宋体" w:hint="default"/>
          <w:sz w:val="21"/>
          <w:szCs w:val="21"/>
        </w:rPr>
        <w:t>万元。</w:t>
      </w:r>
      <w:r>
        <w:rPr>
          <w:rFonts w:ascii="宋体" w:hAnsi="宋体" w:cs="宋体" w:eastAsia="宋体" w:hint="default"/>
          <w:spacing w:val="-1"/>
          <w:sz w:val="21"/>
          <w:szCs w:val="21"/>
        </w:rPr>
        <w:t> </w:t>
      </w:r>
      <w:r>
        <w:rPr>
          <w:rFonts w:ascii="宋体" w:hAnsi="宋体" w:cs="宋体" w:eastAsia="宋体" w:hint="default"/>
          <w:sz w:val="21"/>
          <w:szCs w:val="21"/>
        </w:rPr>
        <w:t>9、报告期内公司的技术创新情况</w:t>
      </w:r>
    </w:p>
    <w:p>
      <w:pPr>
        <w:spacing w:line="357" w:lineRule="auto" w:before="30"/>
        <w:ind w:left="137" w:right="211" w:firstLine="420"/>
        <w:jc w:val="both"/>
        <w:rPr>
          <w:rFonts w:ascii="宋体" w:hAnsi="宋体" w:cs="宋体" w:eastAsia="宋体" w:hint="default"/>
          <w:sz w:val="21"/>
          <w:szCs w:val="21"/>
        </w:rPr>
      </w:pPr>
      <w:r>
        <w:rPr>
          <w:rFonts w:ascii="宋体" w:hAnsi="宋体" w:cs="宋体" w:eastAsia="宋体" w:hint="default"/>
          <w:sz w:val="21"/>
          <w:szCs w:val="21"/>
        </w:rPr>
        <w:t>报告期内公司用于技术革新和设备引进改造的投资共计</w:t>
      </w:r>
      <w:r>
        <w:rPr>
          <w:rFonts w:ascii="宋体" w:hAnsi="宋体" w:cs="宋体" w:eastAsia="宋体" w:hint="default"/>
          <w:spacing w:val="-50"/>
          <w:sz w:val="21"/>
          <w:szCs w:val="21"/>
        </w:rPr>
        <w:t> </w:t>
      </w:r>
      <w:r>
        <w:rPr>
          <w:rFonts w:ascii="宋体" w:hAnsi="宋体" w:cs="宋体" w:eastAsia="宋体" w:hint="default"/>
          <w:sz w:val="21"/>
          <w:szCs w:val="21"/>
        </w:rPr>
        <w:t>5,231</w:t>
      </w:r>
      <w:r>
        <w:rPr>
          <w:rFonts w:ascii="宋体" w:hAnsi="宋体" w:cs="宋体" w:eastAsia="宋体" w:hint="default"/>
          <w:spacing w:val="-49"/>
          <w:sz w:val="21"/>
          <w:szCs w:val="21"/>
        </w:rPr>
        <w:t> </w:t>
      </w:r>
      <w:r>
        <w:rPr>
          <w:rFonts w:ascii="宋体" w:hAnsi="宋体" w:cs="宋体" w:eastAsia="宋体" w:hint="default"/>
          <w:spacing w:val="-9"/>
          <w:sz w:val="21"/>
          <w:szCs w:val="21"/>
        </w:rPr>
        <w:t>万元，用于购买具有国际</w:t>
      </w:r>
      <w:r>
        <w:rPr>
          <w:rFonts w:ascii="宋体" w:hAnsi="宋体" w:cs="宋体" w:eastAsia="宋体" w:hint="default"/>
          <w:sz w:val="21"/>
          <w:szCs w:val="21"/>
        </w:rPr>
        <w:t> </w:t>
      </w:r>
      <w:r>
        <w:rPr>
          <w:rFonts w:ascii="宋体" w:hAnsi="宋体" w:cs="宋体" w:eastAsia="宋体" w:hint="default"/>
          <w:spacing w:val="-3"/>
          <w:sz w:val="21"/>
          <w:szCs w:val="21"/>
        </w:rPr>
        <w:t>先进水平的数据处理封装、防伪数码印刷等生产设备，引进相关技术，使公司的生产能力和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技术装备水平居于国内前列，满足了业务发展的需要。</w:t>
      </w:r>
    </w:p>
    <w:p>
      <w:pPr>
        <w:spacing w:before="31"/>
        <w:ind w:left="137" w:right="0" w:firstLine="420"/>
        <w:jc w:val="both"/>
        <w:rPr>
          <w:rFonts w:ascii="宋体" w:hAnsi="宋体" w:cs="宋体" w:eastAsia="宋体" w:hint="default"/>
          <w:sz w:val="21"/>
          <w:szCs w:val="21"/>
        </w:rPr>
      </w:pPr>
      <w:r>
        <w:rPr>
          <w:rFonts w:ascii="宋体" w:hAnsi="宋体" w:cs="宋体" w:eastAsia="宋体" w:hint="default"/>
          <w:spacing w:val="-3"/>
          <w:sz w:val="21"/>
          <w:szCs w:val="21"/>
        </w:rPr>
        <w:t>公司在北京设立了研发中心，分析研究国际先进的印刷技术和发展趋势，报告期内公司</w:t>
      </w:r>
    </w:p>
    <w:p>
      <w:pPr>
        <w:spacing w:before="133"/>
        <w:ind w:left="137" w:right="107" w:firstLine="0"/>
        <w:jc w:val="left"/>
        <w:rPr>
          <w:rFonts w:ascii="宋体" w:hAnsi="宋体" w:cs="宋体" w:eastAsia="宋体" w:hint="default"/>
          <w:sz w:val="21"/>
          <w:szCs w:val="21"/>
        </w:rPr>
      </w:pPr>
      <w:r>
        <w:rPr>
          <w:rFonts w:ascii="宋体" w:hAnsi="宋体" w:cs="宋体" w:eastAsia="宋体" w:hint="default"/>
          <w:sz w:val="21"/>
          <w:szCs w:val="21"/>
        </w:rPr>
        <w:t>投入研发资金</w:t>
      </w:r>
      <w:r>
        <w:rPr>
          <w:rFonts w:ascii="宋体" w:hAnsi="宋体" w:cs="宋体" w:eastAsia="宋体" w:hint="default"/>
          <w:spacing w:val="-50"/>
          <w:sz w:val="21"/>
          <w:szCs w:val="21"/>
        </w:rPr>
        <w:t> </w:t>
      </w:r>
      <w:r>
        <w:rPr>
          <w:rFonts w:ascii="宋体" w:hAnsi="宋体" w:cs="宋体" w:eastAsia="宋体" w:hint="default"/>
          <w:sz w:val="21"/>
          <w:szCs w:val="21"/>
        </w:rPr>
        <w:t>260</w:t>
      </w:r>
      <w:r>
        <w:rPr>
          <w:rFonts w:ascii="宋体" w:hAnsi="宋体" w:cs="宋体" w:eastAsia="宋体" w:hint="default"/>
          <w:spacing w:val="-49"/>
          <w:sz w:val="21"/>
          <w:szCs w:val="21"/>
        </w:rPr>
        <w:t> </w:t>
      </w:r>
      <w:r>
        <w:rPr>
          <w:rFonts w:ascii="宋体" w:hAnsi="宋体" w:cs="宋体" w:eastAsia="宋体" w:hint="default"/>
          <w:spacing w:val="-3"/>
          <w:sz w:val="21"/>
          <w:szCs w:val="21"/>
        </w:rPr>
        <w:t>万元，用于智能标签、防伪印刷品等新型产品的研发和市场调研，为公司</w:t>
      </w:r>
    </w:p>
    <w:p>
      <w:pPr>
        <w:spacing w:after="0"/>
        <w:jc w:val="left"/>
        <w:rPr>
          <w:rFonts w:ascii="宋体" w:hAnsi="宋体" w:cs="宋体" w:eastAsia="宋体" w:hint="default"/>
          <w:sz w:val="21"/>
          <w:szCs w:val="21"/>
        </w:rPr>
        <w:sectPr>
          <w:pgSz w:w="11910" w:h="16840"/>
          <w:pgMar w:header="915" w:footer="1712" w:top="1100" w:bottom="1900" w:left="1660" w:right="1580"/>
        </w:sectPr>
      </w:pPr>
    </w:p>
    <w:p>
      <w:pPr>
        <w:spacing w:before="18"/>
        <w:ind w:left="137" w:right="87"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495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z w:val="21"/>
          <w:szCs w:val="21"/>
        </w:rPr>
        <w:t>未来向高技术含量、高附加值的发展趋势奠定基础。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355" w:lineRule="auto" w:before="0"/>
        <w:ind w:left="137" w:right="3762" w:firstLine="0"/>
        <w:jc w:val="left"/>
        <w:rPr>
          <w:rFonts w:ascii="宋体" w:hAnsi="宋体" w:cs="宋体" w:eastAsia="宋体" w:hint="default"/>
          <w:sz w:val="21"/>
          <w:szCs w:val="21"/>
        </w:rPr>
      </w:pPr>
      <w:r>
        <w:rPr>
          <w:rFonts w:ascii="宋体" w:hAnsi="宋体" w:cs="宋体" w:eastAsia="宋体" w:hint="default"/>
          <w:b/>
          <w:bCs/>
          <w:sz w:val="21"/>
          <w:szCs w:val="21"/>
        </w:rPr>
        <w:t>（二）本公司未来发展的展望</w:t>
      </w:r>
      <w:r>
        <w:rPr>
          <w:rFonts w:ascii="宋体" w:hAnsi="宋体" w:cs="宋体" w:eastAsia="宋体" w:hint="default"/>
          <w:b/>
          <w:bCs/>
          <w:spacing w:val="1"/>
          <w:w w:val="99"/>
          <w:sz w:val="21"/>
          <w:szCs w:val="21"/>
        </w:rPr>
        <w:t> </w:t>
      </w:r>
      <w:r>
        <w:rPr>
          <w:rFonts w:ascii="宋体" w:hAnsi="宋体" w:cs="宋体" w:eastAsia="宋体" w:hint="default"/>
          <w:sz w:val="21"/>
          <w:szCs w:val="21"/>
        </w:rPr>
        <w:t>1、公司所处行业的发展趋势及面临的市场竞争格局</w:t>
      </w:r>
    </w:p>
    <w:p>
      <w:pPr>
        <w:spacing w:line="355" w:lineRule="auto" w:before="33"/>
        <w:ind w:left="557" w:right="87" w:hanging="420"/>
        <w:jc w:val="left"/>
        <w:rPr>
          <w:rFonts w:ascii="宋体" w:hAnsi="宋体" w:cs="宋体" w:eastAsia="宋体" w:hint="default"/>
          <w:sz w:val="21"/>
          <w:szCs w:val="21"/>
        </w:rPr>
      </w:pPr>
      <w:r>
        <w:rPr>
          <w:rFonts w:ascii="宋体" w:hAnsi="宋体" w:cs="宋体" w:eastAsia="宋体" w:hint="default"/>
          <w:sz w:val="21"/>
          <w:szCs w:val="21"/>
        </w:rPr>
        <w:t>1）行业的发展趋势 </w:t>
      </w:r>
      <w:r>
        <w:rPr>
          <w:rFonts w:ascii="宋体" w:hAnsi="宋体" w:cs="宋体" w:eastAsia="宋体" w:hint="default"/>
          <w:spacing w:val="-3"/>
          <w:sz w:val="21"/>
          <w:szCs w:val="21"/>
        </w:rPr>
        <w:t>目前电脑票据印刷行业正处于发展的高峰期，根据中国印刷技术协会商业票据印刷分会</w:t>
      </w:r>
    </w:p>
    <w:p>
      <w:pPr>
        <w:spacing w:line="357" w:lineRule="auto" w:before="32"/>
        <w:ind w:left="137" w:right="87" w:firstLine="0"/>
        <w:jc w:val="left"/>
        <w:rPr>
          <w:rFonts w:ascii="宋体" w:hAnsi="宋体" w:cs="宋体" w:eastAsia="宋体" w:hint="default"/>
          <w:sz w:val="21"/>
          <w:szCs w:val="21"/>
        </w:rPr>
      </w:pPr>
      <w:r>
        <w:rPr>
          <w:rFonts w:ascii="宋体" w:hAnsi="宋体" w:cs="宋体" w:eastAsia="宋体" w:hint="default"/>
          <w:spacing w:val="-3"/>
          <w:sz w:val="21"/>
          <w:szCs w:val="21"/>
        </w:rPr>
        <w:t>提供的数据，目前商业票证印刷年产值达120-150亿元，每年以15%左右的速度增长，预计该</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增长速度至少会延续到2015年。</w:t>
      </w:r>
    </w:p>
    <w:p>
      <w:pPr>
        <w:spacing w:line="357" w:lineRule="auto" w:before="30"/>
        <w:ind w:left="137" w:right="193" w:firstLine="420"/>
        <w:jc w:val="both"/>
        <w:rPr>
          <w:rFonts w:ascii="宋体" w:hAnsi="宋体" w:cs="宋体" w:eastAsia="宋体" w:hint="default"/>
          <w:sz w:val="21"/>
          <w:szCs w:val="21"/>
        </w:rPr>
      </w:pPr>
      <w:r>
        <w:rPr>
          <w:rFonts w:ascii="宋体" w:hAnsi="宋体" w:cs="宋体" w:eastAsia="宋体" w:hint="default"/>
          <w:spacing w:val="-3"/>
          <w:sz w:val="21"/>
          <w:szCs w:val="21"/>
        </w:rPr>
        <w:t>在商业票据印刷高度发达的日本为例，从1996年起每年市场容量约4000亿日元（约合人</w:t>
      </w:r>
      <w:r>
        <w:rPr>
          <w:rFonts w:ascii="宋体" w:hAnsi="宋体" w:cs="宋体" w:eastAsia="宋体" w:hint="default"/>
          <w:sz w:val="21"/>
          <w:szCs w:val="21"/>
        </w:rPr>
        <w:t> </w:t>
      </w:r>
      <w:r>
        <w:rPr>
          <w:rFonts w:ascii="宋体" w:hAnsi="宋体" w:cs="宋体" w:eastAsia="宋体" w:hint="default"/>
          <w:spacing w:val="-3"/>
          <w:sz w:val="21"/>
          <w:szCs w:val="21"/>
        </w:rPr>
        <w:t>民币300亿元），电脑票据占商业票据总量的62.6%，拥有联动式票据生产线2000多条，中国</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只有400多条生产线的装机量。由此可见，国内的电脑票据市场还远远没有饱和。</w:t>
      </w:r>
    </w:p>
    <w:p>
      <w:pPr>
        <w:spacing w:line="357" w:lineRule="auto" w:before="31"/>
        <w:ind w:left="137" w:right="191" w:firstLine="480"/>
        <w:jc w:val="both"/>
        <w:rPr>
          <w:rFonts w:ascii="宋体" w:hAnsi="宋体" w:cs="宋体" w:eastAsia="宋体" w:hint="default"/>
          <w:sz w:val="21"/>
          <w:szCs w:val="21"/>
        </w:rPr>
      </w:pPr>
      <w:r>
        <w:rPr>
          <w:rFonts w:ascii="宋体" w:hAnsi="宋体" w:cs="宋体" w:eastAsia="宋体" w:hint="default"/>
          <w:sz w:val="21"/>
          <w:szCs w:val="21"/>
        </w:rPr>
        <w:t>随着中国经济的持续增长，市场化程度的不断提高，社会各界对商业票据印刷的要求 </w:t>
      </w:r>
      <w:r>
        <w:rPr>
          <w:rFonts w:ascii="宋体" w:hAnsi="宋体" w:cs="宋体" w:eastAsia="宋体" w:hint="default"/>
          <w:spacing w:val="-3"/>
          <w:sz w:val="21"/>
          <w:szCs w:val="21"/>
        </w:rPr>
        <w:t>也会不断提高，因此商业票据印刷业将不断地持续发展壮大，这一点从目前市场中商业票据</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高端产品（如不干胶标签、数据处理打印等新兴产品和技术）的快速发展和整体供不应求就</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可以印证。</w:t>
      </w:r>
    </w:p>
    <w:p>
      <w:pPr>
        <w:spacing w:line="357" w:lineRule="auto" w:before="30"/>
        <w:ind w:left="137" w:right="87" w:firstLine="480"/>
        <w:jc w:val="left"/>
        <w:rPr>
          <w:rFonts w:ascii="宋体" w:hAnsi="宋体" w:cs="宋体" w:eastAsia="宋体" w:hint="default"/>
          <w:sz w:val="21"/>
          <w:szCs w:val="21"/>
        </w:rPr>
      </w:pPr>
      <w:r>
        <w:rPr>
          <w:rFonts w:ascii="宋体" w:hAnsi="宋体" w:cs="宋体" w:eastAsia="宋体" w:hint="default"/>
          <w:sz w:val="21"/>
          <w:szCs w:val="21"/>
        </w:rPr>
        <w:t>除了行业进一步细分发展的趋势以外，我国的商业票据行业还存在以下发展趋势：信 息化高科技技术将会大量应用，开拓海外市场也将成为印刷企业提升规模的主要方式之一。 2）面临的市场竞争格局</w:t>
      </w:r>
    </w:p>
    <w:p>
      <w:pPr>
        <w:spacing w:line="357" w:lineRule="auto" w:before="31"/>
        <w:ind w:left="137" w:right="87" w:firstLine="480"/>
        <w:jc w:val="left"/>
        <w:rPr>
          <w:rFonts w:ascii="宋体" w:hAnsi="宋体" w:cs="宋体" w:eastAsia="宋体" w:hint="default"/>
          <w:sz w:val="21"/>
          <w:szCs w:val="21"/>
        </w:rPr>
      </w:pPr>
      <w:r>
        <w:rPr>
          <w:rFonts w:ascii="宋体" w:hAnsi="宋体" w:cs="宋体" w:eastAsia="宋体" w:hint="default"/>
          <w:sz w:val="21"/>
          <w:szCs w:val="21"/>
        </w:rPr>
        <w:t>商业票据印刷行业是一种市场化程度较高的行业，自90年代后期进入高速增长阶段。 </w:t>
      </w:r>
      <w:r>
        <w:rPr>
          <w:rFonts w:ascii="宋体" w:hAnsi="宋体" w:cs="宋体" w:eastAsia="宋体" w:hint="default"/>
          <w:spacing w:val="-3"/>
          <w:sz w:val="21"/>
          <w:szCs w:val="21"/>
        </w:rPr>
        <w:t>根据中国印刷技术协会商业票据印刷分会提供数据，目前从业企业约1200多家，从业人员近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10万人，客户遍及邮政、电信、铁路、银行、财政、税务、保险、证券、流通等相关行业。</w:t>
      </w:r>
      <w:r>
        <w:rPr>
          <w:rFonts w:ascii="宋体" w:hAnsi="宋体" w:cs="宋体" w:eastAsia="宋体" w:hint="default"/>
          <w:sz w:val="21"/>
          <w:szCs w:val="21"/>
        </w:rPr>
        <w:t> </w:t>
      </w:r>
      <w:r>
        <w:rPr>
          <w:rFonts w:ascii="宋体" w:hAnsi="宋体" w:cs="宋体" w:eastAsia="宋体" w:hint="default"/>
          <w:spacing w:val="-3"/>
          <w:sz w:val="21"/>
          <w:szCs w:val="21"/>
        </w:rPr>
        <w:t>我国的商业票据印刷业从整体上看还未形成产业规模，尽管印刷业实行经营许可制度，但在</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市场化趋势下，进入壁垒不是很高，因此低水平重复建设的商业票据印刷企业很多，市场竞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争剧烈。但整体上高水平印刷不足，低水平印刷过剩，除少数企业技术装备较好外，多数较</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差。</w:t>
      </w:r>
    </w:p>
    <w:p>
      <w:pPr>
        <w:spacing w:line="357" w:lineRule="auto" w:before="31"/>
        <w:ind w:left="137" w:right="87" w:firstLine="480"/>
        <w:jc w:val="left"/>
        <w:rPr>
          <w:rFonts w:ascii="宋体" w:hAnsi="宋体" w:cs="宋体" w:eastAsia="宋体" w:hint="default"/>
          <w:sz w:val="21"/>
          <w:szCs w:val="21"/>
        </w:rPr>
      </w:pPr>
      <w:r>
        <w:rPr>
          <w:rFonts w:ascii="宋体" w:hAnsi="宋体" w:cs="宋体" w:eastAsia="宋体" w:hint="default"/>
          <w:sz w:val="21"/>
          <w:szCs w:val="21"/>
        </w:rPr>
        <w:t>目前技术含量低、仅是信息记录的载体的普通票据（如：记帐凭证、酒店帐单等）的 </w:t>
      </w:r>
      <w:r>
        <w:rPr>
          <w:rFonts w:ascii="宋体" w:hAnsi="宋体" w:cs="宋体" w:eastAsia="宋体" w:hint="default"/>
          <w:spacing w:val="-3"/>
          <w:sz w:val="21"/>
          <w:szCs w:val="21"/>
        </w:rPr>
        <w:t>市场竞争激烈，已经出现供大于求的状况。但是，商业票据市场发展迅速，客户需求不断深</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化，提出的高品质、全方位要求，高技术含量的商业票据及需求量却在逐年增加，一般企业</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限于设备、技术、管理能力，无法满足市场需求量，少数经营状况好的企业纷纷增资技改， </w:t>
      </w:r>
      <w:r>
        <w:rPr>
          <w:rFonts w:ascii="宋体" w:hAnsi="宋体" w:cs="宋体" w:eastAsia="宋体" w:hint="default"/>
          <w:spacing w:val="-3"/>
          <w:sz w:val="21"/>
          <w:szCs w:val="21"/>
        </w:rPr>
        <w:t>添置先进设备、扩大生产能力，以抢占市场份额。此外，由于客户普遍采用招投标的方式确</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定供应商和产品的价格水平，因此行业的利润水平在逐年下降。</w:t>
      </w:r>
    </w:p>
    <w:p>
      <w:pPr>
        <w:spacing w:line="357" w:lineRule="auto" w:before="30"/>
        <w:ind w:left="617" w:right="87" w:hanging="375"/>
        <w:jc w:val="left"/>
        <w:rPr>
          <w:rFonts w:ascii="宋体" w:hAnsi="宋体" w:cs="宋体" w:eastAsia="宋体" w:hint="default"/>
          <w:sz w:val="21"/>
          <w:szCs w:val="21"/>
        </w:rPr>
      </w:pPr>
      <w:r>
        <w:rPr>
          <w:rFonts w:ascii="宋体" w:hAnsi="宋体" w:cs="宋体" w:eastAsia="宋体" w:hint="default"/>
          <w:sz w:val="21"/>
          <w:szCs w:val="21"/>
        </w:rPr>
        <w:t>2、公司的发展战略 本公司秉承“市场唯先、用户至上”经营思想，以市场为导向，以管理为后盾，依托</w:t>
      </w:r>
    </w:p>
    <w:p>
      <w:pPr>
        <w:spacing w:before="30"/>
        <w:ind w:left="137" w:right="87" w:firstLine="0"/>
        <w:jc w:val="left"/>
        <w:rPr>
          <w:rFonts w:ascii="宋体" w:hAnsi="宋体" w:cs="宋体" w:eastAsia="宋体" w:hint="default"/>
          <w:sz w:val="21"/>
          <w:szCs w:val="21"/>
        </w:rPr>
      </w:pPr>
      <w:r>
        <w:rPr>
          <w:rFonts w:ascii="宋体" w:hAnsi="宋体" w:cs="宋体" w:eastAsia="宋体" w:hint="default"/>
          <w:spacing w:val="-3"/>
          <w:sz w:val="21"/>
          <w:szCs w:val="21"/>
        </w:rPr>
        <w:t>电子信息产业发展，针对当前票据产品的发展趋势，不断加大科研创新力度，加强和国际知</w:t>
      </w:r>
    </w:p>
    <w:p>
      <w:pPr>
        <w:spacing w:after="0"/>
        <w:jc w:val="left"/>
        <w:rPr>
          <w:rFonts w:ascii="宋体" w:hAnsi="宋体" w:cs="宋体" w:eastAsia="宋体" w:hint="default"/>
          <w:sz w:val="21"/>
          <w:szCs w:val="21"/>
        </w:rPr>
        <w:sectPr>
          <w:pgSz w:w="11910" w:h="16840"/>
          <w:pgMar w:header="915" w:footer="1712" w:top="1100" w:bottom="1900" w:left="1660" w:right="1600"/>
        </w:sectPr>
      </w:pPr>
    </w:p>
    <w:p>
      <w:pPr>
        <w:spacing w:line="355" w:lineRule="auto" w:before="18"/>
        <w:ind w:left="137" w:right="107"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492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pacing w:val="-3"/>
          <w:sz w:val="21"/>
          <w:szCs w:val="21"/>
        </w:rPr>
        <w:t>名公司的合作，开发新的票据产品，提高产品技术含量全面提升公司的竞争能力，保持公司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长期可持续发展。</w:t>
      </w:r>
    </w:p>
    <w:p>
      <w:pPr>
        <w:spacing w:line="357" w:lineRule="auto" w:before="33"/>
        <w:ind w:left="137" w:right="213" w:firstLine="480"/>
        <w:jc w:val="both"/>
        <w:rPr>
          <w:rFonts w:ascii="宋体" w:hAnsi="宋体" w:cs="宋体" w:eastAsia="宋体" w:hint="default"/>
          <w:sz w:val="21"/>
          <w:szCs w:val="21"/>
        </w:rPr>
      </w:pPr>
      <w:r>
        <w:rPr>
          <w:rFonts w:ascii="宋体" w:hAnsi="宋体" w:cs="宋体" w:eastAsia="宋体" w:hint="default"/>
          <w:sz w:val="21"/>
          <w:szCs w:val="21"/>
        </w:rPr>
        <w:t>未来三年公司的整体经营目标是进一步巩固公司在国内票据印刷行业内的领先地位， 力争使公司现有业务的销售收入年增长10%左右。同时保证募集资金投资项目如期实施，不</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断开发新产品和新客户，经营业绩保持在行业前列。</w:t>
      </w:r>
    </w:p>
    <w:p>
      <w:pPr>
        <w:spacing w:before="30"/>
        <w:ind w:left="137" w:right="107" w:firstLine="0"/>
        <w:jc w:val="left"/>
        <w:rPr>
          <w:rFonts w:ascii="宋体" w:hAnsi="宋体" w:cs="宋体" w:eastAsia="宋体" w:hint="default"/>
          <w:sz w:val="21"/>
          <w:szCs w:val="21"/>
        </w:rPr>
      </w:pPr>
      <w:r>
        <w:rPr>
          <w:rFonts w:ascii="宋体" w:hAnsi="宋体" w:cs="宋体" w:eastAsia="宋体" w:hint="default"/>
          <w:sz w:val="21"/>
          <w:szCs w:val="21"/>
        </w:rPr>
        <w:t>3、2008年经营计划和主要目标</w:t>
      </w:r>
    </w:p>
    <w:p>
      <w:pPr>
        <w:spacing w:line="357" w:lineRule="auto" w:before="133"/>
        <w:ind w:left="137" w:right="213" w:firstLine="420"/>
        <w:jc w:val="both"/>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11"/>
          <w:sz w:val="21"/>
          <w:szCs w:val="21"/>
        </w:rPr>
        <w:t> </w:t>
      </w:r>
      <w:r>
        <w:rPr>
          <w:rFonts w:ascii="宋体" w:hAnsi="宋体" w:cs="宋体" w:eastAsia="宋体" w:hint="default"/>
          <w:sz w:val="21"/>
          <w:szCs w:val="21"/>
        </w:rPr>
        <w:t>年公司将进一步降低生产成本，调整经营思路，在保持商业票据领域领先地位的</w:t>
      </w:r>
      <w:r>
        <w:rPr>
          <w:rFonts w:ascii="宋体" w:hAnsi="宋体" w:cs="宋体" w:eastAsia="宋体" w:hint="default"/>
          <w:sz w:val="21"/>
          <w:szCs w:val="21"/>
        </w:rPr>
        <w:t> 同时大力开拓数据处理和不干胶标签业务，具体经营计划和目标如下：</w:t>
      </w:r>
    </w:p>
    <w:p>
      <w:pPr>
        <w:spacing w:before="30"/>
        <w:ind w:left="557"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pacing w:val="-12"/>
          <w:sz w:val="21"/>
          <w:szCs w:val="21"/>
        </w:rPr>
        <w:t>、</w:t>
      </w:r>
      <w:r>
        <w:rPr>
          <w:rFonts w:ascii="宋体" w:hAnsi="宋体" w:cs="宋体" w:eastAsia="宋体" w:hint="default"/>
          <w:sz w:val="21"/>
          <w:szCs w:val="21"/>
        </w:rPr>
        <w:t>保</w:t>
      </w:r>
      <w:r>
        <w:rPr>
          <w:rFonts w:ascii="宋体" w:hAnsi="宋体" w:cs="宋体" w:eastAsia="宋体" w:hint="default"/>
          <w:spacing w:val="-2"/>
          <w:sz w:val="21"/>
          <w:szCs w:val="21"/>
        </w:rPr>
        <w:t>持</w:t>
      </w:r>
      <w:r>
        <w:rPr>
          <w:rFonts w:ascii="宋体" w:hAnsi="宋体" w:cs="宋体" w:eastAsia="宋体" w:hint="default"/>
          <w:sz w:val="21"/>
          <w:szCs w:val="21"/>
        </w:rPr>
        <w:t>销售收入以</w:t>
      </w:r>
      <w:r>
        <w:rPr>
          <w:rFonts w:ascii="宋体" w:hAnsi="宋体" w:cs="宋体" w:eastAsia="宋体" w:hint="default"/>
          <w:spacing w:val="-53"/>
          <w:sz w:val="21"/>
          <w:szCs w:val="21"/>
        </w:rPr>
        <w:t> </w:t>
      </w:r>
      <w:r>
        <w:rPr>
          <w:rFonts w:ascii="宋体" w:hAnsi="宋体" w:cs="宋体" w:eastAsia="宋体" w:hint="default"/>
          <w:sz w:val="21"/>
          <w:szCs w:val="21"/>
        </w:rPr>
        <w:t>10％左右的</w:t>
      </w:r>
      <w:r>
        <w:rPr>
          <w:rFonts w:ascii="宋体" w:hAnsi="宋体" w:cs="宋体" w:eastAsia="宋体" w:hint="default"/>
          <w:spacing w:val="-2"/>
          <w:sz w:val="21"/>
          <w:szCs w:val="21"/>
        </w:rPr>
        <w:t>速</w:t>
      </w:r>
      <w:r>
        <w:rPr>
          <w:rFonts w:ascii="宋体" w:hAnsi="宋体" w:cs="宋体" w:eastAsia="宋体" w:hint="default"/>
          <w:sz w:val="21"/>
          <w:szCs w:val="21"/>
        </w:rPr>
        <w:t>度增长</w:t>
      </w:r>
      <w:r>
        <w:rPr>
          <w:rFonts w:ascii="宋体" w:hAnsi="宋体" w:cs="宋体" w:eastAsia="宋体" w:hint="default"/>
          <w:spacing w:val="-12"/>
          <w:sz w:val="21"/>
          <w:szCs w:val="21"/>
        </w:rPr>
        <w:t>，</w:t>
      </w:r>
      <w:r>
        <w:rPr>
          <w:rFonts w:ascii="宋体" w:hAnsi="宋体" w:cs="宋体" w:eastAsia="宋体" w:hint="default"/>
          <w:sz w:val="21"/>
          <w:szCs w:val="21"/>
        </w:rPr>
        <w:t>降低各项费用</w:t>
      </w:r>
      <w:r>
        <w:rPr>
          <w:rFonts w:ascii="宋体" w:hAnsi="宋体" w:cs="宋体" w:eastAsia="宋体" w:hint="default"/>
          <w:spacing w:val="-12"/>
          <w:sz w:val="21"/>
          <w:szCs w:val="21"/>
        </w:rPr>
        <w:t>，</w:t>
      </w:r>
      <w:r>
        <w:rPr>
          <w:rFonts w:ascii="宋体" w:hAnsi="宋体" w:cs="宋体" w:eastAsia="宋体" w:hint="default"/>
          <w:sz w:val="21"/>
          <w:szCs w:val="21"/>
        </w:rPr>
        <w:t>实现净利润的稳步增长。</w:t>
      </w:r>
    </w:p>
    <w:p>
      <w:pPr>
        <w:spacing w:before="134"/>
        <w:ind w:left="557" w:right="10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、继</w:t>
      </w:r>
      <w:r>
        <w:rPr>
          <w:rFonts w:ascii="宋体" w:hAnsi="宋体" w:cs="宋体" w:eastAsia="宋体" w:hint="default"/>
          <w:spacing w:val="-2"/>
          <w:sz w:val="21"/>
          <w:szCs w:val="21"/>
        </w:rPr>
        <w:t>续</w:t>
      </w:r>
      <w:r>
        <w:rPr>
          <w:rFonts w:ascii="宋体" w:hAnsi="宋体" w:cs="宋体" w:eastAsia="宋体" w:hint="default"/>
          <w:sz w:val="21"/>
          <w:szCs w:val="21"/>
        </w:rPr>
        <w:t>加大数据处理和不干胶产品等新产品市场的开拓力度。</w:t>
      </w:r>
    </w:p>
    <w:p>
      <w:pPr>
        <w:spacing w:line="357" w:lineRule="auto" w:before="133"/>
        <w:ind w:left="137" w:right="212" w:firstLine="420"/>
        <w:jc w:val="both"/>
        <w:rPr>
          <w:rFonts w:ascii="宋体" w:hAnsi="宋体" w:cs="宋体" w:eastAsia="宋体" w:hint="default"/>
          <w:sz w:val="21"/>
          <w:szCs w:val="21"/>
        </w:rPr>
      </w:pPr>
      <w:r>
        <w:rPr>
          <w:rFonts w:ascii="宋体" w:hAnsi="宋体" w:cs="宋体" w:eastAsia="宋体" w:hint="default"/>
          <w:sz w:val="21"/>
          <w:szCs w:val="21"/>
        </w:rPr>
        <w:t>（3）优化业务流程，整合公司的内部资源，将采取集团化采购、生产物资统一调拨等 多种形式，降低生产成本，提高全体员工的成本意识和工作效率。</w:t>
      </w:r>
    </w:p>
    <w:p>
      <w:pPr>
        <w:spacing w:line="355" w:lineRule="auto" w:before="30"/>
        <w:ind w:left="137" w:right="212" w:firstLine="420"/>
        <w:jc w:val="both"/>
        <w:rPr>
          <w:rFonts w:ascii="宋体" w:hAnsi="宋体" w:cs="宋体" w:eastAsia="宋体" w:hint="default"/>
          <w:sz w:val="21"/>
          <w:szCs w:val="21"/>
        </w:rPr>
      </w:pPr>
      <w:r>
        <w:rPr>
          <w:rFonts w:ascii="宋体" w:hAnsi="宋体" w:cs="宋体" w:eastAsia="宋体" w:hint="default"/>
          <w:sz w:val="21"/>
          <w:szCs w:val="21"/>
        </w:rPr>
        <w:t>（4）通过加强培训工作，提高员工素质和技能，鼓励员工特别是干部树立善于学习、 不断学习的意识</w:t>
      </w:r>
    </w:p>
    <w:p>
      <w:pPr>
        <w:spacing w:before="33"/>
        <w:ind w:left="137" w:right="107" w:firstLine="0"/>
        <w:jc w:val="left"/>
        <w:rPr>
          <w:rFonts w:ascii="宋体" w:hAnsi="宋体" w:cs="宋体" w:eastAsia="宋体" w:hint="default"/>
          <w:sz w:val="21"/>
          <w:szCs w:val="21"/>
        </w:rPr>
      </w:pPr>
      <w:r>
        <w:rPr>
          <w:rFonts w:ascii="宋体" w:hAnsi="宋体" w:cs="宋体" w:eastAsia="宋体" w:hint="default"/>
          <w:sz w:val="21"/>
          <w:szCs w:val="21"/>
        </w:rPr>
        <w:t>4、为实现公司发展战略募集资金的使用安排</w:t>
      </w:r>
    </w:p>
    <w:p>
      <w:pPr>
        <w:spacing w:line="357" w:lineRule="auto" w:before="133"/>
        <w:ind w:left="137" w:right="211" w:firstLine="480"/>
        <w:jc w:val="both"/>
        <w:rPr>
          <w:rFonts w:ascii="宋体" w:hAnsi="宋体" w:cs="宋体" w:eastAsia="宋体" w:hint="default"/>
          <w:sz w:val="21"/>
          <w:szCs w:val="21"/>
        </w:rPr>
      </w:pPr>
      <w:r>
        <w:rPr>
          <w:rFonts w:ascii="宋体" w:hAnsi="宋体" w:cs="宋体" w:eastAsia="宋体" w:hint="default"/>
          <w:sz w:val="21"/>
          <w:szCs w:val="21"/>
        </w:rPr>
        <w:t>2008年公司将加紧实施募集资金项目，根据项目计划安排，2008年募集资金项目使用 计划如下：</w:t>
      </w:r>
    </w:p>
    <w:p>
      <w:pPr>
        <w:spacing w:before="30"/>
        <w:ind w:left="137" w:right="10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、防</w:t>
      </w:r>
      <w:r>
        <w:rPr>
          <w:rFonts w:ascii="宋体" w:hAnsi="宋体" w:cs="宋体" w:eastAsia="宋体" w:hint="default"/>
          <w:spacing w:val="-2"/>
          <w:sz w:val="21"/>
          <w:szCs w:val="21"/>
        </w:rPr>
        <w:t>伪</w:t>
      </w:r>
      <w:r>
        <w:rPr>
          <w:rFonts w:ascii="宋体" w:hAnsi="宋体" w:cs="宋体" w:eastAsia="宋体" w:hint="default"/>
          <w:sz w:val="21"/>
          <w:szCs w:val="21"/>
        </w:rPr>
        <w:t>票据开发应用项目预计投资</w:t>
      </w:r>
      <w:r>
        <w:rPr>
          <w:rFonts w:ascii="宋体" w:hAnsi="宋体" w:cs="宋体" w:eastAsia="宋体" w:hint="default"/>
          <w:spacing w:val="-53"/>
          <w:sz w:val="21"/>
          <w:szCs w:val="21"/>
        </w:rPr>
        <w:t> </w:t>
      </w:r>
      <w:r>
        <w:rPr>
          <w:rFonts w:ascii="宋体" w:hAnsi="宋体" w:cs="宋体" w:eastAsia="宋体" w:hint="default"/>
          <w:sz w:val="21"/>
          <w:szCs w:val="21"/>
        </w:rPr>
        <w:t>240</w:t>
      </w:r>
      <w:r>
        <w:rPr>
          <w:rFonts w:ascii="宋体" w:hAnsi="宋体" w:cs="宋体" w:eastAsia="宋体" w:hint="default"/>
          <w:spacing w:val="-52"/>
          <w:sz w:val="21"/>
          <w:szCs w:val="21"/>
        </w:rPr>
        <w:t> </w:t>
      </w:r>
      <w:r>
        <w:rPr>
          <w:rFonts w:ascii="宋体" w:hAnsi="宋体" w:cs="宋体" w:eastAsia="宋体" w:hint="default"/>
          <w:spacing w:val="-2"/>
          <w:sz w:val="21"/>
          <w:szCs w:val="21"/>
        </w:rPr>
        <w:t>万</w:t>
      </w:r>
      <w:r>
        <w:rPr>
          <w:rFonts w:ascii="宋体" w:hAnsi="宋体" w:cs="宋体" w:eastAsia="宋体" w:hint="default"/>
          <w:sz w:val="21"/>
          <w:szCs w:val="21"/>
        </w:rPr>
        <w:t>元；</w:t>
      </w:r>
    </w:p>
    <w:p>
      <w:pPr>
        <w:spacing w:before="134"/>
        <w:ind w:left="137" w:right="10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、数</w:t>
      </w:r>
      <w:r>
        <w:rPr>
          <w:rFonts w:ascii="宋体" w:hAnsi="宋体" w:cs="宋体" w:eastAsia="宋体" w:hint="default"/>
          <w:spacing w:val="-2"/>
          <w:sz w:val="21"/>
          <w:szCs w:val="21"/>
        </w:rPr>
        <w:t>字</w:t>
      </w:r>
      <w:r>
        <w:rPr>
          <w:rFonts w:ascii="宋体" w:hAnsi="宋体" w:cs="宋体" w:eastAsia="宋体" w:hint="default"/>
          <w:sz w:val="21"/>
          <w:szCs w:val="21"/>
        </w:rPr>
        <w:t>条码印刷开发应用项目预计总投资为</w:t>
      </w:r>
      <w:r>
        <w:rPr>
          <w:rFonts w:ascii="宋体" w:hAnsi="宋体" w:cs="宋体" w:eastAsia="宋体" w:hint="default"/>
          <w:spacing w:val="-53"/>
          <w:sz w:val="21"/>
          <w:szCs w:val="21"/>
        </w:rPr>
        <w:t> </w:t>
      </w:r>
      <w:r>
        <w:rPr>
          <w:rFonts w:ascii="宋体" w:hAnsi="宋体" w:cs="宋体" w:eastAsia="宋体" w:hint="default"/>
          <w:sz w:val="21"/>
          <w:szCs w:val="21"/>
        </w:rPr>
        <w:t>2,026</w:t>
      </w:r>
      <w:r>
        <w:rPr>
          <w:rFonts w:ascii="宋体" w:hAnsi="宋体" w:cs="宋体" w:eastAsia="宋体" w:hint="default"/>
          <w:spacing w:val="-52"/>
          <w:sz w:val="21"/>
          <w:szCs w:val="21"/>
        </w:rPr>
        <w:t> </w:t>
      </w:r>
      <w:r>
        <w:rPr>
          <w:rFonts w:ascii="宋体" w:hAnsi="宋体" w:cs="宋体" w:eastAsia="宋体" w:hint="default"/>
          <w:spacing w:val="-2"/>
          <w:sz w:val="21"/>
          <w:szCs w:val="21"/>
        </w:rPr>
        <w:t>万</w:t>
      </w:r>
      <w:r>
        <w:rPr>
          <w:rFonts w:ascii="宋体" w:hAnsi="宋体" w:cs="宋体" w:eastAsia="宋体" w:hint="default"/>
          <w:sz w:val="21"/>
          <w:szCs w:val="21"/>
        </w:rPr>
        <w:t>元；</w:t>
      </w:r>
    </w:p>
    <w:p>
      <w:pPr>
        <w:spacing w:before="133"/>
        <w:ind w:left="137" w:right="10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、数</w:t>
      </w:r>
      <w:r>
        <w:rPr>
          <w:rFonts w:ascii="宋体" w:hAnsi="宋体" w:cs="宋体" w:eastAsia="宋体" w:hint="default"/>
          <w:spacing w:val="-2"/>
          <w:sz w:val="21"/>
          <w:szCs w:val="21"/>
        </w:rPr>
        <w:t>据</w:t>
      </w:r>
      <w:r>
        <w:rPr>
          <w:rFonts w:ascii="宋体" w:hAnsi="宋体" w:cs="宋体" w:eastAsia="宋体" w:hint="default"/>
          <w:sz w:val="21"/>
          <w:szCs w:val="21"/>
        </w:rPr>
        <w:t>处理及可变印刷、邮发封装系统开发应用项目</w:t>
      </w:r>
      <w:r>
        <w:rPr>
          <w:rFonts w:ascii="宋体" w:hAnsi="宋体" w:cs="宋体" w:eastAsia="宋体" w:hint="default"/>
          <w:spacing w:val="-53"/>
          <w:sz w:val="21"/>
          <w:szCs w:val="21"/>
        </w:rPr>
        <w:t> </w:t>
      </w:r>
      <w:r>
        <w:rPr>
          <w:rFonts w:ascii="宋体" w:hAnsi="宋体" w:cs="宋体" w:eastAsia="宋体" w:hint="default"/>
          <w:sz w:val="21"/>
          <w:szCs w:val="21"/>
        </w:rPr>
        <w:t>1,116</w:t>
      </w:r>
      <w:r>
        <w:rPr>
          <w:rFonts w:ascii="宋体" w:hAnsi="宋体" w:cs="宋体" w:eastAsia="宋体" w:hint="default"/>
          <w:spacing w:val="-52"/>
          <w:sz w:val="21"/>
          <w:szCs w:val="21"/>
        </w:rPr>
        <w:t> </w:t>
      </w:r>
      <w:r>
        <w:rPr>
          <w:rFonts w:ascii="宋体" w:hAnsi="宋体" w:cs="宋体" w:eastAsia="宋体" w:hint="default"/>
          <w:sz w:val="21"/>
          <w:szCs w:val="21"/>
        </w:rPr>
        <w:t>万元；</w:t>
      </w:r>
    </w:p>
    <w:p>
      <w:pPr>
        <w:spacing w:before="133"/>
        <w:ind w:left="137" w:right="10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、智</w:t>
      </w:r>
      <w:r>
        <w:rPr>
          <w:rFonts w:ascii="宋体" w:hAnsi="宋体" w:cs="宋体" w:eastAsia="宋体" w:hint="default"/>
          <w:spacing w:val="-2"/>
          <w:sz w:val="21"/>
          <w:szCs w:val="21"/>
        </w:rPr>
        <w:t>能</w:t>
      </w:r>
      <w:r>
        <w:rPr>
          <w:rFonts w:ascii="宋体" w:hAnsi="宋体" w:cs="宋体" w:eastAsia="宋体" w:hint="default"/>
          <w:sz w:val="21"/>
          <w:szCs w:val="21"/>
        </w:rPr>
        <w:t>标签开发应用项目预计总投资</w:t>
      </w:r>
      <w:r>
        <w:rPr>
          <w:rFonts w:ascii="宋体" w:hAnsi="宋体" w:cs="宋体" w:eastAsia="宋体" w:hint="default"/>
          <w:spacing w:val="-53"/>
          <w:sz w:val="21"/>
          <w:szCs w:val="21"/>
        </w:rPr>
        <w:t> </w:t>
      </w:r>
      <w:r>
        <w:rPr>
          <w:rFonts w:ascii="宋体" w:hAnsi="宋体" w:cs="宋体" w:eastAsia="宋体" w:hint="default"/>
          <w:sz w:val="21"/>
          <w:szCs w:val="21"/>
        </w:rPr>
        <w:t>900</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before="134"/>
        <w:ind w:left="0" w:right="2857" w:firstLine="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年募投资金项目计划投资共计</w:t>
      </w:r>
      <w:r>
        <w:rPr>
          <w:rFonts w:ascii="宋体" w:hAnsi="宋体" w:cs="宋体" w:eastAsia="宋体" w:hint="default"/>
          <w:spacing w:val="-54"/>
          <w:sz w:val="21"/>
          <w:szCs w:val="21"/>
        </w:rPr>
        <w:t> </w:t>
      </w:r>
      <w:r>
        <w:rPr>
          <w:rFonts w:ascii="宋体" w:hAnsi="宋体" w:cs="宋体" w:eastAsia="宋体" w:hint="default"/>
          <w:sz w:val="21"/>
          <w:szCs w:val="21"/>
        </w:rPr>
        <w:t>4282</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0"/>
        <w:ind w:left="137" w:right="107" w:firstLine="0"/>
        <w:jc w:val="left"/>
        <w:rPr>
          <w:rFonts w:ascii="宋体" w:hAnsi="宋体" w:cs="宋体" w:eastAsia="宋体" w:hint="default"/>
          <w:sz w:val="21"/>
          <w:szCs w:val="21"/>
        </w:rPr>
      </w:pPr>
      <w:r>
        <w:rPr>
          <w:rFonts w:ascii="宋体" w:hAnsi="宋体" w:cs="宋体" w:eastAsia="宋体" w:hint="default"/>
          <w:sz w:val="21"/>
          <w:szCs w:val="21"/>
        </w:rPr>
        <w:t>5、公司面临的风险</w:t>
      </w:r>
    </w:p>
    <w:p>
      <w:pPr>
        <w:spacing w:line="357" w:lineRule="auto" w:before="133"/>
        <w:ind w:left="557" w:right="107" w:firstLine="0"/>
        <w:jc w:val="left"/>
        <w:rPr>
          <w:rFonts w:ascii="宋体" w:hAnsi="宋体" w:cs="宋体" w:eastAsia="宋体" w:hint="default"/>
          <w:sz w:val="21"/>
          <w:szCs w:val="21"/>
        </w:rPr>
      </w:pPr>
      <w:r>
        <w:rPr>
          <w:rFonts w:ascii="宋体" w:hAnsi="宋体" w:cs="宋体" w:eastAsia="宋体" w:hint="default"/>
          <w:spacing w:val="-4"/>
          <w:sz w:val="21"/>
          <w:szCs w:val="21"/>
        </w:rPr>
        <w:t>（1）、公司原有的高毛利产品竞争激烈，毛利率水平逐步降低。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应对措施：调整产品结构，加大高毛利产品的销售力度，提高订单的整体质量，稳定产</w:t>
      </w:r>
    </w:p>
    <w:p>
      <w:pPr>
        <w:spacing w:before="30"/>
        <w:ind w:left="137" w:right="107" w:firstLine="0"/>
        <w:jc w:val="left"/>
        <w:rPr>
          <w:rFonts w:ascii="宋体" w:hAnsi="宋体" w:cs="宋体" w:eastAsia="宋体" w:hint="default"/>
          <w:sz w:val="21"/>
          <w:szCs w:val="21"/>
        </w:rPr>
      </w:pPr>
      <w:r>
        <w:rPr>
          <w:rFonts w:ascii="宋体" w:hAnsi="宋体" w:cs="宋体" w:eastAsia="宋体" w:hint="default"/>
          <w:sz w:val="21"/>
          <w:szCs w:val="21"/>
        </w:rPr>
        <w:t>品利润水平</w:t>
      </w:r>
    </w:p>
    <w:p>
      <w:pPr>
        <w:spacing w:line="357" w:lineRule="auto" w:before="133"/>
        <w:ind w:left="557" w:right="107" w:firstLine="0"/>
        <w:jc w:val="left"/>
        <w:rPr>
          <w:rFonts w:ascii="宋体" w:hAnsi="宋体" w:cs="宋体" w:eastAsia="宋体" w:hint="default"/>
          <w:sz w:val="21"/>
          <w:szCs w:val="21"/>
        </w:rPr>
      </w:pPr>
      <w:r>
        <w:rPr>
          <w:rFonts w:ascii="宋体" w:hAnsi="宋体" w:cs="宋体" w:eastAsia="宋体" w:hint="default"/>
          <w:spacing w:val="-5"/>
          <w:sz w:val="21"/>
          <w:szCs w:val="21"/>
        </w:rPr>
        <w:t>（2）、全面的物价上升，导致公司各项成本持续上升。</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应对措施：过降低采购成本，提高生产效率的方式进行内部消化，并在采购过程中，全</w:t>
      </w:r>
    </w:p>
    <w:p>
      <w:pPr>
        <w:spacing w:before="30"/>
        <w:ind w:left="137" w:right="107" w:firstLine="0"/>
        <w:jc w:val="left"/>
        <w:rPr>
          <w:rFonts w:ascii="宋体" w:hAnsi="宋体" w:cs="宋体" w:eastAsia="宋体" w:hint="default"/>
          <w:sz w:val="21"/>
          <w:szCs w:val="21"/>
        </w:rPr>
      </w:pPr>
      <w:r>
        <w:rPr>
          <w:rFonts w:ascii="宋体" w:hAnsi="宋体" w:cs="宋体" w:eastAsia="宋体" w:hint="default"/>
          <w:sz w:val="21"/>
          <w:szCs w:val="21"/>
        </w:rPr>
        <w:t>面了解市场信息，采用竞争性谈判的方式，降低采购价格或维持原价格水平不变。</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0"/>
        <w:ind w:left="137" w:right="107" w:firstLine="0"/>
        <w:jc w:val="left"/>
        <w:rPr>
          <w:rFonts w:ascii="宋体" w:hAnsi="宋体" w:cs="宋体" w:eastAsia="宋体" w:hint="default"/>
          <w:sz w:val="21"/>
          <w:szCs w:val="21"/>
        </w:rPr>
      </w:pPr>
      <w:r>
        <w:rPr>
          <w:rFonts w:ascii="宋体" w:hAnsi="宋体" w:cs="宋体" w:eastAsia="宋体" w:hint="default"/>
          <w:b/>
          <w:bCs/>
          <w:sz w:val="21"/>
          <w:szCs w:val="21"/>
        </w:rPr>
        <w:t>二、公司投资情况</w:t>
      </w:r>
      <w:r>
        <w:rPr>
          <w:rFonts w:ascii="宋体" w:hAnsi="宋体" w:cs="宋体" w:eastAsia="宋体" w:hint="default"/>
          <w:sz w:val="21"/>
          <w:szCs w:val="21"/>
        </w:rPr>
      </w:r>
    </w:p>
    <w:p>
      <w:pPr>
        <w:spacing w:line="410" w:lineRule="atLeast" w:before="0"/>
        <w:ind w:left="452" w:right="4613" w:hanging="316"/>
        <w:jc w:val="left"/>
        <w:rPr>
          <w:rFonts w:ascii="宋体" w:hAnsi="宋体" w:cs="宋体" w:eastAsia="宋体" w:hint="default"/>
          <w:sz w:val="21"/>
          <w:szCs w:val="21"/>
        </w:rPr>
      </w:pPr>
      <w:r>
        <w:rPr>
          <w:rFonts w:ascii="宋体" w:hAnsi="宋体" w:cs="宋体" w:eastAsia="宋体" w:hint="default"/>
          <w:b/>
          <w:bCs/>
          <w:spacing w:val="-5"/>
          <w:w w:val="99"/>
          <w:sz w:val="21"/>
          <w:szCs w:val="21"/>
        </w:rPr>
        <w:t>（一）、报告期内，主要投资项目情况说明</w:t>
      </w:r>
      <w:r>
        <w:rPr>
          <w:rFonts w:ascii="宋体" w:hAnsi="宋体" w:cs="宋体" w:eastAsia="宋体" w:hint="default"/>
          <w:b/>
          <w:bCs/>
          <w:spacing w:val="1"/>
          <w:w w:val="99"/>
          <w:sz w:val="21"/>
          <w:szCs w:val="21"/>
        </w:rPr>
        <w:t> </w:t>
      </w:r>
      <w:r>
        <w:rPr>
          <w:rFonts w:ascii="宋体" w:hAnsi="宋体" w:cs="宋体" w:eastAsia="宋体" w:hint="default"/>
          <w:sz w:val="21"/>
          <w:szCs w:val="21"/>
        </w:rPr>
        <w:t>1、募投资金项目</w:t>
      </w:r>
    </w:p>
    <w:p>
      <w:pPr>
        <w:spacing w:after="0" w:line="410" w:lineRule="atLeast"/>
        <w:jc w:val="left"/>
        <w:rPr>
          <w:rFonts w:ascii="宋体" w:hAnsi="宋体" w:cs="宋体" w:eastAsia="宋体" w:hint="default"/>
          <w:sz w:val="21"/>
          <w:szCs w:val="21"/>
        </w:rPr>
        <w:sectPr>
          <w:pgSz w:w="11910" w:h="16840"/>
          <w:pgMar w:header="915" w:footer="1712" w:top="1100" w:bottom="1900" w:left="1660" w:right="1580"/>
        </w:sectPr>
      </w:pPr>
    </w:p>
    <w:p>
      <w:pPr>
        <w:spacing w:before="18"/>
        <w:ind w:left="677" w:right="247"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4904"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）募集资金项目的资金使用情况</w:t>
      </w:r>
    </w:p>
    <w:p>
      <w:pPr>
        <w:spacing w:before="116"/>
        <w:ind w:left="0" w:right="588"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90"/>
        <w:gridCol w:w="1452"/>
        <w:gridCol w:w="880"/>
        <w:gridCol w:w="387"/>
        <w:gridCol w:w="1050"/>
        <w:gridCol w:w="1260"/>
        <w:gridCol w:w="1676"/>
      </w:tblGrid>
      <w:tr>
        <w:trPr>
          <w:trHeight w:val="121" w:hRule="exact"/>
        </w:trPr>
        <w:tc>
          <w:tcPr>
            <w:tcW w:w="1890" w:type="dxa"/>
            <w:tcBorders>
              <w:top w:val="single" w:sz="4" w:space="0" w:color="000000"/>
              <w:left w:val="single" w:sz="4" w:space="0" w:color="000000"/>
              <w:bottom w:val="nil" w:sz="6" w:space="0" w:color="auto"/>
              <w:right w:val="single" w:sz="4" w:space="0" w:color="000000"/>
            </w:tcBorders>
            <w:shd w:val="clear" w:color="auto" w:fill="DCDCDC"/>
          </w:tcPr>
          <w:p>
            <w:pPr/>
          </w:p>
        </w:tc>
        <w:tc>
          <w:tcPr>
            <w:tcW w:w="2332" w:type="dxa"/>
            <w:gridSpan w:val="2"/>
            <w:vMerge w:val="restart"/>
            <w:tcBorders>
              <w:top w:val="single" w:sz="4" w:space="0" w:color="000000"/>
              <w:left w:val="single" w:sz="13" w:space="0" w:color="DCDCDC"/>
              <w:right w:val="single" w:sz="13" w:space="0" w:color="DCDCDC"/>
            </w:tcBorders>
          </w:tcPr>
          <w:p>
            <w:pPr>
              <w:pStyle w:val="TableParagraph"/>
              <w:spacing w:line="240" w:lineRule="auto" w:before="86"/>
              <w:ind w:left="1460" w:right="0"/>
              <w:jc w:val="left"/>
              <w:rPr>
                <w:rFonts w:ascii="宋体" w:hAnsi="宋体" w:cs="宋体" w:eastAsia="宋体" w:hint="default"/>
                <w:sz w:val="18"/>
                <w:szCs w:val="18"/>
              </w:rPr>
            </w:pPr>
            <w:r>
              <w:rPr>
                <w:rFonts w:ascii="宋体"/>
                <w:sz w:val="18"/>
              </w:rPr>
              <w:t>27,448.09</w:t>
            </w:r>
          </w:p>
        </w:tc>
        <w:tc>
          <w:tcPr>
            <w:tcW w:w="269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166" w:right="0"/>
              <w:jc w:val="left"/>
              <w:rPr>
                <w:rFonts w:ascii="宋体" w:hAnsi="宋体" w:cs="宋体" w:eastAsia="宋体" w:hint="default"/>
                <w:sz w:val="18"/>
                <w:szCs w:val="18"/>
              </w:rPr>
            </w:pPr>
            <w:r>
              <w:rPr>
                <w:rFonts w:ascii="宋体" w:hAnsi="宋体" w:cs="宋体" w:eastAsia="宋体" w:hint="default"/>
                <w:sz w:val="18"/>
                <w:szCs w:val="18"/>
              </w:rPr>
              <w:t>报告期内已使用募集资金总额</w:t>
            </w:r>
          </w:p>
        </w:tc>
        <w:tc>
          <w:tcPr>
            <w:tcW w:w="1676" w:type="dxa"/>
            <w:vMerge w:val="restart"/>
            <w:tcBorders>
              <w:top w:val="single" w:sz="4" w:space="0" w:color="000000"/>
              <w:left w:val="single" w:sz="13" w:space="0" w:color="DCDCDC"/>
              <w:right w:val="single" w:sz="4" w:space="0" w:color="000000"/>
            </w:tcBorders>
          </w:tcPr>
          <w:p>
            <w:pPr>
              <w:pStyle w:val="TableParagraph"/>
              <w:spacing w:line="205" w:lineRule="exact"/>
              <w:ind w:left="1002" w:right="0"/>
              <w:jc w:val="left"/>
              <w:rPr>
                <w:rFonts w:ascii="宋体" w:hAnsi="宋体" w:cs="宋体" w:eastAsia="宋体" w:hint="default"/>
                <w:sz w:val="18"/>
                <w:szCs w:val="18"/>
              </w:rPr>
            </w:pPr>
            <w:r>
              <w:rPr>
                <w:rFonts w:ascii="宋体"/>
                <w:sz w:val="18"/>
              </w:rPr>
              <w:t>9731.26</w:t>
            </w:r>
          </w:p>
        </w:tc>
      </w:tr>
      <w:tr>
        <w:trPr>
          <w:trHeight w:val="122" w:hRule="exact"/>
        </w:trPr>
        <w:tc>
          <w:tcPr>
            <w:tcW w:w="1890"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579"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332" w:type="dxa"/>
            <w:gridSpan w:val="2"/>
            <w:vMerge/>
            <w:tcBorders>
              <w:left w:val="single" w:sz="13" w:space="0" w:color="DCDCDC"/>
              <w:right w:val="single" w:sz="13" w:space="0" w:color="DCDCDC"/>
            </w:tcBorders>
          </w:tcPr>
          <w:p>
            <w:pPr/>
          </w:p>
        </w:tc>
        <w:tc>
          <w:tcPr>
            <w:tcW w:w="2697" w:type="dxa"/>
            <w:gridSpan w:val="3"/>
            <w:vMerge/>
            <w:tcBorders>
              <w:left w:val="single" w:sz="4" w:space="0" w:color="000000"/>
              <w:bottom w:val="single" w:sz="4" w:space="0" w:color="000000"/>
              <w:right w:val="single" w:sz="4" w:space="0" w:color="000000"/>
            </w:tcBorders>
            <w:shd w:val="clear" w:color="auto" w:fill="DCDCDC"/>
          </w:tcPr>
          <w:p>
            <w:pPr/>
          </w:p>
        </w:tc>
        <w:tc>
          <w:tcPr>
            <w:tcW w:w="1676" w:type="dxa"/>
            <w:vMerge/>
            <w:tcBorders>
              <w:left w:val="single" w:sz="13" w:space="0" w:color="DCDCDC"/>
              <w:bottom w:val="single" w:sz="4" w:space="0" w:color="000000"/>
              <w:right w:val="single" w:sz="4" w:space="0" w:color="000000"/>
            </w:tcBorders>
          </w:tcPr>
          <w:p>
            <w:pPr/>
          </w:p>
        </w:tc>
      </w:tr>
      <w:tr>
        <w:trPr>
          <w:trHeight w:val="112" w:hRule="exact"/>
        </w:trPr>
        <w:tc>
          <w:tcPr>
            <w:tcW w:w="1890" w:type="dxa"/>
            <w:vMerge/>
            <w:tcBorders>
              <w:left w:val="single" w:sz="4" w:space="0" w:color="000000"/>
              <w:bottom w:val="nil" w:sz="6" w:space="0" w:color="auto"/>
              <w:right w:val="single" w:sz="4" w:space="0" w:color="000000"/>
            </w:tcBorders>
            <w:shd w:val="clear" w:color="auto" w:fill="DCDCDC"/>
          </w:tcPr>
          <w:p>
            <w:pPr/>
          </w:p>
        </w:tc>
        <w:tc>
          <w:tcPr>
            <w:tcW w:w="2332" w:type="dxa"/>
            <w:gridSpan w:val="2"/>
            <w:vMerge/>
            <w:tcBorders>
              <w:left w:val="single" w:sz="13" w:space="0" w:color="DCDCDC"/>
              <w:right w:val="single" w:sz="13" w:space="0" w:color="DCDCDC"/>
            </w:tcBorders>
          </w:tcPr>
          <w:p>
            <w:pPr/>
          </w:p>
        </w:tc>
        <w:tc>
          <w:tcPr>
            <w:tcW w:w="269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372" w:right="0"/>
              <w:jc w:val="left"/>
              <w:rPr>
                <w:rFonts w:ascii="宋体" w:hAnsi="宋体" w:cs="宋体" w:eastAsia="宋体" w:hint="default"/>
                <w:sz w:val="18"/>
                <w:szCs w:val="18"/>
              </w:rPr>
            </w:pPr>
            <w:r>
              <w:rPr>
                <w:rFonts w:ascii="宋体" w:hAnsi="宋体" w:cs="宋体" w:eastAsia="宋体" w:hint="default"/>
                <w:sz w:val="18"/>
                <w:szCs w:val="18"/>
              </w:rPr>
              <w:t>已累计使用募集资金总额</w:t>
            </w:r>
          </w:p>
        </w:tc>
        <w:tc>
          <w:tcPr>
            <w:tcW w:w="1676" w:type="dxa"/>
            <w:vMerge w:val="restart"/>
            <w:tcBorders>
              <w:top w:val="single" w:sz="4" w:space="0" w:color="000000"/>
              <w:left w:val="single" w:sz="13" w:space="0" w:color="DCDCDC"/>
              <w:right w:val="single" w:sz="4" w:space="0" w:color="000000"/>
            </w:tcBorders>
          </w:tcPr>
          <w:p>
            <w:pPr>
              <w:pStyle w:val="TableParagraph"/>
              <w:spacing w:line="205" w:lineRule="exact"/>
              <w:ind w:left="912" w:right="0"/>
              <w:jc w:val="left"/>
              <w:rPr>
                <w:rFonts w:ascii="宋体" w:hAnsi="宋体" w:cs="宋体" w:eastAsia="宋体" w:hint="default"/>
                <w:sz w:val="18"/>
                <w:szCs w:val="18"/>
              </w:rPr>
            </w:pPr>
            <w:r>
              <w:rPr>
                <w:rFonts w:ascii="宋体"/>
                <w:sz w:val="18"/>
              </w:rPr>
              <w:t>22127.76</w:t>
            </w:r>
          </w:p>
        </w:tc>
      </w:tr>
      <w:tr>
        <w:trPr>
          <w:trHeight w:val="132" w:hRule="exact"/>
        </w:trPr>
        <w:tc>
          <w:tcPr>
            <w:tcW w:w="1890" w:type="dxa"/>
            <w:tcBorders>
              <w:top w:val="nil" w:sz="6" w:space="0" w:color="auto"/>
              <w:left w:val="single" w:sz="4" w:space="0" w:color="000000"/>
              <w:bottom w:val="single" w:sz="4" w:space="0" w:color="000000"/>
              <w:right w:val="single" w:sz="4" w:space="0" w:color="000000"/>
            </w:tcBorders>
            <w:shd w:val="clear" w:color="auto" w:fill="DCDCDC"/>
          </w:tcPr>
          <w:p>
            <w:pPr/>
          </w:p>
        </w:tc>
        <w:tc>
          <w:tcPr>
            <w:tcW w:w="2332" w:type="dxa"/>
            <w:gridSpan w:val="2"/>
            <w:vMerge/>
            <w:tcBorders>
              <w:left w:val="single" w:sz="13" w:space="0" w:color="DCDCDC"/>
              <w:bottom w:val="single" w:sz="47" w:space="0" w:color="DCDCDC"/>
              <w:right w:val="single" w:sz="13" w:space="0" w:color="DCDCDC"/>
            </w:tcBorders>
          </w:tcPr>
          <w:p>
            <w:pPr/>
          </w:p>
        </w:tc>
        <w:tc>
          <w:tcPr>
            <w:tcW w:w="2697" w:type="dxa"/>
            <w:gridSpan w:val="3"/>
            <w:vMerge/>
            <w:tcBorders>
              <w:left w:val="single" w:sz="4" w:space="0" w:color="000000"/>
              <w:bottom w:val="single" w:sz="4" w:space="0" w:color="000000"/>
              <w:right w:val="single" w:sz="4" w:space="0" w:color="000000"/>
            </w:tcBorders>
            <w:shd w:val="clear" w:color="auto" w:fill="DCDCDC"/>
          </w:tcPr>
          <w:p>
            <w:pPr/>
          </w:p>
        </w:tc>
        <w:tc>
          <w:tcPr>
            <w:tcW w:w="1676" w:type="dxa"/>
            <w:vMerge/>
            <w:tcBorders>
              <w:left w:val="single" w:sz="13" w:space="0" w:color="DCDCDC"/>
              <w:bottom w:val="single" w:sz="4" w:space="0" w:color="000000"/>
              <w:right w:val="single" w:sz="4" w:space="0" w:color="000000"/>
            </w:tcBorders>
          </w:tcPr>
          <w:p>
            <w:pPr/>
          </w:p>
        </w:tc>
      </w:tr>
      <w:tr>
        <w:trPr>
          <w:trHeight w:val="122" w:hRule="exact"/>
        </w:trPr>
        <w:tc>
          <w:tcPr>
            <w:tcW w:w="18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2"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7"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报告期内投入</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累计已投入</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60"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实际投资进度</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76" w:type="dxa"/>
            <w:vMerge w:val="restart"/>
            <w:tcBorders>
              <w:top w:val="single" w:sz="4" w:space="0" w:color="000000"/>
              <w:left w:val="single" w:sz="4" w:space="0" w:color="000000"/>
              <w:right w:val="single" w:sz="4" w:space="0" w:color="000000"/>
            </w:tcBorders>
            <w:shd w:val="clear" w:color="auto" w:fill="DCDCDC"/>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报告期内实现的收益</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（以利润总额计算）</w:t>
            </w:r>
          </w:p>
        </w:tc>
      </w:tr>
      <w:tr>
        <w:trPr>
          <w:trHeight w:val="355" w:hRule="exact"/>
        </w:trPr>
        <w:tc>
          <w:tcPr>
            <w:tcW w:w="189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left="579" w:right="0"/>
              <w:jc w:val="left"/>
              <w:rPr>
                <w:rFonts w:ascii="宋体" w:hAnsi="宋体" w:cs="宋体" w:eastAsia="宋体" w:hint="default"/>
                <w:sz w:val="18"/>
                <w:szCs w:val="18"/>
              </w:rPr>
            </w:pPr>
            <w:r>
              <w:rPr>
                <w:rFonts w:ascii="宋体" w:hAnsi="宋体" w:cs="宋体" w:eastAsia="宋体" w:hint="default"/>
                <w:sz w:val="18"/>
                <w:szCs w:val="18"/>
              </w:rPr>
              <w:t>承诺项目</w:t>
            </w:r>
          </w:p>
        </w:tc>
        <w:tc>
          <w:tcPr>
            <w:tcW w:w="145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原计划投入总额</w:t>
            </w:r>
          </w:p>
        </w:tc>
        <w:tc>
          <w:tcPr>
            <w:tcW w:w="1267" w:type="dxa"/>
            <w:gridSpan w:val="2"/>
            <w:vMerge/>
            <w:tcBorders>
              <w:left w:val="single" w:sz="4" w:space="0" w:color="000000"/>
              <w:bottom w:val="single" w:sz="4" w:space="0" w:color="000000"/>
              <w:right w:val="single" w:sz="4" w:space="0" w:color="000000"/>
            </w:tcBorders>
            <w:shd w:val="clear" w:color="auto" w:fill="DCDCDC"/>
          </w:tcPr>
          <w:p>
            <w:pPr/>
          </w:p>
        </w:tc>
        <w:tc>
          <w:tcPr>
            <w:tcW w:w="1050" w:type="dxa"/>
            <w:vMerge/>
            <w:tcBorders>
              <w:left w:val="single" w:sz="4" w:space="0" w:color="000000"/>
              <w:bottom w:val="single" w:sz="4" w:space="0" w:color="000000"/>
              <w:right w:val="single" w:sz="4" w:space="0" w:color="000000"/>
            </w:tcBorders>
            <w:shd w:val="clear" w:color="auto" w:fill="DCDCDC"/>
          </w:tcPr>
          <w:p>
            <w:pPr/>
          </w:p>
        </w:tc>
        <w:tc>
          <w:tcPr>
            <w:tcW w:w="1260" w:type="dxa"/>
            <w:vMerge/>
            <w:tcBorders>
              <w:left w:val="single" w:sz="4" w:space="0" w:color="000000"/>
              <w:bottom w:val="single" w:sz="4" w:space="0" w:color="000000"/>
              <w:right w:val="single" w:sz="4" w:space="0" w:color="000000"/>
            </w:tcBorders>
            <w:shd w:val="clear" w:color="auto" w:fill="DCDCDC"/>
          </w:tcPr>
          <w:p>
            <w:pPr/>
          </w:p>
        </w:tc>
        <w:tc>
          <w:tcPr>
            <w:tcW w:w="1676" w:type="dxa"/>
            <w:vMerge/>
            <w:tcBorders>
              <w:left w:val="single" w:sz="4" w:space="0" w:color="000000"/>
              <w:bottom w:val="single" w:sz="4" w:space="0" w:color="000000"/>
              <w:right w:val="single" w:sz="4" w:space="0" w:color="000000"/>
            </w:tcBorders>
            <w:shd w:val="clear" w:color="auto" w:fill="DCDCDC"/>
          </w:tcPr>
          <w:p>
            <w:pPr/>
          </w:p>
        </w:tc>
      </w:tr>
      <w:tr>
        <w:trPr>
          <w:trHeight w:val="244" w:hRule="exact"/>
        </w:trPr>
        <w:tc>
          <w:tcPr>
            <w:tcW w:w="1890" w:type="dxa"/>
            <w:tcBorders>
              <w:top w:val="single" w:sz="46" w:space="0" w:color="DCDCDC"/>
              <w:left w:val="single" w:sz="4" w:space="0" w:color="000000"/>
              <w:bottom w:val="single" w:sz="4" w:space="0" w:color="000000"/>
              <w:right w:val="single" w:sz="4" w:space="0" w:color="000000"/>
            </w:tcBorders>
          </w:tcPr>
          <w:p>
            <w:pPr>
              <w:pStyle w:val="TableParagraph"/>
              <w:spacing w:line="152" w:lineRule="exact"/>
              <w:ind w:left="22" w:right="0"/>
              <w:jc w:val="left"/>
              <w:rPr>
                <w:rFonts w:ascii="宋体" w:hAnsi="宋体" w:cs="宋体" w:eastAsia="宋体" w:hint="default"/>
                <w:sz w:val="18"/>
                <w:szCs w:val="18"/>
              </w:rPr>
            </w:pPr>
            <w:r>
              <w:rPr>
                <w:rFonts w:ascii="宋体" w:hAnsi="宋体" w:cs="宋体" w:eastAsia="宋体" w:hint="default"/>
                <w:sz w:val="18"/>
                <w:szCs w:val="18"/>
              </w:rPr>
              <w:t>合资建立北京东港</w:t>
            </w:r>
          </w:p>
        </w:tc>
        <w:tc>
          <w:tcPr>
            <w:tcW w:w="1452" w:type="dxa"/>
            <w:tcBorders>
              <w:top w:val="single" w:sz="46" w:space="0" w:color="DCDCDC"/>
              <w:left w:val="single" w:sz="4" w:space="0" w:color="000000"/>
              <w:bottom w:val="single" w:sz="4" w:space="0" w:color="000000"/>
              <w:right w:val="single" w:sz="4" w:space="0" w:color="000000"/>
            </w:tcBorders>
          </w:tcPr>
          <w:p>
            <w:pPr>
              <w:pStyle w:val="TableParagraph"/>
              <w:spacing w:line="152" w:lineRule="exact"/>
              <w:ind w:left="38" w:right="0"/>
              <w:jc w:val="center"/>
              <w:rPr>
                <w:rFonts w:ascii="宋体" w:hAnsi="宋体" w:cs="宋体" w:eastAsia="宋体" w:hint="default"/>
                <w:sz w:val="18"/>
                <w:szCs w:val="18"/>
              </w:rPr>
            </w:pPr>
            <w:r>
              <w:rPr>
                <w:rFonts w:ascii="宋体"/>
                <w:sz w:val="18"/>
              </w:rPr>
              <w:t>6,000.00</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7" w:right="0"/>
              <w:jc w:val="left"/>
              <w:rPr>
                <w:rFonts w:ascii="宋体" w:hAnsi="宋体" w:cs="宋体" w:eastAsia="宋体" w:hint="default"/>
                <w:sz w:val="18"/>
                <w:szCs w:val="18"/>
              </w:rPr>
            </w:pPr>
            <w:r>
              <w:rPr>
                <w:rFonts w:ascii="宋体"/>
                <w:sz w:val="18"/>
              </w:rPr>
              <w:t>4,500.00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6,000.00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100.00%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1764.59</w:t>
            </w:r>
          </w:p>
        </w:tc>
      </w:tr>
      <w:tr>
        <w:trPr>
          <w:trHeight w:val="24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智能标签开发应用</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center"/>
              <w:rPr>
                <w:rFonts w:ascii="宋体" w:hAnsi="宋体" w:cs="宋体" w:eastAsia="宋体" w:hint="default"/>
                <w:sz w:val="18"/>
                <w:szCs w:val="18"/>
              </w:rPr>
            </w:pPr>
            <w:r>
              <w:rPr>
                <w:rFonts w:ascii="宋体"/>
                <w:sz w:val="18"/>
              </w:rPr>
              <w:t>4,998.00</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9" w:right="0"/>
              <w:jc w:val="left"/>
              <w:rPr>
                <w:rFonts w:ascii="宋体" w:hAnsi="宋体" w:cs="宋体" w:eastAsia="宋体" w:hint="default"/>
                <w:sz w:val="18"/>
                <w:szCs w:val="18"/>
              </w:rPr>
            </w:pPr>
            <w:r>
              <w:rPr>
                <w:rFonts w:ascii="宋体"/>
                <w:sz w:val="18"/>
              </w:rPr>
              <w:t>1,458.81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3,059.96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61.22%</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121.96</w:t>
            </w:r>
          </w:p>
        </w:tc>
      </w:tr>
      <w:tr>
        <w:trPr>
          <w:trHeight w:val="24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数据处理及可变印刷</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center"/>
              <w:rPr>
                <w:rFonts w:ascii="宋体" w:hAnsi="宋体" w:cs="宋体" w:eastAsia="宋体" w:hint="default"/>
                <w:sz w:val="18"/>
                <w:szCs w:val="18"/>
              </w:rPr>
            </w:pPr>
            <w:r>
              <w:rPr>
                <w:rFonts w:ascii="宋体"/>
                <w:sz w:val="18"/>
              </w:rPr>
              <w:t>4,888.00</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7" w:right="0"/>
              <w:jc w:val="left"/>
              <w:rPr>
                <w:rFonts w:ascii="宋体" w:hAnsi="宋体" w:cs="宋体" w:eastAsia="宋体" w:hint="default"/>
                <w:sz w:val="18"/>
                <w:szCs w:val="18"/>
              </w:rPr>
            </w:pPr>
            <w:r>
              <w:rPr>
                <w:rFonts w:ascii="宋体"/>
                <w:sz w:val="18"/>
              </w:rPr>
              <w:t>1,794.19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3,771.88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77.17%</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15.41</w:t>
            </w:r>
          </w:p>
        </w:tc>
      </w:tr>
      <w:tr>
        <w:trPr>
          <w:trHeight w:val="24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数字条码印刷</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center"/>
              <w:rPr>
                <w:rFonts w:ascii="宋体" w:hAnsi="宋体" w:cs="宋体" w:eastAsia="宋体" w:hint="default"/>
                <w:sz w:val="18"/>
                <w:szCs w:val="18"/>
              </w:rPr>
            </w:pPr>
            <w:r>
              <w:rPr>
                <w:rFonts w:ascii="宋体"/>
                <w:sz w:val="18"/>
              </w:rPr>
              <w:t>4,947.00</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7" w:right="0"/>
              <w:jc w:val="left"/>
              <w:rPr>
                <w:rFonts w:ascii="宋体" w:hAnsi="宋体" w:cs="宋体" w:eastAsia="宋体" w:hint="default"/>
                <w:sz w:val="18"/>
                <w:szCs w:val="18"/>
              </w:rPr>
            </w:pPr>
            <w:r>
              <w:rPr>
                <w:rFonts w:ascii="宋体"/>
                <w:sz w:val="18"/>
              </w:rPr>
              <w:t>1,897.96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2,921.28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59.05%</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393.52</w:t>
            </w:r>
          </w:p>
        </w:tc>
      </w:tr>
      <w:tr>
        <w:trPr>
          <w:trHeight w:val="24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防伪票证印刷</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 w:right="0"/>
              <w:jc w:val="center"/>
              <w:rPr>
                <w:rFonts w:ascii="宋体" w:hAnsi="宋体" w:cs="宋体" w:eastAsia="宋体" w:hint="default"/>
                <w:sz w:val="18"/>
                <w:szCs w:val="18"/>
              </w:rPr>
            </w:pPr>
            <w:r>
              <w:rPr>
                <w:rFonts w:ascii="宋体"/>
                <w:sz w:val="18"/>
              </w:rPr>
              <w:t>4,793.00</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3" w:right="0"/>
              <w:jc w:val="left"/>
              <w:rPr>
                <w:rFonts w:ascii="宋体" w:hAnsi="宋体" w:cs="宋体" w:eastAsia="宋体" w:hint="default"/>
                <w:sz w:val="18"/>
                <w:szCs w:val="18"/>
              </w:rPr>
            </w:pPr>
            <w:r>
              <w:rPr>
                <w:rFonts w:ascii="宋体"/>
                <w:sz w:val="18"/>
              </w:rPr>
              <w:t>80.30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4,552.55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94.98%</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613.1</w:t>
            </w:r>
          </w:p>
        </w:tc>
      </w:tr>
      <w:tr>
        <w:trPr>
          <w:trHeight w:val="244"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 w:right="0"/>
              <w:jc w:val="center"/>
              <w:rPr>
                <w:rFonts w:ascii="宋体" w:hAnsi="宋体" w:cs="宋体" w:eastAsia="宋体" w:hint="default"/>
                <w:sz w:val="18"/>
                <w:szCs w:val="18"/>
              </w:rPr>
            </w:pPr>
            <w:r>
              <w:rPr>
                <w:rFonts w:ascii="宋体"/>
                <w:sz w:val="18"/>
              </w:rPr>
              <w:t>25,626.00</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7" w:right="0"/>
              <w:jc w:val="left"/>
              <w:rPr>
                <w:rFonts w:ascii="宋体" w:hAnsi="宋体" w:cs="宋体" w:eastAsia="宋体" w:hint="default"/>
                <w:sz w:val="18"/>
                <w:szCs w:val="18"/>
              </w:rPr>
            </w:pPr>
            <w:r>
              <w:rPr>
                <w:rFonts w:ascii="宋体"/>
                <w:sz w:val="18"/>
              </w:rPr>
              <w:t>9,731.26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20,305.67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2908.58</w:t>
            </w:r>
          </w:p>
        </w:tc>
      </w:tr>
    </w:tbl>
    <w:p>
      <w:pPr>
        <w:tabs>
          <w:tab w:pos="1412" w:val="left" w:leader="none"/>
        </w:tabs>
        <w:spacing w:line="241" w:lineRule="exact" w:before="0"/>
        <w:ind w:left="678" w:right="247" w:firstLine="0"/>
        <w:jc w:val="left"/>
        <w:rPr>
          <w:rFonts w:ascii="宋体" w:hAnsi="宋体" w:cs="宋体" w:eastAsia="宋体" w:hint="default"/>
          <w:sz w:val="21"/>
          <w:szCs w:val="21"/>
        </w:rPr>
      </w:pPr>
      <w:r>
        <w:rPr>
          <w:rFonts w:ascii="宋体" w:hAnsi="宋体" w:cs="宋体" w:eastAsia="宋体" w:hint="default"/>
          <w:spacing w:val="-1"/>
          <w:sz w:val="21"/>
          <w:szCs w:val="21"/>
        </w:rPr>
        <w:t>（2）</w:t>
        <w:tab/>
      </w:r>
      <w:r>
        <w:rPr>
          <w:rFonts w:ascii="宋体" w:hAnsi="宋体" w:cs="宋体" w:eastAsia="宋体" w:hint="default"/>
          <w:sz w:val="21"/>
          <w:szCs w:val="21"/>
        </w:rPr>
        <w:t>变更募集资金项目的资金使用情况</w:t>
      </w:r>
    </w:p>
    <w:p>
      <w:pPr>
        <w:spacing w:before="133"/>
        <w:ind w:left="677" w:right="247"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年公司未发生募集资金项目变更的情况。</w:t>
      </w:r>
    </w:p>
    <w:p>
      <w:pPr>
        <w:spacing w:line="355" w:lineRule="auto" w:before="134"/>
        <w:ind w:left="737" w:right="247" w:hanging="6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
          <w:sz w:val="21"/>
          <w:szCs w:val="21"/>
        </w:rPr>
        <w:t> </w:t>
      </w:r>
      <w:r>
        <w:rPr>
          <w:rFonts w:ascii="宋体" w:hAnsi="宋体" w:cs="宋体" w:eastAsia="宋体" w:hint="default"/>
          <w:sz w:val="21"/>
          <w:szCs w:val="21"/>
        </w:rPr>
        <w:t>募集资金项目的实施方式、地点变更情况</w:t>
      </w:r>
      <w:r>
        <w:rPr>
          <w:rFonts w:ascii="宋体" w:hAnsi="宋体" w:cs="宋体" w:eastAsia="宋体" w:hint="default"/>
          <w:sz w:val="21"/>
          <w:szCs w:val="21"/>
        </w:rPr>
        <w:t> 根据公司第二届董事会第八次会议决议，公司将“合资建立北京东港安全印刷有限公</w:t>
      </w:r>
    </w:p>
    <w:p>
      <w:pPr>
        <w:spacing w:before="33"/>
        <w:ind w:left="257" w:right="0" w:firstLine="0"/>
        <w:jc w:val="both"/>
        <w:rPr>
          <w:rFonts w:ascii="宋体" w:hAnsi="宋体" w:cs="宋体" w:eastAsia="宋体" w:hint="default"/>
          <w:sz w:val="21"/>
          <w:szCs w:val="21"/>
        </w:rPr>
      </w:pPr>
      <w:r>
        <w:rPr>
          <w:rFonts w:ascii="宋体" w:hAnsi="宋体" w:cs="宋体" w:eastAsia="宋体" w:hint="default"/>
          <w:spacing w:val="-6"/>
          <w:sz w:val="21"/>
          <w:szCs w:val="21"/>
        </w:rPr>
        <w:t>司”项目的实施方式变更为：将北京东港的原计划注册资金由</w:t>
      </w:r>
      <w:r>
        <w:rPr>
          <w:rFonts w:ascii="宋体" w:hAnsi="宋体" w:cs="宋体" w:eastAsia="宋体" w:hint="default"/>
          <w:spacing w:val="-50"/>
          <w:sz w:val="21"/>
          <w:szCs w:val="21"/>
        </w:rPr>
        <w:t> </w:t>
      </w:r>
      <w:r>
        <w:rPr>
          <w:rFonts w:ascii="宋体" w:hAnsi="宋体" w:cs="宋体" w:eastAsia="宋体" w:hint="default"/>
          <w:sz w:val="21"/>
          <w:szCs w:val="21"/>
        </w:rPr>
        <w:t>8000</w:t>
      </w:r>
      <w:r>
        <w:rPr>
          <w:rFonts w:ascii="宋体" w:hAnsi="宋体" w:cs="宋体" w:eastAsia="宋体" w:hint="default"/>
          <w:spacing w:val="-49"/>
          <w:sz w:val="21"/>
          <w:szCs w:val="21"/>
        </w:rPr>
        <w:t> </w:t>
      </w:r>
      <w:r>
        <w:rPr>
          <w:rFonts w:ascii="宋体" w:hAnsi="宋体" w:cs="宋体" w:eastAsia="宋体" w:hint="default"/>
          <w:spacing w:val="-12"/>
          <w:sz w:val="21"/>
          <w:szCs w:val="21"/>
        </w:rPr>
        <w:t>万元，变更为</w:t>
      </w:r>
      <w:r>
        <w:rPr>
          <w:rFonts w:ascii="宋体" w:hAnsi="宋体" w:cs="宋体" w:eastAsia="宋体" w:hint="default"/>
          <w:spacing w:val="-50"/>
          <w:sz w:val="21"/>
          <w:szCs w:val="21"/>
        </w:rPr>
        <w:t> </w:t>
      </w:r>
      <w:r>
        <w:rPr>
          <w:rFonts w:ascii="宋体" w:hAnsi="宋体" w:cs="宋体" w:eastAsia="宋体" w:hint="default"/>
          <w:sz w:val="21"/>
          <w:szCs w:val="21"/>
        </w:rPr>
        <w:t>3000</w:t>
      </w:r>
      <w:r>
        <w:rPr>
          <w:rFonts w:ascii="宋体" w:hAnsi="宋体" w:cs="宋体" w:eastAsia="宋体" w:hint="default"/>
          <w:spacing w:val="-49"/>
          <w:sz w:val="21"/>
          <w:szCs w:val="21"/>
        </w:rPr>
        <w:t> </w:t>
      </w:r>
      <w:r>
        <w:rPr>
          <w:rFonts w:ascii="宋体" w:hAnsi="宋体" w:cs="宋体" w:eastAsia="宋体" w:hint="default"/>
          <w:sz w:val="21"/>
          <w:szCs w:val="21"/>
        </w:rPr>
        <w:t>万元，</w:t>
      </w:r>
    </w:p>
    <w:p>
      <w:pPr>
        <w:spacing w:line="357" w:lineRule="auto" w:before="133"/>
        <w:ind w:left="257" w:right="251" w:firstLine="0"/>
        <w:jc w:val="both"/>
        <w:rPr>
          <w:rFonts w:ascii="宋体" w:hAnsi="宋体" w:cs="宋体" w:eastAsia="宋体" w:hint="default"/>
          <w:sz w:val="21"/>
          <w:szCs w:val="21"/>
        </w:rPr>
      </w:pPr>
      <w:r>
        <w:rPr>
          <w:rFonts w:ascii="宋体" w:hAnsi="宋体" w:cs="宋体" w:eastAsia="宋体" w:hint="default"/>
          <w:sz w:val="21"/>
          <w:szCs w:val="21"/>
        </w:rPr>
        <w:t>其余</w:t>
      </w:r>
      <w:r>
        <w:rPr>
          <w:rFonts w:ascii="宋体" w:hAnsi="宋体" w:cs="宋体" w:eastAsia="宋体" w:hint="default"/>
          <w:spacing w:val="-45"/>
          <w:sz w:val="21"/>
          <w:szCs w:val="21"/>
        </w:rPr>
        <w:t> </w:t>
      </w:r>
      <w:r>
        <w:rPr>
          <w:rFonts w:ascii="宋体" w:hAnsi="宋体" w:cs="宋体" w:eastAsia="宋体" w:hint="default"/>
          <w:sz w:val="21"/>
          <w:szCs w:val="21"/>
        </w:rPr>
        <w:t>5000</w:t>
      </w:r>
      <w:r>
        <w:rPr>
          <w:rFonts w:ascii="宋体" w:hAnsi="宋体" w:cs="宋体" w:eastAsia="宋体" w:hint="default"/>
          <w:spacing w:val="-45"/>
          <w:sz w:val="21"/>
          <w:szCs w:val="21"/>
        </w:rPr>
        <w:t> </w:t>
      </w:r>
      <w:r>
        <w:rPr>
          <w:rFonts w:ascii="宋体" w:hAnsi="宋体" w:cs="宋体" w:eastAsia="宋体" w:hint="default"/>
          <w:sz w:val="21"/>
          <w:szCs w:val="21"/>
        </w:rPr>
        <w:t>万元投资到新注册成立的北京东港嘉华安全信息技术有限公司（简称北京东港嘉</w:t>
      </w:r>
      <w:r>
        <w:rPr>
          <w:rFonts w:ascii="宋体" w:hAnsi="宋体" w:cs="宋体" w:eastAsia="宋体" w:hint="default"/>
          <w:sz w:val="21"/>
          <w:szCs w:val="21"/>
        </w:rPr>
        <w:t> </w:t>
      </w:r>
      <w:r>
        <w:rPr>
          <w:rFonts w:ascii="宋体" w:hAnsi="宋体" w:cs="宋体" w:eastAsia="宋体" w:hint="default"/>
          <w:spacing w:val="-10"/>
          <w:sz w:val="21"/>
          <w:szCs w:val="21"/>
        </w:rPr>
        <w:t>华），其中东港股份投资</w:t>
      </w:r>
      <w:r>
        <w:rPr>
          <w:rFonts w:ascii="宋体" w:hAnsi="宋体" w:cs="宋体" w:eastAsia="宋体" w:hint="default"/>
          <w:spacing w:val="-46"/>
          <w:sz w:val="21"/>
          <w:szCs w:val="21"/>
        </w:rPr>
        <w:t> </w:t>
      </w:r>
      <w:r>
        <w:rPr>
          <w:rFonts w:ascii="宋体" w:hAnsi="宋体" w:cs="宋体" w:eastAsia="宋体" w:hint="default"/>
          <w:sz w:val="21"/>
          <w:szCs w:val="21"/>
        </w:rPr>
        <w:t>3750</w:t>
      </w:r>
      <w:r>
        <w:rPr>
          <w:rFonts w:ascii="宋体" w:hAnsi="宋体" w:cs="宋体" w:eastAsia="宋体" w:hint="default"/>
          <w:spacing w:val="-45"/>
          <w:sz w:val="21"/>
          <w:szCs w:val="21"/>
        </w:rPr>
        <w:t> </w:t>
      </w:r>
      <w:r>
        <w:rPr>
          <w:rFonts w:ascii="宋体" w:hAnsi="宋体" w:cs="宋体" w:eastAsia="宋体" w:hint="default"/>
          <w:spacing w:val="-1"/>
          <w:sz w:val="21"/>
          <w:szCs w:val="21"/>
        </w:rPr>
        <w:t>万元，占</w:t>
      </w:r>
      <w:r>
        <w:rPr>
          <w:rFonts w:ascii="宋体" w:hAnsi="宋体" w:cs="宋体" w:eastAsia="宋体" w:hint="default"/>
          <w:spacing w:val="-46"/>
          <w:sz w:val="21"/>
          <w:szCs w:val="21"/>
        </w:rPr>
        <w:t> </w:t>
      </w:r>
      <w:r>
        <w:rPr>
          <w:rFonts w:ascii="宋体" w:hAnsi="宋体" w:cs="宋体" w:eastAsia="宋体" w:hint="default"/>
          <w:spacing w:val="-1"/>
          <w:sz w:val="21"/>
          <w:szCs w:val="21"/>
        </w:rPr>
        <w:t>75％的股权，外方</w:t>
      </w:r>
      <w:r>
        <w:rPr>
          <w:rFonts w:ascii="宋体" w:hAnsi="宋体" w:cs="宋体" w:eastAsia="宋体" w:hint="default"/>
          <w:spacing w:val="-46"/>
          <w:sz w:val="21"/>
          <w:szCs w:val="21"/>
        </w:rPr>
        <w:t> </w:t>
      </w:r>
      <w:r>
        <w:rPr>
          <w:rFonts w:ascii="宋体" w:hAnsi="宋体" w:cs="宋体" w:eastAsia="宋体" w:hint="default"/>
          <w:sz w:val="21"/>
          <w:szCs w:val="21"/>
        </w:rPr>
        <w:t>Joy</w:t>
      </w:r>
      <w:r>
        <w:rPr>
          <w:rFonts w:ascii="宋体" w:hAnsi="宋体" w:cs="宋体" w:eastAsia="宋体" w:hint="default"/>
          <w:spacing w:val="6"/>
          <w:sz w:val="21"/>
          <w:szCs w:val="21"/>
        </w:rPr>
        <w:t> </w:t>
      </w:r>
      <w:r>
        <w:rPr>
          <w:rFonts w:ascii="宋体" w:hAnsi="宋体" w:cs="宋体" w:eastAsia="宋体" w:hint="default"/>
          <w:spacing w:val="-1"/>
          <w:sz w:val="21"/>
          <w:szCs w:val="21"/>
        </w:rPr>
        <w:t>Spring</w:t>
      </w:r>
      <w:r>
        <w:rPr>
          <w:rFonts w:ascii="宋体" w:hAnsi="宋体" w:cs="宋体" w:eastAsia="宋体" w:hint="default"/>
          <w:spacing w:val="6"/>
          <w:sz w:val="21"/>
          <w:szCs w:val="21"/>
        </w:rPr>
        <w:t> </w:t>
      </w:r>
      <w:r>
        <w:rPr>
          <w:rFonts w:ascii="宋体" w:hAnsi="宋体" w:cs="宋体" w:eastAsia="宋体" w:hint="default"/>
          <w:spacing w:val="-1"/>
          <w:sz w:val="21"/>
          <w:szCs w:val="21"/>
        </w:rPr>
        <w:t>Limited（欣泉有限</w:t>
      </w:r>
      <w:r>
        <w:rPr>
          <w:rFonts w:ascii="宋体" w:hAnsi="宋体" w:cs="宋体" w:eastAsia="宋体" w:hint="default"/>
          <w:sz w:val="21"/>
          <w:szCs w:val="21"/>
        </w:rPr>
        <w:t> 公司）投资</w:t>
      </w:r>
      <w:r>
        <w:rPr>
          <w:rFonts w:ascii="宋体" w:hAnsi="宋体" w:cs="宋体" w:eastAsia="宋体" w:hint="default"/>
          <w:spacing w:val="-62"/>
          <w:sz w:val="21"/>
          <w:szCs w:val="21"/>
        </w:rPr>
        <w:t> </w:t>
      </w:r>
      <w:r>
        <w:rPr>
          <w:rFonts w:ascii="宋体" w:hAnsi="宋体" w:cs="宋体" w:eastAsia="宋体" w:hint="default"/>
          <w:sz w:val="21"/>
          <w:szCs w:val="21"/>
        </w:rPr>
        <w:t>1250</w:t>
      </w:r>
      <w:r>
        <w:rPr>
          <w:rFonts w:ascii="宋体" w:hAnsi="宋体" w:cs="宋体" w:eastAsia="宋体" w:hint="default"/>
          <w:spacing w:val="-61"/>
          <w:sz w:val="21"/>
          <w:szCs w:val="21"/>
        </w:rPr>
        <w:t> </w:t>
      </w:r>
      <w:r>
        <w:rPr>
          <w:rFonts w:ascii="宋体" w:hAnsi="宋体" w:cs="宋体" w:eastAsia="宋体" w:hint="default"/>
          <w:spacing w:val="-3"/>
          <w:sz w:val="21"/>
          <w:szCs w:val="21"/>
        </w:rPr>
        <w:t>万元，占</w:t>
      </w:r>
      <w:r>
        <w:rPr>
          <w:rFonts w:ascii="宋体" w:hAnsi="宋体" w:cs="宋体" w:eastAsia="宋体" w:hint="default"/>
          <w:spacing w:val="-62"/>
          <w:sz w:val="21"/>
          <w:szCs w:val="21"/>
        </w:rPr>
        <w:t> </w:t>
      </w:r>
      <w:r>
        <w:rPr>
          <w:rFonts w:ascii="宋体" w:hAnsi="宋体" w:cs="宋体" w:eastAsia="宋体" w:hint="default"/>
          <w:sz w:val="21"/>
          <w:szCs w:val="21"/>
        </w:rPr>
        <w:t>25％的股权，新注册公司的法人代表为谷望江女士，注册地址为</w:t>
      </w:r>
      <w:r>
        <w:rPr>
          <w:rFonts w:ascii="宋体" w:hAnsi="宋体" w:cs="宋体" w:eastAsia="宋体" w:hint="default"/>
          <w:sz w:val="21"/>
          <w:szCs w:val="21"/>
        </w:rPr>
        <w:t> </w:t>
      </w:r>
      <w:r>
        <w:rPr>
          <w:rFonts w:ascii="宋体" w:hAnsi="宋体" w:cs="宋体" w:eastAsia="宋体" w:hint="default"/>
          <w:spacing w:val="-3"/>
          <w:sz w:val="21"/>
          <w:szCs w:val="21"/>
        </w:rPr>
        <w:t>北京经济技术开发区。该项投资主要用于原投资计划的土建工程费用与设备购置及安装，公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司以募集资金对两家公司的出资总额仍为</w:t>
      </w:r>
      <w:r>
        <w:rPr>
          <w:rFonts w:ascii="宋体" w:hAnsi="宋体" w:cs="宋体" w:eastAsia="宋体" w:hint="default"/>
          <w:spacing w:val="-65"/>
          <w:sz w:val="21"/>
          <w:szCs w:val="21"/>
        </w:rPr>
        <w:t> </w:t>
      </w:r>
      <w:r>
        <w:rPr>
          <w:rFonts w:ascii="宋体" w:hAnsi="宋体" w:cs="宋体" w:eastAsia="宋体" w:hint="default"/>
          <w:sz w:val="21"/>
          <w:szCs w:val="21"/>
        </w:rPr>
        <w:t>6000</w:t>
      </w:r>
      <w:r>
        <w:rPr>
          <w:rFonts w:ascii="宋体" w:hAnsi="宋体" w:cs="宋体" w:eastAsia="宋体" w:hint="default"/>
          <w:spacing w:val="-65"/>
          <w:sz w:val="21"/>
          <w:szCs w:val="21"/>
        </w:rPr>
        <w:t> </w:t>
      </w:r>
      <w:r>
        <w:rPr>
          <w:rFonts w:ascii="宋体" w:hAnsi="宋体" w:cs="宋体" w:eastAsia="宋体" w:hint="default"/>
          <w:sz w:val="21"/>
          <w:szCs w:val="21"/>
        </w:rPr>
        <w:t>万元。</w:t>
      </w:r>
    </w:p>
    <w:p>
      <w:pPr>
        <w:spacing w:line="357" w:lineRule="auto" w:before="30"/>
        <w:ind w:left="677" w:right="247" w:firstLine="0"/>
        <w:jc w:val="left"/>
        <w:rPr>
          <w:rFonts w:ascii="宋体" w:hAnsi="宋体" w:cs="宋体" w:eastAsia="宋体" w:hint="default"/>
          <w:sz w:val="21"/>
          <w:szCs w:val="21"/>
        </w:rPr>
      </w:pPr>
      <w:r>
        <w:rPr>
          <w:rFonts w:ascii="宋体" w:hAnsi="宋体" w:cs="宋体" w:eastAsia="宋体" w:hint="default"/>
          <w:sz w:val="21"/>
          <w:szCs w:val="21"/>
        </w:rPr>
        <w:t>（4）募集资金项目先期投入置换募集资金情况 </w:t>
      </w:r>
      <w:r>
        <w:rPr>
          <w:rFonts w:ascii="宋体" w:hAnsi="宋体" w:cs="宋体" w:eastAsia="宋体" w:hint="default"/>
          <w:spacing w:val="-4"/>
          <w:sz w:val="21"/>
          <w:szCs w:val="21"/>
        </w:rPr>
        <w:t>根据公司第二届董事会第五次会议决议，我公司使用用募集资金</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0,574.42</w:t>
      </w:r>
      <w:r>
        <w:rPr>
          <w:rFonts w:ascii="宋体" w:hAnsi="宋体" w:cs="宋体" w:eastAsia="宋体" w:hint="default"/>
          <w:spacing w:val="-79"/>
          <w:sz w:val="21"/>
          <w:szCs w:val="21"/>
        </w:rPr>
        <w:t> </w:t>
      </w:r>
      <w:r>
        <w:rPr>
          <w:rFonts w:ascii="宋体" w:hAnsi="宋体" w:cs="宋体" w:eastAsia="宋体" w:hint="default"/>
          <w:spacing w:val="-1"/>
          <w:sz w:val="21"/>
          <w:szCs w:val="21"/>
        </w:rPr>
        <w:t>万元置换预</w:t>
      </w:r>
    </w:p>
    <w:p>
      <w:pPr>
        <w:spacing w:before="3"/>
        <w:ind w:left="257" w:right="0" w:firstLine="0"/>
        <w:jc w:val="both"/>
        <w:rPr>
          <w:rFonts w:ascii="宋体" w:hAnsi="宋体" w:cs="宋体" w:eastAsia="宋体" w:hint="default"/>
          <w:sz w:val="21"/>
          <w:szCs w:val="21"/>
        </w:rPr>
      </w:pPr>
      <w:r>
        <w:rPr>
          <w:rFonts w:ascii="宋体" w:hAnsi="宋体" w:cs="宋体" w:eastAsia="宋体" w:hint="default"/>
          <w:sz w:val="21"/>
          <w:szCs w:val="21"/>
        </w:rPr>
        <w:t>先已投入募集资金项目的自筹资金。</w:t>
      </w:r>
    </w:p>
    <w:p>
      <w:pPr>
        <w:tabs>
          <w:tab w:pos="1412" w:val="left" w:leader="none"/>
        </w:tabs>
        <w:spacing w:before="133"/>
        <w:ind w:left="677" w:right="247" w:firstLine="0"/>
        <w:jc w:val="left"/>
        <w:rPr>
          <w:rFonts w:ascii="宋体" w:hAnsi="宋体" w:cs="宋体" w:eastAsia="宋体" w:hint="default"/>
          <w:sz w:val="21"/>
          <w:szCs w:val="21"/>
        </w:rPr>
      </w:pPr>
      <w:r>
        <w:rPr>
          <w:rFonts w:ascii="宋体" w:hAnsi="宋体" w:cs="宋体" w:eastAsia="宋体" w:hint="default"/>
          <w:sz w:val="21"/>
          <w:szCs w:val="21"/>
        </w:rPr>
        <w:t>（5）</w:t>
        <w:tab/>
        <w:t>用闲置募集资金暂时补充流动资金情况</w:t>
      </w:r>
    </w:p>
    <w:p>
      <w:pPr>
        <w:spacing w:before="134"/>
        <w:ind w:left="737" w:right="247" w:firstLine="0"/>
        <w:jc w:val="left"/>
        <w:rPr>
          <w:rFonts w:ascii="宋体" w:hAnsi="宋体" w:cs="宋体" w:eastAsia="宋体" w:hint="default"/>
          <w:sz w:val="21"/>
          <w:szCs w:val="21"/>
        </w:rPr>
      </w:pPr>
      <w:r>
        <w:rPr>
          <w:rFonts w:ascii="宋体" w:hAnsi="宋体" w:cs="宋体" w:eastAsia="宋体" w:hint="default"/>
          <w:sz w:val="21"/>
          <w:szCs w:val="21"/>
        </w:rPr>
        <w:t>①、根据公司第二届董事会第五次会议决议，决定自</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日起到</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p>
    <w:p>
      <w:pPr>
        <w:spacing w:line="357" w:lineRule="auto" w:before="133"/>
        <w:ind w:left="257" w:right="253"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z w:val="21"/>
          <w:szCs w:val="21"/>
        </w:rPr>
        <w:t>日止运用募集资金</w:t>
      </w:r>
      <w:r>
        <w:rPr>
          <w:rFonts w:ascii="宋体" w:hAnsi="宋体" w:cs="宋体" w:eastAsia="宋体" w:hint="default"/>
          <w:spacing w:val="-51"/>
          <w:sz w:val="21"/>
          <w:szCs w:val="21"/>
        </w:rPr>
        <w:t> </w:t>
      </w:r>
      <w:r>
        <w:rPr>
          <w:rFonts w:ascii="宋体" w:hAnsi="宋体" w:cs="宋体" w:eastAsia="宋体" w:hint="default"/>
          <w:sz w:val="21"/>
          <w:szCs w:val="21"/>
        </w:rPr>
        <w:t>5000</w:t>
      </w:r>
      <w:r>
        <w:rPr>
          <w:rFonts w:ascii="宋体" w:hAnsi="宋体" w:cs="宋体" w:eastAsia="宋体" w:hint="default"/>
          <w:spacing w:val="-50"/>
          <w:sz w:val="21"/>
          <w:szCs w:val="21"/>
        </w:rPr>
        <w:t> </w:t>
      </w:r>
      <w:r>
        <w:rPr>
          <w:rFonts w:ascii="宋体" w:hAnsi="宋体" w:cs="宋体" w:eastAsia="宋体" w:hint="default"/>
          <w:spacing w:val="-5"/>
          <w:sz w:val="21"/>
          <w:szCs w:val="21"/>
        </w:rPr>
        <w:t>万元，用于暂时补充流动资金。该笔资金在到期后，已归还募</w:t>
      </w:r>
      <w:r>
        <w:rPr>
          <w:rFonts w:ascii="宋体" w:hAnsi="宋体" w:cs="宋体" w:eastAsia="宋体" w:hint="default"/>
          <w:spacing w:val="-1"/>
          <w:sz w:val="21"/>
          <w:szCs w:val="21"/>
        </w:rPr>
        <w:t> </w:t>
      </w:r>
      <w:r>
        <w:rPr>
          <w:rFonts w:ascii="宋体" w:hAnsi="宋体" w:cs="宋体" w:eastAsia="宋体" w:hint="default"/>
          <w:sz w:val="21"/>
          <w:szCs w:val="21"/>
        </w:rPr>
        <w:t>集资金账户。</w:t>
      </w:r>
    </w:p>
    <w:p>
      <w:pPr>
        <w:spacing w:before="30"/>
        <w:ind w:left="737" w:right="247" w:firstLine="0"/>
        <w:jc w:val="left"/>
        <w:rPr>
          <w:rFonts w:ascii="宋体" w:hAnsi="宋体" w:cs="宋体" w:eastAsia="宋体" w:hint="default"/>
          <w:sz w:val="21"/>
          <w:szCs w:val="21"/>
        </w:rPr>
      </w:pPr>
      <w:r>
        <w:rPr>
          <w:rFonts w:ascii="宋体" w:hAnsi="宋体" w:cs="宋体" w:eastAsia="宋体" w:hint="default"/>
          <w:spacing w:val="-3"/>
          <w:sz w:val="21"/>
          <w:szCs w:val="21"/>
        </w:rPr>
        <w:t>②、根据公司第二届董事会第十一次会议决议，决定自</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p>
    <w:p>
      <w:pPr>
        <w:spacing w:line="355" w:lineRule="auto" w:before="134"/>
        <w:ind w:left="257" w:right="253" w:firstLine="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17</w:t>
      </w:r>
      <w:r>
        <w:rPr>
          <w:rFonts w:ascii="宋体" w:hAnsi="宋体" w:cs="宋体" w:eastAsia="宋体" w:hint="default"/>
          <w:spacing w:val="-60"/>
          <w:sz w:val="21"/>
          <w:szCs w:val="21"/>
        </w:rPr>
        <w:t> </w:t>
      </w:r>
      <w:r>
        <w:rPr>
          <w:rFonts w:ascii="宋体" w:hAnsi="宋体" w:cs="宋体" w:eastAsia="宋体" w:hint="default"/>
          <w:sz w:val="21"/>
          <w:szCs w:val="21"/>
        </w:rPr>
        <w:t>日止，继续运用募集资金</w:t>
      </w:r>
      <w:r>
        <w:rPr>
          <w:rFonts w:ascii="宋体" w:hAnsi="宋体" w:cs="宋体" w:eastAsia="宋体" w:hint="default"/>
          <w:spacing w:val="-61"/>
          <w:sz w:val="21"/>
          <w:szCs w:val="21"/>
        </w:rPr>
        <w:t> </w:t>
      </w:r>
      <w:r>
        <w:rPr>
          <w:rFonts w:ascii="宋体" w:hAnsi="宋体" w:cs="宋体" w:eastAsia="宋体" w:hint="default"/>
          <w:sz w:val="21"/>
          <w:szCs w:val="21"/>
        </w:rPr>
        <w:t>5000</w:t>
      </w:r>
      <w:r>
        <w:rPr>
          <w:rFonts w:ascii="宋体" w:hAnsi="宋体" w:cs="宋体" w:eastAsia="宋体" w:hint="default"/>
          <w:spacing w:val="-60"/>
          <w:sz w:val="21"/>
          <w:szCs w:val="21"/>
        </w:rPr>
        <w:t> </w:t>
      </w:r>
      <w:r>
        <w:rPr>
          <w:rFonts w:ascii="宋体" w:hAnsi="宋体" w:cs="宋体" w:eastAsia="宋体" w:hint="default"/>
          <w:sz w:val="21"/>
          <w:szCs w:val="21"/>
        </w:rPr>
        <w:t>万元，用于暂时补充流动资金。目前该笔资金仍在使</w:t>
      </w:r>
      <w:r>
        <w:rPr>
          <w:rFonts w:ascii="宋体" w:hAnsi="宋体" w:cs="宋体" w:eastAsia="宋体" w:hint="default"/>
          <w:sz w:val="21"/>
          <w:szCs w:val="21"/>
        </w:rPr>
        <w:t> 用中。</w:t>
      </w:r>
    </w:p>
    <w:p>
      <w:pPr>
        <w:spacing w:line="357" w:lineRule="auto" w:before="32"/>
        <w:ind w:left="783" w:right="251" w:hanging="46"/>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
          <w:sz w:val="21"/>
          <w:szCs w:val="21"/>
        </w:rPr>
        <w:t> </w:t>
      </w:r>
      <w:r>
        <w:rPr>
          <w:rFonts w:ascii="宋体" w:hAnsi="宋体" w:cs="宋体" w:eastAsia="宋体" w:hint="default"/>
          <w:sz w:val="21"/>
          <w:szCs w:val="21"/>
        </w:rPr>
        <w:t>募集资金其他使用情况</w:t>
      </w:r>
      <w:r>
        <w:rPr>
          <w:rFonts w:ascii="宋体" w:hAnsi="宋体" w:cs="宋体" w:eastAsia="宋体" w:hint="default"/>
          <w:sz w:val="21"/>
          <w:szCs w:val="21"/>
        </w:rPr>
        <w:t> 公司未发生使用募集资金归还募集资金项目无关的贷款、用募集资金存单质押取得贷</w:t>
      </w:r>
    </w:p>
    <w:p>
      <w:pPr>
        <w:spacing w:before="30"/>
        <w:ind w:left="257" w:right="0" w:firstLine="0"/>
        <w:jc w:val="both"/>
        <w:rPr>
          <w:rFonts w:ascii="宋体" w:hAnsi="宋体" w:cs="宋体" w:eastAsia="宋体" w:hint="default"/>
          <w:sz w:val="21"/>
          <w:szCs w:val="21"/>
        </w:rPr>
      </w:pPr>
      <w:r>
        <w:rPr>
          <w:rFonts w:ascii="宋体" w:hAnsi="宋体" w:cs="宋体" w:eastAsia="宋体" w:hint="default"/>
          <w:sz w:val="21"/>
          <w:szCs w:val="21"/>
        </w:rPr>
        <w:t>款等情况。</w:t>
      </w:r>
    </w:p>
    <w:p>
      <w:pPr>
        <w:spacing w:line="355" w:lineRule="auto" w:before="134"/>
        <w:ind w:left="677" w:right="5082" w:firstLine="0"/>
        <w:jc w:val="left"/>
        <w:rPr>
          <w:rFonts w:ascii="宋体" w:hAnsi="宋体" w:cs="宋体" w:eastAsia="宋体" w:hint="default"/>
          <w:sz w:val="21"/>
          <w:szCs w:val="21"/>
        </w:rPr>
      </w:pPr>
      <w:r>
        <w:rPr>
          <w:rFonts w:ascii="宋体" w:hAnsi="宋体" w:cs="宋体" w:eastAsia="宋体" w:hint="default"/>
          <w:sz w:val="21"/>
          <w:szCs w:val="21"/>
        </w:rPr>
        <w:t>2、报告期内非募投项目投资： (1)济南临港开发区厂区建设项目</w:t>
      </w:r>
    </w:p>
    <w:p>
      <w:pPr>
        <w:spacing w:before="33"/>
        <w:ind w:left="677" w:right="0" w:firstLine="0"/>
        <w:jc w:val="left"/>
        <w:rPr>
          <w:rFonts w:ascii="宋体" w:hAnsi="宋体" w:cs="宋体" w:eastAsia="宋体" w:hint="default"/>
          <w:sz w:val="21"/>
          <w:szCs w:val="21"/>
        </w:rPr>
      </w:pPr>
      <w:r>
        <w:rPr>
          <w:rFonts w:ascii="宋体" w:hAnsi="宋体" w:cs="宋体" w:eastAsia="宋体" w:hint="default"/>
          <w:sz w:val="21"/>
          <w:szCs w:val="21"/>
        </w:rPr>
        <w:t>报告期内公司共计投入</w:t>
      </w:r>
      <w:r>
        <w:rPr>
          <w:rFonts w:ascii="宋体" w:hAnsi="宋体" w:cs="宋体" w:eastAsia="宋体" w:hint="default"/>
          <w:spacing w:val="-46"/>
          <w:sz w:val="21"/>
          <w:szCs w:val="21"/>
        </w:rPr>
        <w:t> </w:t>
      </w:r>
      <w:r>
        <w:rPr>
          <w:rFonts w:ascii="宋体" w:hAnsi="宋体" w:cs="宋体" w:eastAsia="宋体" w:hint="default"/>
          <w:sz w:val="21"/>
          <w:szCs w:val="21"/>
        </w:rPr>
        <w:t>1346.81</w:t>
      </w:r>
      <w:r>
        <w:rPr>
          <w:rFonts w:ascii="宋体" w:hAnsi="宋体" w:cs="宋体" w:eastAsia="宋体" w:hint="default"/>
          <w:spacing w:val="-46"/>
          <w:sz w:val="21"/>
          <w:szCs w:val="21"/>
        </w:rPr>
        <w:t> </w:t>
      </w:r>
      <w:r>
        <w:rPr>
          <w:rFonts w:ascii="宋体" w:hAnsi="宋体" w:cs="宋体" w:eastAsia="宋体" w:hint="default"/>
          <w:sz w:val="21"/>
          <w:szCs w:val="21"/>
        </w:rPr>
        <w:t>万元,用于办理济南临港开发区厂区建设项目的土地出</w:t>
      </w:r>
    </w:p>
    <w:p>
      <w:pPr>
        <w:spacing w:after="0"/>
        <w:jc w:val="left"/>
        <w:rPr>
          <w:rFonts w:ascii="宋体" w:hAnsi="宋体" w:cs="宋体" w:eastAsia="宋体" w:hint="default"/>
          <w:sz w:val="21"/>
          <w:szCs w:val="21"/>
        </w:rPr>
        <w:sectPr>
          <w:pgSz w:w="11910" w:h="16840"/>
          <w:pgMar w:header="915" w:footer="1712" w:top="1100" w:bottom="1900" w:left="1540" w:right="1540"/>
        </w:sectPr>
      </w:pPr>
    </w:p>
    <w:p>
      <w:pPr>
        <w:spacing w:line="355" w:lineRule="auto" w:before="18"/>
        <w:ind w:left="137" w:right="107"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488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pacing w:val="2"/>
          <w:sz w:val="21"/>
          <w:szCs w:val="21"/>
        </w:rPr>
        <w:t>让手续和前期基础建设费用,目前该项目的土地出让手续已基本办理完毕,正在进行建设规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划设计,预计在</w:t>
      </w:r>
      <w:r>
        <w:rPr>
          <w:rFonts w:ascii="宋体" w:hAnsi="宋体" w:cs="宋体" w:eastAsia="宋体" w:hint="default"/>
          <w:spacing w:val="-64"/>
          <w:sz w:val="21"/>
          <w:szCs w:val="21"/>
        </w:rPr>
        <w:t> </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年该项目可以投入使用。</w:t>
      </w:r>
    </w:p>
    <w:p>
      <w:pPr>
        <w:spacing w:before="33"/>
        <w:ind w:left="557" w:right="107" w:firstLine="0"/>
        <w:jc w:val="left"/>
        <w:rPr>
          <w:rFonts w:ascii="宋体" w:hAnsi="宋体" w:cs="宋体" w:eastAsia="宋体" w:hint="default"/>
          <w:sz w:val="21"/>
          <w:szCs w:val="21"/>
        </w:rPr>
      </w:pPr>
      <w:r>
        <w:rPr>
          <w:rFonts w:ascii="宋体" w:hAnsi="宋体" w:cs="宋体" w:eastAsia="宋体" w:hint="default"/>
          <w:sz w:val="21"/>
          <w:szCs w:val="21"/>
        </w:rPr>
        <w:t>（2）广州东港安全印刷有限公司建设项目</w:t>
      </w:r>
    </w:p>
    <w:p>
      <w:pPr>
        <w:spacing w:before="133"/>
        <w:ind w:left="416" w:right="74" w:firstLine="0"/>
        <w:jc w:val="center"/>
        <w:rPr>
          <w:rFonts w:ascii="宋体" w:hAnsi="宋体" w:cs="宋体" w:eastAsia="宋体" w:hint="default"/>
          <w:sz w:val="21"/>
          <w:szCs w:val="21"/>
        </w:rPr>
      </w:pPr>
      <w:r>
        <w:rPr>
          <w:rFonts w:ascii="宋体" w:hAnsi="宋体" w:cs="宋体" w:eastAsia="宋体" w:hint="default"/>
          <w:sz w:val="21"/>
          <w:szCs w:val="21"/>
        </w:rPr>
        <w:t>广州东港于</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4"/>
          <w:sz w:val="21"/>
          <w:szCs w:val="21"/>
        </w:rPr>
        <w:t>月成立，初期注册资本为</w:t>
      </w:r>
      <w:r>
        <w:rPr>
          <w:rFonts w:ascii="宋体" w:hAnsi="宋体" w:cs="宋体" w:eastAsia="宋体" w:hint="default"/>
          <w:spacing w:val="-54"/>
          <w:sz w:val="21"/>
          <w:szCs w:val="21"/>
        </w:rPr>
        <w:t> </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pacing w:val="-5"/>
          <w:sz w:val="21"/>
          <w:szCs w:val="21"/>
        </w:rPr>
        <w:t>万元，本公司出资</w:t>
      </w:r>
      <w:r>
        <w:rPr>
          <w:rFonts w:ascii="宋体" w:hAnsi="宋体" w:cs="宋体" w:eastAsia="宋体" w:hint="default"/>
          <w:spacing w:val="-54"/>
          <w:sz w:val="21"/>
          <w:szCs w:val="21"/>
        </w:rPr>
        <w:t> </w:t>
      </w:r>
      <w:r>
        <w:rPr>
          <w:rFonts w:ascii="宋体" w:hAnsi="宋体" w:cs="宋体" w:eastAsia="宋体" w:hint="default"/>
          <w:sz w:val="21"/>
          <w:szCs w:val="21"/>
        </w:rPr>
        <w:t>750</w:t>
      </w:r>
      <w:r>
        <w:rPr>
          <w:rFonts w:ascii="宋体" w:hAnsi="宋体" w:cs="宋体" w:eastAsia="宋体" w:hint="default"/>
          <w:spacing w:val="-54"/>
          <w:sz w:val="21"/>
          <w:szCs w:val="21"/>
        </w:rPr>
        <w:t> </w:t>
      </w:r>
      <w:r>
        <w:rPr>
          <w:rFonts w:ascii="宋体" w:hAnsi="宋体" w:cs="宋体" w:eastAsia="宋体" w:hint="default"/>
          <w:spacing w:val="-7"/>
          <w:sz w:val="21"/>
          <w:szCs w:val="21"/>
        </w:rPr>
        <w:t>万元，目前</w:t>
      </w:r>
      <w:r>
        <w:rPr>
          <w:rFonts w:ascii="宋体" w:hAnsi="宋体" w:cs="宋体" w:eastAsia="宋体" w:hint="default"/>
          <w:sz w:val="21"/>
          <w:szCs w:val="21"/>
        </w:rPr>
      </w:r>
    </w:p>
    <w:p>
      <w:pPr>
        <w:spacing w:before="134"/>
        <w:ind w:left="137" w:right="107" w:firstLine="0"/>
        <w:jc w:val="left"/>
        <w:rPr>
          <w:rFonts w:ascii="宋体" w:hAnsi="宋体" w:cs="宋体" w:eastAsia="宋体" w:hint="default"/>
          <w:sz w:val="21"/>
          <w:szCs w:val="21"/>
        </w:rPr>
      </w:pPr>
      <w:r>
        <w:rPr>
          <w:rFonts w:ascii="宋体" w:hAnsi="宋体" w:cs="宋体" w:eastAsia="宋体" w:hint="default"/>
          <w:spacing w:val="-4"/>
          <w:sz w:val="21"/>
          <w:szCs w:val="21"/>
        </w:rPr>
        <w:t>该项目的基建手续已全部办理完毕，基建工作已全部展开，预计在</w:t>
      </w:r>
      <w:r>
        <w:rPr>
          <w:rFonts w:ascii="宋体" w:hAnsi="宋体" w:cs="宋体" w:eastAsia="宋体" w:hint="default"/>
          <w:spacing w:val="-60"/>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年底可以投入使用。</w:t>
      </w:r>
    </w:p>
    <w:p>
      <w:pPr>
        <w:spacing w:line="355" w:lineRule="auto" w:before="133"/>
        <w:ind w:left="663" w:right="211" w:hanging="526"/>
        <w:jc w:val="left"/>
        <w:rPr>
          <w:rFonts w:ascii="宋体" w:hAnsi="宋体" w:cs="宋体" w:eastAsia="宋体" w:hint="default"/>
          <w:sz w:val="21"/>
          <w:szCs w:val="21"/>
        </w:rPr>
      </w:pPr>
      <w:r>
        <w:rPr>
          <w:rFonts w:ascii="宋体" w:hAnsi="宋体" w:cs="宋体" w:eastAsia="宋体" w:hint="default"/>
          <w:b/>
          <w:bCs/>
          <w:sz w:val="21"/>
          <w:szCs w:val="21"/>
        </w:rPr>
        <w:t>（二）募集资金专户存储制度的执行情况</w:t>
      </w:r>
      <w:r>
        <w:rPr>
          <w:rFonts w:ascii="宋体" w:hAnsi="宋体" w:cs="宋体" w:eastAsia="宋体" w:hint="default"/>
          <w:b/>
          <w:bCs/>
          <w:spacing w:val="1"/>
          <w:w w:val="99"/>
          <w:sz w:val="21"/>
          <w:szCs w:val="21"/>
        </w:rPr>
        <w:t> </w:t>
      </w:r>
      <w:r>
        <w:rPr>
          <w:rFonts w:ascii="宋体" w:hAnsi="宋体" w:cs="宋体" w:eastAsia="宋体" w:hint="default"/>
          <w:sz w:val="21"/>
          <w:szCs w:val="21"/>
        </w:rPr>
        <w:t>为规范募集资金的管理和使用，保护投资者利益，根据《深圳证券交易所股票上市规</w:t>
      </w:r>
    </w:p>
    <w:p>
      <w:pPr>
        <w:spacing w:line="357" w:lineRule="auto" w:before="33"/>
        <w:ind w:left="137" w:right="107" w:firstLine="0"/>
        <w:jc w:val="left"/>
        <w:rPr>
          <w:rFonts w:ascii="宋体" w:hAnsi="宋体" w:cs="宋体" w:eastAsia="宋体" w:hint="default"/>
          <w:sz w:val="21"/>
          <w:szCs w:val="21"/>
        </w:rPr>
      </w:pPr>
      <w:r>
        <w:rPr>
          <w:rFonts w:ascii="宋体" w:hAnsi="宋体" w:cs="宋体" w:eastAsia="宋体" w:hint="default"/>
          <w:sz w:val="21"/>
          <w:szCs w:val="21"/>
        </w:rPr>
        <w:t>则》、《中小企业板上市公司募集资金管理细则》及相关法律、法规和规范性文件的规定， 结合公司的实际情况，公司制定了《募集资金管理办法》，于2007年3月15日经公司第二届 董事会第五次会议审议通过，并于2007年7月13日在公司第二届董事会第九次会上进行了修 订和完善。</w:t>
      </w:r>
    </w:p>
    <w:p>
      <w:pPr>
        <w:spacing w:before="31"/>
        <w:ind w:left="451" w:right="3" w:firstLine="0"/>
        <w:jc w:val="center"/>
        <w:rPr>
          <w:rFonts w:ascii="宋体" w:hAnsi="宋体" w:cs="宋体" w:eastAsia="宋体" w:hint="default"/>
          <w:sz w:val="21"/>
          <w:szCs w:val="21"/>
        </w:rPr>
      </w:pPr>
      <w:r>
        <w:rPr>
          <w:rFonts w:ascii="宋体" w:hAnsi="宋体" w:cs="宋体" w:eastAsia="宋体" w:hint="default"/>
          <w:sz w:val="21"/>
          <w:szCs w:val="21"/>
        </w:rPr>
        <w:t>公司同保荐机构东方证券股份有限公司和招商银行股份有限公司济南槐荫支行签订了</w:t>
      </w:r>
    </w:p>
    <w:p>
      <w:pPr>
        <w:spacing w:line="355" w:lineRule="auto" w:before="133"/>
        <w:ind w:left="137" w:right="107" w:firstLine="0"/>
        <w:jc w:val="left"/>
        <w:rPr>
          <w:rFonts w:ascii="宋体" w:hAnsi="宋体" w:cs="宋体" w:eastAsia="宋体" w:hint="default"/>
          <w:sz w:val="21"/>
          <w:szCs w:val="21"/>
        </w:rPr>
      </w:pPr>
      <w:r>
        <w:rPr>
          <w:rFonts w:ascii="宋体" w:hAnsi="宋体" w:cs="宋体" w:eastAsia="宋体" w:hint="default"/>
          <w:spacing w:val="-3"/>
          <w:sz w:val="21"/>
          <w:szCs w:val="21"/>
        </w:rPr>
        <w:t>《募集资金三方监管协议》。公司在招商银行股份有限公司济南槐荫支行开设了募集资金专</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项账户，截止</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日，募集资金专项账户余额为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4,058,011.23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9"/>
        <w:rPr>
          <w:rFonts w:ascii="宋体" w:hAnsi="宋体" w:cs="宋体" w:eastAsia="宋体" w:hint="default"/>
          <w:sz w:val="31"/>
          <w:szCs w:val="31"/>
        </w:rPr>
      </w:pPr>
    </w:p>
    <w:p>
      <w:pPr>
        <w:spacing w:before="0"/>
        <w:ind w:left="137" w:right="107" w:firstLine="0"/>
        <w:jc w:val="left"/>
        <w:rPr>
          <w:rFonts w:ascii="宋体" w:hAnsi="宋体" w:cs="宋体" w:eastAsia="宋体" w:hint="default"/>
          <w:sz w:val="21"/>
          <w:szCs w:val="21"/>
        </w:rPr>
      </w:pPr>
      <w:r>
        <w:rPr>
          <w:rFonts w:ascii="宋体" w:hAnsi="宋体" w:cs="宋体" w:eastAsia="宋体" w:hint="default"/>
          <w:b/>
          <w:bCs/>
          <w:sz w:val="21"/>
          <w:szCs w:val="21"/>
        </w:rPr>
        <w:t>三、公司董事会日常工作情况</w:t>
      </w:r>
      <w:r>
        <w:rPr>
          <w:rFonts w:ascii="宋体" w:hAnsi="宋体" w:cs="宋体" w:eastAsia="宋体" w:hint="default"/>
          <w:sz w:val="21"/>
          <w:szCs w:val="21"/>
        </w:rPr>
      </w:r>
    </w:p>
    <w:p>
      <w:pPr>
        <w:spacing w:before="134"/>
        <w:ind w:left="137" w:right="107" w:firstLine="0"/>
        <w:jc w:val="left"/>
        <w:rPr>
          <w:rFonts w:ascii="宋体" w:hAnsi="宋体" w:cs="宋体" w:eastAsia="宋体" w:hint="default"/>
          <w:sz w:val="21"/>
          <w:szCs w:val="21"/>
        </w:rPr>
      </w:pPr>
      <w:r>
        <w:rPr>
          <w:rFonts w:ascii="宋体" w:hAnsi="宋体" w:cs="宋体" w:eastAsia="宋体" w:hint="default"/>
          <w:b/>
          <w:bCs/>
          <w:sz w:val="21"/>
          <w:szCs w:val="21"/>
        </w:rPr>
        <w:t>（一）董事会会议情况</w:t>
      </w:r>
      <w:r>
        <w:rPr>
          <w:rFonts w:ascii="宋体" w:hAnsi="宋体" w:cs="宋体" w:eastAsia="宋体" w:hint="default"/>
          <w:sz w:val="21"/>
          <w:szCs w:val="21"/>
        </w:rPr>
      </w:r>
    </w:p>
    <w:p>
      <w:pPr>
        <w:spacing w:before="133"/>
        <w:ind w:left="453" w:right="107" w:firstLine="0"/>
        <w:jc w:val="left"/>
        <w:rPr>
          <w:rFonts w:ascii="宋体" w:hAnsi="宋体" w:cs="宋体" w:eastAsia="宋体" w:hint="default"/>
          <w:sz w:val="21"/>
          <w:szCs w:val="21"/>
        </w:rPr>
      </w:pPr>
      <w:r>
        <w:rPr>
          <w:rFonts w:ascii="宋体" w:hAnsi="宋体" w:cs="宋体" w:eastAsia="宋体" w:hint="default"/>
          <w:sz w:val="21"/>
          <w:szCs w:val="21"/>
        </w:rPr>
        <w:t>报告期内公司第二届董事会共召开</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6"/>
          <w:sz w:val="21"/>
          <w:szCs w:val="21"/>
        </w:rPr>
        <w:t> </w:t>
      </w:r>
      <w:r>
        <w:rPr>
          <w:rFonts w:ascii="宋体" w:hAnsi="宋体" w:cs="宋体" w:eastAsia="宋体" w:hint="default"/>
          <w:sz w:val="21"/>
          <w:szCs w:val="21"/>
        </w:rPr>
        <w:t>次会议，会议情况如下：</w:t>
      </w:r>
    </w:p>
    <w:p>
      <w:pPr>
        <w:spacing w:before="134"/>
        <w:ind w:left="453" w:right="107" w:firstLine="0"/>
        <w:jc w:val="left"/>
        <w:rPr>
          <w:rFonts w:ascii="宋体" w:hAnsi="宋体" w:cs="宋体" w:eastAsia="宋体" w:hint="default"/>
          <w:sz w:val="21"/>
          <w:szCs w:val="21"/>
        </w:rPr>
      </w:pPr>
      <w:r>
        <w:rPr>
          <w:rFonts w:ascii="宋体" w:hAnsi="宋体" w:cs="宋体" w:eastAsia="宋体" w:hint="default"/>
          <w:sz w:val="21"/>
          <w:szCs w:val="21"/>
        </w:rPr>
        <w:t>1、2007</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3</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15</w:t>
      </w:r>
      <w:r>
        <w:rPr>
          <w:rFonts w:ascii="宋体" w:hAnsi="宋体" w:cs="宋体" w:eastAsia="宋体" w:hint="default"/>
          <w:spacing w:val="-38"/>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38"/>
          <w:sz w:val="21"/>
          <w:szCs w:val="21"/>
        </w:rPr>
        <w:t> </w:t>
      </w:r>
      <w:r>
        <w:rPr>
          <w:rFonts w:ascii="宋体" w:hAnsi="宋体" w:cs="宋体" w:eastAsia="宋体" w:hint="default"/>
          <w:sz w:val="21"/>
          <w:szCs w:val="21"/>
        </w:rPr>
        <w:t>5</w:t>
      </w:r>
      <w:r>
        <w:rPr>
          <w:rFonts w:ascii="宋体" w:hAnsi="宋体" w:cs="宋体" w:eastAsia="宋体" w:hint="default"/>
          <w:spacing w:val="-38"/>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38"/>
          <w:sz w:val="21"/>
          <w:szCs w:val="21"/>
        </w:rPr>
        <w:t> </w:t>
      </w:r>
      <w:r>
        <w:rPr>
          <w:rFonts w:ascii="宋体" w:hAnsi="宋体" w:cs="宋体" w:eastAsia="宋体" w:hint="default"/>
          <w:sz w:val="21"/>
          <w:szCs w:val="21"/>
        </w:rPr>
        <w:t>2007</w:t>
      </w:r>
    </w:p>
    <w:p>
      <w:pPr>
        <w:spacing w:before="133"/>
        <w:ind w:left="137" w:right="10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17</w:t>
      </w:r>
      <w:r>
        <w:rPr>
          <w:rFonts w:ascii="宋体" w:hAnsi="宋体" w:cs="宋体" w:eastAsia="宋体" w:hint="default"/>
          <w:spacing w:val="-61"/>
          <w:sz w:val="21"/>
          <w:szCs w:val="21"/>
        </w:rPr>
        <w:t> </w:t>
      </w:r>
      <w:r>
        <w:rPr>
          <w:rFonts w:ascii="宋体" w:hAnsi="宋体" w:cs="宋体" w:eastAsia="宋体" w:hint="default"/>
          <w:sz w:val="21"/>
          <w:szCs w:val="21"/>
        </w:rPr>
        <w:t>日</w:t>
      </w:r>
      <w:hyperlink r:id="rId19">
        <w:r>
          <w:rPr>
            <w:rFonts w:ascii="宋体" w:hAnsi="宋体" w:cs="宋体" w:eastAsia="宋体" w:hint="default"/>
            <w:sz w:val="21"/>
            <w:szCs w:val="21"/>
          </w:rPr>
          <w:t>的《证券时报》和巨潮资讯网（www.cn</w:t>
        </w:r>
      </w:hyperlink>
      <w:r>
        <w:rPr>
          <w:rFonts w:ascii="宋体" w:hAnsi="宋体" w:cs="宋体" w:eastAsia="宋体" w:hint="default"/>
          <w:sz w:val="21"/>
          <w:szCs w:val="21"/>
        </w:rPr>
        <w:t>info.com.cn）上。</w:t>
      </w:r>
    </w:p>
    <w:p>
      <w:pPr>
        <w:spacing w:before="133"/>
        <w:ind w:left="453" w:right="107" w:firstLine="0"/>
        <w:jc w:val="left"/>
        <w:rPr>
          <w:rFonts w:ascii="宋体" w:hAnsi="宋体" w:cs="宋体" w:eastAsia="宋体" w:hint="default"/>
          <w:sz w:val="21"/>
          <w:szCs w:val="21"/>
        </w:rPr>
      </w:pPr>
      <w:r>
        <w:rPr>
          <w:rFonts w:ascii="宋体" w:hAnsi="宋体" w:cs="宋体" w:eastAsia="宋体" w:hint="default"/>
          <w:spacing w:val="-4"/>
          <w:sz w:val="21"/>
          <w:szCs w:val="21"/>
        </w:rPr>
        <w:t>2、2007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58"/>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58"/>
          <w:sz w:val="21"/>
          <w:szCs w:val="21"/>
        </w:rPr>
        <w:t> </w:t>
      </w: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w:t>
      </w:r>
    </w:p>
    <w:p>
      <w:pPr>
        <w:spacing w:before="134"/>
        <w:ind w:left="137" w:right="10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宋体" w:hAnsi="宋体" w:cs="宋体" w:eastAsia="宋体" w:hint="default"/>
          <w:sz w:val="21"/>
          <w:szCs w:val="21"/>
        </w:rPr>
        <w:t>5</w:t>
      </w:r>
      <w:r>
        <w:rPr>
          <w:rFonts w:ascii="宋体" w:hAnsi="宋体" w:cs="宋体" w:eastAsia="宋体" w:hint="default"/>
          <w:spacing w:val="-64"/>
          <w:sz w:val="21"/>
          <w:szCs w:val="21"/>
        </w:rPr>
        <w:t> </w:t>
      </w:r>
      <w:r>
        <w:rPr>
          <w:rFonts w:ascii="宋体" w:hAnsi="宋体" w:cs="宋体" w:eastAsia="宋体" w:hint="default"/>
          <w:sz w:val="21"/>
          <w:szCs w:val="21"/>
        </w:rPr>
        <w:t>日的《</w:t>
      </w:r>
      <w:hyperlink r:id="rId19">
        <w:r>
          <w:rPr>
            <w:rFonts w:ascii="宋体" w:hAnsi="宋体" w:cs="宋体" w:eastAsia="宋体" w:hint="default"/>
            <w:sz w:val="21"/>
            <w:szCs w:val="21"/>
          </w:rPr>
          <w:t>证券时报》和巨潮资讯网（www.cnin</w:t>
        </w:r>
      </w:hyperlink>
      <w:r>
        <w:rPr>
          <w:rFonts w:ascii="宋体" w:hAnsi="宋体" w:cs="宋体" w:eastAsia="宋体" w:hint="default"/>
          <w:sz w:val="21"/>
          <w:szCs w:val="21"/>
        </w:rPr>
        <w:t>fo.com.cn）上。</w:t>
      </w:r>
    </w:p>
    <w:p>
      <w:pPr>
        <w:spacing w:before="133"/>
        <w:ind w:left="453" w:right="107" w:firstLine="0"/>
        <w:jc w:val="left"/>
        <w:rPr>
          <w:rFonts w:ascii="宋体" w:hAnsi="宋体" w:cs="宋体" w:eastAsia="宋体" w:hint="default"/>
          <w:sz w:val="21"/>
          <w:szCs w:val="21"/>
        </w:rPr>
      </w:pPr>
      <w:r>
        <w:rPr>
          <w:rFonts w:ascii="宋体" w:hAnsi="宋体" w:cs="宋体" w:eastAsia="宋体" w:hint="default"/>
          <w:sz w:val="21"/>
          <w:szCs w:val="21"/>
        </w:rPr>
        <w:t>3、2007</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4</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23</w:t>
      </w:r>
      <w:r>
        <w:rPr>
          <w:rFonts w:ascii="宋体" w:hAnsi="宋体" w:cs="宋体" w:eastAsia="宋体" w:hint="default"/>
          <w:spacing w:val="-38"/>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38"/>
          <w:sz w:val="21"/>
          <w:szCs w:val="21"/>
        </w:rPr>
        <w:t> </w:t>
      </w:r>
      <w:r>
        <w:rPr>
          <w:rFonts w:ascii="宋体" w:hAnsi="宋体" w:cs="宋体" w:eastAsia="宋体" w:hint="default"/>
          <w:sz w:val="21"/>
          <w:szCs w:val="21"/>
        </w:rPr>
        <w:t>7</w:t>
      </w:r>
      <w:r>
        <w:rPr>
          <w:rFonts w:ascii="宋体" w:hAnsi="宋体" w:cs="宋体" w:eastAsia="宋体" w:hint="default"/>
          <w:spacing w:val="-38"/>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38"/>
          <w:sz w:val="21"/>
          <w:szCs w:val="21"/>
        </w:rPr>
        <w:t> </w:t>
      </w:r>
      <w:r>
        <w:rPr>
          <w:rFonts w:ascii="宋体" w:hAnsi="宋体" w:cs="宋体" w:eastAsia="宋体" w:hint="default"/>
          <w:sz w:val="21"/>
          <w:szCs w:val="21"/>
        </w:rPr>
        <w:t>2007</w:t>
      </w:r>
    </w:p>
    <w:p>
      <w:pPr>
        <w:spacing w:before="134"/>
        <w:ind w:left="137" w:right="10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24</w:t>
      </w:r>
      <w:r>
        <w:rPr>
          <w:rFonts w:ascii="宋体" w:hAnsi="宋体" w:cs="宋体" w:eastAsia="宋体" w:hint="default"/>
          <w:spacing w:val="-61"/>
          <w:sz w:val="21"/>
          <w:szCs w:val="21"/>
        </w:rPr>
        <w:t> </w:t>
      </w:r>
      <w:r>
        <w:rPr>
          <w:rFonts w:ascii="宋体" w:hAnsi="宋体" w:cs="宋体" w:eastAsia="宋体" w:hint="default"/>
          <w:sz w:val="21"/>
          <w:szCs w:val="21"/>
        </w:rPr>
        <w:t>日</w:t>
      </w:r>
      <w:hyperlink r:id="rId19">
        <w:r>
          <w:rPr>
            <w:rFonts w:ascii="宋体" w:hAnsi="宋体" w:cs="宋体" w:eastAsia="宋体" w:hint="default"/>
            <w:sz w:val="21"/>
            <w:szCs w:val="21"/>
          </w:rPr>
          <w:t>的《证券时报》和巨潮资讯网（www.cn</w:t>
        </w:r>
      </w:hyperlink>
      <w:r>
        <w:rPr>
          <w:rFonts w:ascii="宋体" w:hAnsi="宋体" w:cs="宋体" w:eastAsia="宋体" w:hint="default"/>
          <w:sz w:val="21"/>
          <w:szCs w:val="21"/>
        </w:rPr>
        <w:t>info.com.cn）上。</w:t>
      </w:r>
    </w:p>
    <w:p>
      <w:pPr>
        <w:spacing w:before="133"/>
        <w:ind w:left="453" w:right="107" w:firstLine="0"/>
        <w:jc w:val="left"/>
        <w:rPr>
          <w:rFonts w:ascii="宋体" w:hAnsi="宋体" w:cs="宋体" w:eastAsia="宋体" w:hint="default"/>
          <w:sz w:val="21"/>
          <w:szCs w:val="21"/>
        </w:rPr>
      </w:pPr>
      <w:r>
        <w:rPr>
          <w:rFonts w:ascii="宋体" w:hAnsi="宋体" w:cs="宋体" w:eastAsia="宋体" w:hint="default"/>
          <w:sz w:val="21"/>
          <w:szCs w:val="21"/>
        </w:rPr>
        <w:t>4、2007</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6</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28</w:t>
      </w:r>
      <w:r>
        <w:rPr>
          <w:rFonts w:ascii="宋体" w:hAnsi="宋体" w:cs="宋体" w:eastAsia="宋体" w:hint="default"/>
          <w:spacing w:val="-38"/>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38"/>
          <w:sz w:val="21"/>
          <w:szCs w:val="21"/>
        </w:rPr>
        <w:t> </w:t>
      </w:r>
      <w:r>
        <w:rPr>
          <w:rFonts w:ascii="宋体" w:hAnsi="宋体" w:cs="宋体" w:eastAsia="宋体" w:hint="default"/>
          <w:sz w:val="21"/>
          <w:szCs w:val="21"/>
        </w:rPr>
        <w:t>8</w:t>
      </w:r>
      <w:r>
        <w:rPr>
          <w:rFonts w:ascii="宋体" w:hAnsi="宋体" w:cs="宋体" w:eastAsia="宋体" w:hint="default"/>
          <w:spacing w:val="-38"/>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38"/>
          <w:sz w:val="21"/>
          <w:szCs w:val="21"/>
        </w:rPr>
        <w:t> </w:t>
      </w:r>
      <w:r>
        <w:rPr>
          <w:rFonts w:ascii="宋体" w:hAnsi="宋体" w:cs="宋体" w:eastAsia="宋体" w:hint="default"/>
          <w:sz w:val="21"/>
          <w:szCs w:val="21"/>
        </w:rPr>
        <w:t>2007</w:t>
      </w:r>
    </w:p>
    <w:p>
      <w:pPr>
        <w:spacing w:before="134"/>
        <w:ind w:left="137" w:right="10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29</w:t>
      </w:r>
      <w:r>
        <w:rPr>
          <w:rFonts w:ascii="宋体" w:hAnsi="宋体" w:cs="宋体" w:eastAsia="宋体" w:hint="default"/>
          <w:spacing w:val="-61"/>
          <w:sz w:val="21"/>
          <w:szCs w:val="21"/>
        </w:rPr>
        <w:t> </w:t>
      </w:r>
      <w:r>
        <w:rPr>
          <w:rFonts w:ascii="宋体" w:hAnsi="宋体" w:cs="宋体" w:eastAsia="宋体" w:hint="default"/>
          <w:sz w:val="21"/>
          <w:szCs w:val="21"/>
        </w:rPr>
        <w:t>日</w:t>
      </w:r>
      <w:hyperlink r:id="rId19">
        <w:r>
          <w:rPr>
            <w:rFonts w:ascii="宋体" w:hAnsi="宋体" w:cs="宋体" w:eastAsia="宋体" w:hint="default"/>
            <w:sz w:val="21"/>
            <w:szCs w:val="21"/>
          </w:rPr>
          <w:t>的《证券时报》和巨潮资讯网（www.cn</w:t>
        </w:r>
      </w:hyperlink>
      <w:r>
        <w:rPr>
          <w:rFonts w:ascii="宋体" w:hAnsi="宋体" w:cs="宋体" w:eastAsia="宋体" w:hint="default"/>
          <w:sz w:val="21"/>
          <w:szCs w:val="21"/>
        </w:rPr>
        <w:t>info.com.cn）上。</w:t>
      </w:r>
    </w:p>
    <w:p>
      <w:pPr>
        <w:spacing w:before="133"/>
        <w:ind w:left="453" w:right="107" w:firstLine="0"/>
        <w:jc w:val="left"/>
        <w:rPr>
          <w:rFonts w:ascii="宋体" w:hAnsi="宋体" w:cs="宋体" w:eastAsia="宋体" w:hint="default"/>
          <w:sz w:val="21"/>
          <w:szCs w:val="21"/>
        </w:rPr>
      </w:pPr>
      <w:r>
        <w:rPr>
          <w:rFonts w:ascii="宋体" w:hAnsi="宋体" w:cs="宋体" w:eastAsia="宋体" w:hint="default"/>
          <w:sz w:val="21"/>
          <w:szCs w:val="21"/>
        </w:rPr>
        <w:t>5、2007</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7</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19</w:t>
      </w:r>
      <w:r>
        <w:rPr>
          <w:rFonts w:ascii="宋体" w:hAnsi="宋体" w:cs="宋体" w:eastAsia="宋体" w:hint="default"/>
          <w:spacing w:val="-38"/>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38"/>
          <w:sz w:val="21"/>
          <w:szCs w:val="21"/>
        </w:rPr>
        <w:t> </w:t>
      </w:r>
      <w:r>
        <w:rPr>
          <w:rFonts w:ascii="宋体" w:hAnsi="宋体" w:cs="宋体" w:eastAsia="宋体" w:hint="default"/>
          <w:sz w:val="21"/>
          <w:szCs w:val="21"/>
        </w:rPr>
        <w:t>9</w:t>
      </w:r>
      <w:r>
        <w:rPr>
          <w:rFonts w:ascii="宋体" w:hAnsi="宋体" w:cs="宋体" w:eastAsia="宋体" w:hint="default"/>
          <w:spacing w:val="-38"/>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38"/>
          <w:sz w:val="21"/>
          <w:szCs w:val="21"/>
        </w:rPr>
        <w:t> </w:t>
      </w:r>
      <w:r>
        <w:rPr>
          <w:rFonts w:ascii="宋体" w:hAnsi="宋体" w:cs="宋体" w:eastAsia="宋体" w:hint="default"/>
          <w:sz w:val="21"/>
          <w:szCs w:val="21"/>
        </w:rPr>
        <w:t>2007</w:t>
      </w:r>
    </w:p>
    <w:p>
      <w:pPr>
        <w:spacing w:before="133"/>
        <w:ind w:left="137" w:right="10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20</w:t>
      </w:r>
      <w:r>
        <w:rPr>
          <w:rFonts w:ascii="宋体" w:hAnsi="宋体" w:cs="宋体" w:eastAsia="宋体" w:hint="default"/>
          <w:spacing w:val="-61"/>
          <w:sz w:val="21"/>
          <w:szCs w:val="21"/>
        </w:rPr>
        <w:t> </w:t>
      </w:r>
      <w:r>
        <w:rPr>
          <w:rFonts w:ascii="宋体" w:hAnsi="宋体" w:cs="宋体" w:eastAsia="宋体" w:hint="default"/>
          <w:sz w:val="21"/>
          <w:szCs w:val="21"/>
        </w:rPr>
        <w:t>日</w:t>
      </w:r>
      <w:hyperlink r:id="rId19">
        <w:r>
          <w:rPr>
            <w:rFonts w:ascii="宋体" w:hAnsi="宋体" w:cs="宋体" w:eastAsia="宋体" w:hint="default"/>
            <w:sz w:val="21"/>
            <w:szCs w:val="21"/>
          </w:rPr>
          <w:t>的《证券时报》和巨潮资讯网（www.cn</w:t>
        </w:r>
      </w:hyperlink>
      <w:r>
        <w:rPr>
          <w:rFonts w:ascii="宋体" w:hAnsi="宋体" w:cs="宋体" w:eastAsia="宋体" w:hint="default"/>
          <w:sz w:val="21"/>
          <w:szCs w:val="21"/>
        </w:rPr>
        <w:t>info.com.cn）上。</w:t>
      </w:r>
    </w:p>
    <w:p>
      <w:pPr>
        <w:spacing w:before="134"/>
        <w:ind w:left="453" w:right="107" w:firstLine="0"/>
        <w:jc w:val="left"/>
        <w:rPr>
          <w:rFonts w:ascii="宋体" w:hAnsi="宋体" w:cs="宋体" w:eastAsia="宋体" w:hint="default"/>
          <w:sz w:val="21"/>
          <w:szCs w:val="21"/>
        </w:rPr>
      </w:pPr>
      <w:r>
        <w:rPr>
          <w:rFonts w:ascii="宋体" w:hAnsi="宋体" w:cs="宋体" w:eastAsia="宋体" w:hint="default"/>
          <w:sz w:val="21"/>
          <w:szCs w:val="21"/>
        </w:rPr>
        <w:t>6、2007</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8</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3</w:t>
      </w:r>
      <w:r>
        <w:rPr>
          <w:rFonts w:ascii="宋体" w:hAnsi="宋体" w:cs="宋体" w:eastAsia="宋体" w:hint="default"/>
          <w:spacing w:val="-38"/>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38"/>
          <w:sz w:val="21"/>
          <w:szCs w:val="21"/>
        </w:rPr>
        <w:t> </w:t>
      </w:r>
      <w:r>
        <w:rPr>
          <w:rFonts w:ascii="宋体" w:hAnsi="宋体" w:cs="宋体" w:eastAsia="宋体" w:hint="default"/>
          <w:sz w:val="21"/>
          <w:szCs w:val="21"/>
        </w:rPr>
        <w:t>10</w:t>
      </w:r>
      <w:r>
        <w:rPr>
          <w:rFonts w:ascii="宋体" w:hAnsi="宋体" w:cs="宋体" w:eastAsia="宋体" w:hint="default"/>
          <w:spacing w:val="-38"/>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38"/>
          <w:sz w:val="21"/>
          <w:szCs w:val="21"/>
        </w:rPr>
        <w:t> </w:t>
      </w:r>
      <w:r>
        <w:rPr>
          <w:rFonts w:ascii="宋体" w:hAnsi="宋体" w:cs="宋体" w:eastAsia="宋体" w:hint="default"/>
          <w:sz w:val="21"/>
          <w:szCs w:val="21"/>
        </w:rPr>
        <w:t>2007</w:t>
      </w:r>
    </w:p>
    <w:p>
      <w:pPr>
        <w:spacing w:before="133"/>
        <w:ind w:left="137" w:right="10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4</w:t>
      </w:r>
      <w:r>
        <w:rPr>
          <w:rFonts w:ascii="宋体" w:hAnsi="宋体" w:cs="宋体" w:eastAsia="宋体" w:hint="default"/>
          <w:spacing w:val="-61"/>
          <w:sz w:val="21"/>
          <w:szCs w:val="21"/>
        </w:rPr>
        <w:t> </w:t>
      </w:r>
      <w:r>
        <w:rPr>
          <w:rFonts w:ascii="宋体" w:hAnsi="宋体" w:cs="宋体" w:eastAsia="宋体" w:hint="default"/>
          <w:sz w:val="21"/>
          <w:szCs w:val="21"/>
        </w:rPr>
        <w:t>日</w:t>
      </w:r>
      <w:hyperlink r:id="rId19">
        <w:r>
          <w:rPr>
            <w:rFonts w:ascii="宋体" w:hAnsi="宋体" w:cs="宋体" w:eastAsia="宋体" w:hint="default"/>
            <w:sz w:val="21"/>
            <w:szCs w:val="21"/>
          </w:rPr>
          <w:t>的《证券时报》和巨潮资讯网（www.cn</w:t>
        </w:r>
      </w:hyperlink>
      <w:r>
        <w:rPr>
          <w:rFonts w:ascii="宋体" w:hAnsi="宋体" w:cs="宋体" w:eastAsia="宋体" w:hint="default"/>
          <w:sz w:val="21"/>
          <w:szCs w:val="21"/>
        </w:rPr>
        <w:t>info.com.cn）上。</w:t>
      </w:r>
    </w:p>
    <w:p>
      <w:pPr>
        <w:spacing w:before="134"/>
        <w:ind w:left="453" w:right="107" w:firstLine="0"/>
        <w:jc w:val="left"/>
        <w:rPr>
          <w:rFonts w:ascii="宋体" w:hAnsi="宋体" w:cs="宋体" w:eastAsia="宋体" w:hint="default"/>
          <w:sz w:val="21"/>
          <w:szCs w:val="21"/>
        </w:rPr>
      </w:pPr>
      <w:r>
        <w:rPr>
          <w:rFonts w:ascii="宋体" w:hAnsi="宋体" w:cs="宋体" w:eastAsia="宋体" w:hint="default"/>
          <w:sz w:val="21"/>
          <w:szCs w:val="21"/>
        </w:rPr>
        <w:t>7、2007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次会议，该次会议的决议公告刊登在</w:t>
      </w:r>
      <w:r>
        <w:rPr>
          <w:rFonts w:ascii="宋体" w:hAnsi="宋体" w:cs="宋体" w:eastAsia="宋体" w:hint="default"/>
          <w:spacing w:val="-55"/>
          <w:sz w:val="21"/>
          <w:szCs w:val="21"/>
        </w:rPr>
        <w:t> </w:t>
      </w:r>
      <w:r>
        <w:rPr>
          <w:rFonts w:ascii="宋体" w:hAnsi="宋体" w:cs="宋体" w:eastAsia="宋体" w:hint="default"/>
          <w:sz w:val="21"/>
          <w:szCs w:val="21"/>
        </w:rPr>
        <w:t>2007</w:t>
      </w:r>
    </w:p>
    <w:p>
      <w:pPr>
        <w:spacing w:before="133"/>
        <w:ind w:left="137" w:right="10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8</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25</w:t>
      </w:r>
      <w:r>
        <w:rPr>
          <w:rFonts w:ascii="宋体" w:hAnsi="宋体" w:cs="宋体" w:eastAsia="宋体" w:hint="default"/>
          <w:spacing w:val="-61"/>
          <w:sz w:val="21"/>
          <w:szCs w:val="21"/>
        </w:rPr>
        <w:t> </w:t>
      </w:r>
      <w:r>
        <w:rPr>
          <w:rFonts w:ascii="宋体" w:hAnsi="宋体" w:cs="宋体" w:eastAsia="宋体" w:hint="default"/>
          <w:sz w:val="21"/>
          <w:szCs w:val="21"/>
        </w:rPr>
        <w:t>日</w:t>
      </w:r>
      <w:hyperlink r:id="rId19">
        <w:r>
          <w:rPr>
            <w:rFonts w:ascii="宋体" w:hAnsi="宋体" w:cs="宋体" w:eastAsia="宋体" w:hint="default"/>
            <w:sz w:val="21"/>
            <w:szCs w:val="21"/>
          </w:rPr>
          <w:t>的《证券时报》和巨潮资讯网（www.cn</w:t>
        </w:r>
      </w:hyperlink>
      <w:r>
        <w:rPr>
          <w:rFonts w:ascii="宋体" w:hAnsi="宋体" w:cs="宋体" w:eastAsia="宋体" w:hint="default"/>
          <w:sz w:val="21"/>
          <w:szCs w:val="21"/>
        </w:rPr>
        <w:t>info.com.cn）上。</w:t>
      </w:r>
    </w:p>
    <w:p>
      <w:pPr>
        <w:spacing w:before="134"/>
        <w:ind w:left="453" w:right="107" w:firstLine="0"/>
        <w:jc w:val="left"/>
        <w:rPr>
          <w:rFonts w:ascii="宋体" w:hAnsi="宋体" w:cs="宋体" w:eastAsia="宋体" w:hint="default"/>
          <w:sz w:val="21"/>
          <w:szCs w:val="21"/>
        </w:rPr>
      </w:pPr>
      <w:r>
        <w:rPr>
          <w:rFonts w:ascii="宋体" w:hAnsi="宋体" w:cs="宋体" w:eastAsia="宋体" w:hint="default"/>
          <w:spacing w:val="-8"/>
          <w:sz w:val="21"/>
          <w:szCs w:val="21"/>
        </w:rPr>
        <w:t>8、2007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次会议，该次会议的决议公告刊登在</w:t>
      </w:r>
      <w:r>
        <w:rPr>
          <w:rFonts w:ascii="宋体" w:hAnsi="宋体" w:cs="宋体" w:eastAsia="宋体" w:hint="default"/>
          <w:spacing w:val="-53"/>
          <w:sz w:val="21"/>
          <w:szCs w:val="21"/>
        </w:rPr>
        <w:t> </w:t>
      </w:r>
      <w:r>
        <w:rPr>
          <w:rFonts w:ascii="宋体" w:hAnsi="宋体" w:cs="宋体" w:eastAsia="宋体" w:hint="default"/>
          <w:sz w:val="21"/>
          <w:szCs w:val="21"/>
        </w:rPr>
        <w:t>2007</w:t>
      </w:r>
    </w:p>
    <w:p>
      <w:pPr>
        <w:spacing w:before="133"/>
        <w:ind w:left="137" w:right="10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25</w:t>
      </w:r>
      <w:r>
        <w:rPr>
          <w:rFonts w:ascii="宋体" w:hAnsi="宋体" w:cs="宋体" w:eastAsia="宋体" w:hint="default"/>
          <w:spacing w:val="-63"/>
          <w:sz w:val="21"/>
          <w:szCs w:val="21"/>
        </w:rPr>
        <w:t> </w:t>
      </w:r>
      <w:hyperlink r:id="rId19">
        <w:r>
          <w:rPr>
            <w:rFonts w:ascii="宋体" w:hAnsi="宋体" w:cs="宋体" w:eastAsia="宋体" w:hint="default"/>
            <w:sz w:val="21"/>
            <w:szCs w:val="21"/>
          </w:rPr>
          <w:t>日的《证券时报》和巨潮资讯网（www.cninfo.com.cn）上。</w:t>
        </w:r>
      </w:hyperlink>
    </w:p>
    <w:p>
      <w:pPr>
        <w:spacing w:after="0"/>
        <w:jc w:val="left"/>
        <w:rPr>
          <w:rFonts w:ascii="宋体" w:hAnsi="宋体" w:cs="宋体" w:eastAsia="宋体" w:hint="default"/>
          <w:sz w:val="21"/>
          <w:szCs w:val="21"/>
        </w:rPr>
        <w:sectPr>
          <w:pgSz w:w="11910" w:h="16840"/>
          <w:pgMar w:header="915" w:footer="1712" w:top="1100" w:bottom="1900" w:left="1660" w:right="1580"/>
        </w:sectPr>
      </w:pPr>
    </w:p>
    <w:p>
      <w:pPr>
        <w:spacing w:before="18"/>
        <w:ind w:left="312" w:right="74" w:firstLine="0"/>
        <w:jc w:val="center"/>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485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pacing w:val="-8"/>
          <w:sz w:val="21"/>
          <w:szCs w:val="21"/>
        </w:rPr>
        <w:t>9、2007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日召开第二届董事会第</w:t>
      </w:r>
      <w:r>
        <w:rPr>
          <w:rFonts w:ascii="宋体" w:hAnsi="宋体" w:cs="宋体" w:eastAsia="宋体" w:hint="default"/>
          <w:spacing w:val="-53"/>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pacing w:val="-3"/>
          <w:sz w:val="21"/>
          <w:szCs w:val="21"/>
        </w:rPr>
        <w:t>次会议，该次会议的决议公告刊登在</w:t>
      </w:r>
      <w:r>
        <w:rPr>
          <w:rFonts w:ascii="宋体" w:hAnsi="宋体" w:cs="宋体" w:eastAsia="宋体" w:hint="default"/>
          <w:spacing w:val="-53"/>
          <w:sz w:val="21"/>
          <w:szCs w:val="21"/>
        </w:rPr>
        <w:t> </w:t>
      </w:r>
      <w:r>
        <w:rPr>
          <w:rFonts w:ascii="宋体" w:hAnsi="宋体" w:cs="宋体" w:eastAsia="宋体" w:hint="default"/>
          <w:sz w:val="21"/>
          <w:szCs w:val="21"/>
        </w:rPr>
        <w:t>2007</w:t>
      </w:r>
    </w:p>
    <w:p>
      <w:pPr>
        <w:spacing w:before="133"/>
        <w:ind w:left="137" w:right="10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10</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31</w:t>
      </w:r>
      <w:r>
        <w:rPr>
          <w:rFonts w:ascii="宋体" w:hAnsi="宋体" w:cs="宋体" w:eastAsia="宋体" w:hint="default"/>
          <w:spacing w:val="-63"/>
          <w:sz w:val="21"/>
          <w:szCs w:val="21"/>
        </w:rPr>
        <w:t> </w:t>
      </w:r>
      <w:hyperlink r:id="rId19">
        <w:r>
          <w:rPr>
            <w:rFonts w:ascii="宋体" w:hAnsi="宋体" w:cs="宋体" w:eastAsia="宋体" w:hint="default"/>
            <w:sz w:val="21"/>
            <w:szCs w:val="21"/>
          </w:rPr>
          <w:t>日的《证券时报》和巨潮资讯网（www.cninfo.com.cn）上。</w:t>
        </w:r>
      </w:hyperlink>
    </w:p>
    <w:p>
      <w:pPr>
        <w:spacing w:before="134"/>
        <w:ind w:left="313" w:right="74" w:firstLine="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98"/>
          <w:sz w:val="21"/>
          <w:szCs w:val="21"/>
        </w:rPr>
        <w:t>、</w:t>
      </w:r>
      <w:r>
        <w:rPr>
          <w:rFonts w:ascii="宋体" w:hAnsi="宋体" w:cs="宋体" w:eastAsia="宋体" w:hint="default"/>
          <w:spacing w:val="-1"/>
          <w:sz w:val="21"/>
          <w:szCs w:val="21"/>
        </w:rPr>
        <w:t>200</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1"/>
          <w:sz w:val="21"/>
          <w:szCs w:val="21"/>
        </w:rPr>
        <w:t>日</w:t>
      </w:r>
      <w:r>
        <w:rPr>
          <w:rFonts w:ascii="宋体" w:hAnsi="宋体" w:cs="宋体" w:eastAsia="宋体" w:hint="default"/>
          <w:spacing w:val="-2"/>
          <w:sz w:val="21"/>
          <w:szCs w:val="21"/>
        </w:rPr>
        <w:t>召</w:t>
      </w:r>
      <w:r>
        <w:rPr>
          <w:rFonts w:ascii="宋体" w:hAnsi="宋体" w:cs="宋体" w:eastAsia="宋体" w:hint="default"/>
          <w:spacing w:val="-1"/>
          <w:sz w:val="21"/>
          <w:szCs w:val="21"/>
        </w:rPr>
        <w:t>开第二届董事会</w:t>
      </w:r>
      <w:r>
        <w:rPr>
          <w:rFonts w:ascii="宋体" w:hAnsi="宋体" w:cs="宋体" w:eastAsia="宋体" w:hint="default"/>
          <w:sz w:val="21"/>
          <w:szCs w:val="21"/>
        </w:rPr>
        <w:t>第</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2"/>
          <w:sz w:val="21"/>
          <w:szCs w:val="21"/>
        </w:rPr>
        <w:t>次</w:t>
      </w:r>
      <w:r>
        <w:rPr>
          <w:rFonts w:ascii="宋体" w:hAnsi="宋体" w:cs="宋体" w:eastAsia="宋体" w:hint="default"/>
          <w:spacing w:val="-1"/>
          <w:sz w:val="21"/>
          <w:szCs w:val="21"/>
        </w:rPr>
        <w:t>会议</w:t>
      </w:r>
      <w:r>
        <w:rPr>
          <w:rFonts w:ascii="宋体" w:hAnsi="宋体" w:cs="宋体" w:eastAsia="宋体" w:hint="default"/>
          <w:spacing w:val="-96"/>
          <w:sz w:val="21"/>
          <w:szCs w:val="21"/>
        </w:rPr>
        <w:t>，</w:t>
      </w:r>
      <w:r>
        <w:rPr>
          <w:rFonts w:ascii="宋体" w:hAnsi="宋体" w:cs="宋体" w:eastAsia="宋体" w:hint="default"/>
          <w:spacing w:val="-1"/>
          <w:sz w:val="21"/>
          <w:szCs w:val="21"/>
        </w:rPr>
        <w:t>该次会议的决议公告刊登</w:t>
      </w:r>
      <w:r>
        <w:rPr>
          <w:rFonts w:ascii="宋体" w:hAnsi="宋体" w:cs="宋体" w:eastAsia="宋体" w:hint="default"/>
          <w:sz w:val="21"/>
          <w:szCs w:val="21"/>
        </w:rPr>
        <w:t>在</w:t>
      </w:r>
      <w:r>
        <w:rPr>
          <w:rFonts w:ascii="宋体" w:hAnsi="宋体" w:cs="宋体" w:eastAsia="宋体" w:hint="default"/>
          <w:spacing w:val="-53"/>
          <w:sz w:val="21"/>
          <w:szCs w:val="21"/>
        </w:rPr>
        <w:t> </w:t>
      </w:r>
      <w:r>
        <w:rPr>
          <w:rFonts w:ascii="宋体" w:hAnsi="宋体" w:cs="宋体" w:eastAsia="宋体" w:hint="default"/>
          <w:spacing w:val="-1"/>
          <w:sz w:val="21"/>
          <w:szCs w:val="21"/>
        </w:rPr>
        <w:t>2007</w:t>
      </w:r>
      <w:r>
        <w:rPr>
          <w:rFonts w:ascii="宋体" w:hAnsi="宋体" w:cs="宋体" w:eastAsia="宋体" w:hint="default"/>
          <w:sz w:val="21"/>
          <w:szCs w:val="21"/>
        </w:rPr>
      </w:r>
    </w:p>
    <w:p>
      <w:pPr>
        <w:spacing w:before="133"/>
        <w:ind w:left="137" w:right="10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12</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19</w:t>
      </w:r>
      <w:r>
        <w:rPr>
          <w:rFonts w:ascii="宋体" w:hAnsi="宋体" w:cs="宋体" w:eastAsia="宋体" w:hint="default"/>
          <w:spacing w:val="-63"/>
          <w:sz w:val="21"/>
          <w:szCs w:val="21"/>
        </w:rPr>
        <w:t> </w:t>
      </w:r>
      <w:hyperlink r:id="rId19">
        <w:r>
          <w:rPr>
            <w:rFonts w:ascii="宋体" w:hAnsi="宋体" w:cs="宋体" w:eastAsia="宋体" w:hint="default"/>
            <w:sz w:val="21"/>
            <w:szCs w:val="21"/>
          </w:rPr>
          <w:t>日的《证券时报》和巨潮资讯网（www.cninfo.com.cn）上。</w:t>
        </w:r>
      </w:hyperlink>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5"/>
        <w:ind w:left="137" w:right="107" w:firstLine="0"/>
        <w:jc w:val="left"/>
        <w:rPr>
          <w:rFonts w:ascii="宋体" w:hAnsi="宋体" w:cs="宋体" w:eastAsia="宋体" w:hint="default"/>
          <w:sz w:val="21"/>
          <w:szCs w:val="21"/>
        </w:rPr>
      </w:pPr>
      <w:r>
        <w:rPr>
          <w:rFonts w:ascii="宋体" w:hAnsi="宋体" w:cs="宋体" w:eastAsia="宋体" w:hint="default"/>
          <w:b/>
          <w:bCs/>
          <w:sz w:val="21"/>
          <w:szCs w:val="21"/>
        </w:rPr>
        <w:t>（二）董事会对股东大会大会的执行情况</w:t>
      </w:r>
      <w:r>
        <w:rPr>
          <w:rFonts w:ascii="宋体" w:hAnsi="宋体" w:cs="宋体" w:eastAsia="宋体" w:hint="default"/>
          <w:sz w:val="21"/>
          <w:szCs w:val="21"/>
        </w:rPr>
      </w:r>
    </w:p>
    <w:p>
      <w:pPr>
        <w:spacing w:before="134"/>
        <w:ind w:left="417" w:right="74" w:firstLine="0"/>
        <w:jc w:val="center"/>
        <w:rPr>
          <w:rFonts w:ascii="宋体" w:hAnsi="宋体" w:cs="宋体" w:eastAsia="宋体" w:hint="default"/>
          <w:sz w:val="21"/>
          <w:szCs w:val="21"/>
        </w:rPr>
      </w:pPr>
      <w:r>
        <w:rPr>
          <w:rFonts w:ascii="宋体" w:hAnsi="宋体" w:cs="宋体" w:eastAsia="宋体" w:hint="default"/>
          <w:spacing w:val="-12"/>
          <w:sz w:val="21"/>
          <w:szCs w:val="21"/>
        </w:rPr>
        <w:t>1、根据</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0"/>
          <w:sz w:val="21"/>
          <w:szCs w:val="21"/>
        </w:rPr>
        <w:t> </w:t>
      </w:r>
      <w:r>
        <w:rPr>
          <w:rFonts w:ascii="宋体" w:hAnsi="宋体" w:cs="宋体" w:eastAsia="宋体" w:hint="default"/>
          <w:sz w:val="21"/>
          <w:szCs w:val="21"/>
        </w:rPr>
        <w:t>日召开的</w:t>
      </w:r>
      <w:r>
        <w:rPr>
          <w:rFonts w:ascii="宋体" w:hAnsi="宋体" w:cs="宋体" w:eastAsia="宋体" w:hint="default"/>
          <w:spacing w:val="-52"/>
          <w:sz w:val="21"/>
          <w:szCs w:val="21"/>
        </w:rPr>
        <w:t> </w:t>
      </w: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pacing w:val="-3"/>
          <w:sz w:val="21"/>
          <w:szCs w:val="21"/>
        </w:rPr>
        <w:t>年度股东大会的通过的利润分配决议，分配股利</w:t>
      </w:r>
    </w:p>
    <w:p>
      <w:pPr>
        <w:spacing w:before="133"/>
        <w:ind w:left="137" w:right="107" w:firstLine="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日公司总股本</w:t>
      </w:r>
      <w:r>
        <w:rPr>
          <w:rFonts w:ascii="宋体" w:hAnsi="宋体" w:cs="宋体" w:eastAsia="宋体" w:hint="default"/>
          <w:spacing w:val="-54"/>
          <w:sz w:val="21"/>
          <w:szCs w:val="21"/>
        </w:rPr>
        <w:t> </w:t>
      </w:r>
      <w:r>
        <w:rPr>
          <w:rFonts w:ascii="宋体" w:hAnsi="宋体" w:cs="宋体" w:eastAsia="宋体" w:hint="default"/>
          <w:spacing w:val="-5"/>
          <w:sz w:val="21"/>
          <w:szCs w:val="21"/>
        </w:rPr>
        <w:t>11，000</w:t>
      </w:r>
      <w:r>
        <w:rPr>
          <w:rFonts w:ascii="宋体" w:hAnsi="宋体" w:cs="宋体" w:eastAsia="宋体" w:hint="default"/>
          <w:spacing w:val="-53"/>
          <w:sz w:val="21"/>
          <w:szCs w:val="21"/>
        </w:rPr>
        <w:t> </w:t>
      </w:r>
      <w:r>
        <w:rPr>
          <w:rFonts w:ascii="宋体" w:hAnsi="宋体" w:cs="宋体" w:eastAsia="宋体" w:hint="default"/>
          <w:spacing w:val="-4"/>
          <w:sz w:val="21"/>
          <w:szCs w:val="21"/>
        </w:rPr>
        <w:t>万股为基数，按每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z w:val="21"/>
          <w:szCs w:val="21"/>
        </w:rPr>
        <w:t>股派发现金红利</w:t>
      </w:r>
      <w:r>
        <w:rPr>
          <w:rFonts w:ascii="宋体" w:hAnsi="宋体" w:cs="宋体" w:eastAsia="宋体" w:hint="default"/>
          <w:spacing w:val="-54"/>
          <w:sz w:val="21"/>
          <w:szCs w:val="21"/>
        </w:rPr>
        <w:t> </w:t>
      </w:r>
      <w:r>
        <w:rPr>
          <w:rFonts w:ascii="宋体" w:hAnsi="宋体" w:cs="宋体" w:eastAsia="宋体" w:hint="default"/>
          <w:sz w:val="21"/>
          <w:szCs w:val="21"/>
        </w:rPr>
        <w:t>2.70</w:t>
      </w:r>
      <w:r>
        <w:rPr>
          <w:rFonts w:ascii="宋体" w:hAnsi="宋体" w:cs="宋体" w:eastAsia="宋体" w:hint="default"/>
          <w:spacing w:val="-1"/>
          <w:sz w:val="21"/>
          <w:szCs w:val="21"/>
        </w:rPr>
        <w:t> </w:t>
      </w:r>
      <w:r>
        <w:rPr>
          <w:rFonts w:ascii="宋体" w:hAnsi="宋体" w:cs="宋体" w:eastAsia="宋体" w:hint="default"/>
          <w:spacing w:val="-10"/>
          <w:sz w:val="21"/>
          <w:szCs w:val="21"/>
        </w:rPr>
        <w:t>元（含</w:t>
      </w:r>
    </w:p>
    <w:p>
      <w:pPr>
        <w:spacing w:before="134"/>
        <w:ind w:left="137" w:right="107" w:firstLine="0"/>
        <w:jc w:val="lef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105"/>
          <w:sz w:val="21"/>
          <w:szCs w:val="21"/>
        </w:rPr>
        <w:t>）</w:t>
      </w:r>
      <w:r>
        <w:rPr>
          <w:rFonts w:ascii="宋体" w:hAnsi="宋体" w:cs="宋体" w:eastAsia="宋体" w:hint="default"/>
          <w:sz w:val="21"/>
          <w:szCs w:val="21"/>
        </w:rPr>
        <w:t>，向新</w:t>
      </w:r>
      <w:r>
        <w:rPr>
          <w:rFonts w:ascii="宋体" w:hAnsi="宋体" w:cs="宋体" w:eastAsia="宋体" w:hint="default"/>
          <w:spacing w:val="-2"/>
          <w:sz w:val="21"/>
          <w:szCs w:val="21"/>
        </w:rPr>
        <w:t>老</w:t>
      </w:r>
      <w:r>
        <w:rPr>
          <w:rFonts w:ascii="宋体" w:hAnsi="宋体" w:cs="宋体" w:eastAsia="宋体" w:hint="default"/>
          <w:sz w:val="21"/>
          <w:szCs w:val="21"/>
        </w:rPr>
        <w:t>股东派现人民币</w:t>
      </w:r>
      <w:r>
        <w:rPr>
          <w:rFonts w:ascii="宋体" w:hAnsi="宋体" w:cs="宋体" w:eastAsia="宋体" w:hint="default"/>
          <w:spacing w:val="-53"/>
          <w:sz w:val="21"/>
          <w:szCs w:val="21"/>
        </w:rPr>
        <w:t> </w:t>
      </w:r>
      <w:r>
        <w:rPr>
          <w:rFonts w:ascii="宋体" w:hAnsi="宋体" w:cs="宋体" w:eastAsia="宋体" w:hint="default"/>
          <w:sz w:val="21"/>
          <w:szCs w:val="21"/>
        </w:rPr>
        <w:t>2970 </w:t>
      </w:r>
      <w:r>
        <w:rPr>
          <w:rFonts w:ascii="宋体" w:hAnsi="宋体" w:cs="宋体" w:eastAsia="宋体" w:hint="default"/>
          <w:spacing w:val="-2"/>
          <w:sz w:val="21"/>
          <w:szCs w:val="21"/>
        </w:rPr>
        <w:t>万</w:t>
      </w:r>
      <w:r>
        <w:rPr>
          <w:rFonts w:ascii="宋体" w:hAnsi="宋体" w:cs="宋体" w:eastAsia="宋体" w:hint="default"/>
          <w:sz w:val="21"/>
          <w:szCs w:val="21"/>
        </w:rPr>
        <w:t>元，股东按持股比例分配。</w:t>
      </w:r>
    </w:p>
    <w:p>
      <w:pPr>
        <w:spacing w:before="133"/>
        <w:ind w:left="451" w:right="50" w:firstLine="0"/>
        <w:jc w:val="center"/>
        <w:rPr>
          <w:rFonts w:ascii="宋体" w:hAnsi="宋体" w:cs="宋体" w:eastAsia="宋体" w:hint="default"/>
          <w:sz w:val="21"/>
          <w:szCs w:val="21"/>
        </w:rPr>
      </w:pPr>
      <w:r>
        <w:rPr>
          <w:rFonts w:ascii="宋体" w:hAnsi="宋体" w:cs="宋体" w:eastAsia="宋体" w:hint="default"/>
          <w:sz w:val="21"/>
          <w:szCs w:val="21"/>
        </w:rPr>
        <w:t>上述利润分配方案除因股东原因尚有</w:t>
      </w:r>
      <w:r>
        <w:rPr>
          <w:rFonts w:ascii="宋体" w:hAnsi="宋体" w:cs="宋体" w:eastAsia="宋体" w:hint="default"/>
          <w:spacing w:val="-58"/>
          <w:sz w:val="21"/>
          <w:szCs w:val="21"/>
        </w:rPr>
        <w:t> </w:t>
      </w:r>
      <w:r>
        <w:rPr>
          <w:rFonts w:ascii="宋体" w:hAnsi="宋体" w:cs="宋体" w:eastAsia="宋体" w:hint="default"/>
          <w:sz w:val="21"/>
          <w:szCs w:val="21"/>
        </w:rPr>
        <w:t>309.96</w:t>
      </w:r>
      <w:r>
        <w:rPr>
          <w:rFonts w:ascii="宋体" w:hAnsi="宋体" w:cs="宋体" w:eastAsia="宋体" w:hint="default"/>
          <w:spacing w:val="-57"/>
          <w:sz w:val="21"/>
          <w:szCs w:val="21"/>
        </w:rPr>
        <w:t> </w:t>
      </w:r>
      <w:r>
        <w:rPr>
          <w:rFonts w:ascii="宋体" w:hAnsi="宋体" w:cs="宋体" w:eastAsia="宋体" w:hint="default"/>
          <w:spacing w:val="-4"/>
          <w:sz w:val="21"/>
          <w:szCs w:val="21"/>
        </w:rPr>
        <w:t>万元尚未支付外，其余款项已全部分配完</w:t>
      </w:r>
      <w:r>
        <w:rPr>
          <w:rFonts w:ascii="宋体" w:hAnsi="宋体" w:cs="宋体" w:eastAsia="宋体" w:hint="default"/>
          <w:sz w:val="21"/>
          <w:szCs w:val="21"/>
        </w:rPr>
      </w:r>
    </w:p>
    <w:p>
      <w:pPr>
        <w:spacing w:before="134"/>
        <w:ind w:left="137" w:right="107" w:firstLine="0"/>
        <w:jc w:val="left"/>
        <w:rPr>
          <w:rFonts w:ascii="宋体" w:hAnsi="宋体" w:cs="宋体" w:eastAsia="宋体" w:hint="default"/>
          <w:sz w:val="21"/>
          <w:szCs w:val="21"/>
        </w:rPr>
      </w:pPr>
      <w:r>
        <w:rPr>
          <w:rFonts w:ascii="宋体" w:hAnsi="宋体" w:cs="宋体" w:eastAsia="宋体" w:hint="default"/>
          <w:sz w:val="21"/>
          <w:szCs w:val="21"/>
        </w:rPr>
        <w:t>毕。</w:t>
      </w:r>
    </w:p>
    <w:p>
      <w:pPr>
        <w:spacing w:before="133"/>
        <w:ind w:left="617" w:right="107" w:firstLine="0"/>
        <w:jc w:val="left"/>
        <w:rPr>
          <w:rFonts w:ascii="宋体" w:hAnsi="宋体" w:cs="宋体" w:eastAsia="宋体" w:hint="default"/>
          <w:sz w:val="21"/>
          <w:szCs w:val="21"/>
        </w:rPr>
      </w:pPr>
      <w:r>
        <w:rPr>
          <w:rFonts w:ascii="宋体" w:hAnsi="宋体" w:cs="宋体" w:eastAsia="宋体" w:hint="default"/>
          <w:spacing w:val="-6"/>
          <w:sz w:val="21"/>
          <w:szCs w:val="21"/>
        </w:rPr>
        <w:t>2、根据</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日召开的</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pacing w:val="-3"/>
          <w:sz w:val="21"/>
          <w:szCs w:val="21"/>
        </w:rPr>
        <w:t>年度股东大会审议通过的《关于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年向银行</w:t>
      </w:r>
    </w:p>
    <w:p>
      <w:pPr>
        <w:spacing w:before="117"/>
        <w:ind w:left="137" w:right="0" w:firstLine="0"/>
        <w:jc w:val="both"/>
        <w:rPr>
          <w:rFonts w:ascii="宋体" w:hAnsi="宋体" w:cs="宋体" w:eastAsia="宋体" w:hint="default"/>
          <w:sz w:val="21"/>
          <w:szCs w:val="21"/>
        </w:rPr>
      </w:pPr>
      <w:r>
        <w:rPr>
          <w:rFonts w:ascii="宋体" w:hAnsi="宋体" w:cs="宋体" w:eastAsia="宋体" w:hint="default"/>
          <w:sz w:val="21"/>
          <w:szCs w:val="21"/>
        </w:rPr>
        <w:t>贷款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亿</w:t>
      </w:r>
      <w:r>
        <w:rPr>
          <w:rFonts w:ascii="宋体" w:hAnsi="宋体" w:cs="宋体" w:eastAsia="宋体" w:hint="default"/>
          <w:spacing w:val="-2"/>
          <w:sz w:val="21"/>
          <w:szCs w:val="21"/>
        </w:rPr>
        <w:t>元</w:t>
      </w:r>
      <w:r>
        <w:rPr>
          <w:rFonts w:ascii="宋体" w:hAnsi="宋体" w:cs="宋体" w:eastAsia="宋体" w:hint="default"/>
          <w:sz w:val="21"/>
          <w:szCs w:val="21"/>
        </w:rPr>
        <w:t>人民币并提请股东大会授权董事会办理银行授信业务的议案</w:t>
      </w:r>
      <w:r>
        <w:rPr>
          <w:rFonts w:ascii="宋体" w:hAnsi="宋体" w:cs="宋体" w:eastAsia="宋体" w:hint="default"/>
          <w:spacing w:val="-105"/>
          <w:sz w:val="21"/>
          <w:szCs w:val="21"/>
        </w:rPr>
        <w:t>》</w:t>
      </w:r>
      <w:r>
        <w:rPr>
          <w:rFonts w:ascii="宋体" w:hAnsi="宋体" w:cs="宋体" w:eastAsia="宋体" w:hint="default"/>
          <w:spacing w:val="-88"/>
          <w:sz w:val="21"/>
          <w:szCs w:val="21"/>
        </w:rPr>
        <w:t>，</w:t>
      </w:r>
      <w:r>
        <w:rPr>
          <w:rFonts w:ascii="宋体" w:hAnsi="宋体" w:cs="宋体" w:eastAsia="宋体" w:hint="default"/>
          <w:spacing w:val="-1"/>
          <w:sz w:val="21"/>
          <w:szCs w:val="21"/>
        </w:rPr>
        <w:t>由</w:t>
      </w:r>
      <w:r>
        <w:rPr>
          <w:rFonts w:ascii="宋体" w:hAnsi="宋体" w:cs="宋体" w:eastAsia="宋体" w:hint="default"/>
          <w:sz w:val="21"/>
          <w:szCs w:val="21"/>
        </w:rPr>
        <w:t>于</w:t>
      </w:r>
      <w:r>
        <w:rPr>
          <w:rFonts w:ascii="宋体" w:hAnsi="宋体" w:cs="宋体" w:eastAsia="宋体" w:hint="default"/>
          <w:spacing w:val="-54"/>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1"/>
          <w:sz w:val="21"/>
          <w:szCs w:val="21"/>
        </w:rPr>
        <w:t>年度公</w:t>
      </w:r>
      <w:r>
        <w:rPr>
          <w:rFonts w:ascii="宋体" w:hAnsi="宋体" w:cs="宋体" w:eastAsia="宋体" w:hint="default"/>
          <w:sz w:val="21"/>
          <w:szCs w:val="21"/>
        </w:rPr>
      </w:r>
    </w:p>
    <w:p>
      <w:pPr>
        <w:spacing w:line="355" w:lineRule="auto" w:before="118"/>
        <w:ind w:left="137" w:right="211" w:firstLine="0"/>
        <w:jc w:val="both"/>
        <w:rPr>
          <w:rFonts w:ascii="宋体" w:hAnsi="宋体" w:cs="宋体" w:eastAsia="宋体" w:hint="default"/>
          <w:sz w:val="21"/>
          <w:szCs w:val="21"/>
        </w:rPr>
      </w:pPr>
      <w:r>
        <w:rPr>
          <w:rFonts w:ascii="宋体" w:hAnsi="宋体" w:cs="宋体" w:eastAsia="宋体" w:hint="default"/>
          <w:sz w:val="21"/>
          <w:szCs w:val="21"/>
        </w:rPr>
        <w:t>司经营情况良好，资金使用效率较高，报告期内董事会向根据授权情况共计申请贷款</w:t>
      </w:r>
      <w:r>
        <w:rPr>
          <w:rFonts w:ascii="宋体" w:hAnsi="宋体" w:cs="宋体" w:eastAsia="宋体" w:hint="default"/>
          <w:spacing w:val="12"/>
          <w:sz w:val="21"/>
          <w:szCs w:val="21"/>
        </w:rPr>
        <w:t> </w:t>
      </w:r>
      <w:r>
        <w:rPr>
          <w:rFonts w:ascii="宋体" w:hAnsi="宋体" w:cs="宋体" w:eastAsia="宋体" w:hint="default"/>
          <w:sz w:val="21"/>
          <w:szCs w:val="21"/>
        </w:rPr>
        <w:t>1000</w:t>
      </w:r>
      <w:r>
        <w:rPr>
          <w:rFonts w:ascii="宋体" w:hAnsi="宋体" w:cs="宋体" w:eastAsia="宋体" w:hint="default"/>
          <w:sz w:val="21"/>
          <w:szCs w:val="21"/>
        </w:rPr>
        <w:t> 万元用于公司的生产经营活动。</w:t>
      </w:r>
    </w:p>
    <w:p>
      <w:pPr>
        <w:spacing w:line="240" w:lineRule="auto" w:before="0"/>
        <w:rPr>
          <w:rFonts w:ascii="宋体" w:hAnsi="宋体" w:cs="宋体" w:eastAsia="宋体" w:hint="default"/>
          <w:sz w:val="20"/>
          <w:szCs w:val="20"/>
        </w:rPr>
      </w:pPr>
    </w:p>
    <w:p>
      <w:pPr>
        <w:spacing w:before="180"/>
        <w:ind w:left="137" w:right="0" w:firstLine="0"/>
        <w:jc w:val="both"/>
        <w:rPr>
          <w:rFonts w:ascii="宋体" w:hAnsi="宋体" w:cs="宋体" w:eastAsia="宋体" w:hint="default"/>
          <w:sz w:val="21"/>
          <w:szCs w:val="21"/>
        </w:rPr>
      </w:pPr>
      <w:r>
        <w:rPr>
          <w:rFonts w:ascii="宋体" w:hAnsi="宋体" w:cs="宋体" w:eastAsia="宋体" w:hint="default"/>
          <w:b/>
          <w:bCs/>
          <w:sz w:val="21"/>
          <w:szCs w:val="21"/>
        </w:rPr>
        <w:t>（三）董事会审计委员会履职情况</w:t>
      </w:r>
      <w:r>
        <w:rPr>
          <w:rFonts w:ascii="宋体" w:hAnsi="宋体" w:cs="宋体" w:eastAsia="宋体" w:hint="default"/>
          <w:sz w:val="21"/>
          <w:szCs w:val="21"/>
        </w:rPr>
      </w:r>
    </w:p>
    <w:p>
      <w:pPr>
        <w:spacing w:line="355" w:lineRule="auto" w:before="134"/>
        <w:ind w:left="137" w:right="211" w:firstLine="420"/>
        <w:jc w:val="both"/>
        <w:rPr>
          <w:rFonts w:ascii="宋体" w:hAnsi="宋体" w:cs="宋体" w:eastAsia="宋体" w:hint="default"/>
          <w:sz w:val="21"/>
          <w:szCs w:val="21"/>
        </w:rPr>
      </w:pPr>
      <w:r>
        <w:rPr>
          <w:rFonts w:ascii="宋体" w:hAnsi="宋体" w:cs="宋体" w:eastAsia="宋体" w:hint="default"/>
          <w:sz w:val="21"/>
          <w:szCs w:val="21"/>
        </w:rPr>
        <w:t>1、审计委员会认真审议了公司编制的</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年半年度财务报表和</w:t>
      </w:r>
      <w:r>
        <w:rPr>
          <w:rFonts w:ascii="宋体" w:hAnsi="宋体" w:cs="宋体" w:eastAsia="宋体" w:hint="default"/>
          <w:spacing w:val="-51"/>
          <w:sz w:val="21"/>
          <w:szCs w:val="21"/>
        </w:rPr>
        <w:t> </w:t>
      </w: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年度财务报表，</w:t>
      </w:r>
      <w:r>
        <w:rPr>
          <w:rFonts w:ascii="宋体" w:hAnsi="宋体" w:cs="宋体" w:eastAsia="宋体" w:hint="default"/>
          <w:sz w:val="21"/>
          <w:szCs w:val="21"/>
        </w:rPr>
        <w:t> </w:t>
      </w:r>
      <w:r>
        <w:rPr>
          <w:rFonts w:ascii="宋体" w:hAnsi="宋体" w:cs="宋体" w:eastAsia="宋体" w:hint="default"/>
          <w:spacing w:val="-3"/>
          <w:sz w:val="21"/>
          <w:szCs w:val="21"/>
        </w:rPr>
        <w:t>审议认为公司的财务报表符合新会计准则和《企业会计制度》的相关规定，能够如实反映了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企业的生产经营状况，财务数据准确无误，不存在重大遗漏或篡改财务数据的情况。</w:t>
      </w:r>
    </w:p>
    <w:p>
      <w:pPr>
        <w:spacing w:before="33"/>
        <w:ind w:left="557" w:right="107" w:firstLine="0"/>
        <w:jc w:val="left"/>
        <w:rPr>
          <w:rFonts w:ascii="宋体" w:hAnsi="宋体" w:cs="宋体" w:eastAsia="宋体" w:hint="default"/>
          <w:sz w:val="21"/>
          <w:szCs w:val="21"/>
        </w:rPr>
      </w:pPr>
      <w:r>
        <w:rPr>
          <w:rFonts w:ascii="宋体" w:hAnsi="宋体" w:cs="宋体" w:eastAsia="宋体" w:hint="default"/>
          <w:spacing w:val="-3"/>
          <w:sz w:val="21"/>
          <w:szCs w:val="21"/>
        </w:rPr>
        <w:t>2、在中瑞岳华会计师事务所对公司</w:t>
      </w:r>
      <w:r>
        <w:rPr>
          <w:rFonts w:ascii="宋体" w:hAnsi="宋体" w:cs="宋体" w:eastAsia="宋体" w:hint="default"/>
          <w:spacing w:val="-46"/>
          <w:sz w:val="21"/>
          <w:szCs w:val="21"/>
        </w:rPr>
        <w:t> </w:t>
      </w:r>
      <w:r>
        <w:rPr>
          <w:rFonts w:ascii="宋体" w:hAnsi="宋体" w:cs="宋体" w:eastAsia="宋体" w:hint="default"/>
          <w:sz w:val="21"/>
          <w:szCs w:val="21"/>
        </w:rPr>
        <w:t>2007</w:t>
      </w:r>
      <w:r>
        <w:rPr>
          <w:rFonts w:ascii="宋体" w:hAnsi="宋体" w:cs="宋体" w:eastAsia="宋体" w:hint="default"/>
          <w:spacing w:val="-44"/>
          <w:sz w:val="21"/>
          <w:szCs w:val="21"/>
        </w:rPr>
        <w:t> </w:t>
      </w:r>
      <w:r>
        <w:rPr>
          <w:rFonts w:ascii="宋体" w:hAnsi="宋体" w:cs="宋体" w:eastAsia="宋体" w:hint="default"/>
          <w:spacing w:val="-3"/>
          <w:sz w:val="21"/>
          <w:szCs w:val="21"/>
        </w:rPr>
        <w:t>年度财务状况的审计过程中，审计委员会按照</w:t>
      </w:r>
    </w:p>
    <w:p>
      <w:pPr>
        <w:spacing w:line="357" w:lineRule="auto" w:before="133"/>
        <w:ind w:left="137" w:right="211" w:firstLine="0"/>
        <w:jc w:val="both"/>
        <w:rPr>
          <w:rFonts w:ascii="宋体" w:hAnsi="宋体" w:cs="宋体" w:eastAsia="宋体" w:hint="default"/>
          <w:sz w:val="21"/>
          <w:szCs w:val="21"/>
        </w:rPr>
      </w:pPr>
      <w:r>
        <w:rPr>
          <w:rFonts w:ascii="宋体" w:hAnsi="宋体" w:cs="宋体" w:eastAsia="宋体" w:hint="default"/>
          <w:sz w:val="21"/>
          <w:szCs w:val="21"/>
        </w:rPr>
        <w:t>《关于做好上市公司</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年年度报告及相关工作的通知》的要求，在审计前审阅了公司编</w:t>
      </w:r>
      <w:r>
        <w:rPr>
          <w:rFonts w:ascii="宋体" w:hAnsi="宋体" w:cs="宋体" w:eastAsia="宋体" w:hint="default"/>
          <w:spacing w:val="-1"/>
          <w:sz w:val="21"/>
          <w:szCs w:val="21"/>
        </w:rPr>
        <w:t> </w:t>
      </w:r>
      <w:r>
        <w:rPr>
          <w:rFonts w:ascii="宋体" w:hAnsi="宋体" w:cs="宋体" w:eastAsia="宋体" w:hint="default"/>
          <w:spacing w:val="-3"/>
          <w:sz w:val="21"/>
          <w:szCs w:val="21"/>
        </w:rPr>
        <w:t>制的财务报表，并出具了“公司编制的财务报表，符合新会计准则的相关规定，反映了公司</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的财务状况，不存在重大偏差或重大遗漏”的审阅意见。</w:t>
      </w:r>
    </w:p>
    <w:p>
      <w:pPr>
        <w:spacing w:line="357" w:lineRule="auto" w:before="31"/>
        <w:ind w:left="137" w:right="107" w:firstLine="420"/>
        <w:jc w:val="left"/>
        <w:rPr>
          <w:rFonts w:ascii="宋体" w:hAnsi="宋体" w:cs="宋体" w:eastAsia="宋体" w:hint="default"/>
          <w:sz w:val="21"/>
          <w:szCs w:val="21"/>
        </w:rPr>
      </w:pPr>
      <w:r>
        <w:rPr>
          <w:rFonts w:ascii="宋体" w:hAnsi="宋体" w:cs="宋体" w:eastAsia="宋体" w:hint="default"/>
          <w:sz w:val="21"/>
          <w:szCs w:val="21"/>
        </w:rPr>
        <w:t>3、审计委员与会计师事务所的审计人员就审计计划和工作安排进行了沟通，确定了审 </w:t>
      </w:r>
      <w:r>
        <w:rPr>
          <w:rFonts w:ascii="宋体" w:hAnsi="宋体" w:cs="宋体" w:eastAsia="宋体" w:hint="default"/>
          <w:spacing w:val="-3"/>
          <w:sz w:val="21"/>
          <w:szCs w:val="21"/>
        </w:rPr>
        <w:t>计报告的出具日期。在审计过程中，审计委员会根据审计计划，督促会计师事务所在约定的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时间内提交审计报告，并在审计会计师出具初步审计意见后和召开董事会会议审议年报前， </w:t>
      </w:r>
      <w:r>
        <w:rPr>
          <w:rFonts w:ascii="宋体" w:hAnsi="宋体" w:cs="宋体" w:eastAsia="宋体" w:hint="default"/>
          <w:spacing w:val="-3"/>
          <w:sz w:val="21"/>
          <w:szCs w:val="21"/>
        </w:rPr>
        <w:t>与注册会计师沟通，了解到在审计过程中未发现重大问题。通过审阅经会计师审计公司财务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报表，审计委员会认为公司在审计前编制的财务报表与审计后的财务报表没有重大出入，经</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审计的财务报表如实反映了公司的财务状况。</w:t>
      </w:r>
    </w:p>
    <w:p>
      <w:pPr>
        <w:spacing w:before="30"/>
        <w:ind w:left="557" w:right="107" w:firstLine="0"/>
        <w:jc w:val="left"/>
        <w:rPr>
          <w:rFonts w:ascii="宋体" w:hAnsi="宋体" w:cs="宋体" w:eastAsia="宋体" w:hint="default"/>
          <w:sz w:val="21"/>
          <w:szCs w:val="21"/>
        </w:rPr>
      </w:pPr>
      <w:r>
        <w:rPr>
          <w:rFonts w:ascii="宋体" w:hAnsi="宋体" w:cs="宋体" w:eastAsia="宋体" w:hint="default"/>
          <w:sz w:val="21"/>
          <w:szCs w:val="21"/>
        </w:rPr>
        <w:t>4、审计委员会开会表决认为，经审计财务报表和公司财务报告符合新会计准则和《企</w:t>
      </w:r>
    </w:p>
    <w:p>
      <w:pPr>
        <w:spacing w:line="410" w:lineRule="atLeast" w:before="0"/>
        <w:ind w:left="137" w:right="102" w:firstLine="0"/>
        <w:jc w:val="left"/>
        <w:rPr>
          <w:rFonts w:ascii="宋体" w:hAnsi="宋体" w:cs="宋体" w:eastAsia="宋体" w:hint="default"/>
          <w:sz w:val="21"/>
          <w:szCs w:val="21"/>
        </w:rPr>
      </w:pPr>
      <w:r>
        <w:rPr>
          <w:rFonts w:ascii="宋体" w:hAnsi="宋体" w:cs="宋体" w:eastAsia="宋体" w:hint="default"/>
          <w:spacing w:val="-3"/>
          <w:sz w:val="21"/>
          <w:szCs w:val="21"/>
        </w:rPr>
        <w:t>业会计制度》的相关规定，能够如实反映了企业的生产经营状况，财务数据准确无误，不存</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在重大遗漏，同意提交董事会审议。审计委员会就审计师事务所的审计工作出具了总结报告，</w:t>
      </w:r>
    </w:p>
    <w:p>
      <w:pPr>
        <w:spacing w:after="0" w:line="410" w:lineRule="atLeast"/>
        <w:jc w:val="left"/>
        <w:rPr>
          <w:rFonts w:ascii="宋体" w:hAnsi="宋体" w:cs="宋体" w:eastAsia="宋体" w:hint="default"/>
          <w:sz w:val="21"/>
          <w:szCs w:val="21"/>
        </w:rPr>
        <w:sectPr>
          <w:pgSz w:w="11910" w:h="16840"/>
          <w:pgMar w:header="915" w:footer="1712" w:top="1100" w:bottom="1900" w:left="1660" w:right="1580"/>
        </w:sectPr>
      </w:pPr>
    </w:p>
    <w:p>
      <w:pPr>
        <w:spacing w:line="355" w:lineRule="auto" w:before="18"/>
        <w:ind w:left="137" w:right="196"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483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z w:val="21"/>
          <w:szCs w:val="21"/>
        </w:rPr>
        <w:t>认为审计人员认真、尽责的完成了年度审计工作，并向提议董事会提议，在</w:t>
      </w:r>
      <w:r>
        <w:rPr>
          <w:rFonts w:ascii="宋体" w:hAnsi="宋体" w:cs="宋体" w:eastAsia="宋体" w:hint="default"/>
          <w:spacing w:val="-44"/>
          <w:sz w:val="21"/>
          <w:szCs w:val="21"/>
        </w:rPr>
        <w:t> </w:t>
      </w:r>
      <w:r>
        <w:rPr>
          <w:rFonts w:ascii="宋体" w:hAnsi="宋体" w:cs="宋体" w:eastAsia="宋体" w:hint="default"/>
          <w:sz w:val="21"/>
          <w:szCs w:val="21"/>
        </w:rPr>
        <w:t>2008</w:t>
      </w:r>
      <w:r>
        <w:rPr>
          <w:rFonts w:ascii="宋体" w:hAnsi="宋体" w:cs="宋体" w:eastAsia="宋体" w:hint="default"/>
          <w:spacing w:val="-45"/>
          <w:sz w:val="21"/>
          <w:szCs w:val="21"/>
        </w:rPr>
        <w:t> </w:t>
      </w:r>
      <w:r>
        <w:rPr>
          <w:rFonts w:ascii="宋体" w:hAnsi="宋体" w:cs="宋体" w:eastAsia="宋体" w:hint="default"/>
          <w:sz w:val="21"/>
          <w:szCs w:val="21"/>
        </w:rPr>
        <w:t>年度续聘</w:t>
      </w:r>
      <w:r>
        <w:rPr>
          <w:rFonts w:ascii="宋体" w:hAnsi="宋体" w:cs="宋体" w:eastAsia="宋体" w:hint="default"/>
          <w:sz w:val="21"/>
          <w:szCs w:val="21"/>
        </w:rPr>
        <w:t> 中瑞岳华会计师事务所作为我公司的审计机构。</w:t>
      </w:r>
    </w:p>
    <w:p>
      <w:pPr>
        <w:spacing w:line="355" w:lineRule="auto" w:before="33"/>
        <w:ind w:left="557" w:right="107" w:hanging="42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1"/>
          <w:sz w:val="21"/>
          <w:szCs w:val="21"/>
        </w:rPr>
        <w:t> </w:t>
      </w:r>
      <w:r>
        <w:rPr>
          <w:rFonts w:ascii="宋体" w:hAnsi="宋体" w:cs="宋体" w:eastAsia="宋体" w:hint="default"/>
          <w:b/>
          <w:bCs/>
          <w:sz w:val="21"/>
          <w:szCs w:val="21"/>
        </w:rPr>
        <w:t>董事会薪酬与考核委员会履职情况</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本年度薪酬委员会对公司董事、监事和高级管理人员所披露的薪酬情况进行了审核，经</w:t>
      </w:r>
    </w:p>
    <w:p>
      <w:pPr>
        <w:spacing w:line="355" w:lineRule="auto" w:before="33"/>
        <w:ind w:left="137" w:right="107" w:firstLine="0"/>
        <w:jc w:val="left"/>
        <w:rPr>
          <w:rFonts w:ascii="宋体" w:hAnsi="宋体" w:cs="宋体" w:eastAsia="宋体" w:hint="default"/>
          <w:sz w:val="21"/>
          <w:szCs w:val="21"/>
        </w:rPr>
      </w:pPr>
      <w:r>
        <w:rPr>
          <w:rFonts w:ascii="宋体" w:hAnsi="宋体" w:cs="宋体" w:eastAsia="宋体" w:hint="default"/>
          <w:spacing w:val="-3"/>
          <w:sz w:val="21"/>
          <w:szCs w:val="21"/>
        </w:rPr>
        <w:t>审核认为，所披露的薪酬数据真实，公司为董事、独立董事、监事、高级管理人员所发放的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津贴，符合董事会和股东大会的决议内容。</w:t>
      </w:r>
    </w:p>
    <w:p>
      <w:pPr>
        <w:spacing w:line="240" w:lineRule="auto" w:before="0"/>
        <w:rPr>
          <w:rFonts w:ascii="宋体" w:hAnsi="宋体" w:cs="宋体" w:eastAsia="宋体" w:hint="default"/>
          <w:sz w:val="20"/>
          <w:szCs w:val="20"/>
        </w:rPr>
      </w:pPr>
    </w:p>
    <w:p>
      <w:pPr>
        <w:spacing w:before="180"/>
        <w:ind w:left="137" w:right="107" w:firstLine="0"/>
        <w:jc w:val="left"/>
        <w:rPr>
          <w:rFonts w:ascii="宋体" w:hAnsi="宋体" w:cs="宋体" w:eastAsia="宋体" w:hint="default"/>
          <w:sz w:val="21"/>
          <w:szCs w:val="21"/>
        </w:rPr>
      </w:pPr>
      <w:r>
        <w:rPr>
          <w:rFonts w:ascii="宋体" w:hAnsi="宋体" w:cs="宋体" w:eastAsia="宋体" w:hint="default"/>
          <w:b/>
          <w:bCs/>
          <w:sz w:val="21"/>
          <w:szCs w:val="21"/>
        </w:rPr>
        <w:t>四、公司</w:t>
      </w:r>
      <w:r>
        <w:rPr>
          <w:rFonts w:ascii="宋体" w:hAnsi="宋体" w:cs="宋体" w:eastAsia="宋体" w:hint="default"/>
          <w:b/>
          <w:bCs/>
          <w:spacing w:val="-61"/>
          <w:sz w:val="21"/>
          <w:szCs w:val="21"/>
        </w:rPr>
        <w:t> </w:t>
      </w:r>
      <w:r>
        <w:rPr>
          <w:rFonts w:ascii="宋体" w:hAnsi="宋体" w:cs="宋体" w:eastAsia="宋体" w:hint="default"/>
          <w:b/>
          <w:bCs/>
          <w:sz w:val="21"/>
          <w:szCs w:val="21"/>
        </w:rPr>
        <w:t>2007</w:t>
      </w:r>
      <w:r>
        <w:rPr>
          <w:rFonts w:ascii="宋体" w:hAnsi="宋体" w:cs="宋体" w:eastAsia="宋体" w:hint="default"/>
          <w:b/>
          <w:bCs/>
          <w:spacing w:val="-59"/>
          <w:sz w:val="21"/>
          <w:szCs w:val="21"/>
        </w:rPr>
        <w:t> </w:t>
      </w:r>
      <w:r>
        <w:rPr>
          <w:rFonts w:ascii="宋体" w:hAnsi="宋体" w:cs="宋体" w:eastAsia="宋体" w:hint="default"/>
          <w:b/>
          <w:bCs/>
          <w:sz w:val="21"/>
          <w:szCs w:val="21"/>
        </w:rPr>
        <w:t>年利润分配预案</w:t>
      </w:r>
      <w:r>
        <w:rPr>
          <w:rFonts w:ascii="宋体" w:hAnsi="宋体" w:cs="宋体" w:eastAsia="宋体" w:hint="default"/>
          <w:sz w:val="21"/>
          <w:szCs w:val="21"/>
        </w:rPr>
      </w:r>
    </w:p>
    <w:p>
      <w:pPr>
        <w:spacing w:line="357" w:lineRule="auto" w:before="133"/>
        <w:ind w:left="140" w:right="211" w:firstLine="472"/>
        <w:jc w:val="both"/>
        <w:rPr>
          <w:rFonts w:ascii="宋体" w:hAnsi="宋体" w:cs="宋体" w:eastAsia="宋体" w:hint="default"/>
          <w:sz w:val="21"/>
          <w:szCs w:val="21"/>
        </w:rPr>
      </w:pPr>
      <w:r>
        <w:rPr>
          <w:rFonts w:ascii="宋体" w:hAnsi="宋体" w:cs="宋体" w:eastAsia="宋体" w:hint="default"/>
          <w:sz w:val="21"/>
          <w:szCs w:val="21"/>
        </w:rPr>
        <w:t>根据北京中瑞岳华会计师事务所出具的审计报告，2007 年度公司实现净利润 4679</w:t>
      </w:r>
      <w:r>
        <w:rPr>
          <w:rFonts w:ascii="宋体" w:hAnsi="宋体" w:cs="宋体" w:eastAsia="宋体" w:hint="default"/>
          <w:spacing w:val="-69"/>
          <w:sz w:val="21"/>
          <w:szCs w:val="21"/>
        </w:rPr>
        <w:t> </w:t>
      </w:r>
      <w:r>
        <w:rPr>
          <w:rFonts w:ascii="宋体" w:hAnsi="宋体" w:cs="宋体" w:eastAsia="宋体" w:hint="default"/>
          <w:sz w:val="21"/>
          <w:szCs w:val="21"/>
        </w:rPr>
        <w:t>万</w:t>
      </w:r>
      <w:r>
        <w:rPr>
          <w:rFonts w:ascii="宋体" w:hAnsi="宋体" w:cs="宋体" w:eastAsia="宋体" w:hint="default"/>
          <w:sz w:val="21"/>
          <w:szCs w:val="21"/>
        </w:rPr>
        <w:t> 元，按</w:t>
      </w:r>
      <w:r>
        <w:rPr>
          <w:rFonts w:ascii="宋体" w:hAnsi="宋体" w:cs="宋体" w:eastAsia="宋体" w:hint="default"/>
          <w:spacing w:val="-32"/>
          <w:sz w:val="21"/>
          <w:szCs w:val="21"/>
        </w:rPr>
        <w:t> </w:t>
      </w:r>
      <w:r>
        <w:rPr>
          <w:rFonts w:ascii="宋体" w:hAnsi="宋体" w:cs="宋体" w:eastAsia="宋体" w:hint="default"/>
          <w:sz w:val="21"/>
          <w:szCs w:val="21"/>
        </w:rPr>
        <w:t>10%提取法定盈余公积后，当年可供股东分配的利润为</w:t>
      </w:r>
      <w:r>
        <w:rPr>
          <w:rFonts w:ascii="宋体" w:hAnsi="宋体" w:cs="宋体" w:eastAsia="宋体" w:hint="default"/>
          <w:spacing w:val="-32"/>
          <w:sz w:val="21"/>
          <w:szCs w:val="21"/>
        </w:rPr>
        <w:t> </w:t>
      </w:r>
      <w:r>
        <w:rPr>
          <w:rFonts w:ascii="宋体" w:hAnsi="宋体" w:cs="宋体" w:eastAsia="宋体" w:hint="default"/>
          <w:sz w:val="21"/>
          <w:szCs w:val="21"/>
        </w:rPr>
        <w:t>4211</w:t>
      </w:r>
      <w:r>
        <w:rPr>
          <w:rFonts w:ascii="宋体" w:hAnsi="宋体" w:cs="宋体" w:eastAsia="宋体" w:hint="default"/>
          <w:spacing w:val="-31"/>
          <w:sz w:val="21"/>
          <w:szCs w:val="21"/>
        </w:rPr>
        <w:t> </w:t>
      </w:r>
      <w:r>
        <w:rPr>
          <w:rFonts w:ascii="宋体" w:hAnsi="宋体" w:cs="宋体" w:eastAsia="宋体" w:hint="default"/>
          <w:sz w:val="21"/>
          <w:szCs w:val="21"/>
        </w:rPr>
        <w:t>万元，以前年度滚存的</w:t>
      </w:r>
      <w:r>
        <w:rPr>
          <w:rFonts w:ascii="宋体" w:hAnsi="宋体" w:cs="宋体" w:eastAsia="宋体" w:hint="default"/>
          <w:sz w:val="21"/>
          <w:szCs w:val="21"/>
        </w:rPr>
        <w:t> 可供股东分配的利润为</w:t>
      </w:r>
      <w:r>
        <w:rPr>
          <w:rFonts w:ascii="宋体" w:hAnsi="宋体" w:cs="宋体" w:eastAsia="宋体" w:hint="default"/>
          <w:spacing w:val="-55"/>
          <w:sz w:val="21"/>
          <w:szCs w:val="21"/>
        </w:rPr>
        <w:t> </w:t>
      </w:r>
      <w:r>
        <w:rPr>
          <w:rFonts w:ascii="宋体" w:hAnsi="宋体" w:cs="宋体" w:eastAsia="宋体" w:hint="default"/>
          <w:sz w:val="21"/>
          <w:szCs w:val="21"/>
        </w:rPr>
        <w:t>2520</w:t>
      </w:r>
      <w:r>
        <w:rPr>
          <w:rFonts w:ascii="宋体" w:hAnsi="宋体" w:cs="宋体" w:eastAsia="宋体" w:hint="default"/>
          <w:spacing w:val="-54"/>
          <w:sz w:val="21"/>
          <w:szCs w:val="21"/>
        </w:rPr>
        <w:t> </w:t>
      </w:r>
      <w:r>
        <w:rPr>
          <w:rFonts w:ascii="宋体" w:hAnsi="宋体" w:cs="宋体" w:eastAsia="宋体" w:hint="default"/>
          <w:spacing w:val="-4"/>
          <w:sz w:val="21"/>
          <w:szCs w:val="21"/>
        </w:rPr>
        <w:t>万元，本公司可供股东分配的利润为</w:t>
      </w:r>
      <w:r>
        <w:rPr>
          <w:rFonts w:ascii="宋体" w:hAnsi="宋体" w:cs="宋体" w:eastAsia="宋体" w:hint="default"/>
          <w:spacing w:val="-55"/>
          <w:sz w:val="21"/>
          <w:szCs w:val="21"/>
        </w:rPr>
        <w:t> </w:t>
      </w:r>
      <w:r>
        <w:rPr>
          <w:rFonts w:ascii="宋体" w:hAnsi="宋体" w:cs="宋体" w:eastAsia="宋体" w:hint="default"/>
          <w:sz w:val="21"/>
          <w:szCs w:val="21"/>
        </w:rPr>
        <w:t>6731</w:t>
      </w:r>
      <w:r>
        <w:rPr>
          <w:rFonts w:ascii="宋体" w:hAnsi="宋体" w:cs="宋体" w:eastAsia="宋体" w:hint="default"/>
          <w:spacing w:val="-54"/>
          <w:sz w:val="21"/>
          <w:szCs w:val="21"/>
        </w:rPr>
        <w:t> </w:t>
      </w:r>
      <w:r>
        <w:rPr>
          <w:rFonts w:ascii="宋体" w:hAnsi="宋体" w:cs="宋体" w:eastAsia="宋体" w:hint="default"/>
          <w:sz w:val="21"/>
          <w:szCs w:val="21"/>
        </w:rPr>
        <w:t>万元,2007</w:t>
      </w:r>
      <w:r>
        <w:rPr>
          <w:rFonts w:ascii="宋体" w:hAnsi="宋体" w:cs="宋体" w:eastAsia="宋体" w:hint="default"/>
          <w:spacing w:val="-54"/>
          <w:sz w:val="21"/>
          <w:szCs w:val="21"/>
        </w:rPr>
        <w:t> </w:t>
      </w:r>
      <w:r>
        <w:rPr>
          <w:rFonts w:ascii="宋体" w:hAnsi="宋体" w:cs="宋体" w:eastAsia="宋体" w:hint="default"/>
          <w:sz w:val="21"/>
          <w:szCs w:val="21"/>
        </w:rPr>
        <w:t>年度利润</w:t>
      </w:r>
      <w:r>
        <w:rPr>
          <w:rFonts w:ascii="宋体" w:hAnsi="宋体" w:cs="宋体" w:eastAsia="宋体" w:hint="default"/>
          <w:sz w:val="21"/>
          <w:szCs w:val="21"/>
        </w:rPr>
        <w:t> 分配预案如下：</w:t>
      </w:r>
    </w:p>
    <w:p>
      <w:pPr>
        <w:spacing w:before="30"/>
        <w:ind w:left="612" w:right="107" w:firstLine="0"/>
        <w:jc w:val="left"/>
        <w:rPr>
          <w:rFonts w:ascii="宋体" w:hAnsi="宋体" w:cs="宋体" w:eastAsia="宋体" w:hint="default"/>
          <w:sz w:val="21"/>
          <w:szCs w:val="21"/>
        </w:rPr>
      </w:pPr>
      <w:r>
        <w:rPr>
          <w:rFonts w:ascii="宋体" w:hAnsi="宋体" w:cs="宋体" w:eastAsia="宋体" w:hint="default"/>
          <w:sz w:val="21"/>
          <w:szCs w:val="21"/>
        </w:rPr>
        <w:t>1、提取</w:t>
      </w:r>
      <w:r>
        <w:rPr>
          <w:rFonts w:ascii="宋体" w:hAnsi="宋体" w:cs="宋体" w:eastAsia="宋体" w:hint="default"/>
          <w:spacing w:val="-55"/>
          <w:sz w:val="21"/>
          <w:szCs w:val="21"/>
        </w:rPr>
        <w:t> </w:t>
      </w:r>
      <w:r>
        <w:rPr>
          <w:rFonts w:ascii="宋体" w:hAnsi="宋体" w:cs="宋体" w:eastAsia="宋体" w:hint="default"/>
          <w:sz w:val="21"/>
          <w:szCs w:val="21"/>
        </w:rPr>
        <w:t>5％任意盈余公积</w:t>
      </w:r>
      <w:r>
        <w:rPr>
          <w:rFonts w:ascii="宋体" w:hAnsi="宋体" w:cs="宋体" w:eastAsia="宋体" w:hint="default"/>
          <w:spacing w:val="-55"/>
          <w:sz w:val="21"/>
          <w:szCs w:val="21"/>
        </w:rPr>
        <w:t> </w:t>
      </w:r>
      <w:r>
        <w:rPr>
          <w:rFonts w:ascii="宋体" w:hAnsi="宋体" w:cs="宋体" w:eastAsia="宋体" w:hint="default"/>
          <w:sz w:val="21"/>
          <w:szCs w:val="21"/>
        </w:rPr>
        <w:t>234</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before="133"/>
        <w:ind w:left="557" w:right="107" w:firstLine="0"/>
        <w:jc w:val="left"/>
        <w:rPr>
          <w:rFonts w:ascii="宋体" w:hAnsi="宋体" w:cs="宋体" w:eastAsia="宋体" w:hint="default"/>
          <w:sz w:val="21"/>
          <w:szCs w:val="21"/>
        </w:rPr>
      </w:pPr>
      <w:r>
        <w:rPr>
          <w:rFonts w:ascii="宋体" w:hAnsi="宋体" w:cs="宋体" w:eastAsia="宋体" w:hint="default"/>
          <w:sz w:val="21"/>
          <w:szCs w:val="21"/>
        </w:rPr>
        <w:t>２、以公司总股本</w:t>
      </w:r>
      <w:r>
        <w:rPr>
          <w:rFonts w:ascii="宋体" w:hAnsi="宋体" w:cs="宋体" w:eastAsia="宋体" w:hint="default"/>
          <w:spacing w:val="-49"/>
          <w:sz w:val="21"/>
          <w:szCs w:val="21"/>
        </w:rPr>
        <w:t> </w:t>
      </w:r>
      <w:r>
        <w:rPr>
          <w:rFonts w:ascii="宋体" w:hAnsi="宋体" w:cs="宋体" w:eastAsia="宋体" w:hint="default"/>
          <w:sz w:val="21"/>
          <w:szCs w:val="21"/>
        </w:rPr>
        <w:t>11,000</w:t>
      </w:r>
      <w:r>
        <w:rPr>
          <w:rFonts w:ascii="宋体" w:hAnsi="宋体" w:cs="宋体" w:eastAsia="宋体" w:hint="default"/>
          <w:spacing w:val="-48"/>
          <w:sz w:val="21"/>
          <w:szCs w:val="21"/>
        </w:rPr>
        <w:t> </w:t>
      </w:r>
      <w:r>
        <w:rPr>
          <w:rFonts w:ascii="宋体" w:hAnsi="宋体" w:cs="宋体" w:eastAsia="宋体" w:hint="default"/>
          <w:sz w:val="21"/>
          <w:szCs w:val="21"/>
        </w:rPr>
        <w:t>万股为基数，按每</w:t>
      </w:r>
      <w:r>
        <w:rPr>
          <w:rFonts w:ascii="宋体" w:hAnsi="宋体" w:cs="宋体" w:eastAsia="宋体" w:hint="default"/>
          <w:spacing w:val="-49"/>
          <w:sz w:val="21"/>
          <w:szCs w:val="21"/>
        </w:rPr>
        <w:t> </w:t>
      </w:r>
      <w:r>
        <w:rPr>
          <w:rFonts w:ascii="宋体" w:hAnsi="宋体" w:cs="宋体" w:eastAsia="宋体" w:hint="default"/>
          <w:sz w:val="21"/>
          <w:szCs w:val="21"/>
        </w:rPr>
        <w:t>10 </w:t>
      </w:r>
      <w:r>
        <w:rPr>
          <w:rFonts w:ascii="宋体" w:hAnsi="宋体" w:cs="宋体" w:eastAsia="宋体" w:hint="default"/>
          <w:spacing w:val="-2"/>
          <w:sz w:val="21"/>
          <w:szCs w:val="21"/>
        </w:rPr>
        <w:t>股</w:t>
      </w:r>
      <w:r>
        <w:rPr>
          <w:rFonts w:ascii="宋体" w:hAnsi="宋体" w:cs="宋体" w:eastAsia="宋体" w:hint="default"/>
          <w:sz w:val="21"/>
          <w:szCs w:val="21"/>
        </w:rPr>
        <w:t>派发现金红利</w:t>
      </w:r>
      <w:r>
        <w:rPr>
          <w:rFonts w:ascii="宋体" w:hAnsi="宋体" w:cs="宋体" w:eastAsia="宋体" w:hint="default"/>
          <w:spacing w:val="-49"/>
          <w:sz w:val="21"/>
          <w:szCs w:val="21"/>
        </w:rPr>
        <w:t> </w:t>
      </w:r>
      <w:r>
        <w:rPr>
          <w:rFonts w:ascii="宋体" w:hAnsi="宋体" w:cs="宋体" w:eastAsia="宋体" w:hint="default"/>
          <w:sz w:val="21"/>
          <w:szCs w:val="21"/>
        </w:rPr>
        <w:t>2.70 元</w:t>
      </w:r>
      <w:r>
        <w:rPr>
          <w:rFonts w:ascii="宋体" w:hAnsi="宋体" w:cs="宋体" w:eastAsia="宋体" w:hint="default"/>
          <w:spacing w:val="-2"/>
          <w:sz w:val="21"/>
          <w:szCs w:val="21"/>
        </w:rPr>
        <w:t>（</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，向</w:t>
      </w:r>
    </w:p>
    <w:p>
      <w:pPr>
        <w:spacing w:before="134"/>
        <w:ind w:left="137" w:right="107" w:firstLine="0"/>
        <w:jc w:val="left"/>
        <w:rPr>
          <w:rFonts w:ascii="宋体" w:hAnsi="宋体" w:cs="宋体" w:eastAsia="宋体" w:hint="default"/>
          <w:sz w:val="21"/>
          <w:szCs w:val="21"/>
        </w:rPr>
      </w:pPr>
      <w:r>
        <w:rPr>
          <w:rFonts w:ascii="宋体" w:hAnsi="宋体" w:cs="宋体" w:eastAsia="宋体" w:hint="default"/>
          <w:sz w:val="21"/>
          <w:szCs w:val="21"/>
        </w:rPr>
        <w:t>新老股东派现人民币 2,970</w:t>
      </w:r>
      <w:r>
        <w:rPr>
          <w:rFonts w:ascii="宋体" w:hAnsi="宋体" w:cs="宋体" w:eastAsia="宋体" w:hint="default"/>
          <w:spacing w:val="-55"/>
          <w:sz w:val="21"/>
          <w:szCs w:val="21"/>
        </w:rPr>
        <w:t> </w:t>
      </w:r>
      <w:r>
        <w:rPr>
          <w:rFonts w:ascii="宋体" w:hAnsi="宋体" w:cs="宋体" w:eastAsia="宋体" w:hint="default"/>
          <w:sz w:val="21"/>
          <w:szCs w:val="21"/>
        </w:rPr>
        <w:t>万元，剩余未分配利润结转以后年度分配。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355" w:lineRule="auto" w:before="0"/>
        <w:ind w:left="557" w:right="5882" w:hanging="420"/>
        <w:jc w:val="left"/>
        <w:rPr>
          <w:rFonts w:ascii="宋体" w:hAnsi="宋体" w:cs="宋体" w:eastAsia="宋体" w:hint="default"/>
          <w:sz w:val="21"/>
          <w:szCs w:val="21"/>
        </w:rPr>
      </w:pPr>
      <w:r>
        <w:rPr>
          <w:rFonts w:ascii="宋体" w:hAnsi="宋体" w:cs="宋体" w:eastAsia="宋体" w:hint="default"/>
          <w:b/>
          <w:bCs/>
          <w:sz w:val="21"/>
          <w:szCs w:val="21"/>
        </w:rPr>
        <w:t>五、其它需要披露的事项</w:t>
      </w:r>
      <w:r>
        <w:rPr>
          <w:rFonts w:ascii="宋体" w:hAnsi="宋体" w:cs="宋体" w:eastAsia="宋体" w:hint="default"/>
          <w:b/>
          <w:bCs/>
          <w:w w:val="99"/>
          <w:sz w:val="21"/>
          <w:szCs w:val="21"/>
        </w:rPr>
        <w:t> </w:t>
      </w:r>
      <w:r>
        <w:rPr>
          <w:rFonts w:ascii="宋体" w:hAnsi="宋体" w:cs="宋体" w:eastAsia="宋体" w:hint="default"/>
          <w:sz w:val="21"/>
          <w:szCs w:val="21"/>
        </w:rPr>
        <w:t>1、公司投资者关系管理</w:t>
      </w:r>
    </w:p>
    <w:p>
      <w:pPr>
        <w:spacing w:line="355" w:lineRule="auto" w:before="33"/>
        <w:ind w:left="137" w:right="107" w:firstLine="420"/>
        <w:jc w:val="left"/>
        <w:rPr>
          <w:rFonts w:ascii="宋体" w:hAnsi="宋体" w:cs="宋体" w:eastAsia="宋体" w:hint="default"/>
          <w:sz w:val="21"/>
          <w:szCs w:val="21"/>
        </w:rPr>
      </w:pPr>
      <w:r>
        <w:rPr>
          <w:rFonts w:ascii="宋体" w:hAnsi="宋体" w:cs="宋体" w:eastAsia="宋体" w:hint="default"/>
          <w:spacing w:val="-3"/>
          <w:sz w:val="21"/>
          <w:szCs w:val="21"/>
        </w:rPr>
        <w:t>公司董事会秘书齐利国先生为投资者关系管理负责人，公司证券事务办公室负责投资者</w:t>
      </w:r>
      <w:r>
        <w:rPr>
          <w:rFonts w:ascii="宋体" w:hAnsi="宋体" w:cs="宋体" w:eastAsia="宋体" w:hint="default"/>
          <w:sz w:val="21"/>
          <w:szCs w:val="21"/>
        </w:rPr>
        <w:t> 关系管理的日常事务。</w:t>
      </w:r>
    </w:p>
    <w:p>
      <w:pPr>
        <w:spacing w:line="357" w:lineRule="auto" w:before="32"/>
        <w:ind w:left="137" w:right="107" w:firstLine="480"/>
        <w:jc w:val="left"/>
        <w:rPr>
          <w:rFonts w:ascii="宋体" w:hAnsi="宋体" w:cs="宋体" w:eastAsia="宋体" w:hint="default"/>
          <w:sz w:val="21"/>
          <w:szCs w:val="21"/>
        </w:rPr>
      </w:pPr>
      <w:r>
        <w:rPr>
          <w:rFonts w:ascii="宋体" w:hAnsi="宋体" w:cs="宋体" w:eastAsia="宋体" w:hint="default"/>
          <w:spacing w:val="-2"/>
          <w:sz w:val="21"/>
          <w:szCs w:val="21"/>
        </w:rPr>
        <w:t>公司上市后，将更加重视投资者关系管理，积极接待投资者、新闻媒体的咨询和来访，</w:t>
      </w:r>
      <w:r>
        <w:rPr>
          <w:rFonts w:ascii="宋体" w:hAnsi="宋体" w:cs="宋体" w:eastAsia="宋体" w:hint="default"/>
          <w:sz w:val="21"/>
          <w:szCs w:val="21"/>
        </w:rPr>
        <w:t> 加强同投资者和新闻媒体的交流和沟通，按时准确完整披露应该披露的信息。</w:t>
      </w:r>
    </w:p>
    <w:p>
      <w:pPr>
        <w:spacing w:line="360" w:lineRule="auto" w:before="25"/>
        <w:ind w:left="137" w:right="107" w:firstLine="480"/>
        <w:jc w:val="left"/>
        <w:rPr>
          <w:rFonts w:ascii="宋体" w:hAnsi="宋体" w:cs="宋体" w:eastAsia="宋体" w:hint="default"/>
          <w:sz w:val="21"/>
          <w:szCs w:val="21"/>
        </w:rPr>
      </w:pPr>
      <w:r>
        <w:rPr>
          <w:rFonts w:ascii="宋体" w:hAnsi="宋体" w:cs="宋体" w:eastAsia="宋体" w:hint="default"/>
          <w:sz w:val="21"/>
          <w:szCs w:val="21"/>
        </w:rPr>
        <w:t>2、公司指定《证券时报》和巨潮网（</w:t>
      </w:r>
      <w:r>
        <w:rPr>
          <w:rFonts w:ascii="宋体" w:hAnsi="宋体" w:cs="宋体" w:eastAsia="宋体" w:hint="default"/>
          <w:color w:val="0000FF"/>
          <w:sz w:val="24"/>
          <w:szCs w:val="24"/>
        </w:rPr>
      </w:r>
      <w:hyperlink r:id="rId19">
        <w:r>
          <w:rPr>
            <w:rFonts w:ascii="宋体" w:hAnsi="宋体" w:cs="宋体" w:eastAsia="宋体" w:hint="default"/>
            <w:color w:val="0000FF"/>
            <w:sz w:val="24"/>
            <w:szCs w:val="24"/>
            <w:u w:val="single" w:color="0000FF"/>
          </w:rPr>
          <w:t>http://www.cninfo.com.cn</w:t>
        </w:r>
        <w:r>
          <w:rPr>
            <w:rFonts w:ascii="宋体" w:hAnsi="宋体" w:cs="宋体" w:eastAsia="宋体" w:hint="default"/>
            <w:color w:val="0000FF"/>
            <w:sz w:val="24"/>
            <w:szCs w:val="24"/>
          </w:rPr>
        </w:r>
      </w:hyperlink>
      <w:r>
        <w:rPr>
          <w:rFonts w:ascii="宋体" w:hAnsi="宋体" w:cs="宋体" w:eastAsia="宋体" w:hint="default"/>
          <w:sz w:val="21"/>
          <w:szCs w:val="21"/>
        </w:rPr>
        <w:t>）为刊登公司公</w:t>
      </w:r>
      <w:r>
        <w:rPr>
          <w:rFonts w:ascii="宋体" w:hAnsi="宋体" w:cs="宋体" w:eastAsia="宋体" w:hint="default"/>
          <w:spacing w:val="1"/>
          <w:sz w:val="21"/>
          <w:szCs w:val="21"/>
        </w:rPr>
        <w:t> </w:t>
      </w:r>
      <w:r>
        <w:rPr>
          <w:rFonts w:ascii="宋体" w:hAnsi="宋体" w:cs="宋体" w:eastAsia="宋体" w:hint="default"/>
          <w:sz w:val="21"/>
          <w:szCs w:val="21"/>
        </w:rPr>
        <w:t>告和其他需要披露信息的媒体。</w:t>
      </w:r>
    </w:p>
    <w:p>
      <w:pPr>
        <w:spacing w:after="0" w:line="360" w:lineRule="auto"/>
        <w:jc w:val="left"/>
        <w:rPr>
          <w:rFonts w:ascii="宋体" w:hAnsi="宋体" w:cs="宋体" w:eastAsia="宋体" w:hint="default"/>
          <w:sz w:val="21"/>
          <w:szCs w:val="21"/>
        </w:rPr>
        <w:sectPr>
          <w:pgSz w:w="11910" w:h="16840"/>
          <w:pgMar w:header="915" w:footer="1712" w:top="1100" w:bottom="1900" w:left="1660" w:right="1580"/>
        </w:sectPr>
      </w:pPr>
    </w:p>
    <w:p>
      <w:pPr>
        <w:spacing w:line="240" w:lineRule="auto" w:before="0"/>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196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1"/>
        <w:tabs>
          <w:tab w:pos="4218" w:val="left" w:leader="none"/>
        </w:tabs>
        <w:spacing w:line="240" w:lineRule="auto"/>
        <w:ind w:left="2862" w:right="107"/>
        <w:jc w:val="left"/>
        <w:rPr>
          <w:b w:val="0"/>
          <w:bCs w:val="0"/>
        </w:rPr>
      </w:pPr>
      <w:bookmarkStart w:name="_TOC_250003" w:id="8"/>
      <w:r>
        <w:rPr>
          <w:w w:val="95"/>
        </w:rPr>
        <w:t>第八节</w:t>
        <w:tab/>
      </w:r>
      <w:r>
        <w:rPr/>
        <w:t>监事会报告</w:t>
      </w:r>
      <w:bookmarkEnd w:id="8"/>
      <w:r>
        <w:rPr>
          <w:b w:val="0"/>
          <w:bCs w:val="0"/>
        </w:rPr>
      </w:r>
    </w:p>
    <w:p>
      <w:pPr>
        <w:spacing w:line="240" w:lineRule="auto" w:before="0"/>
        <w:rPr>
          <w:rFonts w:ascii="宋体" w:hAnsi="宋体" w:cs="宋体" w:eastAsia="宋体" w:hint="default"/>
          <w:b/>
          <w:bCs/>
          <w:sz w:val="30"/>
          <w:szCs w:val="30"/>
        </w:rPr>
      </w:pPr>
    </w:p>
    <w:p>
      <w:pPr>
        <w:spacing w:line="355" w:lineRule="auto" w:before="222"/>
        <w:ind w:left="617" w:right="102" w:hanging="480"/>
        <w:jc w:val="left"/>
        <w:rPr>
          <w:rFonts w:ascii="宋体" w:hAnsi="宋体" w:cs="宋体" w:eastAsia="宋体" w:hint="default"/>
          <w:sz w:val="21"/>
          <w:szCs w:val="21"/>
        </w:rPr>
      </w:pPr>
      <w:r>
        <w:rPr>
          <w:rFonts w:ascii="宋体" w:hAnsi="宋体" w:cs="宋体" w:eastAsia="宋体" w:hint="default"/>
          <w:b/>
          <w:bCs/>
          <w:sz w:val="21"/>
          <w:szCs w:val="21"/>
        </w:rPr>
        <w:t>一、监事会工作情况</w:t>
      </w:r>
      <w:r>
        <w:rPr>
          <w:rFonts w:ascii="宋体" w:hAnsi="宋体" w:cs="宋体" w:eastAsia="宋体" w:hint="default"/>
          <w:b/>
          <w:bCs/>
          <w:spacing w:val="1"/>
          <w:w w:val="99"/>
          <w:sz w:val="21"/>
          <w:szCs w:val="21"/>
        </w:rPr>
        <w:t> </w:t>
      </w:r>
      <w:r>
        <w:rPr>
          <w:rFonts w:ascii="宋体" w:hAnsi="宋体" w:cs="宋体" w:eastAsia="宋体" w:hint="default"/>
          <w:spacing w:val="-12"/>
          <w:sz w:val="21"/>
          <w:szCs w:val="21"/>
        </w:rPr>
        <w:t>报告期内，监事会严格按照《公司法》、《公司章程》、《监事会议事规则》和有关法律、</w:t>
      </w:r>
    </w:p>
    <w:p>
      <w:pPr>
        <w:spacing w:line="357" w:lineRule="auto" w:before="33"/>
        <w:ind w:left="137" w:right="102" w:firstLine="0"/>
        <w:jc w:val="left"/>
        <w:rPr>
          <w:rFonts w:ascii="宋体" w:hAnsi="宋体" w:cs="宋体" w:eastAsia="宋体" w:hint="default"/>
          <w:sz w:val="21"/>
          <w:szCs w:val="21"/>
        </w:rPr>
      </w:pPr>
      <w:r>
        <w:rPr>
          <w:rFonts w:ascii="宋体" w:hAnsi="宋体" w:cs="宋体" w:eastAsia="宋体" w:hint="default"/>
          <w:spacing w:val="-5"/>
          <w:sz w:val="21"/>
          <w:szCs w:val="21"/>
        </w:rPr>
        <w:t>法规的要求，遵守诚信原则，从切实维护公司利益和全体股东权益出发，认真履行监督职责，</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通过列席和出席董事会、股东大会、经理办公会，了解和掌握公司的经营决策、投资方案、 </w:t>
      </w:r>
      <w:r>
        <w:rPr>
          <w:rFonts w:ascii="宋体" w:hAnsi="宋体" w:cs="宋体" w:eastAsia="宋体" w:hint="default"/>
          <w:spacing w:val="-3"/>
          <w:sz w:val="21"/>
          <w:szCs w:val="21"/>
        </w:rPr>
        <w:t>生产经营情况，对公司董事、总经理和其他高级管理人员的尽职尽责情况进行了监督，维护</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了公司利益和全体股东的合法权益。</w:t>
      </w:r>
    </w:p>
    <w:p>
      <w:pPr>
        <w:spacing w:before="31"/>
        <w:ind w:left="557" w:right="107" w:firstLine="0"/>
        <w:jc w:val="left"/>
        <w:rPr>
          <w:rFonts w:ascii="宋体" w:hAnsi="宋体" w:cs="宋体" w:eastAsia="宋体" w:hint="default"/>
          <w:sz w:val="21"/>
          <w:szCs w:val="21"/>
        </w:rPr>
      </w:pPr>
      <w:r>
        <w:rPr>
          <w:rFonts w:ascii="宋体" w:hAnsi="宋体" w:cs="宋体" w:eastAsia="宋体" w:hint="default"/>
          <w:sz w:val="21"/>
          <w:szCs w:val="21"/>
        </w:rPr>
        <w:t>1、报告期内，监事会成员列席了十次董事会会议。</w:t>
      </w:r>
    </w:p>
    <w:p>
      <w:pPr>
        <w:spacing w:before="133"/>
        <w:ind w:left="557" w:right="107" w:firstLine="0"/>
        <w:jc w:val="left"/>
        <w:rPr>
          <w:rFonts w:ascii="宋体" w:hAnsi="宋体" w:cs="宋体" w:eastAsia="宋体" w:hint="default"/>
          <w:sz w:val="21"/>
          <w:szCs w:val="21"/>
        </w:rPr>
      </w:pPr>
      <w:r>
        <w:rPr>
          <w:rFonts w:ascii="宋体" w:hAnsi="宋体" w:cs="宋体" w:eastAsia="宋体" w:hint="default"/>
          <w:sz w:val="21"/>
          <w:szCs w:val="21"/>
        </w:rPr>
        <w:t>2、报告期内，各次股东大会均有监事出席，并作为监票人进行了监票。</w:t>
      </w:r>
    </w:p>
    <w:p>
      <w:pPr>
        <w:spacing w:line="357" w:lineRule="auto" w:before="133"/>
        <w:ind w:left="722" w:right="209" w:hanging="166"/>
        <w:jc w:val="left"/>
        <w:rPr>
          <w:rFonts w:ascii="宋体" w:hAnsi="宋体" w:cs="宋体" w:eastAsia="宋体" w:hint="default"/>
          <w:sz w:val="21"/>
          <w:szCs w:val="21"/>
        </w:rPr>
      </w:pPr>
      <w:r>
        <w:rPr>
          <w:rFonts w:ascii="宋体" w:hAnsi="宋体" w:cs="宋体" w:eastAsia="宋体" w:hint="default"/>
          <w:sz w:val="21"/>
          <w:szCs w:val="21"/>
        </w:rPr>
        <w:t>3、报告期内，公司监事会共召开了三次会议，各次会议情况如下： (1)第二届监事会第二次会议于</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3</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15</w:t>
      </w:r>
      <w:r>
        <w:rPr>
          <w:rFonts w:ascii="宋体" w:hAnsi="宋体" w:cs="宋体" w:eastAsia="宋体" w:hint="default"/>
          <w:spacing w:val="-60"/>
          <w:sz w:val="21"/>
          <w:szCs w:val="21"/>
        </w:rPr>
        <w:t> </w:t>
      </w:r>
      <w:r>
        <w:rPr>
          <w:rFonts w:ascii="宋体" w:hAnsi="宋体" w:cs="宋体" w:eastAsia="宋体" w:hint="default"/>
          <w:sz w:val="21"/>
          <w:szCs w:val="21"/>
        </w:rPr>
        <w:t>日在济南市山大北路</w:t>
      </w:r>
      <w:r>
        <w:rPr>
          <w:rFonts w:ascii="宋体" w:hAnsi="宋体" w:cs="宋体" w:eastAsia="宋体" w:hint="default"/>
          <w:spacing w:val="-60"/>
          <w:sz w:val="21"/>
          <w:szCs w:val="21"/>
        </w:rPr>
        <w:t> </w:t>
      </w:r>
      <w:r>
        <w:rPr>
          <w:rFonts w:ascii="宋体" w:hAnsi="宋体" w:cs="宋体" w:eastAsia="宋体" w:hint="default"/>
          <w:sz w:val="21"/>
          <w:szCs w:val="21"/>
        </w:rPr>
        <w:t>23</w:t>
      </w:r>
      <w:r>
        <w:rPr>
          <w:rFonts w:ascii="宋体" w:hAnsi="宋体" w:cs="宋体" w:eastAsia="宋体" w:hint="default"/>
          <w:spacing w:val="-59"/>
          <w:sz w:val="21"/>
          <w:szCs w:val="21"/>
        </w:rPr>
        <w:t> </w:t>
      </w:r>
      <w:r>
        <w:rPr>
          <w:rFonts w:ascii="宋体" w:hAnsi="宋体" w:cs="宋体" w:eastAsia="宋体" w:hint="default"/>
          <w:sz w:val="21"/>
          <w:szCs w:val="21"/>
        </w:rPr>
        <w:t>号东港安全印</w:t>
      </w:r>
    </w:p>
    <w:p>
      <w:pPr>
        <w:spacing w:line="357" w:lineRule="auto" w:before="30"/>
        <w:ind w:left="617" w:right="3257" w:hanging="480"/>
        <w:jc w:val="left"/>
        <w:rPr>
          <w:rFonts w:ascii="宋体" w:hAnsi="宋体" w:cs="宋体" w:eastAsia="宋体" w:hint="default"/>
          <w:sz w:val="21"/>
          <w:szCs w:val="21"/>
        </w:rPr>
      </w:pPr>
      <w:r>
        <w:rPr>
          <w:rFonts w:ascii="宋体" w:hAnsi="宋体" w:cs="宋体" w:eastAsia="宋体" w:hint="default"/>
          <w:sz w:val="21"/>
          <w:szCs w:val="21"/>
        </w:rPr>
        <w:t>刷股份有限公司会议室召开，形成如下决议： </w:t>
      </w:r>
      <w:r>
        <w:rPr>
          <w:rFonts w:ascii="宋体" w:hAnsi="宋体" w:cs="宋体" w:eastAsia="宋体" w:hint="default"/>
          <w:spacing w:val="-1"/>
          <w:sz w:val="21"/>
          <w:szCs w:val="21"/>
        </w:rPr>
        <w:t>a、审议通过了《监事会</w:t>
      </w:r>
      <w:r>
        <w:rPr>
          <w:rFonts w:ascii="宋体" w:hAnsi="宋体" w:cs="宋体" w:eastAsia="宋体" w:hint="default"/>
          <w:spacing w:val="-53"/>
          <w:sz w:val="21"/>
          <w:szCs w:val="21"/>
        </w:rPr>
        <w:t> </w:t>
      </w:r>
      <w:r>
        <w:rPr>
          <w:rFonts w:ascii="宋体" w:hAnsi="宋体" w:cs="宋体" w:eastAsia="宋体" w:hint="default"/>
          <w:spacing w:val="-1"/>
          <w:sz w:val="21"/>
          <w:szCs w:val="21"/>
        </w:rPr>
        <w:t>2006</w:t>
      </w:r>
      <w:r>
        <w:rPr>
          <w:rFonts w:ascii="宋体" w:hAnsi="宋体" w:cs="宋体" w:eastAsia="宋体" w:hint="default"/>
          <w:spacing w:val="-52"/>
          <w:sz w:val="21"/>
          <w:szCs w:val="21"/>
        </w:rPr>
        <w:t> </w:t>
      </w:r>
      <w:r>
        <w:rPr>
          <w:rFonts w:ascii="宋体" w:hAnsi="宋体" w:cs="宋体" w:eastAsia="宋体" w:hint="default"/>
          <w:spacing w:val="-14"/>
          <w:sz w:val="21"/>
          <w:szCs w:val="21"/>
        </w:rPr>
        <w:t>年度工作报告》；</w:t>
      </w:r>
    </w:p>
    <w:p>
      <w:pPr>
        <w:spacing w:before="30"/>
        <w:ind w:left="617" w:right="107" w:firstLine="0"/>
        <w:jc w:val="left"/>
        <w:rPr>
          <w:rFonts w:ascii="宋体" w:hAnsi="宋体" w:cs="宋体" w:eastAsia="宋体" w:hint="default"/>
          <w:sz w:val="21"/>
          <w:szCs w:val="21"/>
        </w:rPr>
      </w:pPr>
      <w:r>
        <w:rPr>
          <w:rFonts w:ascii="宋体" w:hAnsi="宋体" w:cs="宋体" w:eastAsia="宋体" w:hint="default"/>
          <w:spacing w:val="-1"/>
          <w:sz w:val="21"/>
          <w:szCs w:val="21"/>
        </w:rPr>
        <w:t>b、审议通</w:t>
      </w:r>
      <w:r>
        <w:rPr>
          <w:rFonts w:ascii="宋体" w:hAnsi="宋体" w:cs="宋体" w:eastAsia="宋体" w:hint="default"/>
          <w:spacing w:val="-2"/>
          <w:sz w:val="21"/>
          <w:szCs w:val="21"/>
        </w:rPr>
        <w:t>过</w:t>
      </w:r>
      <w:r>
        <w:rPr>
          <w:rFonts w:ascii="宋体" w:hAnsi="宋体" w:cs="宋体" w:eastAsia="宋体" w:hint="default"/>
          <w:spacing w:val="-1"/>
          <w:sz w:val="21"/>
          <w:szCs w:val="21"/>
        </w:rPr>
        <w:t>了《总经</w:t>
      </w:r>
      <w:r>
        <w:rPr>
          <w:rFonts w:ascii="宋体" w:hAnsi="宋体" w:cs="宋体" w:eastAsia="宋体" w:hint="default"/>
          <w:sz w:val="21"/>
          <w:szCs w:val="21"/>
        </w:rPr>
        <w:t>理</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pacing w:val="-1"/>
          <w:sz w:val="21"/>
          <w:szCs w:val="21"/>
        </w:rPr>
        <w:t>年度工</w:t>
      </w:r>
      <w:r>
        <w:rPr>
          <w:rFonts w:ascii="宋体" w:hAnsi="宋体" w:cs="宋体" w:eastAsia="宋体" w:hint="default"/>
          <w:spacing w:val="-2"/>
          <w:sz w:val="21"/>
          <w:szCs w:val="21"/>
        </w:rPr>
        <w:t>作</w:t>
      </w:r>
      <w:r>
        <w:rPr>
          <w:rFonts w:ascii="宋体" w:hAnsi="宋体" w:cs="宋体" w:eastAsia="宋体" w:hint="default"/>
          <w:spacing w:val="-1"/>
          <w:sz w:val="21"/>
          <w:szCs w:val="21"/>
        </w:rPr>
        <w:t>报告</w:t>
      </w:r>
      <w:r>
        <w:rPr>
          <w:rFonts w:ascii="宋体" w:hAnsi="宋体" w:cs="宋体" w:eastAsia="宋体" w:hint="default"/>
          <w:sz w:val="21"/>
          <w:szCs w:val="21"/>
        </w:rPr>
        <w:t>与</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1"/>
          <w:sz w:val="21"/>
          <w:szCs w:val="21"/>
        </w:rPr>
        <w:t>年度工作计划</w:t>
      </w:r>
      <w:r>
        <w:rPr>
          <w:rFonts w:ascii="宋体" w:hAnsi="宋体" w:cs="宋体" w:eastAsia="宋体" w:hint="default"/>
          <w:spacing w:val="-104"/>
          <w:sz w:val="21"/>
          <w:szCs w:val="21"/>
        </w:rPr>
        <w:t>》</w:t>
      </w:r>
      <w:r>
        <w:rPr>
          <w:rFonts w:ascii="宋体" w:hAnsi="宋体" w:cs="宋体" w:eastAsia="宋体" w:hint="default"/>
          <w:sz w:val="21"/>
          <w:szCs w:val="21"/>
        </w:rPr>
        <w:t>；</w:t>
      </w:r>
    </w:p>
    <w:p>
      <w:pPr>
        <w:spacing w:line="355" w:lineRule="auto" w:before="134"/>
        <w:ind w:left="617" w:right="3673" w:firstLine="0"/>
        <w:jc w:val="left"/>
        <w:rPr>
          <w:rFonts w:ascii="宋体" w:hAnsi="宋体" w:cs="宋体" w:eastAsia="宋体" w:hint="default"/>
          <w:sz w:val="21"/>
          <w:szCs w:val="21"/>
        </w:rPr>
      </w:pPr>
      <w:r>
        <w:rPr>
          <w:rFonts w:ascii="宋体" w:hAnsi="宋体" w:cs="宋体" w:eastAsia="宋体" w:hint="default"/>
          <w:spacing w:val="-1"/>
          <w:sz w:val="21"/>
          <w:szCs w:val="21"/>
        </w:rPr>
        <w:t>c、审议通过了《董事会</w:t>
      </w:r>
      <w:r>
        <w:rPr>
          <w:rFonts w:ascii="宋体" w:hAnsi="宋体" w:cs="宋体" w:eastAsia="宋体" w:hint="default"/>
          <w:spacing w:val="-53"/>
          <w:sz w:val="21"/>
          <w:szCs w:val="21"/>
        </w:rPr>
        <w:t> </w:t>
      </w:r>
      <w:r>
        <w:rPr>
          <w:rFonts w:ascii="宋体" w:hAnsi="宋体" w:cs="宋体" w:eastAsia="宋体" w:hint="default"/>
          <w:spacing w:val="-1"/>
          <w:sz w:val="21"/>
          <w:szCs w:val="21"/>
        </w:rPr>
        <w:t>2006</w:t>
      </w:r>
      <w:r>
        <w:rPr>
          <w:rFonts w:ascii="宋体" w:hAnsi="宋体" w:cs="宋体" w:eastAsia="宋体" w:hint="default"/>
          <w:spacing w:val="-52"/>
          <w:sz w:val="21"/>
          <w:szCs w:val="21"/>
        </w:rPr>
        <w:t> </w:t>
      </w:r>
      <w:r>
        <w:rPr>
          <w:rFonts w:ascii="宋体" w:hAnsi="宋体" w:cs="宋体" w:eastAsia="宋体" w:hint="default"/>
          <w:spacing w:val="-14"/>
          <w:sz w:val="21"/>
          <w:szCs w:val="21"/>
        </w:rPr>
        <w:t>年度工作报告》；</w:t>
      </w:r>
      <w:r>
        <w:rPr>
          <w:rFonts w:ascii="宋体" w:hAnsi="宋体" w:cs="宋体" w:eastAsia="宋体" w:hint="default"/>
          <w:sz w:val="21"/>
          <w:szCs w:val="21"/>
        </w:rPr>
        <w:t> </w:t>
      </w:r>
      <w:r>
        <w:rPr>
          <w:rFonts w:ascii="宋体" w:hAnsi="宋体" w:cs="宋体" w:eastAsia="宋体" w:hint="default"/>
          <w:spacing w:val="-1"/>
          <w:sz w:val="21"/>
          <w:szCs w:val="21"/>
        </w:rPr>
        <w:t>e、审议通过了《2006</w:t>
      </w:r>
      <w:r>
        <w:rPr>
          <w:rFonts w:ascii="宋体" w:hAnsi="宋体" w:cs="宋体" w:eastAsia="宋体" w:hint="default"/>
          <w:spacing w:val="-51"/>
          <w:sz w:val="21"/>
          <w:szCs w:val="21"/>
        </w:rPr>
        <w:t> </w:t>
      </w:r>
      <w:r>
        <w:rPr>
          <w:rFonts w:ascii="宋体" w:hAnsi="宋体" w:cs="宋体" w:eastAsia="宋体" w:hint="default"/>
          <w:spacing w:val="-12"/>
          <w:sz w:val="21"/>
          <w:szCs w:val="21"/>
        </w:rPr>
        <w:t>年财务决算报告》；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f、审议通过了《2006</w:t>
      </w:r>
      <w:r>
        <w:rPr>
          <w:rFonts w:ascii="宋体" w:hAnsi="宋体" w:cs="宋体" w:eastAsia="宋体" w:hint="default"/>
          <w:spacing w:val="-56"/>
          <w:sz w:val="21"/>
          <w:szCs w:val="21"/>
        </w:rPr>
        <w:t> </w:t>
      </w:r>
      <w:r>
        <w:rPr>
          <w:rFonts w:ascii="宋体" w:hAnsi="宋体" w:cs="宋体" w:eastAsia="宋体" w:hint="default"/>
          <w:sz w:val="21"/>
          <w:szCs w:val="21"/>
        </w:rPr>
        <w:t>年年度报告》及其摘要；</w:t>
      </w:r>
    </w:p>
    <w:p>
      <w:pPr>
        <w:spacing w:before="33"/>
        <w:ind w:left="617" w:right="107" w:firstLine="0"/>
        <w:jc w:val="left"/>
        <w:rPr>
          <w:rFonts w:ascii="宋体" w:hAnsi="宋体" w:cs="宋体" w:eastAsia="宋体" w:hint="default"/>
          <w:sz w:val="21"/>
          <w:szCs w:val="21"/>
        </w:rPr>
      </w:pPr>
      <w:r>
        <w:rPr>
          <w:rFonts w:ascii="宋体" w:hAnsi="宋体" w:cs="宋体" w:eastAsia="宋体" w:hint="default"/>
          <w:spacing w:val="-1"/>
          <w:sz w:val="21"/>
          <w:szCs w:val="21"/>
        </w:rPr>
        <w:t>g、审议通</w:t>
      </w:r>
      <w:r>
        <w:rPr>
          <w:rFonts w:ascii="宋体" w:hAnsi="宋体" w:cs="宋体" w:eastAsia="宋体" w:hint="default"/>
          <w:spacing w:val="-2"/>
          <w:sz w:val="21"/>
          <w:szCs w:val="21"/>
        </w:rPr>
        <w:t>过</w:t>
      </w:r>
      <w:r>
        <w:rPr>
          <w:rFonts w:ascii="宋体" w:hAnsi="宋体" w:cs="宋体" w:eastAsia="宋体" w:hint="default"/>
          <w:spacing w:val="-1"/>
          <w:sz w:val="21"/>
          <w:szCs w:val="21"/>
        </w:rPr>
        <w:t>了《关于提请批准公</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pacing w:val="-1"/>
          <w:sz w:val="21"/>
          <w:szCs w:val="21"/>
        </w:rPr>
        <w:t>年员工</w:t>
      </w:r>
      <w:r>
        <w:rPr>
          <w:rFonts w:ascii="宋体" w:hAnsi="宋体" w:cs="宋体" w:eastAsia="宋体" w:hint="default"/>
          <w:spacing w:val="-2"/>
          <w:sz w:val="21"/>
          <w:szCs w:val="21"/>
        </w:rPr>
        <w:t>及</w:t>
      </w:r>
      <w:r>
        <w:rPr>
          <w:rFonts w:ascii="宋体" w:hAnsi="宋体" w:cs="宋体" w:eastAsia="宋体" w:hint="default"/>
          <w:spacing w:val="-1"/>
          <w:sz w:val="21"/>
          <w:szCs w:val="21"/>
        </w:rPr>
        <w:t>管理层薪酬方案的议案</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357" w:lineRule="auto" w:before="133"/>
        <w:ind w:left="617" w:right="107" w:firstLine="0"/>
        <w:jc w:val="left"/>
        <w:rPr>
          <w:rFonts w:ascii="宋体" w:hAnsi="宋体" w:cs="宋体" w:eastAsia="宋体" w:hint="default"/>
          <w:sz w:val="21"/>
          <w:szCs w:val="21"/>
        </w:rPr>
      </w:pPr>
      <w:r>
        <w:rPr>
          <w:rFonts w:ascii="宋体" w:hAnsi="宋体" w:cs="宋体" w:eastAsia="宋体" w:hint="default"/>
          <w:spacing w:val="-1"/>
          <w:sz w:val="21"/>
          <w:szCs w:val="21"/>
        </w:rPr>
        <w:t>h、审议通过了《关于</w:t>
      </w:r>
      <w:r>
        <w:rPr>
          <w:rFonts w:ascii="宋体" w:hAnsi="宋体" w:cs="宋体" w:eastAsia="宋体" w:hint="default"/>
          <w:spacing w:val="-53"/>
          <w:sz w:val="21"/>
          <w:szCs w:val="21"/>
        </w:rPr>
        <w:t> </w:t>
      </w:r>
      <w:r>
        <w:rPr>
          <w:rFonts w:ascii="宋体" w:hAnsi="宋体" w:cs="宋体" w:eastAsia="宋体" w:hint="default"/>
          <w:spacing w:val="-1"/>
          <w:sz w:val="21"/>
          <w:szCs w:val="21"/>
        </w:rPr>
        <w:t>2007</w:t>
      </w:r>
      <w:r>
        <w:rPr>
          <w:rFonts w:ascii="宋体" w:hAnsi="宋体" w:cs="宋体" w:eastAsia="宋体" w:hint="default"/>
          <w:spacing w:val="-52"/>
          <w:sz w:val="21"/>
          <w:szCs w:val="21"/>
        </w:rPr>
        <w:t> </w:t>
      </w:r>
      <w:r>
        <w:rPr>
          <w:rFonts w:ascii="宋体" w:hAnsi="宋体" w:cs="宋体" w:eastAsia="宋体" w:hint="default"/>
          <w:spacing w:val="-11"/>
          <w:sz w:val="21"/>
          <w:szCs w:val="21"/>
        </w:rPr>
        <w:t>年度投资计划的议案》；</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i、审议通过了《关于向青岛奥华纸业有限公司采购原材料和销售原材料的议案》；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j、审议通过了《关于北京东港安全印刷有限公司转让上海东港印刷有限公司股权的议</w:t>
      </w:r>
    </w:p>
    <w:p>
      <w:pPr>
        <w:spacing w:before="31"/>
        <w:ind w:left="137" w:right="107" w:firstLine="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357" w:lineRule="auto" w:before="133"/>
        <w:ind w:left="617" w:right="107" w:firstLine="0"/>
        <w:jc w:val="left"/>
        <w:rPr>
          <w:rFonts w:ascii="宋体" w:hAnsi="宋体" w:cs="宋体" w:eastAsia="宋体" w:hint="default"/>
          <w:sz w:val="21"/>
          <w:szCs w:val="21"/>
        </w:rPr>
      </w:pPr>
      <w:r>
        <w:rPr>
          <w:rFonts w:ascii="宋体" w:hAnsi="宋体" w:cs="宋体" w:eastAsia="宋体" w:hint="default"/>
          <w:spacing w:val="-5"/>
          <w:sz w:val="21"/>
          <w:szCs w:val="21"/>
        </w:rPr>
        <w:t>k、审议通过了《关于本次募集资金使用安排的议案》；</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3"/>
          <w:sz w:val="21"/>
          <w:szCs w:val="21"/>
        </w:rPr>
        <w:t>l、审议通过了《关于用募集资金置换预先已投入募集资金投资项目的自筹资金的议</w:t>
      </w:r>
      <w:r>
        <w:rPr>
          <w:rFonts w:ascii="宋体" w:hAnsi="宋体" w:cs="宋体" w:eastAsia="宋体" w:hint="default"/>
          <w:sz w:val="21"/>
          <w:szCs w:val="21"/>
        </w:rPr>
      </w:r>
    </w:p>
    <w:p>
      <w:pPr>
        <w:spacing w:before="30"/>
        <w:ind w:left="137" w:right="107" w:firstLine="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357" w:lineRule="auto" w:before="133"/>
        <w:ind w:left="617" w:right="92" w:firstLine="0"/>
        <w:jc w:val="left"/>
        <w:rPr>
          <w:rFonts w:ascii="黑体" w:hAnsi="黑体" w:cs="黑体" w:eastAsia="黑体" w:hint="default"/>
          <w:sz w:val="21"/>
          <w:szCs w:val="21"/>
        </w:rPr>
      </w:pPr>
      <w:r>
        <w:rPr>
          <w:rFonts w:ascii="宋体" w:hAnsi="宋体" w:cs="宋体" w:eastAsia="宋体" w:hint="default"/>
          <w:sz w:val="21"/>
          <w:szCs w:val="21"/>
        </w:rPr>
        <w:t>m、审议通</w:t>
      </w:r>
      <w:r>
        <w:rPr>
          <w:rFonts w:ascii="宋体" w:hAnsi="宋体" w:cs="宋体" w:eastAsia="宋体" w:hint="default"/>
          <w:spacing w:val="-2"/>
          <w:sz w:val="21"/>
          <w:szCs w:val="21"/>
        </w:rPr>
        <w:t>过</w:t>
      </w:r>
      <w:r>
        <w:rPr>
          <w:rFonts w:ascii="宋体" w:hAnsi="宋体" w:cs="宋体" w:eastAsia="宋体" w:hint="default"/>
          <w:sz w:val="21"/>
          <w:szCs w:val="21"/>
        </w:rPr>
        <w:t>了《关于运用部分闲置募集资金补充公司流动资金的议案</w:t>
      </w:r>
      <w:r>
        <w:rPr>
          <w:rFonts w:ascii="宋体" w:hAnsi="宋体" w:cs="宋体" w:eastAsia="宋体" w:hint="default"/>
          <w:spacing w:val="-106"/>
          <w:sz w:val="21"/>
          <w:szCs w:val="21"/>
        </w:rPr>
        <w:t>》</w:t>
      </w:r>
      <w:r>
        <w:rPr>
          <w:rFonts w:ascii="宋体" w:hAnsi="宋体" w:cs="宋体" w:eastAsia="宋体" w:hint="default"/>
          <w:sz w:val="21"/>
          <w:szCs w:val="21"/>
        </w:rPr>
        <w:t>；</w:t>
      </w:r>
      <w:r>
        <w:rPr>
          <w:rFonts w:ascii="宋体" w:hAnsi="宋体" w:cs="宋体" w:eastAsia="宋体" w:hint="default"/>
          <w:sz w:val="21"/>
          <w:szCs w:val="21"/>
        </w:rPr>
        <w:t> n</w:t>
      </w:r>
      <w:r>
        <w:rPr>
          <w:rFonts w:ascii="宋体" w:hAnsi="宋体" w:cs="宋体" w:eastAsia="宋体" w:hint="default"/>
          <w:spacing w:val="-22"/>
          <w:sz w:val="21"/>
          <w:szCs w:val="21"/>
        </w:rPr>
        <w:t>、</w:t>
      </w:r>
      <w:r>
        <w:rPr>
          <w:rFonts w:ascii="宋体" w:hAnsi="宋体" w:cs="宋体" w:eastAsia="宋体" w:hint="default"/>
          <w:sz w:val="21"/>
          <w:szCs w:val="21"/>
        </w:rPr>
        <w:t>审议通过</w:t>
      </w:r>
      <w:r>
        <w:rPr>
          <w:rFonts w:ascii="宋体" w:hAnsi="宋体" w:cs="宋体" w:eastAsia="宋体" w:hint="default"/>
          <w:spacing w:val="-22"/>
          <w:sz w:val="21"/>
          <w:szCs w:val="21"/>
        </w:rPr>
        <w:t>了</w:t>
      </w:r>
      <w:r>
        <w:rPr>
          <w:rFonts w:ascii="宋体" w:hAnsi="宋体" w:cs="宋体" w:eastAsia="宋体" w:hint="default"/>
          <w:sz w:val="21"/>
          <w:szCs w:val="21"/>
        </w:rPr>
        <w:t>《关于签订首次公开发行股票募集资金专户存储三方监管协议的议案</w:t>
      </w:r>
      <w:r>
        <w:rPr>
          <w:rFonts w:ascii="宋体" w:hAnsi="宋体" w:cs="宋体" w:eastAsia="宋体" w:hint="default"/>
          <w:spacing w:val="-106"/>
          <w:sz w:val="21"/>
          <w:szCs w:val="21"/>
        </w:rPr>
        <w:t>》</w:t>
      </w:r>
      <w:r>
        <w:rPr>
          <w:rFonts w:ascii="宋体" w:hAnsi="宋体" w:cs="宋体" w:eastAsia="宋体" w:hint="default"/>
          <w:sz w:val="21"/>
          <w:szCs w:val="21"/>
        </w:rPr>
        <w:t>；</w:t>
      </w:r>
      <w:r>
        <w:rPr>
          <w:rFonts w:ascii="宋体" w:hAnsi="宋体" w:cs="宋体" w:eastAsia="宋体" w:hint="default"/>
          <w:sz w:val="21"/>
          <w:szCs w:val="21"/>
        </w:rPr>
        <w:t> o、审议通</w:t>
      </w:r>
      <w:r>
        <w:rPr>
          <w:rFonts w:ascii="宋体" w:hAnsi="宋体" w:cs="宋体" w:eastAsia="宋体" w:hint="default"/>
          <w:spacing w:val="-2"/>
          <w:sz w:val="21"/>
          <w:szCs w:val="21"/>
        </w:rPr>
        <w:t>过</w:t>
      </w:r>
      <w:r>
        <w:rPr>
          <w:rFonts w:ascii="宋体" w:hAnsi="宋体" w:cs="宋体" w:eastAsia="宋体" w:hint="default"/>
          <w:sz w:val="21"/>
          <w:szCs w:val="21"/>
        </w:rPr>
        <w:t>了《独立董事述职报告</w:t>
      </w:r>
      <w:r>
        <w:rPr>
          <w:rFonts w:ascii="宋体" w:hAnsi="宋体" w:cs="宋体" w:eastAsia="宋体" w:hint="default"/>
          <w:spacing w:val="-106"/>
          <w:sz w:val="21"/>
          <w:szCs w:val="21"/>
        </w:rPr>
        <w:t>》</w:t>
      </w:r>
      <w:r>
        <w:rPr>
          <w:rFonts w:ascii="宋体" w:hAnsi="宋体" w:cs="宋体" w:eastAsia="宋体" w:hint="default"/>
          <w:sz w:val="21"/>
          <w:szCs w:val="21"/>
        </w:rPr>
        <w:t>；</w:t>
      </w:r>
      <w:r>
        <w:rPr>
          <w:rFonts w:ascii="宋体" w:hAnsi="宋体" w:cs="宋体" w:eastAsia="宋体" w:hint="default"/>
          <w:sz w:val="21"/>
          <w:szCs w:val="21"/>
        </w:rPr>
        <w:t> q、审议通</w:t>
      </w:r>
      <w:r>
        <w:rPr>
          <w:rFonts w:ascii="宋体" w:hAnsi="宋体" w:cs="宋体" w:eastAsia="宋体" w:hint="default"/>
          <w:spacing w:val="-2"/>
          <w:sz w:val="21"/>
          <w:szCs w:val="21"/>
        </w:rPr>
        <w:t>过</w:t>
      </w:r>
      <w:r>
        <w:rPr>
          <w:rFonts w:ascii="宋体" w:hAnsi="宋体" w:cs="宋体" w:eastAsia="宋体" w:hint="default"/>
          <w:sz w:val="21"/>
          <w:szCs w:val="21"/>
        </w:rPr>
        <w:t>了《关于董事、独立董事、监事津贴的议案</w:t>
      </w:r>
      <w:r>
        <w:rPr>
          <w:rFonts w:ascii="宋体" w:hAnsi="宋体" w:cs="宋体" w:eastAsia="宋体" w:hint="default"/>
          <w:spacing w:val="-105"/>
          <w:sz w:val="21"/>
          <w:szCs w:val="21"/>
        </w:rPr>
        <w:t>》</w:t>
      </w:r>
      <w:r>
        <w:rPr>
          <w:rFonts w:ascii="黑体" w:hAnsi="黑体" w:cs="黑体" w:eastAsia="黑体" w:hint="default"/>
          <w:sz w:val="21"/>
          <w:szCs w:val="21"/>
        </w:rPr>
        <w:t>；</w:t>
      </w:r>
    </w:p>
    <w:p>
      <w:pPr>
        <w:spacing w:after="0" w:line="357" w:lineRule="auto"/>
        <w:jc w:val="left"/>
        <w:rPr>
          <w:rFonts w:ascii="黑体" w:hAnsi="黑体" w:cs="黑体" w:eastAsia="黑体" w:hint="default"/>
          <w:sz w:val="21"/>
          <w:szCs w:val="21"/>
        </w:rPr>
        <w:sectPr>
          <w:pgSz w:w="11910" w:h="16840"/>
          <w:pgMar w:header="915" w:footer="1712" w:top="1100" w:bottom="1900" w:left="1660" w:right="1580"/>
        </w:sectPr>
      </w:pPr>
    </w:p>
    <w:p>
      <w:pPr>
        <w:spacing w:line="240" w:lineRule="auto" w:before="12"/>
        <w:rPr>
          <w:rFonts w:ascii="黑体" w:hAnsi="黑体" w:cs="黑体" w:eastAsia="黑体" w:hint="default"/>
          <w:sz w:val="25"/>
          <w:szCs w:val="25"/>
        </w:rPr>
      </w:pPr>
    </w:p>
    <w:p>
      <w:pPr>
        <w:spacing w:line="357" w:lineRule="auto" w:before="35"/>
        <w:ind w:left="137" w:right="212" w:firstLine="480"/>
        <w:jc w:val="both"/>
        <w:rPr>
          <w:rFonts w:ascii="宋体" w:hAnsi="宋体" w:cs="宋体" w:eastAsia="宋体" w:hint="default"/>
          <w:sz w:val="21"/>
          <w:szCs w:val="21"/>
        </w:rPr>
      </w:pPr>
      <w:r>
        <w:rPr>
          <w:rFonts w:ascii="宋体" w:hAnsi="宋体" w:cs="宋体" w:eastAsia="宋体" w:hint="default"/>
          <w:sz w:val="21"/>
          <w:szCs w:val="21"/>
        </w:rPr>
        <w:t>(2)第二届监事会第三次会议于</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8</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3</w:t>
      </w:r>
      <w:r>
        <w:rPr>
          <w:rFonts w:ascii="宋体" w:hAnsi="宋体" w:cs="宋体" w:eastAsia="宋体" w:hint="default"/>
          <w:spacing w:val="-59"/>
          <w:sz w:val="21"/>
          <w:szCs w:val="21"/>
        </w:rPr>
        <w:t> </w:t>
      </w:r>
      <w:r>
        <w:rPr>
          <w:rFonts w:ascii="宋体" w:hAnsi="宋体" w:cs="宋体" w:eastAsia="宋体" w:hint="default"/>
          <w:sz w:val="21"/>
          <w:szCs w:val="21"/>
        </w:rPr>
        <w:t>日在济南市山大北路</w:t>
      </w:r>
      <w:r>
        <w:rPr>
          <w:rFonts w:ascii="宋体" w:hAnsi="宋体" w:cs="宋体" w:eastAsia="宋体" w:hint="default"/>
          <w:spacing w:val="-60"/>
          <w:sz w:val="21"/>
          <w:szCs w:val="21"/>
        </w:rPr>
        <w:t> </w:t>
      </w:r>
      <w:r>
        <w:rPr>
          <w:rFonts w:ascii="宋体" w:hAnsi="宋体" w:cs="宋体" w:eastAsia="宋体" w:hint="default"/>
          <w:sz w:val="21"/>
          <w:szCs w:val="21"/>
        </w:rPr>
        <w:t>23</w:t>
      </w:r>
      <w:r>
        <w:rPr>
          <w:rFonts w:ascii="宋体" w:hAnsi="宋体" w:cs="宋体" w:eastAsia="宋体" w:hint="default"/>
          <w:spacing w:val="-59"/>
          <w:sz w:val="21"/>
          <w:szCs w:val="21"/>
        </w:rPr>
        <w:t> </w:t>
      </w:r>
      <w:r>
        <w:rPr>
          <w:rFonts w:ascii="宋体" w:hAnsi="宋体" w:cs="宋体" w:eastAsia="宋体" w:hint="default"/>
          <w:sz w:val="21"/>
          <w:szCs w:val="21"/>
        </w:rPr>
        <w:t>号东港安全印刷</w:t>
      </w:r>
      <w:r>
        <w:rPr>
          <w:rFonts w:ascii="宋体" w:hAnsi="宋体" w:cs="宋体" w:eastAsia="宋体" w:hint="default"/>
          <w:sz w:val="21"/>
          <w:szCs w:val="21"/>
        </w:rPr>
        <w:t> 股份有限公司会议室召开，形成决议简述如下：审议并通过了《2007</w:t>
      </w:r>
      <w:r>
        <w:rPr>
          <w:rFonts w:ascii="宋体" w:hAnsi="宋体" w:cs="宋体" w:eastAsia="宋体" w:hint="default"/>
          <w:spacing w:val="1"/>
          <w:sz w:val="21"/>
          <w:szCs w:val="21"/>
        </w:rPr>
        <w:t> </w:t>
      </w:r>
      <w:r>
        <w:rPr>
          <w:rFonts w:ascii="宋体" w:hAnsi="宋体" w:cs="宋体" w:eastAsia="宋体" w:hint="default"/>
          <w:sz w:val="21"/>
          <w:szCs w:val="21"/>
        </w:rPr>
        <w:t>年半年度报告》及其</w:t>
      </w:r>
      <w:r>
        <w:rPr>
          <w:rFonts w:ascii="宋体" w:hAnsi="宋体" w:cs="宋体" w:eastAsia="宋体" w:hint="default"/>
          <w:sz w:val="21"/>
          <w:szCs w:val="21"/>
        </w:rPr>
        <w:t> </w:t>
      </w:r>
      <w:r>
        <w:rPr>
          <w:rFonts w:ascii="宋体" w:hAnsi="宋体" w:cs="宋体" w:eastAsia="宋体" w:hint="default"/>
          <w:spacing w:val="-4"/>
          <w:sz w:val="21"/>
          <w:szCs w:val="21"/>
        </w:rPr>
        <w:t>摘要；审议并通过了《关于修定&lt;监事会议事规则&gt;的议案》。</w:t>
      </w:r>
    </w:p>
    <w:p>
      <w:pPr>
        <w:spacing w:line="355" w:lineRule="auto" w:before="31"/>
        <w:ind w:left="137" w:right="107" w:firstLine="480"/>
        <w:jc w:val="left"/>
        <w:rPr>
          <w:rFonts w:ascii="宋体" w:hAnsi="宋体" w:cs="宋体" w:eastAsia="宋体" w:hint="default"/>
          <w:sz w:val="21"/>
          <w:szCs w:val="21"/>
        </w:rPr>
      </w:pPr>
      <w:r>
        <w:rPr>
          <w:rFonts w:ascii="宋体" w:hAnsi="宋体" w:cs="宋体" w:eastAsia="宋体" w:hint="default"/>
          <w:spacing w:val="-4"/>
          <w:sz w:val="21"/>
          <w:szCs w:val="21"/>
        </w:rPr>
        <w:t>（3）第二届监事会第四次会议于</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日在济南市山大北路</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号东港安全</w:t>
      </w:r>
      <w:r>
        <w:rPr>
          <w:rFonts w:ascii="宋体" w:hAnsi="宋体" w:cs="宋体" w:eastAsia="宋体" w:hint="default"/>
          <w:spacing w:val="-1"/>
          <w:sz w:val="21"/>
          <w:szCs w:val="21"/>
        </w:rPr>
        <w:t> </w:t>
      </w:r>
      <w:r>
        <w:rPr>
          <w:rFonts w:ascii="宋体" w:hAnsi="宋体" w:cs="宋体" w:eastAsia="宋体" w:hint="default"/>
          <w:sz w:val="21"/>
          <w:szCs w:val="21"/>
        </w:rPr>
        <w:t>印刷股份有限公司会议室召开，审议并通过了《2007</w:t>
      </w:r>
      <w:r>
        <w:rPr>
          <w:rFonts w:ascii="宋体" w:hAnsi="宋体" w:cs="宋体" w:eastAsia="宋体" w:hint="default"/>
          <w:spacing w:val="-47"/>
          <w:sz w:val="21"/>
          <w:szCs w:val="21"/>
        </w:rPr>
        <w:t> </w:t>
      </w:r>
      <w:r>
        <w:rPr>
          <w:rFonts w:ascii="宋体" w:hAnsi="宋体" w:cs="宋体" w:eastAsia="宋体" w:hint="default"/>
          <w:spacing w:val="-14"/>
          <w:sz w:val="21"/>
          <w:szCs w:val="21"/>
        </w:rPr>
        <w:t>年三季度季报》。</w:t>
      </w:r>
    </w:p>
    <w:p>
      <w:pPr>
        <w:spacing w:before="32"/>
        <w:ind w:left="557" w:right="107" w:firstLine="0"/>
        <w:jc w:val="left"/>
        <w:rPr>
          <w:rFonts w:ascii="宋体" w:hAnsi="宋体" w:cs="宋体" w:eastAsia="宋体" w:hint="default"/>
          <w:sz w:val="21"/>
          <w:szCs w:val="21"/>
        </w:rPr>
      </w:pPr>
      <w:r>
        <w:rPr>
          <w:rFonts w:ascii="宋体" w:hAnsi="宋体" w:cs="宋体" w:eastAsia="宋体" w:hint="default"/>
          <w:sz w:val="21"/>
          <w:szCs w:val="21"/>
        </w:rPr>
        <w:t>4、报告期内，监事会对</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年公司的生产经营活动及财务会计进行了有效的监督。</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357" w:lineRule="auto" w:before="0"/>
        <w:ind w:left="557" w:right="4408" w:hanging="420"/>
        <w:jc w:val="left"/>
        <w:rPr>
          <w:rFonts w:ascii="宋体" w:hAnsi="宋体" w:cs="宋体" w:eastAsia="宋体" w:hint="default"/>
          <w:sz w:val="21"/>
          <w:szCs w:val="21"/>
        </w:rPr>
      </w:pPr>
      <w:r>
        <w:rPr>
          <w:rFonts w:ascii="宋体" w:hAnsi="宋体" w:cs="宋体" w:eastAsia="宋体" w:hint="default"/>
          <w:b/>
          <w:bCs/>
          <w:sz w:val="21"/>
          <w:szCs w:val="21"/>
        </w:rPr>
        <w:t>二、监事会对</w:t>
      </w:r>
      <w:r>
        <w:rPr>
          <w:rFonts w:ascii="宋体" w:hAnsi="宋体" w:cs="宋体" w:eastAsia="宋体" w:hint="default"/>
          <w:b/>
          <w:bCs/>
          <w:spacing w:val="-60"/>
          <w:sz w:val="21"/>
          <w:szCs w:val="21"/>
        </w:rPr>
        <w:t> </w:t>
      </w:r>
      <w:r>
        <w:rPr>
          <w:rFonts w:ascii="宋体" w:hAnsi="宋体" w:cs="宋体" w:eastAsia="宋体" w:hint="default"/>
          <w:b/>
          <w:bCs/>
          <w:sz w:val="21"/>
          <w:szCs w:val="21"/>
        </w:rPr>
        <w:t>2007</w:t>
      </w:r>
      <w:r>
        <w:rPr>
          <w:rFonts w:ascii="宋体" w:hAnsi="宋体" w:cs="宋体" w:eastAsia="宋体" w:hint="default"/>
          <w:b/>
          <w:bCs/>
          <w:spacing w:val="-60"/>
          <w:sz w:val="21"/>
          <w:szCs w:val="21"/>
        </w:rPr>
        <w:t> </w:t>
      </w:r>
      <w:r>
        <w:rPr>
          <w:rFonts w:ascii="宋体" w:hAnsi="宋体" w:cs="宋体" w:eastAsia="宋体" w:hint="default"/>
          <w:b/>
          <w:bCs/>
          <w:sz w:val="21"/>
          <w:szCs w:val="21"/>
        </w:rPr>
        <w:t>年度有关事项的独立意见</w:t>
      </w:r>
      <w:r>
        <w:rPr>
          <w:rFonts w:ascii="宋体" w:hAnsi="宋体" w:cs="宋体" w:eastAsia="宋体" w:hint="default"/>
          <w:b/>
          <w:bCs/>
          <w:w w:val="99"/>
          <w:sz w:val="21"/>
          <w:szCs w:val="21"/>
        </w:rPr>
        <w:t> </w:t>
      </w:r>
      <w:r>
        <w:rPr>
          <w:rFonts w:ascii="宋体" w:hAnsi="宋体" w:cs="宋体" w:eastAsia="宋体" w:hint="default"/>
          <w:sz w:val="21"/>
          <w:szCs w:val="21"/>
        </w:rPr>
        <w:t>1、公司依法运作情况</w:t>
      </w:r>
    </w:p>
    <w:p>
      <w:pPr>
        <w:spacing w:line="357" w:lineRule="auto" w:before="30"/>
        <w:ind w:left="137" w:right="211" w:firstLine="420"/>
        <w:jc w:val="both"/>
        <w:rPr>
          <w:rFonts w:ascii="宋体" w:hAnsi="宋体" w:cs="宋体" w:eastAsia="宋体" w:hint="default"/>
          <w:sz w:val="21"/>
          <w:szCs w:val="21"/>
        </w:rPr>
      </w:pPr>
      <w:r>
        <w:rPr>
          <w:rFonts w:ascii="宋体" w:hAnsi="宋体" w:cs="宋体" w:eastAsia="宋体" w:hint="default"/>
          <w:spacing w:val="-3"/>
          <w:sz w:val="21"/>
          <w:szCs w:val="21"/>
        </w:rPr>
        <w:t>报告期内，公司依照国家有关法律法规、公司章程的规定以及股东大会、董事会的决议</w:t>
      </w:r>
      <w:r>
        <w:rPr>
          <w:rFonts w:ascii="宋体" w:hAnsi="宋体" w:cs="宋体" w:eastAsia="宋体" w:hint="default"/>
          <w:sz w:val="21"/>
          <w:szCs w:val="21"/>
        </w:rPr>
        <w:t> </w:t>
      </w:r>
      <w:r>
        <w:rPr>
          <w:rFonts w:ascii="宋体" w:hAnsi="宋体" w:cs="宋体" w:eastAsia="宋体" w:hint="default"/>
          <w:spacing w:val="-3"/>
          <w:sz w:val="21"/>
          <w:szCs w:val="21"/>
        </w:rPr>
        <w:t>和授权运作，法人治理结构和内部控制制度比较合理规范；公司重大决策科学合理，决策程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序合法；公司董事、高级管理人员执行职务时能够勤勉尽责，没有发现违反法律法规、公司</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章程或损害公司利益和股东合法权益的行为。对此，监事会表示肯定，并希望董事及高级管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理人员在公司上市后的重大决策、经营管理过程中，严格遵守有关法律法规，保证按照股东</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大会及董事会的决议和授权，规范运作，防止出现损害公司利益和股东利益的行为。</w:t>
      </w:r>
    </w:p>
    <w:p>
      <w:pPr>
        <w:spacing w:line="355" w:lineRule="auto" w:before="31"/>
        <w:ind w:left="617" w:right="107" w:firstLine="0"/>
        <w:jc w:val="left"/>
        <w:rPr>
          <w:rFonts w:ascii="宋体" w:hAnsi="宋体" w:cs="宋体" w:eastAsia="宋体" w:hint="default"/>
          <w:sz w:val="21"/>
          <w:szCs w:val="21"/>
        </w:rPr>
      </w:pPr>
      <w:r>
        <w:rPr>
          <w:rFonts w:ascii="宋体" w:hAnsi="宋体" w:cs="宋体" w:eastAsia="宋体" w:hint="default"/>
          <w:sz w:val="21"/>
          <w:szCs w:val="21"/>
        </w:rPr>
        <w:t>2、检查公司财务情况 </w:t>
      </w:r>
      <w:r>
        <w:rPr>
          <w:rFonts w:ascii="宋体" w:hAnsi="宋体" w:cs="宋体" w:eastAsia="宋体" w:hint="default"/>
          <w:spacing w:val="-2"/>
          <w:sz w:val="21"/>
          <w:szCs w:val="21"/>
        </w:rPr>
        <w:t>报告期内，监事会对公司财务制度及财务状况进行了检查和审核，认为公司财务管理、</w:t>
      </w:r>
    </w:p>
    <w:p>
      <w:pPr>
        <w:spacing w:line="355" w:lineRule="auto" w:before="33"/>
        <w:ind w:left="137" w:right="102" w:firstLine="0"/>
        <w:jc w:val="left"/>
        <w:rPr>
          <w:rFonts w:ascii="宋体" w:hAnsi="宋体" w:cs="宋体" w:eastAsia="宋体" w:hint="default"/>
          <w:sz w:val="21"/>
          <w:szCs w:val="21"/>
        </w:rPr>
      </w:pPr>
      <w:r>
        <w:rPr>
          <w:rFonts w:ascii="宋体" w:hAnsi="宋体" w:cs="宋体" w:eastAsia="宋体" w:hint="default"/>
          <w:spacing w:val="-5"/>
          <w:sz w:val="21"/>
          <w:szCs w:val="21"/>
        </w:rPr>
        <w:t>内控制度健全，会计无重大遗漏和虚假记载，公司财务状况、经营成果良好。财务报告真实、</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客观地反映了公司</w:t>
      </w:r>
      <w:r>
        <w:rPr>
          <w:rFonts w:ascii="宋体" w:hAnsi="宋体" w:cs="宋体" w:eastAsia="宋体" w:hint="default"/>
          <w:spacing w:val="-65"/>
          <w:sz w:val="21"/>
          <w:szCs w:val="21"/>
        </w:rPr>
        <w:t> </w:t>
      </w:r>
      <w:r>
        <w:rPr>
          <w:rFonts w:ascii="宋体" w:hAnsi="宋体" w:cs="宋体" w:eastAsia="宋体" w:hint="default"/>
          <w:sz w:val="21"/>
          <w:szCs w:val="21"/>
        </w:rPr>
        <w:t>2007</w:t>
      </w:r>
      <w:r>
        <w:rPr>
          <w:rFonts w:ascii="宋体" w:hAnsi="宋体" w:cs="宋体" w:eastAsia="宋体" w:hint="default"/>
          <w:spacing w:val="-65"/>
          <w:sz w:val="21"/>
          <w:szCs w:val="21"/>
        </w:rPr>
        <w:t> </w:t>
      </w:r>
      <w:r>
        <w:rPr>
          <w:rFonts w:ascii="宋体" w:hAnsi="宋体" w:cs="宋体" w:eastAsia="宋体" w:hint="default"/>
          <w:sz w:val="21"/>
          <w:szCs w:val="21"/>
        </w:rPr>
        <w:t>年度的财务状况和经营成果。</w:t>
      </w:r>
    </w:p>
    <w:p>
      <w:pPr>
        <w:spacing w:before="32"/>
        <w:ind w:left="617" w:right="107" w:firstLine="0"/>
        <w:jc w:val="left"/>
        <w:rPr>
          <w:rFonts w:ascii="宋体" w:hAnsi="宋体" w:cs="宋体" w:eastAsia="宋体" w:hint="default"/>
          <w:sz w:val="21"/>
          <w:szCs w:val="21"/>
        </w:rPr>
      </w:pPr>
      <w:r>
        <w:rPr>
          <w:rFonts w:ascii="宋体" w:hAnsi="宋体" w:cs="宋体" w:eastAsia="宋体" w:hint="default"/>
          <w:sz w:val="21"/>
          <w:szCs w:val="21"/>
        </w:rPr>
        <w:t>3、募投资金使用情况</w:t>
      </w:r>
    </w:p>
    <w:p>
      <w:pPr>
        <w:spacing w:line="357" w:lineRule="auto" w:before="134"/>
        <w:ind w:left="137" w:right="102" w:firstLine="48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3"/>
          <w:sz w:val="21"/>
          <w:szCs w:val="21"/>
        </w:rPr>
        <w:t> </w:t>
      </w:r>
      <w:r>
        <w:rPr>
          <w:rFonts w:ascii="宋体" w:hAnsi="宋体" w:cs="宋体" w:eastAsia="宋体" w:hint="default"/>
          <w:sz w:val="21"/>
          <w:szCs w:val="21"/>
        </w:rPr>
        <w:t>年度，监事会对公司募集资金使用情况进行了监督检查，认为募集资金实际投入</w:t>
      </w:r>
      <w:r>
        <w:rPr>
          <w:rFonts w:ascii="宋体" w:hAnsi="宋体" w:cs="宋体" w:eastAsia="宋体" w:hint="default"/>
          <w:sz w:val="21"/>
          <w:szCs w:val="21"/>
        </w:rPr>
        <w:t> </w:t>
      </w:r>
      <w:r>
        <w:rPr>
          <w:rFonts w:ascii="宋体" w:hAnsi="宋体" w:cs="宋体" w:eastAsia="宋体" w:hint="default"/>
          <w:spacing w:val="-3"/>
          <w:sz w:val="21"/>
          <w:szCs w:val="21"/>
        </w:rPr>
        <w:t>项目与承诺投入项目一致，公司在募集资金使用方面符合《募集资金管理办法》的规定。公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司在</w:t>
      </w:r>
      <w:r>
        <w:rPr>
          <w:rFonts w:ascii="宋体" w:hAnsi="宋体" w:cs="宋体" w:eastAsia="宋体" w:hint="default"/>
          <w:spacing w:val="-53"/>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pacing w:val="-5"/>
          <w:sz w:val="21"/>
          <w:szCs w:val="21"/>
        </w:rPr>
        <w:t>年度，使用募集资金补充流动资金</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17"/>
          <w:sz w:val="21"/>
          <w:szCs w:val="21"/>
        </w:rPr>
        <w:t>次，每次</w:t>
      </w:r>
      <w:r>
        <w:rPr>
          <w:rFonts w:ascii="宋体" w:hAnsi="宋体" w:cs="宋体" w:eastAsia="宋体" w:hint="default"/>
          <w:spacing w:val="-53"/>
          <w:sz w:val="21"/>
          <w:szCs w:val="21"/>
        </w:rPr>
        <w:t> </w:t>
      </w:r>
      <w:r>
        <w:rPr>
          <w:rFonts w:ascii="宋体" w:hAnsi="宋体" w:cs="宋体" w:eastAsia="宋体" w:hint="default"/>
          <w:sz w:val="21"/>
          <w:szCs w:val="21"/>
        </w:rPr>
        <w:t>5000</w:t>
      </w:r>
      <w:r>
        <w:rPr>
          <w:rFonts w:ascii="宋体" w:hAnsi="宋体" w:cs="宋体" w:eastAsia="宋体" w:hint="default"/>
          <w:spacing w:val="-52"/>
          <w:sz w:val="21"/>
          <w:szCs w:val="21"/>
        </w:rPr>
        <w:t> </w:t>
      </w:r>
      <w:r>
        <w:rPr>
          <w:rFonts w:ascii="宋体" w:hAnsi="宋体" w:cs="宋体" w:eastAsia="宋体" w:hint="default"/>
          <w:spacing w:val="-7"/>
          <w:sz w:val="21"/>
          <w:szCs w:val="21"/>
        </w:rPr>
        <w:t>万元，使用期限不超过</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r>
        <w:rPr>
          <w:rFonts w:ascii="宋体" w:hAnsi="宋体" w:cs="宋体" w:eastAsia="宋体" w:hint="default"/>
          <w:spacing w:val="-3"/>
          <w:sz w:val="21"/>
          <w:szCs w:val="21"/>
        </w:rPr>
        <w:t>变更募集资金项目实施地点和实施方式一次，以上变更情况的决策程序合法，能够有效保证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募集资金的使用效率和募集资金项目的实施进度，未发现违规使用募集资金的情况。</w:t>
      </w:r>
    </w:p>
    <w:p>
      <w:pPr>
        <w:spacing w:before="30"/>
        <w:ind w:left="617" w:right="107" w:firstLine="0"/>
        <w:jc w:val="left"/>
        <w:rPr>
          <w:rFonts w:ascii="宋体" w:hAnsi="宋体" w:cs="宋体" w:eastAsia="宋体" w:hint="default"/>
          <w:sz w:val="21"/>
          <w:szCs w:val="21"/>
        </w:rPr>
      </w:pPr>
      <w:r>
        <w:rPr>
          <w:rFonts w:ascii="宋体" w:hAnsi="宋体" w:cs="宋体" w:eastAsia="宋体" w:hint="default"/>
          <w:sz w:val="21"/>
          <w:szCs w:val="21"/>
        </w:rPr>
        <w:t>4、公司收购、出售资产的情况</w:t>
      </w:r>
    </w:p>
    <w:p>
      <w:pPr>
        <w:spacing w:line="357" w:lineRule="auto" w:before="133"/>
        <w:ind w:left="137" w:right="196" w:firstLine="48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4"/>
          <w:sz w:val="21"/>
          <w:szCs w:val="21"/>
        </w:rPr>
        <w:t> </w:t>
      </w:r>
      <w:r>
        <w:rPr>
          <w:rFonts w:ascii="宋体" w:hAnsi="宋体" w:cs="宋体" w:eastAsia="宋体" w:hint="default"/>
          <w:sz w:val="21"/>
          <w:szCs w:val="21"/>
        </w:rPr>
        <w:t>年度公司未发生重大收购、出售资产的情况，因此不存在内幕交易、公司资产流</w:t>
      </w:r>
      <w:r>
        <w:rPr>
          <w:rFonts w:ascii="宋体" w:hAnsi="宋体" w:cs="宋体" w:eastAsia="宋体" w:hint="default"/>
          <w:sz w:val="21"/>
          <w:szCs w:val="21"/>
        </w:rPr>
        <w:t> 失等损害公司股东权益情况的发生。</w:t>
      </w:r>
    </w:p>
    <w:p>
      <w:pPr>
        <w:spacing w:before="30"/>
        <w:ind w:left="557" w:right="107" w:firstLine="0"/>
        <w:jc w:val="left"/>
        <w:rPr>
          <w:rFonts w:ascii="宋体" w:hAnsi="宋体" w:cs="宋体" w:eastAsia="宋体" w:hint="default"/>
          <w:sz w:val="21"/>
          <w:szCs w:val="21"/>
        </w:rPr>
      </w:pPr>
      <w:r>
        <w:rPr>
          <w:rFonts w:ascii="宋体" w:hAnsi="宋体" w:cs="宋体" w:eastAsia="宋体" w:hint="default"/>
          <w:sz w:val="21"/>
          <w:szCs w:val="21"/>
        </w:rPr>
        <w:t>5、关联交易情况</w:t>
      </w:r>
    </w:p>
    <w:p>
      <w:pPr>
        <w:spacing w:line="355" w:lineRule="auto" w:before="134"/>
        <w:ind w:left="137" w:right="197" w:firstLine="420"/>
        <w:jc w:val="left"/>
        <w:rPr>
          <w:rFonts w:ascii="宋体" w:hAnsi="宋体" w:cs="宋体" w:eastAsia="宋体" w:hint="default"/>
          <w:sz w:val="21"/>
          <w:szCs w:val="21"/>
        </w:rPr>
      </w:pPr>
      <w:r>
        <w:rPr>
          <w:rFonts w:ascii="宋体" w:hAnsi="宋体" w:cs="宋体" w:eastAsia="宋体" w:hint="default"/>
          <w:sz w:val="21"/>
          <w:szCs w:val="21"/>
        </w:rPr>
        <w:t>监事会对对公司</w:t>
      </w:r>
      <w:r>
        <w:rPr>
          <w:rFonts w:ascii="宋体" w:hAnsi="宋体" w:cs="宋体" w:eastAsia="宋体" w:hint="default"/>
          <w:spacing w:val="-45"/>
          <w:sz w:val="21"/>
          <w:szCs w:val="21"/>
        </w:rPr>
        <w:t> </w:t>
      </w:r>
      <w:r>
        <w:rPr>
          <w:rFonts w:ascii="宋体" w:hAnsi="宋体" w:cs="宋体" w:eastAsia="宋体" w:hint="default"/>
          <w:sz w:val="21"/>
          <w:szCs w:val="21"/>
        </w:rPr>
        <w:t>2007</w:t>
      </w:r>
      <w:r>
        <w:rPr>
          <w:rFonts w:ascii="宋体" w:hAnsi="宋体" w:cs="宋体" w:eastAsia="宋体" w:hint="default"/>
          <w:spacing w:val="-45"/>
          <w:sz w:val="21"/>
          <w:szCs w:val="21"/>
        </w:rPr>
        <w:t> </w:t>
      </w:r>
      <w:r>
        <w:rPr>
          <w:rFonts w:ascii="宋体" w:hAnsi="宋体" w:cs="宋体" w:eastAsia="宋体" w:hint="default"/>
          <w:sz w:val="21"/>
          <w:szCs w:val="21"/>
        </w:rPr>
        <w:t>年度发生的关联交易进行了监督，我们认为公司发生的关联交易</w:t>
      </w:r>
      <w:r>
        <w:rPr>
          <w:rFonts w:ascii="宋体" w:hAnsi="宋体" w:cs="宋体" w:eastAsia="宋体" w:hint="default"/>
          <w:sz w:val="21"/>
          <w:szCs w:val="21"/>
        </w:rPr>
        <w:t> 决策程序合法，交易价格合理，不存在损害公司和其他股东利益的情形。</w:t>
      </w:r>
    </w:p>
    <w:p>
      <w:pPr>
        <w:spacing w:after="0" w:line="355" w:lineRule="auto"/>
        <w:jc w:val="left"/>
        <w:rPr>
          <w:rFonts w:ascii="宋体" w:hAnsi="宋体" w:cs="宋体" w:eastAsia="宋体" w:hint="default"/>
          <w:sz w:val="21"/>
          <w:szCs w:val="21"/>
        </w:rPr>
        <w:sectPr>
          <w:headerReference w:type="default" r:id="rId31"/>
          <w:pgSz w:w="11910" w:h="16840"/>
          <w:pgMar w:header="840" w:footer="1712" w:top="1160" w:bottom="190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1"/>
        <w:tabs>
          <w:tab w:pos="1355" w:val="left" w:leader="none"/>
        </w:tabs>
        <w:spacing w:line="240" w:lineRule="auto"/>
        <w:ind w:right="74"/>
        <w:jc w:val="center"/>
        <w:rPr>
          <w:b w:val="0"/>
          <w:bCs w:val="0"/>
        </w:rPr>
      </w:pPr>
      <w:bookmarkStart w:name="_TOC_250002" w:id="9"/>
      <w:r>
        <w:rPr>
          <w:w w:val="95"/>
        </w:rPr>
        <w:t>第九节</w:t>
        <w:tab/>
      </w:r>
      <w:r>
        <w:rPr/>
        <w:t>重要事项</w:t>
      </w:r>
      <w:bookmarkEnd w:id="9"/>
      <w:r>
        <w:rPr>
          <w:b w:val="0"/>
          <w:bCs w:val="0"/>
        </w:rPr>
      </w:r>
    </w:p>
    <w:p>
      <w:pPr>
        <w:spacing w:line="240" w:lineRule="auto" w:before="0"/>
        <w:rPr>
          <w:rFonts w:ascii="宋体" w:hAnsi="宋体" w:cs="宋体" w:eastAsia="宋体" w:hint="default"/>
          <w:b/>
          <w:bCs/>
          <w:sz w:val="30"/>
          <w:szCs w:val="30"/>
        </w:rPr>
      </w:pPr>
    </w:p>
    <w:p>
      <w:pPr>
        <w:spacing w:before="222"/>
        <w:ind w:left="137" w:right="107" w:firstLine="0"/>
        <w:jc w:val="left"/>
        <w:rPr>
          <w:rFonts w:ascii="宋体" w:hAnsi="宋体" w:cs="宋体" w:eastAsia="宋体" w:hint="default"/>
          <w:sz w:val="21"/>
          <w:szCs w:val="21"/>
        </w:rPr>
      </w:pPr>
      <w:r>
        <w:rPr>
          <w:rFonts w:ascii="宋体" w:hAnsi="宋体" w:cs="宋体" w:eastAsia="宋体" w:hint="default"/>
          <w:b/>
          <w:bCs/>
          <w:sz w:val="21"/>
          <w:szCs w:val="21"/>
        </w:rPr>
        <w:t>一、报告期内公司重大诉讼、仲裁事项</w:t>
      </w:r>
      <w:r>
        <w:rPr>
          <w:rFonts w:ascii="宋体" w:hAnsi="宋体" w:cs="宋体" w:eastAsia="宋体" w:hint="default"/>
          <w:sz w:val="21"/>
          <w:szCs w:val="21"/>
        </w:rPr>
        <w:t>。</w:t>
      </w:r>
    </w:p>
    <w:p>
      <w:pPr>
        <w:spacing w:line="357" w:lineRule="auto" w:before="133"/>
        <w:ind w:left="137" w:right="212" w:firstLine="420"/>
        <w:jc w:val="both"/>
        <w:rPr>
          <w:rFonts w:ascii="宋体" w:hAnsi="宋体" w:cs="宋体" w:eastAsia="宋体" w:hint="default"/>
          <w:sz w:val="21"/>
          <w:szCs w:val="21"/>
        </w:rPr>
      </w:pPr>
      <w:r>
        <w:rPr>
          <w:rFonts w:ascii="宋体" w:hAnsi="宋体" w:cs="宋体" w:eastAsia="宋体" w:hint="default"/>
          <w:spacing w:val="-1"/>
          <w:sz w:val="21"/>
          <w:szCs w:val="21"/>
        </w:rPr>
        <w:t>2005</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宋体" w:hAnsi="宋体" w:cs="宋体" w:eastAsia="宋体" w:hint="default"/>
          <w:sz w:val="21"/>
          <w:szCs w:val="21"/>
        </w:rPr>
        <w:t>14</w:t>
      </w:r>
      <w:r>
        <w:rPr>
          <w:rFonts w:ascii="宋体" w:hAnsi="宋体" w:cs="宋体" w:eastAsia="宋体" w:hint="default"/>
          <w:spacing w:val="-58"/>
          <w:sz w:val="21"/>
          <w:szCs w:val="21"/>
        </w:rPr>
        <w:t> </w:t>
      </w:r>
      <w:r>
        <w:rPr>
          <w:rFonts w:ascii="宋体" w:hAnsi="宋体" w:cs="宋体" w:eastAsia="宋体" w:hint="default"/>
          <w:spacing w:val="-7"/>
          <w:sz w:val="21"/>
          <w:szCs w:val="21"/>
        </w:rPr>
        <w:t>日，我公司与大连跃达制冷空调工程有限公司济南分公司签署了一份《制</w:t>
      </w:r>
      <w:r>
        <w:rPr>
          <w:rFonts w:ascii="宋体" w:hAnsi="宋体" w:cs="宋体" w:eastAsia="宋体" w:hint="default"/>
          <w:spacing w:val="-2"/>
          <w:sz w:val="21"/>
          <w:szCs w:val="21"/>
        </w:rPr>
        <w:t> </w:t>
      </w:r>
      <w:r>
        <w:rPr>
          <w:rFonts w:ascii="宋体" w:hAnsi="宋体" w:cs="宋体" w:eastAsia="宋体" w:hint="default"/>
          <w:spacing w:val="-3"/>
          <w:sz w:val="21"/>
          <w:szCs w:val="21"/>
        </w:rPr>
        <w:t>冷主机买卖合同》，合同约定大连跃达制冷空调工程有限公司济南分公司作为卖方向发行人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
          <w:sz w:val="21"/>
          <w:szCs w:val="21"/>
        </w:rPr>
        <w:t>销售由其代理的烟台顿汉工业有限公司生产的螺杆冷水机组两台，每台单价人民币</w:t>
      </w:r>
      <w:r>
        <w:rPr>
          <w:rFonts w:ascii="宋体" w:hAnsi="宋体" w:cs="宋体" w:eastAsia="宋体" w:hint="default"/>
          <w:spacing w:val="-53"/>
          <w:sz w:val="21"/>
          <w:szCs w:val="21"/>
        </w:rPr>
        <w:t> </w:t>
      </w:r>
      <w:r>
        <w:rPr>
          <w:rFonts w:ascii="宋体" w:hAnsi="宋体" w:cs="宋体" w:eastAsia="宋体" w:hint="default"/>
          <w:sz w:val="21"/>
          <w:szCs w:val="21"/>
        </w:rPr>
        <w:t>810,000</w:t>
      </w:r>
    </w:p>
    <w:p>
      <w:pPr>
        <w:spacing w:before="31"/>
        <w:ind w:left="137" w:right="107" w:firstLine="0"/>
        <w:jc w:val="left"/>
        <w:rPr>
          <w:rFonts w:ascii="宋体" w:hAnsi="宋体" w:cs="宋体" w:eastAsia="宋体" w:hint="default"/>
          <w:sz w:val="21"/>
          <w:szCs w:val="21"/>
        </w:rPr>
      </w:pPr>
      <w:r>
        <w:rPr>
          <w:rFonts w:ascii="宋体" w:hAnsi="宋体" w:cs="宋体" w:eastAsia="宋体" w:hint="default"/>
          <w:spacing w:val="-3"/>
          <w:sz w:val="21"/>
          <w:szCs w:val="21"/>
        </w:rPr>
        <w:t>元，共计货款总额人民币</w:t>
      </w:r>
      <w:r>
        <w:rPr>
          <w:rFonts w:ascii="宋体" w:hAnsi="宋体" w:cs="宋体" w:eastAsia="宋体" w:hint="default"/>
          <w:spacing w:val="-46"/>
          <w:sz w:val="21"/>
          <w:szCs w:val="21"/>
        </w:rPr>
        <w:t> </w:t>
      </w:r>
      <w:r>
        <w:rPr>
          <w:rFonts w:ascii="宋体" w:hAnsi="宋体" w:cs="宋体" w:eastAsia="宋体" w:hint="default"/>
          <w:sz w:val="21"/>
          <w:szCs w:val="21"/>
        </w:rPr>
        <w:t>1,620,000</w:t>
      </w:r>
      <w:r>
        <w:rPr>
          <w:rFonts w:ascii="宋体" w:hAnsi="宋体" w:cs="宋体" w:eastAsia="宋体" w:hint="default"/>
          <w:spacing w:val="-44"/>
          <w:sz w:val="21"/>
          <w:szCs w:val="21"/>
        </w:rPr>
        <w:t> </w:t>
      </w:r>
      <w:r>
        <w:rPr>
          <w:rFonts w:ascii="宋体" w:hAnsi="宋体" w:cs="宋体" w:eastAsia="宋体" w:hint="default"/>
          <w:spacing w:val="-3"/>
          <w:sz w:val="21"/>
          <w:szCs w:val="21"/>
        </w:rPr>
        <w:t>元。合同签署后，发行人根据合同已经向卖方支付货款</w:t>
      </w:r>
    </w:p>
    <w:p>
      <w:pPr>
        <w:spacing w:line="357" w:lineRule="auto" w:before="133"/>
        <w:ind w:left="137" w:right="101" w:firstLine="0"/>
        <w:jc w:val="left"/>
        <w:rPr>
          <w:rFonts w:ascii="宋体" w:hAnsi="宋体" w:cs="宋体" w:eastAsia="宋体" w:hint="default"/>
          <w:sz w:val="21"/>
          <w:szCs w:val="21"/>
        </w:rPr>
      </w:pPr>
      <w:r>
        <w:rPr>
          <w:rFonts w:ascii="宋体" w:hAnsi="宋体" w:cs="宋体" w:eastAsia="宋体" w:hint="default"/>
          <w:spacing w:val="-1"/>
          <w:sz w:val="21"/>
          <w:szCs w:val="21"/>
        </w:rPr>
        <w:t>人民币</w:t>
      </w:r>
      <w:r>
        <w:rPr>
          <w:rFonts w:ascii="宋体" w:hAnsi="宋体" w:cs="宋体" w:eastAsia="宋体" w:hint="default"/>
          <w:spacing w:val="-50"/>
          <w:sz w:val="21"/>
          <w:szCs w:val="21"/>
        </w:rPr>
        <w:t> </w:t>
      </w:r>
      <w:r>
        <w:rPr>
          <w:rFonts w:ascii="宋体" w:hAnsi="宋体" w:cs="宋体" w:eastAsia="宋体" w:hint="default"/>
          <w:spacing w:val="-1"/>
          <w:sz w:val="21"/>
          <w:szCs w:val="21"/>
        </w:rPr>
        <w:t>1,296,000</w:t>
      </w:r>
      <w:r>
        <w:rPr>
          <w:rFonts w:ascii="宋体" w:hAnsi="宋体" w:cs="宋体" w:eastAsia="宋体" w:hint="default"/>
          <w:spacing w:val="-49"/>
          <w:sz w:val="21"/>
          <w:szCs w:val="21"/>
        </w:rPr>
        <w:t> </w:t>
      </w:r>
      <w:r>
        <w:rPr>
          <w:rFonts w:ascii="宋体" w:hAnsi="宋体" w:cs="宋体" w:eastAsia="宋体" w:hint="default"/>
          <w:spacing w:val="-6"/>
          <w:sz w:val="21"/>
          <w:szCs w:val="21"/>
        </w:rPr>
        <w:t>元，但目前买卖双方对合同的履行发生争议，经发行人已多次与卖方交涉，</w:t>
      </w:r>
      <w:r>
        <w:rPr>
          <w:rFonts w:ascii="宋体" w:hAnsi="宋体" w:cs="宋体" w:eastAsia="宋体" w:hint="default"/>
          <w:sz w:val="21"/>
          <w:szCs w:val="21"/>
        </w:rPr>
        <w:t> </w:t>
      </w:r>
      <w:r>
        <w:rPr>
          <w:rFonts w:ascii="宋体" w:hAnsi="宋体" w:cs="宋体" w:eastAsia="宋体" w:hint="default"/>
          <w:spacing w:val="-3"/>
          <w:sz w:val="21"/>
          <w:szCs w:val="21"/>
        </w:rPr>
        <w:t>卖方至今未向发行人交货。为保护自身合法利益，我公司已向济南市历城区人民法院提起诉</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讼追究卖方的法律责任，目前尚未判决。</w:t>
      </w:r>
    </w:p>
    <w:p>
      <w:pPr>
        <w:spacing w:line="818" w:lineRule="exact" w:before="30"/>
        <w:ind w:left="137" w:right="3026" w:firstLine="0"/>
        <w:jc w:val="left"/>
        <w:rPr>
          <w:rFonts w:ascii="宋体" w:hAnsi="宋体" w:cs="宋体" w:eastAsia="宋体" w:hint="default"/>
          <w:sz w:val="21"/>
          <w:szCs w:val="21"/>
        </w:rPr>
      </w:pPr>
      <w:r>
        <w:rPr>
          <w:rFonts w:ascii="宋体" w:hAnsi="宋体" w:cs="宋体" w:eastAsia="宋体" w:hint="default"/>
          <w:b/>
          <w:bCs/>
          <w:sz w:val="21"/>
          <w:szCs w:val="21"/>
        </w:rPr>
        <w:t>二、报告期内公司无重大收购及出售资产、吸收合并事项。</w:t>
      </w:r>
      <w:r>
        <w:rPr>
          <w:rFonts w:ascii="宋体" w:hAnsi="宋体" w:cs="宋体" w:eastAsia="宋体" w:hint="default"/>
          <w:b/>
          <w:bCs/>
          <w:w w:val="99"/>
          <w:sz w:val="21"/>
          <w:szCs w:val="21"/>
        </w:rPr>
        <w:t> </w:t>
      </w:r>
      <w:r>
        <w:rPr>
          <w:rFonts w:ascii="宋体" w:hAnsi="宋体" w:cs="宋体" w:eastAsia="宋体" w:hint="default"/>
          <w:b/>
          <w:bCs/>
          <w:sz w:val="21"/>
          <w:szCs w:val="21"/>
        </w:rPr>
        <w:t>三、报告期内公司重大关联交易事项。</w:t>
      </w:r>
      <w:r>
        <w:rPr>
          <w:rFonts w:ascii="宋体" w:hAnsi="宋体" w:cs="宋体" w:eastAsia="宋体" w:hint="default"/>
          <w:sz w:val="21"/>
          <w:szCs w:val="21"/>
        </w:rPr>
      </w:r>
    </w:p>
    <w:p>
      <w:pPr>
        <w:spacing w:line="274" w:lineRule="exact" w:before="0"/>
        <w:ind w:left="453" w:right="107" w:firstLine="0"/>
        <w:jc w:val="left"/>
        <w:rPr>
          <w:rFonts w:ascii="宋体" w:hAnsi="宋体" w:cs="宋体" w:eastAsia="宋体" w:hint="default"/>
          <w:sz w:val="21"/>
          <w:szCs w:val="21"/>
        </w:rPr>
      </w:pPr>
      <w:r>
        <w:rPr>
          <w:rFonts w:ascii="宋体" w:hAnsi="宋体" w:cs="宋体" w:eastAsia="宋体" w:hint="default"/>
          <w:sz w:val="21"/>
          <w:szCs w:val="21"/>
        </w:rPr>
        <w:t>1、与日常经营相关的关联交易，向关联方采购原材料和销售货物</w:t>
      </w:r>
    </w:p>
    <w:p>
      <w:pPr>
        <w:spacing w:line="240" w:lineRule="auto" w:before="6"/>
        <w:rPr>
          <w:rFonts w:ascii="宋体" w:hAnsi="宋体" w:cs="宋体" w:eastAsia="宋体" w:hint="default"/>
          <w:sz w:val="7"/>
          <w:szCs w:val="7"/>
        </w:rPr>
      </w:pPr>
    </w:p>
    <w:tbl>
      <w:tblPr>
        <w:tblW w:w="0" w:type="auto"/>
        <w:jc w:val="left"/>
        <w:tblInd w:w="598" w:type="dxa"/>
        <w:tblLayout w:type="fixed"/>
        <w:tblCellMar>
          <w:top w:w="0" w:type="dxa"/>
          <w:left w:w="0" w:type="dxa"/>
          <w:bottom w:w="0" w:type="dxa"/>
          <w:right w:w="0" w:type="dxa"/>
        </w:tblCellMar>
        <w:tblLook w:val="01E0"/>
      </w:tblPr>
      <w:tblGrid>
        <w:gridCol w:w="2555"/>
        <w:gridCol w:w="252"/>
        <w:gridCol w:w="1402"/>
        <w:gridCol w:w="259"/>
        <w:gridCol w:w="1451"/>
        <w:gridCol w:w="265"/>
        <w:gridCol w:w="1509"/>
      </w:tblGrid>
      <w:tr>
        <w:trPr>
          <w:trHeight w:val="620" w:hRule="exact"/>
        </w:trPr>
        <w:tc>
          <w:tcPr>
            <w:tcW w:w="255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25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1" w:right="0"/>
              <w:jc w:val="center"/>
              <w:rPr>
                <w:rFonts w:ascii="宋体" w:hAnsi="宋体" w:cs="宋体" w:eastAsia="宋体" w:hint="default"/>
                <w:sz w:val="21"/>
                <w:szCs w:val="21"/>
              </w:rPr>
            </w:pPr>
            <w:r>
              <w:rPr>
                <w:rFonts w:ascii="宋体" w:hAnsi="宋体" w:cs="宋体" w:eastAsia="宋体" w:hint="default"/>
                <w:sz w:val="21"/>
                <w:szCs w:val="21"/>
              </w:rPr>
              <w:t>交易内容</w:t>
            </w:r>
          </w:p>
        </w:tc>
        <w:tc>
          <w:tcPr>
            <w:tcW w:w="25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0" w:right="0"/>
              <w:jc w:val="center"/>
              <w:rPr>
                <w:rFonts w:ascii="宋体" w:hAnsi="宋体" w:cs="宋体" w:eastAsia="宋体" w:hint="default"/>
                <w:sz w:val="21"/>
                <w:szCs w:val="21"/>
              </w:rPr>
            </w:pPr>
            <w:r>
              <w:rPr>
                <w:rFonts w:ascii="宋体" w:hAnsi="宋体" w:cs="宋体" w:eastAsia="宋体" w:hint="default"/>
                <w:sz w:val="21"/>
                <w:szCs w:val="21"/>
              </w:rPr>
              <w:t>交易金额</w:t>
            </w:r>
          </w:p>
        </w:tc>
        <w:tc>
          <w:tcPr>
            <w:tcW w:w="265"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single" w:sz="4" w:space="0" w:color="000000"/>
              <w:right w:val="nil" w:sz="6" w:space="0" w:color="auto"/>
            </w:tcBorders>
          </w:tcPr>
          <w:p>
            <w:pPr>
              <w:pStyle w:val="TableParagraph"/>
              <w:spacing w:line="272" w:lineRule="exact" w:before="63"/>
              <w:ind w:left="321" w:right="241" w:hanging="106"/>
              <w:jc w:val="left"/>
              <w:rPr>
                <w:rFonts w:ascii="宋体" w:hAnsi="宋体" w:cs="宋体" w:eastAsia="宋体" w:hint="default"/>
                <w:sz w:val="21"/>
                <w:szCs w:val="21"/>
              </w:rPr>
            </w:pPr>
            <w:r>
              <w:rPr>
                <w:rFonts w:ascii="宋体" w:hAnsi="宋体" w:cs="宋体" w:eastAsia="宋体" w:hint="default"/>
                <w:sz w:val="21"/>
                <w:szCs w:val="21"/>
              </w:rPr>
              <w:t>占同类交易 金额比例</w:t>
            </w:r>
          </w:p>
        </w:tc>
      </w:tr>
      <w:tr>
        <w:trPr>
          <w:trHeight w:val="276" w:hRule="exact"/>
        </w:trPr>
        <w:tc>
          <w:tcPr>
            <w:tcW w:w="2555" w:type="dxa"/>
            <w:tcBorders>
              <w:top w:val="single" w:sz="4" w:space="0" w:color="000000"/>
              <w:left w:val="nil" w:sz="6" w:space="0" w:color="auto"/>
              <w:bottom w:val="nil" w:sz="6" w:space="0" w:color="auto"/>
              <w:right w:val="nil" w:sz="6" w:space="0" w:color="auto"/>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青岛奥华纸业有限公司</w:t>
            </w:r>
          </w:p>
        </w:tc>
        <w:tc>
          <w:tcPr>
            <w:tcW w:w="252" w:type="dxa"/>
            <w:tcBorders>
              <w:top w:val="nil" w:sz="6" w:space="0" w:color="auto"/>
              <w:left w:val="nil" w:sz="6" w:space="0" w:color="auto"/>
              <w:bottom w:val="nil" w:sz="6" w:space="0" w:color="auto"/>
              <w:right w:val="nil" w:sz="6" w:space="0" w:color="auto"/>
            </w:tcBorders>
          </w:tcPr>
          <w:p>
            <w:pPr/>
          </w:p>
        </w:tc>
        <w:tc>
          <w:tcPr>
            <w:tcW w:w="1402" w:type="dxa"/>
            <w:tcBorders>
              <w:top w:val="single" w:sz="4" w:space="0" w:color="000000"/>
              <w:left w:val="nil" w:sz="6" w:space="0" w:color="auto"/>
              <w:bottom w:val="nil" w:sz="6" w:space="0" w:color="auto"/>
              <w:right w:val="nil" w:sz="6" w:space="0" w:color="auto"/>
            </w:tcBorders>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销售货物</w:t>
            </w:r>
          </w:p>
        </w:tc>
        <w:tc>
          <w:tcPr>
            <w:tcW w:w="259" w:type="dxa"/>
            <w:tcBorders>
              <w:top w:val="nil" w:sz="6" w:space="0" w:color="auto"/>
              <w:left w:val="nil" w:sz="6" w:space="0" w:color="auto"/>
              <w:bottom w:val="nil" w:sz="6" w:space="0" w:color="auto"/>
              <w:right w:val="nil" w:sz="6" w:space="0" w:color="auto"/>
            </w:tcBorders>
          </w:tcPr>
          <w:p>
            <w:pPr/>
          </w:p>
        </w:tc>
        <w:tc>
          <w:tcPr>
            <w:tcW w:w="1451" w:type="dxa"/>
            <w:tcBorders>
              <w:top w:val="single" w:sz="4" w:space="0" w:color="000000"/>
              <w:left w:val="nil" w:sz="6" w:space="0" w:color="auto"/>
              <w:bottom w:val="nil" w:sz="6" w:space="0" w:color="auto"/>
              <w:right w:val="nil" w:sz="6" w:space="0" w:color="auto"/>
            </w:tcBorders>
          </w:tcPr>
          <w:p>
            <w:pPr>
              <w:pStyle w:val="TableParagraph"/>
              <w:spacing w:line="240" w:lineRule="exact"/>
              <w:ind w:left="87" w:right="0"/>
              <w:jc w:val="center"/>
              <w:rPr>
                <w:rFonts w:ascii="宋体" w:hAnsi="宋体" w:cs="宋体" w:eastAsia="宋体" w:hint="default"/>
                <w:sz w:val="21"/>
                <w:szCs w:val="21"/>
              </w:rPr>
            </w:pPr>
            <w:r>
              <w:rPr>
                <w:rFonts w:ascii="宋体"/>
                <w:sz w:val="21"/>
              </w:rPr>
              <w:t>3,787,381.22</w:t>
            </w:r>
          </w:p>
        </w:tc>
        <w:tc>
          <w:tcPr>
            <w:tcW w:w="265" w:type="dxa"/>
            <w:tcBorders>
              <w:top w:val="nil" w:sz="6" w:space="0" w:color="auto"/>
              <w:left w:val="nil" w:sz="6" w:space="0" w:color="auto"/>
              <w:bottom w:val="nil" w:sz="6" w:space="0" w:color="auto"/>
              <w:right w:val="nil" w:sz="6" w:space="0" w:color="auto"/>
            </w:tcBorders>
          </w:tcPr>
          <w:p>
            <w:pPr/>
          </w:p>
        </w:tc>
        <w:tc>
          <w:tcPr>
            <w:tcW w:w="1509" w:type="dxa"/>
            <w:tcBorders>
              <w:top w:val="single" w:sz="4" w:space="0" w:color="000000"/>
              <w:left w:val="nil" w:sz="6" w:space="0" w:color="auto"/>
              <w:bottom w:val="nil" w:sz="6" w:space="0" w:color="auto"/>
              <w:right w:val="nil" w:sz="6" w:space="0" w:color="auto"/>
            </w:tcBorders>
          </w:tcPr>
          <w:p>
            <w:pPr>
              <w:pStyle w:val="TableParagraph"/>
              <w:spacing w:line="240" w:lineRule="exact"/>
              <w:ind w:right="86"/>
              <w:jc w:val="right"/>
              <w:rPr>
                <w:rFonts w:ascii="宋体" w:hAnsi="宋体" w:cs="宋体" w:eastAsia="宋体" w:hint="default"/>
                <w:sz w:val="21"/>
                <w:szCs w:val="21"/>
              </w:rPr>
            </w:pPr>
            <w:r>
              <w:rPr>
                <w:rFonts w:ascii="宋体" w:hAnsi="宋体" w:cs="宋体" w:eastAsia="宋体" w:hint="default"/>
                <w:sz w:val="21"/>
                <w:szCs w:val="21"/>
              </w:rPr>
              <w:t>1.03％</w:t>
            </w:r>
          </w:p>
        </w:tc>
      </w:tr>
      <w:tr>
        <w:trPr>
          <w:trHeight w:val="332" w:hRule="exact"/>
        </w:trPr>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青岛奥华纸业有限公司</w:t>
            </w:r>
          </w:p>
        </w:tc>
        <w:tc>
          <w:tcPr>
            <w:tcW w:w="252"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采购材料</w:t>
            </w:r>
          </w:p>
        </w:tc>
        <w:tc>
          <w:tcPr>
            <w:tcW w:w="25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ind w:left="86" w:right="0"/>
              <w:jc w:val="center"/>
              <w:rPr>
                <w:rFonts w:ascii="宋体" w:hAnsi="宋体" w:cs="宋体" w:eastAsia="宋体" w:hint="default"/>
                <w:sz w:val="21"/>
                <w:szCs w:val="21"/>
              </w:rPr>
            </w:pPr>
            <w:r>
              <w:rPr>
                <w:rFonts w:ascii="宋体"/>
                <w:spacing w:val="-1"/>
                <w:sz w:val="21"/>
              </w:rPr>
              <w:t>25,873,327.65</w:t>
            </w:r>
          </w:p>
        </w:tc>
        <w:tc>
          <w:tcPr>
            <w:tcW w:w="265" w:type="dxa"/>
            <w:tcBorders>
              <w:top w:val="nil" w:sz="6" w:space="0" w:color="auto"/>
              <w:left w:val="nil" w:sz="6" w:space="0" w:color="auto"/>
              <w:bottom w:val="nil" w:sz="6" w:space="0" w:color="auto"/>
              <w:right w:val="nil" w:sz="6" w:space="0" w:color="auto"/>
            </w:tcBorders>
          </w:tcPr>
          <w:p>
            <w:pP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spacing w:val="-1"/>
                <w:sz w:val="21"/>
                <w:szCs w:val="21"/>
              </w:rPr>
              <w:t>15.14％</w:t>
            </w:r>
          </w:p>
        </w:tc>
      </w:tr>
    </w:tbl>
    <w:p>
      <w:pPr>
        <w:spacing w:line="250" w:lineRule="exact" w:before="0"/>
        <w:ind w:left="137" w:right="107" w:firstLine="420"/>
        <w:jc w:val="left"/>
        <w:rPr>
          <w:rFonts w:ascii="宋体" w:hAnsi="宋体" w:cs="宋体" w:eastAsia="宋体" w:hint="default"/>
          <w:sz w:val="21"/>
          <w:szCs w:val="21"/>
        </w:rPr>
      </w:pPr>
      <w:r>
        <w:rPr>
          <w:rFonts w:ascii="宋体" w:hAnsi="宋体" w:cs="宋体" w:eastAsia="宋体" w:hint="default"/>
          <w:sz w:val="21"/>
          <w:szCs w:val="21"/>
        </w:rPr>
        <w:t>青岛奥华纸业有限公司为</w:t>
      </w:r>
      <w:r>
        <w:rPr>
          <w:rFonts w:ascii="宋体" w:hAnsi="宋体" w:cs="宋体" w:eastAsia="宋体" w:hint="default"/>
          <w:spacing w:val="-55"/>
          <w:sz w:val="21"/>
          <w:szCs w:val="21"/>
        </w:rPr>
        <w:t> </w:t>
      </w:r>
      <w:r>
        <w:rPr>
          <w:rFonts w:ascii="宋体" w:hAnsi="宋体" w:cs="宋体" w:eastAsia="宋体" w:hint="default"/>
          <w:sz w:val="21"/>
          <w:szCs w:val="21"/>
        </w:rPr>
        <w:t>ARJO</w:t>
      </w:r>
      <w:r>
        <w:rPr>
          <w:rFonts w:ascii="宋体" w:hAnsi="宋体" w:cs="宋体" w:eastAsia="宋体" w:hint="default"/>
          <w:spacing w:val="-20"/>
          <w:sz w:val="21"/>
          <w:szCs w:val="21"/>
        </w:rPr>
        <w:t> </w:t>
      </w:r>
      <w:r>
        <w:rPr>
          <w:rFonts w:ascii="宋体" w:hAnsi="宋体" w:cs="宋体" w:eastAsia="宋体" w:hint="default"/>
          <w:sz w:val="21"/>
          <w:szCs w:val="21"/>
        </w:rPr>
        <w:t>WIGGINS</w:t>
      </w:r>
      <w:r>
        <w:rPr>
          <w:rFonts w:ascii="宋体" w:hAnsi="宋体" w:cs="宋体" w:eastAsia="宋体" w:hint="default"/>
          <w:spacing w:val="-55"/>
          <w:sz w:val="21"/>
          <w:szCs w:val="21"/>
        </w:rPr>
        <w:t> </w:t>
      </w:r>
      <w:r>
        <w:rPr>
          <w:rFonts w:ascii="宋体" w:hAnsi="宋体" w:cs="宋体" w:eastAsia="宋体" w:hint="default"/>
          <w:sz w:val="21"/>
          <w:szCs w:val="21"/>
        </w:rPr>
        <w:t>无碳纸业中国有限公司、喜多来集团、及青岛</w:t>
      </w:r>
    </w:p>
    <w:p>
      <w:pPr>
        <w:spacing w:line="355" w:lineRule="auto" w:before="134"/>
        <w:ind w:left="137" w:right="213" w:firstLine="0"/>
        <w:jc w:val="both"/>
        <w:rPr>
          <w:rFonts w:ascii="宋体" w:hAnsi="宋体" w:cs="宋体" w:eastAsia="宋体" w:hint="default"/>
          <w:sz w:val="21"/>
          <w:szCs w:val="21"/>
        </w:rPr>
      </w:pPr>
      <w:r>
        <w:rPr>
          <w:rFonts w:ascii="宋体" w:hAnsi="宋体" w:cs="宋体" w:eastAsia="宋体" w:hint="default"/>
          <w:sz w:val="21"/>
          <w:szCs w:val="21"/>
        </w:rPr>
        <w:t>造纸厂成立的合资公司，喜多来集团持有奥华公司</w:t>
      </w:r>
      <w:r>
        <w:rPr>
          <w:rFonts w:ascii="宋体" w:hAnsi="宋体" w:cs="宋体" w:eastAsia="宋体" w:hint="default"/>
          <w:spacing w:val="-85"/>
          <w:sz w:val="21"/>
          <w:szCs w:val="21"/>
        </w:rPr>
        <w:t> </w:t>
      </w:r>
      <w:r>
        <w:rPr>
          <w:rFonts w:ascii="宋体" w:hAnsi="宋体" w:cs="宋体" w:eastAsia="宋体" w:hint="default"/>
          <w:sz w:val="21"/>
          <w:szCs w:val="21"/>
        </w:rPr>
        <w:t>30%的股权，为参股股东，喜多来集团不</w:t>
      </w:r>
      <w:r>
        <w:rPr>
          <w:rFonts w:ascii="宋体" w:hAnsi="宋体" w:cs="宋体" w:eastAsia="宋体" w:hint="default"/>
          <w:sz w:val="21"/>
          <w:szCs w:val="21"/>
        </w:rPr>
        <w:t> </w:t>
      </w:r>
      <w:r>
        <w:rPr>
          <w:rFonts w:ascii="宋体" w:hAnsi="宋体" w:cs="宋体" w:eastAsia="宋体" w:hint="default"/>
          <w:spacing w:val="-3"/>
          <w:sz w:val="21"/>
          <w:szCs w:val="21"/>
        </w:rPr>
        <w:t>参与青岛奥华的日常经营管理。公司目前向青岛奥华采购中高档无碳纸，并销售少量的印刷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品用特种水印纸，采购和销售价格以市场价为依据，交易价格公平、合理。</w:t>
      </w:r>
    </w:p>
    <w:p>
      <w:pPr>
        <w:spacing w:line="240" w:lineRule="auto" w:before="0"/>
        <w:rPr>
          <w:rFonts w:ascii="宋体" w:hAnsi="宋体" w:cs="宋体" w:eastAsia="宋体" w:hint="default"/>
          <w:sz w:val="20"/>
          <w:szCs w:val="20"/>
        </w:rPr>
      </w:pPr>
    </w:p>
    <w:p>
      <w:pPr>
        <w:spacing w:before="180"/>
        <w:ind w:left="137" w:right="0" w:firstLine="0"/>
        <w:jc w:val="both"/>
        <w:rPr>
          <w:rFonts w:ascii="宋体" w:hAnsi="宋体" w:cs="宋体" w:eastAsia="宋体" w:hint="default"/>
          <w:sz w:val="21"/>
          <w:szCs w:val="21"/>
        </w:rPr>
      </w:pPr>
      <w:r>
        <w:rPr>
          <w:rFonts w:ascii="宋体" w:hAnsi="宋体" w:cs="宋体" w:eastAsia="宋体" w:hint="default"/>
          <w:b/>
          <w:bCs/>
          <w:sz w:val="21"/>
          <w:szCs w:val="21"/>
        </w:rPr>
        <w:t>四、报告期内重大合同及其履行情况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spacing w:line="357" w:lineRule="auto" w:before="0"/>
        <w:ind w:left="137" w:right="212" w:firstLine="0"/>
        <w:jc w:val="both"/>
        <w:rPr>
          <w:rFonts w:ascii="宋体" w:hAnsi="宋体" w:cs="宋体" w:eastAsia="宋体" w:hint="default"/>
          <w:sz w:val="21"/>
          <w:szCs w:val="21"/>
        </w:rPr>
      </w:pPr>
      <w:r>
        <w:rPr>
          <w:rFonts w:ascii="宋体" w:hAnsi="宋体" w:cs="宋体" w:eastAsia="宋体" w:hint="default"/>
          <w:spacing w:val="-3"/>
          <w:sz w:val="21"/>
          <w:szCs w:val="21"/>
        </w:rPr>
        <w:t>（一）、报告期内公司无托管、承包、租赁其他公司资产或其他公司托管、承包、租赁本公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司资产的事项。</w:t>
      </w:r>
    </w:p>
    <w:p>
      <w:pPr>
        <w:spacing w:line="240" w:lineRule="auto" w:before="0"/>
        <w:rPr>
          <w:rFonts w:ascii="宋体" w:hAnsi="宋体" w:cs="宋体" w:eastAsia="宋体" w:hint="default"/>
          <w:sz w:val="20"/>
          <w:szCs w:val="20"/>
        </w:rPr>
      </w:pPr>
    </w:p>
    <w:p>
      <w:pPr>
        <w:spacing w:before="176"/>
        <w:ind w:left="137" w:right="0" w:firstLine="0"/>
        <w:jc w:val="both"/>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、报</w:t>
      </w:r>
      <w:r>
        <w:rPr>
          <w:rFonts w:ascii="宋体" w:hAnsi="宋体" w:cs="宋体" w:eastAsia="宋体" w:hint="default"/>
          <w:spacing w:val="-2"/>
          <w:sz w:val="21"/>
          <w:szCs w:val="21"/>
        </w:rPr>
        <w:t>告</w:t>
      </w:r>
      <w:r>
        <w:rPr>
          <w:rFonts w:ascii="宋体" w:hAnsi="宋体" w:cs="宋体" w:eastAsia="宋体" w:hint="default"/>
          <w:sz w:val="21"/>
          <w:szCs w:val="21"/>
        </w:rPr>
        <w:t>期内公司无任何对外担保情况。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0"/>
        <w:ind w:left="137" w:right="0" w:firstLine="0"/>
        <w:jc w:val="both"/>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1"/>
          <w:sz w:val="21"/>
          <w:szCs w:val="21"/>
        </w:rPr>
        <w:t>报告</w:t>
      </w:r>
      <w:r>
        <w:rPr>
          <w:rFonts w:ascii="宋体" w:hAnsi="宋体" w:cs="宋体" w:eastAsia="宋体" w:hint="default"/>
          <w:sz w:val="21"/>
          <w:szCs w:val="21"/>
        </w:rPr>
        <w:t>期内公</w:t>
      </w:r>
      <w:r>
        <w:rPr>
          <w:rFonts w:ascii="宋体" w:hAnsi="宋体" w:cs="宋体" w:eastAsia="宋体" w:hint="default"/>
          <w:spacing w:val="1"/>
          <w:sz w:val="21"/>
          <w:szCs w:val="21"/>
        </w:rPr>
        <w:t>司未</w:t>
      </w:r>
      <w:r>
        <w:rPr>
          <w:rFonts w:ascii="宋体" w:hAnsi="宋体" w:cs="宋体" w:eastAsia="宋体" w:hint="default"/>
          <w:sz w:val="21"/>
          <w:szCs w:val="21"/>
        </w:rPr>
        <w:t>发生也</w:t>
      </w:r>
      <w:r>
        <w:rPr>
          <w:rFonts w:ascii="宋体" w:hAnsi="宋体" w:cs="宋体" w:eastAsia="宋体" w:hint="default"/>
          <w:spacing w:val="1"/>
          <w:sz w:val="21"/>
          <w:szCs w:val="21"/>
        </w:rPr>
        <w:t>无以</w:t>
      </w:r>
      <w:r>
        <w:rPr>
          <w:rFonts w:ascii="宋体" w:hAnsi="宋体" w:cs="宋体" w:eastAsia="宋体" w:hint="default"/>
          <w:sz w:val="21"/>
          <w:szCs w:val="21"/>
        </w:rPr>
        <w:t>前期间</w:t>
      </w:r>
      <w:r>
        <w:rPr>
          <w:rFonts w:ascii="宋体" w:hAnsi="宋体" w:cs="宋体" w:eastAsia="宋体" w:hint="default"/>
          <w:spacing w:val="1"/>
          <w:sz w:val="21"/>
          <w:szCs w:val="21"/>
        </w:rPr>
        <w:t>发生</w:t>
      </w:r>
      <w:r>
        <w:rPr>
          <w:rFonts w:ascii="宋体" w:hAnsi="宋体" w:cs="宋体" w:eastAsia="宋体" w:hint="default"/>
          <w:sz w:val="21"/>
          <w:szCs w:val="21"/>
        </w:rPr>
        <w:t>但延续</w:t>
      </w:r>
      <w:r>
        <w:rPr>
          <w:rFonts w:ascii="宋体" w:hAnsi="宋体" w:cs="宋体" w:eastAsia="宋体" w:hint="default"/>
          <w:spacing w:val="1"/>
          <w:sz w:val="21"/>
          <w:szCs w:val="21"/>
        </w:rPr>
        <w:t>到本</w:t>
      </w:r>
      <w:r>
        <w:rPr>
          <w:rFonts w:ascii="宋体" w:hAnsi="宋体" w:cs="宋体" w:eastAsia="宋体" w:hint="default"/>
          <w:sz w:val="21"/>
          <w:szCs w:val="21"/>
        </w:rPr>
        <w:t>报告期</w:t>
      </w:r>
      <w:r>
        <w:rPr>
          <w:rFonts w:ascii="宋体" w:hAnsi="宋体" w:cs="宋体" w:eastAsia="宋体" w:hint="default"/>
          <w:spacing w:val="1"/>
          <w:sz w:val="21"/>
          <w:szCs w:val="21"/>
        </w:rPr>
        <w:t>的委</w:t>
      </w:r>
      <w:r>
        <w:rPr>
          <w:rFonts w:ascii="宋体" w:hAnsi="宋体" w:cs="宋体" w:eastAsia="宋体" w:hint="default"/>
          <w:sz w:val="21"/>
          <w:szCs w:val="21"/>
        </w:rPr>
        <w:t>托他人</w:t>
      </w:r>
      <w:r>
        <w:rPr>
          <w:rFonts w:ascii="宋体" w:hAnsi="宋体" w:cs="宋体" w:eastAsia="宋体" w:hint="default"/>
          <w:spacing w:val="1"/>
          <w:sz w:val="21"/>
          <w:szCs w:val="21"/>
        </w:rPr>
        <w:t>进行</w:t>
      </w:r>
      <w:r>
        <w:rPr>
          <w:rFonts w:ascii="宋体" w:hAnsi="宋体" w:cs="宋体" w:eastAsia="宋体" w:hint="default"/>
          <w:sz w:val="21"/>
          <w:szCs w:val="21"/>
        </w:rPr>
        <w:t>现金资产</w:t>
      </w:r>
    </w:p>
    <w:p>
      <w:pPr>
        <w:spacing w:after="0"/>
        <w:jc w:val="both"/>
        <w:rPr>
          <w:rFonts w:ascii="宋体" w:hAnsi="宋体" w:cs="宋体" w:eastAsia="宋体" w:hint="default"/>
          <w:sz w:val="21"/>
          <w:szCs w:val="21"/>
        </w:rPr>
        <w:sectPr>
          <w:pgSz w:w="11910" w:h="16840"/>
          <w:pgMar w:header="840" w:footer="1712" w:top="1160" w:bottom="1900" w:left="1660" w:right="1580"/>
        </w:sectPr>
      </w:pPr>
    </w:p>
    <w:p>
      <w:pPr>
        <w:spacing w:before="18"/>
        <w:ind w:left="257" w:right="262" w:firstLine="0"/>
        <w:jc w:val="left"/>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4784"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z w:val="21"/>
          <w:szCs w:val="21"/>
        </w:rPr>
        <w:t>管理事项。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before="0"/>
        <w:ind w:left="257" w:right="262" w:firstLine="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、报</w:t>
      </w:r>
      <w:r>
        <w:rPr>
          <w:rFonts w:ascii="宋体" w:hAnsi="宋体" w:cs="宋体" w:eastAsia="宋体" w:hint="default"/>
          <w:spacing w:val="-2"/>
          <w:sz w:val="21"/>
          <w:szCs w:val="21"/>
        </w:rPr>
        <w:t>告</w:t>
      </w:r>
      <w:r>
        <w:rPr>
          <w:rFonts w:ascii="宋体" w:hAnsi="宋体" w:cs="宋体" w:eastAsia="宋体" w:hint="default"/>
          <w:sz w:val="21"/>
          <w:szCs w:val="21"/>
        </w:rPr>
        <w:t>期内，重大借款合同如下：</w:t>
      </w:r>
    </w:p>
    <w:p>
      <w:pPr>
        <w:spacing w:line="240" w:lineRule="auto" w:before="10"/>
        <w:rPr>
          <w:rFonts w:ascii="宋体" w:hAnsi="宋体" w:cs="宋体" w:eastAsia="宋体" w:hint="default"/>
          <w:sz w:val="12"/>
          <w:szCs w:val="12"/>
        </w:rPr>
      </w:pPr>
    </w:p>
    <w:tbl>
      <w:tblPr>
        <w:tblW w:w="0" w:type="auto"/>
        <w:jc w:val="left"/>
        <w:tblInd w:w="462" w:type="dxa"/>
        <w:tblLayout w:type="fixed"/>
        <w:tblCellMar>
          <w:top w:w="0" w:type="dxa"/>
          <w:left w:w="0" w:type="dxa"/>
          <w:bottom w:w="0" w:type="dxa"/>
          <w:right w:w="0" w:type="dxa"/>
        </w:tblCellMar>
        <w:tblLook w:val="01E0"/>
      </w:tblPr>
      <w:tblGrid>
        <w:gridCol w:w="816"/>
        <w:gridCol w:w="4176"/>
        <w:gridCol w:w="1634"/>
        <w:gridCol w:w="1266"/>
      </w:tblGrid>
      <w:tr>
        <w:trPr>
          <w:trHeight w:val="282" w:hRule="exact"/>
        </w:trPr>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00"/>
              <w:ind w:left="193"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4176" w:type="dxa"/>
            <w:vMerge w:val="restart"/>
            <w:tcBorders>
              <w:top w:val="single" w:sz="4" w:space="0" w:color="000000"/>
              <w:left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贷款银行</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6" w:right="0"/>
              <w:jc w:val="left"/>
              <w:rPr>
                <w:rFonts w:ascii="宋体" w:hAnsi="宋体" w:cs="宋体" w:eastAsia="宋体" w:hint="default"/>
                <w:sz w:val="21"/>
                <w:szCs w:val="21"/>
              </w:rPr>
            </w:pPr>
            <w:r>
              <w:rPr>
                <w:rFonts w:ascii="宋体" w:hAnsi="宋体" w:cs="宋体" w:eastAsia="宋体" w:hint="default"/>
                <w:sz w:val="21"/>
                <w:szCs w:val="21"/>
              </w:rPr>
              <w:t>贷款额</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before="100"/>
              <w:ind w:left="313" w:right="0"/>
              <w:jc w:val="left"/>
              <w:rPr>
                <w:rFonts w:ascii="宋体" w:hAnsi="宋体" w:cs="宋体" w:eastAsia="宋体" w:hint="default"/>
                <w:sz w:val="21"/>
                <w:szCs w:val="21"/>
              </w:rPr>
            </w:pPr>
            <w:r>
              <w:rPr>
                <w:rFonts w:ascii="宋体" w:hAnsi="宋体" w:cs="宋体" w:eastAsia="宋体" w:hint="default"/>
                <w:sz w:val="21"/>
                <w:szCs w:val="21"/>
              </w:rPr>
              <w:t>到期日</w:t>
            </w:r>
          </w:p>
        </w:tc>
      </w:tr>
      <w:tr>
        <w:trPr>
          <w:trHeight w:val="283" w:hRule="exact"/>
        </w:trPr>
        <w:tc>
          <w:tcPr>
            <w:tcW w:w="816" w:type="dxa"/>
            <w:vMerge/>
            <w:tcBorders>
              <w:left w:val="single" w:sz="4" w:space="0" w:color="000000"/>
              <w:bottom w:val="single" w:sz="4" w:space="0" w:color="000000"/>
              <w:right w:val="single" w:sz="4" w:space="0" w:color="000000"/>
            </w:tcBorders>
          </w:tcPr>
          <w:p>
            <w:pPr/>
          </w:p>
        </w:tc>
        <w:tc>
          <w:tcPr>
            <w:tcW w:w="4176" w:type="dxa"/>
            <w:vMerge/>
            <w:tcBorders>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9"/>
              <w:jc w:val="right"/>
              <w:rPr>
                <w:rFonts w:ascii="宋体" w:hAnsi="宋体" w:cs="宋体" w:eastAsia="宋体" w:hint="default"/>
                <w:sz w:val="21"/>
                <w:szCs w:val="21"/>
              </w:rPr>
            </w:pPr>
            <w:r>
              <w:rPr>
                <w:rFonts w:ascii="宋体" w:hAnsi="宋体" w:cs="宋体" w:eastAsia="宋体" w:hint="default"/>
                <w:sz w:val="21"/>
                <w:szCs w:val="21"/>
              </w:rPr>
              <w:t>人民币（万元）</w:t>
            </w:r>
          </w:p>
        </w:tc>
        <w:tc>
          <w:tcPr>
            <w:tcW w:w="1266" w:type="dxa"/>
            <w:vMerge/>
            <w:tcBorders>
              <w:left w:val="single" w:sz="4" w:space="0" w:color="000000"/>
              <w:bottom w:val="single" w:sz="4" w:space="0" w:color="000000"/>
              <w:right w:val="single" w:sz="4" w:space="0" w:color="000000"/>
            </w:tcBorders>
          </w:tcPr>
          <w:p>
            <w:pPr/>
          </w:p>
        </w:tc>
      </w:tr>
      <w:tr>
        <w:trPr>
          <w:trHeight w:val="282" w:hRule="exact"/>
        </w:trPr>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济南市商业银行洪搂支行</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2008.11.14</w:t>
            </w:r>
          </w:p>
        </w:tc>
      </w:tr>
    </w:tbl>
    <w:p>
      <w:pPr>
        <w:spacing w:line="240" w:lineRule="auto" w:before="13"/>
        <w:rPr>
          <w:rFonts w:ascii="宋体" w:hAnsi="宋体" w:cs="宋体" w:eastAsia="宋体" w:hint="default"/>
          <w:sz w:val="25"/>
          <w:szCs w:val="25"/>
        </w:rPr>
      </w:pPr>
    </w:p>
    <w:p>
      <w:pPr>
        <w:spacing w:before="35"/>
        <w:ind w:left="257" w:right="262" w:firstLine="0"/>
        <w:jc w:val="left"/>
        <w:rPr>
          <w:rFonts w:ascii="宋体" w:hAnsi="宋体" w:cs="宋体" w:eastAsia="宋体" w:hint="default"/>
          <w:sz w:val="21"/>
          <w:szCs w:val="21"/>
        </w:rPr>
      </w:pPr>
      <w:r>
        <w:rPr>
          <w:rFonts w:ascii="宋体" w:hAnsi="宋体" w:cs="宋体" w:eastAsia="宋体" w:hint="default"/>
          <w:b/>
          <w:bCs/>
          <w:sz w:val="21"/>
          <w:szCs w:val="21"/>
        </w:rPr>
        <w:t>五、公司或持股</w:t>
      </w:r>
      <w:r>
        <w:rPr>
          <w:rFonts w:ascii="宋体" w:hAnsi="宋体" w:cs="宋体" w:eastAsia="宋体" w:hint="default"/>
          <w:b/>
          <w:bCs/>
          <w:spacing w:val="-61"/>
          <w:sz w:val="21"/>
          <w:szCs w:val="21"/>
        </w:rPr>
        <w:t> </w:t>
      </w:r>
      <w:r>
        <w:rPr>
          <w:rFonts w:ascii="宋体" w:hAnsi="宋体" w:cs="宋体" w:eastAsia="宋体" w:hint="default"/>
          <w:b/>
          <w:bCs/>
          <w:sz w:val="21"/>
          <w:szCs w:val="21"/>
        </w:rPr>
        <w:t>5%以上股东在报告期内或持续到报告期内的承诺事项</w:t>
      </w:r>
      <w:r>
        <w:rPr>
          <w:rFonts w:ascii="宋体" w:hAnsi="宋体" w:cs="宋体" w:eastAsia="宋体" w:hint="default"/>
          <w:sz w:val="21"/>
          <w:szCs w:val="21"/>
        </w:rPr>
      </w:r>
    </w:p>
    <w:p>
      <w:pPr>
        <w:spacing w:line="357" w:lineRule="auto" w:before="133"/>
        <w:ind w:left="257" w:right="262" w:firstLine="420"/>
        <w:jc w:val="left"/>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10"/>
          <w:sz w:val="21"/>
          <w:szCs w:val="21"/>
        </w:rPr>
        <w:t> </w:t>
      </w:r>
      <w:r>
        <w:rPr>
          <w:rFonts w:ascii="宋体" w:hAnsi="宋体" w:cs="宋体" w:eastAsia="宋体" w:hint="default"/>
          <w:sz w:val="21"/>
          <w:szCs w:val="21"/>
        </w:rPr>
        <w:t>5%以上股东所作出的做出避免同业竞争的承诺，目前正在履行中，报告期内</w:t>
      </w:r>
      <w:r>
        <w:rPr>
          <w:rFonts w:ascii="宋体" w:hAnsi="宋体" w:cs="宋体" w:eastAsia="宋体" w:hint="default"/>
          <w:sz w:val="21"/>
          <w:szCs w:val="21"/>
        </w:rPr>
        <w:t> 未发生同业竞争的情形。</w:t>
      </w:r>
    </w:p>
    <w:p>
      <w:pPr>
        <w:spacing w:line="240" w:lineRule="auto" w:before="0"/>
        <w:rPr>
          <w:rFonts w:ascii="宋体" w:hAnsi="宋体" w:cs="宋体" w:eastAsia="宋体" w:hint="default"/>
          <w:sz w:val="20"/>
          <w:szCs w:val="20"/>
        </w:rPr>
      </w:pPr>
    </w:p>
    <w:p>
      <w:pPr>
        <w:spacing w:line="357" w:lineRule="auto" w:before="176"/>
        <w:ind w:left="677" w:right="262" w:hanging="420"/>
        <w:jc w:val="left"/>
        <w:rPr>
          <w:rFonts w:ascii="宋体" w:hAnsi="宋体" w:cs="宋体" w:eastAsia="宋体" w:hint="default"/>
          <w:sz w:val="21"/>
          <w:szCs w:val="21"/>
        </w:rPr>
      </w:pPr>
      <w:r>
        <w:rPr>
          <w:rFonts w:ascii="宋体" w:hAnsi="宋体" w:cs="宋体" w:eastAsia="宋体" w:hint="default"/>
          <w:b/>
          <w:bCs/>
          <w:sz w:val="21"/>
          <w:szCs w:val="21"/>
        </w:rPr>
        <w:t>六、公司聘任会计师务所情况</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报告期内，公司未改聘会计师事务所，公司目前聘任的审计机构为中瑞岳华会计师事务</w:t>
      </w:r>
    </w:p>
    <w:p>
      <w:pPr>
        <w:spacing w:before="30"/>
        <w:ind w:left="257" w:right="262" w:firstLine="0"/>
        <w:jc w:val="left"/>
        <w:rPr>
          <w:rFonts w:ascii="宋体" w:hAnsi="宋体" w:cs="宋体" w:eastAsia="宋体" w:hint="default"/>
          <w:sz w:val="21"/>
          <w:szCs w:val="21"/>
        </w:rPr>
      </w:pPr>
      <w:r>
        <w:rPr>
          <w:rFonts w:ascii="宋体" w:hAnsi="宋体" w:cs="宋体" w:eastAsia="宋体" w:hint="default"/>
          <w:sz w:val="21"/>
          <w:szCs w:val="21"/>
        </w:rPr>
        <w:t>所有限公司，本年度公司应支付的年报审计费用为</w:t>
      </w:r>
      <w:r>
        <w:rPr>
          <w:rFonts w:ascii="宋体" w:hAnsi="宋体" w:cs="宋体" w:eastAsia="宋体" w:hint="default"/>
          <w:spacing w:val="-66"/>
          <w:sz w:val="21"/>
          <w:szCs w:val="21"/>
        </w:rPr>
        <w:t> </w:t>
      </w:r>
      <w:r>
        <w:rPr>
          <w:rFonts w:ascii="宋体" w:hAnsi="宋体" w:cs="宋体" w:eastAsia="宋体" w:hint="default"/>
          <w:sz w:val="21"/>
          <w:szCs w:val="21"/>
        </w:rPr>
        <w:t>38</w:t>
      </w:r>
      <w:r>
        <w:rPr>
          <w:rFonts w:ascii="宋体" w:hAnsi="宋体" w:cs="宋体" w:eastAsia="宋体" w:hint="default"/>
          <w:spacing w:val="-65"/>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357" w:lineRule="auto" w:before="0"/>
        <w:ind w:left="677" w:right="262" w:hanging="420"/>
        <w:jc w:val="left"/>
        <w:rPr>
          <w:rFonts w:ascii="宋体" w:hAnsi="宋体" w:cs="宋体" w:eastAsia="宋体" w:hint="default"/>
          <w:sz w:val="21"/>
          <w:szCs w:val="21"/>
        </w:rPr>
      </w:pPr>
      <w:r>
        <w:rPr>
          <w:rFonts w:ascii="宋体" w:hAnsi="宋体" w:cs="宋体" w:eastAsia="宋体" w:hint="default"/>
          <w:b/>
          <w:bCs/>
          <w:sz w:val="21"/>
          <w:szCs w:val="21"/>
        </w:rPr>
        <w:t>七、公司、董事会、董事受处罚及整改情况</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报告期内，公司、公司董事会及董事均未受到中国证监会的稽查、行政处罚、通报批评</w:t>
      </w:r>
    </w:p>
    <w:p>
      <w:pPr>
        <w:spacing w:line="712" w:lineRule="auto" w:before="30"/>
        <w:ind w:left="257" w:right="4140" w:firstLine="0"/>
        <w:jc w:val="left"/>
        <w:rPr>
          <w:rFonts w:ascii="宋体" w:hAnsi="宋体" w:cs="宋体" w:eastAsia="宋体" w:hint="default"/>
          <w:sz w:val="21"/>
          <w:szCs w:val="21"/>
        </w:rPr>
      </w:pPr>
      <w:r>
        <w:rPr/>
        <w:pict>
          <v:shape style="position:absolute;margin-left:82.260002pt;margin-top:64.459763pt;width:431.1pt;height:293.8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9"/>
                    <w:gridCol w:w="4127"/>
                    <w:gridCol w:w="2992"/>
                  </w:tblGrid>
                  <w:tr>
                    <w:trPr>
                      <w:trHeight w:val="374"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67" w:right="0"/>
                          <w:jc w:val="left"/>
                          <w:rPr>
                            <w:rFonts w:ascii="宋体" w:hAnsi="宋体" w:cs="宋体" w:eastAsia="宋体" w:hint="default"/>
                            <w:sz w:val="18"/>
                            <w:szCs w:val="18"/>
                          </w:rPr>
                        </w:pPr>
                        <w:r>
                          <w:rPr>
                            <w:rFonts w:ascii="宋体" w:hAnsi="宋体" w:cs="宋体" w:eastAsia="宋体" w:hint="default"/>
                            <w:b/>
                            <w:bCs/>
                            <w:sz w:val="18"/>
                            <w:szCs w:val="18"/>
                          </w:rPr>
                          <w:t>披露日期</w:t>
                        </w:r>
                        <w:r>
                          <w:rPr>
                            <w:rFonts w:ascii="宋体" w:hAnsi="宋体" w:cs="宋体" w:eastAsia="宋体" w:hint="default"/>
                            <w:sz w:val="18"/>
                            <w:szCs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2" w:right="0"/>
                          <w:jc w:val="center"/>
                          <w:rPr>
                            <w:rFonts w:ascii="宋体" w:hAnsi="宋体" w:cs="宋体" w:eastAsia="宋体" w:hint="default"/>
                            <w:sz w:val="18"/>
                            <w:szCs w:val="18"/>
                          </w:rPr>
                        </w:pPr>
                        <w:r>
                          <w:rPr>
                            <w:rFonts w:ascii="宋体" w:hAnsi="宋体" w:cs="宋体" w:eastAsia="宋体" w:hint="default"/>
                            <w:b/>
                            <w:bCs/>
                            <w:sz w:val="18"/>
                            <w:szCs w:val="18"/>
                          </w:rPr>
                          <w:t>公告名称</w:t>
                        </w:r>
                        <w:r>
                          <w:rPr>
                            <w:rFonts w:ascii="宋体" w:hAnsi="宋体" w:cs="宋体" w:eastAsia="宋体" w:hint="default"/>
                            <w:sz w:val="18"/>
                            <w:szCs w:val="18"/>
                          </w:rPr>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1" w:right="0"/>
                          <w:jc w:val="center"/>
                          <w:rPr>
                            <w:rFonts w:ascii="宋体" w:hAnsi="宋体" w:cs="宋体" w:eastAsia="宋体" w:hint="default"/>
                            <w:sz w:val="18"/>
                            <w:szCs w:val="18"/>
                          </w:rPr>
                        </w:pPr>
                        <w:r>
                          <w:rPr>
                            <w:rFonts w:ascii="宋体" w:hAnsi="宋体" w:cs="宋体" w:eastAsia="宋体" w:hint="default"/>
                            <w:b/>
                            <w:bCs/>
                            <w:sz w:val="18"/>
                            <w:szCs w:val="18"/>
                          </w:rPr>
                          <w:t>信息披露报纸及网站</w:t>
                        </w:r>
                        <w:r>
                          <w:rPr>
                            <w:rFonts w:ascii="宋体" w:hAnsi="宋体" w:cs="宋体" w:eastAsia="宋体" w:hint="default"/>
                            <w:sz w:val="18"/>
                            <w:szCs w:val="18"/>
                          </w:rPr>
                        </w:r>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2007-3-17</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第二届董事会第五次会议决议公告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80"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20" w:right="0"/>
                          <w:jc w:val="left"/>
                          <w:rPr>
                            <w:rFonts w:ascii="宋体" w:hAnsi="宋体" w:cs="宋体" w:eastAsia="宋体" w:hint="default"/>
                            <w:sz w:val="18"/>
                            <w:szCs w:val="18"/>
                          </w:rPr>
                        </w:pPr>
                        <w:r>
                          <w:rPr>
                            <w:rFonts w:ascii="宋体"/>
                            <w:b/>
                            <w:sz w:val="18"/>
                          </w:rPr>
                          <w:t>2007-3-17</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0" w:right="0"/>
                          <w:jc w:val="left"/>
                          <w:rPr>
                            <w:rFonts w:ascii="宋体" w:hAnsi="宋体" w:cs="宋体" w:eastAsia="宋体" w:hint="default"/>
                            <w:sz w:val="18"/>
                            <w:szCs w:val="18"/>
                          </w:rPr>
                        </w:pPr>
                        <w:r>
                          <w:rPr>
                            <w:rFonts w:ascii="宋体" w:hAnsi="宋体" w:cs="宋体" w:eastAsia="宋体" w:hint="default"/>
                            <w:sz w:val="18"/>
                            <w:szCs w:val="18"/>
                          </w:rPr>
                          <w:t>关于运用部分闲置募集资金补充流动资金的公告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2007-3-17</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0" w:right="0"/>
                          <w:jc w:val="left"/>
                          <w:rPr>
                            <w:rFonts w:ascii="宋体" w:hAnsi="宋体" w:cs="宋体" w:eastAsia="宋体" w:hint="default"/>
                            <w:sz w:val="18"/>
                            <w:szCs w:val="18"/>
                          </w:rPr>
                        </w:pPr>
                        <w:r>
                          <w:rPr>
                            <w:rFonts w:ascii="宋体" w:hAnsi="宋体" w:cs="宋体" w:eastAsia="宋体" w:hint="default"/>
                            <w:sz w:val="18"/>
                            <w:szCs w:val="18"/>
                          </w:rPr>
                          <w:t>关于用募集资金置换预先已投入募集资金投资项目</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的自筹资金的公告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2007-3-17</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关于签订募集资金三方监管协议的公告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2007-3-17</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第二届监事会第二次会议决议公告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2007-3-17</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2007-3-17</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日常关联交易公告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2007-3-17</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0" w:right="0"/>
                          <w:jc w:val="left"/>
                          <w:rPr>
                            <w:rFonts w:ascii="宋体" w:hAnsi="宋体" w:cs="宋体" w:eastAsia="宋体" w:hint="default"/>
                            <w:sz w:val="18"/>
                            <w:szCs w:val="18"/>
                          </w:rPr>
                        </w:pPr>
                        <w:r>
                          <w:rPr>
                            <w:rFonts w:ascii="宋体" w:hAnsi="宋体" w:cs="宋体" w:eastAsia="宋体" w:hint="default"/>
                            <w:sz w:val="18"/>
                            <w:szCs w:val="18"/>
                          </w:rPr>
                          <w:t>独立董事关于第二届董事会第五次会议相关议案的</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独立意见</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2007-3-17</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年年度股东大会的公告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2007-3-17</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年年度报告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2007-3-17</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年年度报告摘要</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244"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0" w:right="0"/>
                          <w:jc w:val="left"/>
                          <w:rPr>
                            <w:rFonts w:ascii="宋体" w:hAnsi="宋体" w:cs="宋体" w:eastAsia="宋体" w:hint="default"/>
                            <w:sz w:val="18"/>
                            <w:szCs w:val="18"/>
                          </w:rPr>
                        </w:pPr>
                        <w:r>
                          <w:rPr>
                            <w:rFonts w:ascii="宋体"/>
                            <w:b/>
                            <w:sz w:val="18"/>
                          </w:rPr>
                          <w:t>2007-3-20</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年自有资金项目实施情况的公告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21"/>
          <w:szCs w:val="21"/>
        </w:rPr>
        <w:t>及证券交易所公开谴责的情形。 </w:t>
      </w:r>
      <w:r>
        <w:rPr>
          <w:rFonts w:ascii="宋体" w:hAnsi="宋体" w:cs="宋体" w:eastAsia="宋体" w:hint="default"/>
          <w:b/>
          <w:bCs/>
          <w:sz w:val="21"/>
          <w:szCs w:val="21"/>
        </w:rPr>
        <w:t>八、报告期内公司公开披露的重大事项信息索引</w:t>
      </w:r>
      <w:r>
        <w:rPr>
          <w:rFonts w:ascii="宋体" w:hAnsi="宋体" w:cs="宋体" w:eastAsia="宋体" w:hint="default"/>
          <w:sz w:val="21"/>
          <w:szCs w:val="21"/>
        </w:rPr>
      </w:r>
    </w:p>
    <w:p>
      <w:pPr>
        <w:spacing w:after="0" w:line="712" w:lineRule="auto"/>
        <w:jc w:val="left"/>
        <w:rPr>
          <w:rFonts w:ascii="宋体" w:hAnsi="宋体" w:cs="宋体" w:eastAsia="宋体" w:hint="default"/>
          <w:sz w:val="21"/>
          <w:szCs w:val="21"/>
        </w:rPr>
        <w:sectPr>
          <w:headerReference w:type="default" r:id="rId32"/>
          <w:pgSz w:w="11910" w:h="16840"/>
          <w:pgMar w:header="915" w:footer="1712" w:top="1100" w:bottom="1900" w:left="1540" w:right="1520"/>
        </w:sectPr>
      </w:pPr>
    </w:p>
    <w:p>
      <w:pPr>
        <w:spacing w:line="240" w:lineRule="auto" w:before="4"/>
        <w:rPr>
          <w:rFonts w:ascii="Times New Roman" w:hAnsi="Times New Roman" w:cs="Times New Roman" w:eastAsia="Times New Roman" w:hint="default"/>
          <w:sz w:val="3"/>
          <w:szCs w:val="3"/>
        </w:rPr>
      </w:pPr>
      <w:r>
        <w:rPr/>
        <w:pict>
          <v:shape style="position:absolute;margin-left:90.18pt;margin-top:41.999668pt;width:18.240pt;height:15.719999pt;mso-position-horizontal-relative:page;mso-position-vertical-relative:page;z-index:-594736" type="#_x0000_t75" stroked="false">
            <v:imagedata r:id="rId11" o:title=""/>
          </v:shape>
        </w:pict>
      </w:r>
    </w:p>
    <w:tbl>
      <w:tblPr>
        <w:tblW w:w="0" w:type="auto"/>
        <w:jc w:val="left"/>
        <w:tblInd w:w="105" w:type="dxa"/>
        <w:tblLayout w:type="fixed"/>
        <w:tblCellMar>
          <w:top w:w="0" w:type="dxa"/>
          <w:left w:w="0" w:type="dxa"/>
          <w:bottom w:w="0" w:type="dxa"/>
          <w:right w:w="0" w:type="dxa"/>
        </w:tblCellMar>
        <w:tblLook w:val="01E0"/>
      </w:tblPr>
      <w:tblGrid>
        <w:gridCol w:w="1489"/>
        <w:gridCol w:w="4127"/>
        <w:gridCol w:w="2992"/>
      </w:tblGrid>
      <w:tr>
        <w:trPr>
          <w:trHeight w:val="251" w:hRule="exact"/>
        </w:trPr>
        <w:tc>
          <w:tcPr>
            <w:tcW w:w="1489" w:type="dxa"/>
            <w:tcBorders>
              <w:top w:val="single" w:sz="10" w:space="0" w:color="000000"/>
              <w:left w:val="single" w:sz="4" w:space="0" w:color="000000"/>
              <w:bottom w:val="single" w:sz="4" w:space="0" w:color="000000"/>
              <w:right w:val="single" w:sz="4" w:space="0" w:color="000000"/>
            </w:tcBorders>
          </w:tcPr>
          <w:p>
            <w:pPr/>
          </w:p>
        </w:tc>
        <w:tc>
          <w:tcPr>
            <w:tcW w:w="4127" w:type="dxa"/>
            <w:tcBorders>
              <w:top w:val="single" w:sz="10" w:space="0" w:color="000000"/>
              <w:left w:val="single" w:sz="4" w:space="0" w:color="000000"/>
              <w:bottom w:val="single" w:sz="4" w:space="0" w:color="000000"/>
              <w:right w:val="single" w:sz="4" w:space="0" w:color="000000"/>
            </w:tcBorders>
          </w:tcPr>
          <w:p>
            <w:pPr/>
          </w:p>
        </w:tc>
        <w:tc>
          <w:tcPr>
            <w:tcW w:w="2992" w:type="dxa"/>
            <w:tcBorders>
              <w:top w:val="single" w:sz="10" w:space="0" w:color="000000"/>
              <w:left w:val="single" w:sz="4" w:space="0" w:color="000000"/>
              <w:bottom w:val="single" w:sz="4" w:space="0" w:color="000000"/>
              <w:right w:val="single" w:sz="4" w:space="0" w:color="000000"/>
            </w:tcBorders>
          </w:tcPr>
          <w:p>
            <w:pPr>
              <w:pStyle w:val="TableParagraph"/>
              <w:spacing w:line="205" w:lineRule="exact"/>
              <w:ind w:left="144" w:right="0"/>
              <w:jc w:val="left"/>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2007-3-23</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6"/>
                <w:sz w:val="18"/>
                <w:szCs w:val="18"/>
              </w:rPr>
              <w:t>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年年度报告网上说明会的公告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2007-4-05</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第二届董事会第六次会议决议公告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709"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320" w:right="0"/>
              <w:jc w:val="left"/>
              <w:rPr>
                <w:rFonts w:ascii="宋体" w:hAnsi="宋体" w:cs="宋体" w:eastAsia="宋体" w:hint="default"/>
                <w:sz w:val="18"/>
                <w:szCs w:val="18"/>
              </w:rPr>
            </w:pPr>
            <w:r>
              <w:rPr>
                <w:rFonts w:ascii="宋体"/>
                <w:b/>
                <w:sz w:val="18"/>
              </w:rPr>
              <w:t>2007-4-05</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6" w:right="0" w:hanging="16"/>
              <w:jc w:val="left"/>
              <w:rPr>
                <w:rFonts w:ascii="宋体" w:hAnsi="宋体" w:cs="宋体" w:eastAsia="宋体" w:hint="default"/>
                <w:sz w:val="18"/>
                <w:szCs w:val="18"/>
              </w:rPr>
            </w:pPr>
            <w:r>
              <w:rPr>
                <w:rFonts w:ascii="宋体" w:hAnsi="宋体" w:cs="宋体" w:eastAsia="宋体" w:hint="default"/>
                <w:sz w:val="18"/>
                <w:szCs w:val="18"/>
              </w:rPr>
              <w:t>关于公司第三大股东北京中嘉华投资咨询有限公司</w:t>
            </w:r>
          </w:p>
          <w:p>
            <w:pPr>
              <w:pStyle w:val="TableParagraph"/>
              <w:spacing w:line="240" w:lineRule="auto"/>
              <w:ind w:left="96" w:right="44"/>
              <w:jc w:val="left"/>
              <w:rPr>
                <w:rFonts w:ascii="宋体" w:hAnsi="宋体" w:cs="宋体" w:eastAsia="宋体" w:hint="default"/>
                <w:sz w:val="18"/>
                <w:szCs w:val="18"/>
              </w:rPr>
            </w:pPr>
            <w:r>
              <w:rPr>
                <w:rFonts w:ascii="宋体" w:hAnsi="宋体" w:cs="宋体" w:eastAsia="宋体" w:hint="default"/>
                <w:sz w:val="18"/>
                <w:szCs w:val="18"/>
              </w:rPr>
              <w:t>提议增加</w:t>
            </w:r>
            <w:r>
              <w:rPr>
                <w:rFonts w:ascii="宋体" w:hAnsi="宋体" w:cs="宋体" w:eastAsia="宋体" w:hint="default"/>
                <w:spacing w:val="-26"/>
                <w:sz w:val="18"/>
                <w:szCs w:val="18"/>
              </w:rPr>
              <w:t> </w:t>
            </w:r>
            <w:r>
              <w:rPr>
                <w:rFonts w:ascii="宋体" w:hAnsi="宋体" w:cs="宋体" w:eastAsia="宋体" w:hint="default"/>
                <w:sz w:val="18"/>
                <w:szCs w:val="18"/>
              </w:rPr>
              <w:t>2006</w:t>
            </w:r>
            <w:r>
              <w:rPr>
                <w:rFonts w:ascii="宋体" w:hAnsi="宋体" w:cs="宋体" w:eastAsia="宋体" w:hint="default"/>
                <w:spacing w:val="-26"/>
                <w:sz w:val="18"/>
                <w:szCs w:val="18"/>
              </w:rPr>
              <w:t> </w:t>
            </w:r>
            <w:r>
              <w:rPr>
                <w:rFonts w:ascii="宋体" w:hAnsi="宋体" w:cs="宋体" w:eastAsia="宋体" w:hint="default"/>
                <w:sz w:val="18"/>
                <w:szCs w:val="18"/>
              </w:rPr>
              <w:t>年度股东大会议案暨关于召开</w:t>
            </w:r>
            <w:r>
              <w:rPr>
                <w:rFonts w:ascii="宋体" w:hAnsi="宋体" w:cs="宋体" w:eastAsia="宋体" w:hint="default"/>
                <w:spacing w:val="-26"/>
                <w:sz w:val="18"/>
                <w:szCs w:val="18"/>
              </w:rPr>
              <w:t> </w:t>
            </w:r>
            <w:r>
              <w:rPr>
                <w:rFonts w:ascii="宋体" w:hAnsi="宋体" w:cs="宋体" w:eastAsia="宋体" w:hint="default"/>
                <w:sz w:val="18"/>
                <w:szCs w:val="18"/>
              </w:rPr>
              <w:t>2006</w:t>
            </w:r>
            <w:r>
              <w:rPr>
                <w:rFonts w:ascii="宋体" w:hAnsi="宋体" w:cs="宋体" w:eastAsia="宋体" w:hint="default"/>
                <w:sz w:val="18"/>
                <w:szCs w:val="18"/>
              </w:rPr>
              <w:t> 年度股东大会的补充通知</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6"/>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2007-4-10</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年年度股东大会的提示性公告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2007-4-14</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年度股东大会的决议公告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2007-4-24</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第二届董事会第七次会议决议公告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2007-4-24</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年第一季度季度报告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2007-5-25</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年度分红派息公告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2007-5-29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网下配售股票上市流通的提示性公告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2007-6-29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注册资本及经营范围变更的公告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2007-6-29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第二届董事会第八次会议决议公告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2007-6-29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0" w:right="0"/>
              <w:jc w:val="left"/>
              <w:rPr>
                <w:rFonts w:ascii="宋体" w:hAnsi="宋体" w:cs="宋体" w:eastAsia="宋体" w:hint="default"/>
                <w:sz w:val="18"/>
                <w:szCs w:val="18"/>
              </w:rPr>
            </w:pPr>
            <w:r>
              <w:rPr>
                <w:rFonts w:ascii="宋体" w:hAnsi="宋体" w:cs="宋体" w:eastAsia="宋体" w:hint="default"/>
                <w:sz w:val="18"/>
                <w:szCs w:val="18"/>
              </w:rPr>
              <w:t>关于变更部分募集资金项目实施地点和实施方式的</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2007-7-20</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关于“上市公司治理专项活动”自查情况的报告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2007-7-20</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第二届董事会第九次会议决议公告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2007-8-04</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第二届监事会第三次会议决议公告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2007-8-04</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第二届董事会第十次会议决议公告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2007-8-04</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年半年度报告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2007-8-04</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年半年度报告摘要</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2007-8-07</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董事会公告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2007-8-25</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年第一次临时股东大会的公告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2007-8-25</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关于继续将部分闲置募集资金补充流动资金的公告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750"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320" w:right="0"/>
              <w:jc w:val="left"/>
              <w:rPr>
                <w:rFonts w:ascii="宋体" w:hAnsi="宋体" w:cs="宋体" w:eastAsia="宋体" w:hint="default"/>
                <w:sz w:val="18"/>
                <w:szCs w:val="18"/>
              </w:rPr>
            </w:pPr>
            <w:r>
              <w:rPr>
                <w:rFonts w:ascii="宋体"/>
                <w:b/>
                <w:sz w:val="18"/>
              </w:rPr>
              <w:t>2007-8-25</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第二届董事会第十一次会议决议公</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6"/>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2007-9-15</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20" w:right="0"/>
              <w:jc w:val="left"/>
              <w:rPr>
                <w:rFonts w:ascii="宋体" w:hAnsi="宋体" w:cs="宋体" w:eastAsia="宋体" w:hint="default"/>
                <w:sz w:val="18"/>
                <w:szCs w:val="18"/>
              </w:rPr>
            </w:pPr>
            <w:r>
              <w:rPr>
                <w:rFonts w:ascii="宋体"/>
                <w:b/>
                <w:sz w:val="18"/>
              </w:rPr>
              <w:t>2007-9-18</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0" w:right="0"/>
              <w:jc w:val="left"/>
              <w:rPr>
                <w:rFonts w:ascii="宋体" w:hAnsi="宋体" w:cs="宋体" w:eastAsia="宋体" w:hint="default"/>
                <w:sz w:val="18"/>
                <w:szCs w:val="18"/>
              </w:rPr>
            </w:pPr>
            <w:r>
              <w:rPr>
                <w:rFonts w:ascii="宋体" w:hAnsi="宋体" w:cs="宋体" w:eastAsia="宋体" w:hint="default"/>
                <w:sz w:val="18"/>
                <w:szCs w:val="18"/>
              </w:rPr>
              <w:t>关于运用部分闲置募集资金补充公司流动资金的归</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还公告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74" w:right="0"/>
              <w:jc w:val="left"/>
              <w:rPr>
                <w:rFonts w:ascii="宋体" w:hAnsi="宋体" w:cs="宋体" w:eastAsia="宋体" w:hint="default"/>
                <w:sz w:val="18"/>
                <w:szCs w:val="18"/>
              </w:rPr>
            </w:pPr>
            <w:r>
              <w:rPr>
                <w:rFonts w:ascii="宋体"/>
                <w:b/>
                <w:sz w:val="18"/>
              </w:rPr>
              <w:t>2007-10-25</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年第三季度报告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6"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74" w:right="0"/>
              <w:jc w:val="left"/>
              <w:rPr>
                <w:rFonts w:ascii="宋体" w:hAnsi="宋体" w:cs="宋体" w:eastAsia="宋体" w:hint="default"/>
                <w:sz w:val="18"/>
                <w:szCs w:val="18"/>
              </w:rPr>
            </w:pPr>
            <w:r>
              <w:rPr>
                <w:rFonts w:ascii="宋体"/>
                <w:b/>
                <w:sz w:val="18"/>
              </w:rPr>
              <w:t>2007-10-25</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74" w:right="0"/>
              <w:jc w:val="left"/>
              <w:rPr>
                <w:rFonts w:ascii="宋体" w:hAnsi="宋体" w:cs="宋体" w:eastAsia="宋体" w:hint="default"/>
                <w:sz w:val="18"/>
                <w:szCs w:val="18"/>
              </w:rPr>
            </w:pPr>
            <w:r>
              <w:rPr>
                <w:rFonts w:ascii="宋体"/>
                <w:b/>
                <w:sz w:val="18"/>
              </w:rPr>
              <w:t>2007-10-31</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上市公司治理专项活动整改报告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bl>
    <w:p>
      <w:pPr>
        <w:spacing w:after="0" w:line="235" w:lineRule="exact"/>
        <w:jc w:val="center"/>
        <w:rPr>
          <w:rFonts w:ascii="宋体" w:hAnsi="宋体" w:cs="宋体" w:eastAsia="宋体" w:hint="default"/>
          <w:sz w:val="18"/>
          <w:szCs w:val="18"/>
        </w:rPr>
        <w:sectPr>
          <w:pgSz w:w="11910" w:h="16840"/>
          <w:pgMar w:header="915" w:footer="1712" w:top="1100" w:bottom="1900" w:left="1540" w:right="1520"/>
        </w:sectPr>
      </w:pPr>
    </w:p>
    <w:tbl>
      <w:tblPr>
        <w:tblW w:w="0" w:type="auto"/>
        <w:jc w:val="left"/>
        <w:tblInd w:w="105" w:type="dxa"/>
        <w:tblLayout w:type="fixed"/>
        <w:tblCellMar>
          <w:top w:w="0" w:type="dxa"/>
          <w:left w:w="0" w:type="dxa"/>
          <w:bottom w:w="0" w:type="dxa"/>
          <w:right w:w="0" w:type="dxa"/>
        </w:tblCellMar>
        <w:tblLook w:val="01E0"/>
      </w:tblPr>
      <w:tblGrid>
        <w:gridCol w:w="1489"/>
        <w:gridCol w:w="4127"/>
        <w:gridCol w:w="2992"/>
      </w:tblGrid>
      <w:tr>
        <w:trPr>
          <w:trHeight w:val="484" w:hRule="exact"/>
        </w:trPr>
        <w:tc>
          <w:tcPr>
            <w:tcW w:w="14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6"/>
              <w:ind w:left="274" w:right="0"/>
              <w:jc w:val="left"/>
              <w:rPr>
                <w:rFonts w:ascii="宋体" w:hAnsi="宋体" w:cs="宋体" w:eastAsia="宋体" w:hint="default"/>
                <w:sz w:val="18"/>
                <w:szCs w:val="18"/>
              </w:rPr>
            </w:pPr>
            <w:r>
              <w:rPr>
                <w:rFonts w:ascii="宋体"/>
                <w:b/>
                <w:sz w:val="18"/>
              </w:rPr>
              <w:t>2007-10-31</w:t>
            </w:r>
            <w:r>
              <w:rPr>
                <w:rFonts w:ascii="宋体"/>
                <w:sz w:val="18"/>
              </w:rPr>
            </w:r>
          </w:p>
        </w:tc>
        <w:tc>
          <w:tcPr>
            <w:tcW w:w="412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第二届董事会第十三次会议公告</w:t>
            </w:r>
          </w:p>
        </w:tc>
        <w:tc>
          <w:tcPr>
            <w:tcW w:w="2992" w:type="dxa"/>
            <w:tcBorders>
              <w:top w:val="single" w:sz="10" w:space="0" w:color="000000"/>
              <w:left w:val="single" w:sz="4" w:space="0" w:color="000000"/>
              <w:bottom w:val="single" w:sz="4" w:space="0" w:color="000000"/>
              <w:right w:val="single" w:sz="4" w:space="0" w:color="000000"/>
            </w:tcBorders>
          </w:tcPr>
          <w:p>
            <w:pPr>
              <w:pStyle w:val="TableParagraph"/>
              <w:spacing w:line="204"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4"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r>
        <w:trPr>
          <w:trHeight w:val="478" w:hRule="exact"/>
        </w:trPr>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74" w:right="0"/>
              <w:jc w:val="left"/>
              <w:rPr>
                <w:rFonts w:ascii="宋体" w:hAnsi="宋体" w:cs="宋体" w:eastAsia="宋体" w:hint="default"/>
                <w:sz w:val="18"/>
                <w:szCs w:val="18"/>
              </w:rPr>
            </w:pPr>
            <w:r>
              <w:rPr>
                <w:rFonts w:ascii="宋体"/>
                <w:b/>
                <w:sz w:val="18"/>
              </w:rPr>
              <w:t>2007-12-19</w:t>
            </w:r>
            <w:r>
              <w:rPr>
                <w:rFonts w:ascii="宋体"/>
                <w:sz w:val="18"/>
              </w:rPr>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第二届董事会第十四次会议公告</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证券时报</w:t>
            </w:r>
            <w:r>
              <w:rPr>
                <w:rFonts w:ascii="宋体" w:hAnsi="宋体" w:cs="宋体" w:eastAsia="宋体" w:hint="default"/>
                <w:sz w:val="18"/>
                <w:szCs w:val="18"/>
              </w:rPr>
            </w:r>
          </w:p>
          <w:p>
            <w:pPr>
              <w:pStyle w:val="TableParagraph"/>
              <w:spacing w:line="235" w:lineRule="exact"/>
              <w:ind w:left="50" w:right="0"/>
              <w:jc w:val="center"/>
              <w:rPr>
                <w:rFonts w:ascii="宋体" w:hAnsi="宋体" w:cs="宋体" w:eastAsia="宋体" w:hint="default"/>
                <w:sz w:val="18"/>
                <w:szCs w:val="18"/>
              </w:rPr>
            </w:pPr>
            <w:r>
              <w:rPr>
                <w:rFonts w:ascii="宋体" w:hAnsi="宋体" w:cs="宋体" w:eastAsia="宋体" w:hint="default"/>
                <w:sz w:val="18"/>
                <w:szCs w:val="18"/>
              </w:rPr>
              <w:t>巨潮网</w:t>
            </w:r>
            <w:r>
              <w:rPr>
                <w:rFonts w:ascii="宋体" w:hAnsi="宋体" w:cs="宋体" w:eastAsia="宋体" w:hint="default"/>
                <w:spacing w:val="-46"/>
                <w:sz w:val="18"/>
                <w:szCs w:val="18"/>
              </w:rPr>
              <w:t> </w:t>
            </w:r>
            <w:r>
              <w:rPr>
                <w:rFonts w:ascii="宋体" w:hAnsi="宋体" w:cs="宋体" w:eastAsia="宋体" w:hint="default"/>
                <w:color w:val="0000FF"/>
                <w:spacing w:val="-46"/>
                <w:sz w:val="18"/>
                <w:szCs w:val="18"/>
              </w:rPr>
            </w:r>
            <w:hyperlink r:id="rId19">
              <w:r>
                <w:rPr>
                  <w:rFonts w:ascii="宋体" w:hAnsi="宋体" w:cs="宋体" w:eastAsia="宋体" w:hint="default"/>
                  <w:color w:val="0000FF"/>
                  <w:sz w:val="18"/>
                  <w:szCs w:val="18"/>
                  <w:u w:val="single" w:color="0000FF"/>
                </w:rPr>
                <w:t>http://www.cninfo.com.cn</w:t>
              </w:r>
              <w:r>
                <w:rPr>
                  <w:rFonts w:ascii="宋体" w:hAnsi="宋体" w:cs="宋体" w:eastAsia="宋体" w:hint="default"/>
                  <w:color w:val="0000FF"/>
                  <w:sz w:val="18"/>
                  <w:szCs w:val="18"/>
                </w:rPr>
              </w:r>
              <w:r>
                <w:rPr>
                  <w:rFonts w:ascii="宋体" w:hAnsi="宋体" w:cs="宋体" w:eastAsia="宋体" w:hint="default"/>
                  <w:sz w:val="18"/>
                  <w:szCs w:val="18"/>
                </w:rPr>
              </w:r>
            </w:hyperlink>
          </w:p>
        </w:tc>
      </w:tr>
    </w:tbl>
    <w:p>
      <w:pPr>
        <w:spacing w:after="0" w:line="235" w:lineRule="exact"/>
        <w:jc w:val="center"/>
        <w:rPr>
          <w:rFonts w:ascii="宋体" w:hAnsi="宋体" w:cs="宋体" w:eastAsia="宋体" w:hint="default"/>
          <w:sz w:val="18"/>
          <w:szCs w:val="18"/>
        </w:rPr>
        <w:sectPr>
          <w:headerReference w:type="default" r:id="rId33"/>
          <w:pgSz w:w="11910" w:h="16840"/>
          <w:pgMar w:header="840" w:footer="1712" w:top="1140" w:bottom="1900" w:left="1540" w:right="1520"/>
        </w:sectPr>
      </w:pPr>
    </w:p>
    <w:p>
      <w:pPr>
        <w:spacing w:line="240" w:lineRule="auto" w:before="0"/>
        <w:rPr>
          <w:rFonts w:ascii="Times New Roman" w:hAnsi="Times New Roman" w:cs="Times New Roman" w:eastAsia="Times New Roman" w:hint="default"/>
          <w:sz w:val="20"/>
          <w:szCs w:val="20"/>
        </w:rPr>
      </w:pPr>
    </w:p>
    <w:p>
      <w:pPr>
        <w:pStyle w:val="Heading1"/>
        <w:tabs>
          <w:tab w:pos="1355" w:val="left" w:leader="none"/>
        </w:tabs>
        <w:spacing w:line="240" w:lineRule="auto" w:before="133"/>
        <w:ind w:right="55"/>
        <w:jc w:val="center"/>
        <w:rPr>
          <w:b w:val="0"/>
          <w:bCs w:val="0"/>
        </w:rPr>
      </w:pPr>
      <w:bookmarkStart w:name="_TOC_250001" w:id="10"/>
      <w:r>
        <w:rPr>
          <w:w w:val="95"/>
        </w:rPr>
        <w:t>第十节</w:t>
        <w:tab/>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headerReference w:type="default" r:id="rId34"/>
          <w:pgSz w:w="11910" w:h="16840"/>
          <w:pgMar w:header="915" w:footer="1712" w:top="1100" w:bottom="1900" w:left="1660" w:right="1600"/>
        </w:sectPr>
      </w:pPr>
    </w:p>
    <w:p>
      <w:pPr>
        <w:pStyle w:val="Heading3"/>
        <w:spacing w:line="367" w:lineRule="exact"/>
        <w:ind w:left="137" w:right="-12"/>
        <w:jc w:val="left"/>
        <w:rPr>
          <w:b w:val="0"/>
          <w:bCs w:val="0"/>
        </w:rPr>
      </w:pPr>
      <w:r>
        <w:rPr/>
        <w:t>（一）审计报告</w:t>
      </w:r>
      <w:r>
        <w:rPr>
          <w:b w:val="0"/>
          <w:bCs w:val="0"/>
        </w:rPr>
      </w:r>
    </w:p>
    <w:p>
      <w:pPr>
        <w:spacing w:line="240" w:lineRule="auto" w:before="2"/>
        <w:rPr>
          <w:rFonts w:ascii="Microsoft JhengHei" w:hAnsi="Microsoft JhengHei" w:cs="Microsoft JhengHei" w:eastAsia="Microsoft JhengHei" w:hint="default"/>
          <w:b/>
          <w:bCs/>
          <w:sz w:val="19"/>
          <w:szCs w:val="19"/>
        </w:rPr>
      </w:pPr>
      <w:r>
        <w:rPr/>
        <w:br w:type="column"/>
      </w:r>
      <w:r>
        <w:rPr>
          <w:rFonts w:ascii="Microsoft JhengHei"/>
          <w:b/>
          <w:sz w:val="19"/>
        </w:rPr>
      </w:r>
    </w:p>
    <w:p>
      <w:pPr>
        <w:spacing w:before="0"/>
        <w:ind w:left="137" w:right="0" w:firstLine="0"/>
        <w:jc w:val="left"/>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审  计  报 </w:t>
      </w:r>
      <w:r>
        <w:rPr>
          <w:rFonts w:ascii="Microsoft JhengHei" w:hAnsi="Microsoft JhengHei" w:cs="Microsoft JhengHei" w:eastAsia="Microsoft JhengHei" w:hint="default"/>
          <w:b/>
          <w:bCs/>
          <w:spacing w:val="3"/>
          <w:sz w:val="36"/>
          <w:szCs w:val="36"/>
        </w:rPr>
        <w:t> </w:t>
      </w:r>
      <w:r>
        <w:rPr>
          <w:rFonts w:ascii="Microsoft JhengHei" w:hAnsi="Microsoft JhengHei" w:cs="Microsoft JhengHei" w:eastAsia="Microsoft JhengHei" w:hint="default"/>
          <w:b/>
          <w:bCs/>
          <w:sz w:val="36"/>
          <w:szCs w:val="36"/>
        </w:rPr>
        <w:t>告</w:t>
      </w:r>
      <w:r>
        <w:rPr>
          <w:rFonts w:ascii="Microsoft JhengHei" w:hAnsi="Microsoft JhengHei" w:cs="Microsoft JhengHei" w:eastAsia="Microsoft JhengHei" w:hint="default"/>
          <w:sz w:val="36"/>
          <w:szCs w:val="36"/>
        </w:rPr>
      </w:r>
    </w:p>
    <w:p>
      <w:pPr>
        <w:spacing w:line="240" w:lineRule="auto" w:before="3"/>
        <w:rPr>
          <w:rFonts w:ascii="Microsoft JhengHei" w:hAnsi="Microsoft JhengHei" w:cs="Microsoft JhengHei" w:eastAsia="Microsoft JhengHei" w:hint="default"/>
          <w:b/>
          <w:bCs/>
          <w:sz w:val="21"/>
          <w:szCs w:val="21"/>
        </w:rPr>
      </w:pPr>
    </w:p>
    <w:p>
      <w:pPr>
        <w:pStyle w:val="BodyText"/>
        <w:spacing w:line="240" w:lineRule="auto" w:before="0"/>
        <w:ind w:left="1901" w:right="0"/>
        <w:jc w:val="left"/>
      </w:pPr>
      <w:r>
        <w:rPr/>
        <w:t>中瑞岳华审字[2008]第</w:t>
      </w:r>
      <w:r>
        <w:rPr>
          <w:spacing w:val="-60"/>
        </w:rPr>
        <w:t> </w:t>
      </w:r>
      <w:r>
        <w:rPr/>
        <w:t>11420</w:t>
      </w:r>
      <w:r>
        <w:rPr>
          <w:spacing w:val="-60"/>
        </w:rPr>
        <w:t> </w:t>
      </w:r>
      <w:r>
        <w:rPr/>
        <w:t>号</w:t>
      </w:r>
    </w:p>
    <w:p>
      <w:pPr>
        <w:spacing w:after="0" w:line="240" w:lineRule="auto"/>
        <w:jc w:val="left"/>
        <w:sectPr>
          <w:type w:val="continuous"/>
          <w:pgSz w:w="11910" w:h="16840"/>
          <w:pgMar w:top="1060" w:bottom="1460" w:left="1660" w:right="1600"/>
          <w:cols w:num="2" w:equalWidth="0">
            <w:col w:w="1825" w:space="1338"/>
            <w:col w:w="5487"/>
          </w:cols>
        </w:sectPr>
      </w:pPr>
    </w:p>
    <w:p>
      <w:pPr>
        <w:spacing w:line="240" w:lineRule="auto" w:before="0"/>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59471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p>
    <w:p>
      <w:pPr>
        <w:pStyle w:val="Heading3"/>
        <w:spacing w:line="240" w:lineRule="auto" w:before="88"/>
        <w:ind w:left="137" w:right="0"/>
        <w:jc w:val="both"/>
        <w:rPr>
          <w:b w:val="0"/>
          <w:bCs w:val="0"/>
        </w:rPr>
      </w:pPr>
      <w:r>
        <w:rPr/>
        <w:t>东港安全印刷股份有限公司全体股东：</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BodyText"/>
        <w:spacing w:line="357" w:lineRule="auto" w:before="0"/>
        <w:ind w:right="192" w:firstLine="480"/>
        <w:jc w:val="both"/>
      </w:pPr>
      <w:r>
        <w:rPr>
          <w:spacing w:val="-3"/>
        </w:rPr>
        <w:t>我们审计了后附的东港安全印刷股份有限公司（以下简称“贵公司”）财务</w:t>
      </w:r>
      <w:r>
        <w:rPr>
          <w:spacing w:val="1"/>
        </w:rPr>
        <w:t> </w:t>
      </w:r>
      <w:r>
        <w:rPr>
          <w:spacing w:val="-3"/>
        </w:rPr>
        <w:t>报表，包括</w:t>
      </w:r>
      <w:r>
        <w:rPr>
          <w:spacing w:val="-63"/>
        </w:rPr>
        <w:t> </w:t>
      </w:r>
      <w:r>
        <w:rPr/>
        <w:t>2007</w:t>
      </w:r>
      <w:r>
        <w:rPr>
          <w:spacing w:val="-63"/>
        </w:rPr>
        <w:t> </w:t>
      </w:r>
      <w:r>
        <w:rPr/>
        <w:t>年</w:t>
      </w:r>
      <w:r>
        <w:rPr>
          <w:spacing w:val="-63"/>
        </w:rPr>
        <w:t> </w:t>
      </w:r>
      <w:r>
        <w:rPr/>
        <w:t>12</w:t>
      </w:r>
      <w:r>
        <w:rPr>
          <w:spacing w:val="-63"/>
        </w:rPr>
        <w:t> </w:t>
      </w:r>
      <w:r>
        <w:rPr/>
        <w:t>月</w:t>
      </w:r>
      <w:r>
        <w:rPr>
          <w:spacing w:val="-63"/>
        </w:rPr>
        <w:t> </w:t>
      </w:r>
      <w:r>
        <w:rPr/>
        <w:t>31</w:t>
      </w:r>
      <w:r>
        <w:rPr>
          <w:spacing w:val="-63"/>
        </w:rPr>
        <w:t> </w:t>
      </w:r>
      <w:r>
        <w:rPr/>
        <w:t>日的资产负债表和合并资产负债表，2007</w:t>
      </w:r>
      <w:r>
        <w:rPr>
          <w:spacing w:val="-63"/>
        </w:rPr>
        <w:t> </w:t>
      </w:r>
      <w:r>
        <w:rPr/>
        <w:t>年度的利</w:t>
      </w:r>
      <w:r>
        <w:rPr/>
        <w:t> </w:t>
      </w:r>
      <w:r>
        <w:rPr>
          <w:spacing w:val="-3"/>
        </w:rPr>
        <w:t>润表和合并利润表、股东权益变动表和合并股东权益变动表、现金流量表和合并</w:t>
      </w:r>
      <w:r>
        <w:rPr>
          <w:spacing w:val="-105"/>
        </w:rPr>
        <w:t> </w:t>
      </w:r>
      <w:r>
        <w:rPr>
          <w:spacing w:val="-105"/>
        </w:rPr>
      </w:r>
      <w:r>
        <w:rPr/>
        <w:t>现金流量表以及财务报表附注。</w:t>
      </w:r>
    </w:p>
    <w:p>
      <w:pPr>
        <w:spacing w:line="240" w:lineRule="auto" w:before="4"/>
        <w:rPr>
          <w:rFonts w:ascii="宋体" w:hAnsi="宋体" w:cs="宋体" w:eastAsia="宋体" w:hint="default"/>
          <w:sz w:val="21"/>
          <w:szCs w:val="21"/>
        </w:rPr>
      </w:pPr>
    </w:p>
    <w:p>
      <w:pPr>
        <w:spacing w:line="312" w:lineRule="auto" w:before="0"/>
        <w:ind w:left="617" w:right="186"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一、管理层对财务报表的责任</w:t>
      </w:r>
      <w:r>
        <w:rPr>
          <w:rFonts w:ascii="Microsoft JhengHei" w:hAnsi="Microsoft JhengHei" w:cs="Microsoft JhengHei" w:eastAsia="Microsoft JhengHei" w:hint="default"/>
          <w:b/>
          <w:bCs/>
          <w:spacing w:val="-50"/>
          <w:sz w:val="24"/>
          <w:szCs w:val="24"/>
        </w:rPr>
        <w:t> </w:t>
      </w:r>
      <w:r>
        <w:rPr>
          <w:rFonts w:ascii="宋体" w:hAnsi="宋体" w:cs="宋体" w:eastAsia="宋体" w:hint="default"/>
          <w:spacing w:val="-3"/>
          <w:sz w:val="24"/>
          <w:szCs w:val="24"/>
        </w:rPr>
        <w:t>按照企业会计准则的规定编制财务报表是贵公司管理层的责任。这种责任包</w:t>
      </w:r>
    </w:p>
    <w:p>
      <w:pPr>
        <w:pStyle w:val="BodyText"/>
        <w:spacing w:line="357" w:lineRule="auto" w:before="80"/>
        <w:ind w:right="192"/>
        <w:jc w:val="both"/>
      </w:pPr>
      <w:r>
        <w:rPr>
          <w:spacing w:val="-7"/>
        </w:rPr>
        <w:t>括：（1）设计、实施和维护与财务报表编制相关的内部控制，以使财务报表不存</w:t>
      </w:r>
      <w:r>
        <w:rPr>
          <w:spacing w:val="-107"/>
        </w:rPr>
        <w:t> </w:t>
      </w:r>
      <w:r>
        <w:rPr>
          <w:spacing w:val="-107"/>
        </w:rPr>
      </w:r>
      <w:r>
        <w:rPr>
          <w:spacing w:val="-10"/>
        </w:rPr>
        <w:t>在由于舞弊或错误而导致的重大错报；（2）选择和运用恰当的会计政策；（3）作</w:t>
      </w:r>
      <w:r>
        <w:rPr>
          <w:spacing w:val="-92"/>
        </w:rPr>
        <w:t> </w:t>
      </w:r>
      <w:r>
        <w:rPr>
          <w:spacing w:val="-92"/>
        </w:rPr>
      </w:r>
      <w:r>
        <w:rPr/>
        <w:t>出合理的会计估计。</w:t>
      </w:r>
    </w:p>
    <w:p>
      <w:pPr>
        <w:spacing w:line="240" w:lineRule="auto" w:before="3"/>
        <w:rPr>
          <w:rFonts w:ascii="宋体" w:hAnsi="宋体" w:cs="宋体" w:eastAsia="宋体" w:hint="default"/>
          <w:sz w:val="21"/>
          <w:szCs w:val="21"/>
        </w:rPr>
      </w:pPr>
    </w:p>
    <w:p>
      <w:pPr>
        <w:spacing w:line="312" w:lineRule="auto" w:before="0"/>
        <w:ind w:left="617" w:right="186"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二、注册会计师的责任 </w:t>
      </w:r>
      <w:r>
        <w:rPr>
          <w:rFonts w:ascii="宋体" w:hAnsi="宋体" w:cs="宋体" w:eastAsia="宋体" w:hint="default"/>
          <w:spacing w:val="-3"/>
          <w:sz w:val="24"/>
          <w:szCs w:val="24"/>
        </w:rPr>
        <w:t>我们的责任是在实施审计工作的基础上对财务报表发表审计意见。我们按照</w:t>
      </w:r>
    </w:p>
    <w:p>
      <w:pPr>
        <w:pStyle w:val="BodyText"/>
        <w:spacing w:line="357" w:lineRule="auto" w:before="80"/>
        <w:ind w:right="192"/>
        <w:jc w:val="both"/>
      </w:pPr>
      <w:r>
        <w:rPr>
          <w:spacing w:val="-3"/>
        </w:rPr>
        <w:t>中国注册会计师审计准则的规定执行了审计工作。中国注册会计师审计准则要求</w:t>
      </w:r>
      <w:r>
        <w:rPr>
          <w:spacing w:val="-103"/>
        </w:rPr>
        <w:t> </w:t>
      </w:r>
      <w:r>
        <w:rPr>
          <w:spacing w:val="-103"/>
        </w:rPr>
      </w:r>
      <w:r>
        <w:rPr>
          <w:spacing w:val="-3"/>
        </w:rPr>
        <w:t>我们遵守职业道德规范，计划和实施审计工作以对财务报表是否不存在重大错报</w:t>
      </w:r>
      <w:r>
        <w:rPr>
          <w:spacing w:val="-103"/>
        </w:rPr>
        <w:t> </w:t>
      </w:r>
      <w:r>
        <w:rPr>
          <w:spacing w:val="-103"/>
        </w:rPr>
      </w:r>
      <w:r>
        <w:rPr/>
        <w:t>获取合理保证。</w:t>
      </w:r>
    </w:p>
    <w:p>
      <w:pPr>
        <w:pStyle w:val="BodyText"/>
        <w:spacing w:line="357" w:lineRule="auto" w:before="35"/>
        <w:ind w:right="87" w:firstLine="480"/>
        <w:jc w:val="left"/>
      </w:pPr>
      <w:r>
        <w:rPr/>
        <w:t>审计工作涉及实施审计程序，以获取有关财务报表金额和披露的审计证据。 </w:t>
      </w:r>
      <w:r>
        <w:rPr>
          <w:spacing w:val="-3"/>
        </w:rPr>
        <w:t>选择的审计程序取决于注册会计师的判断，包括对由于舞弊或错误导致的财务报</w:t>
      </w:r>
      <w:r>
        <w:rPr>
          <w:spacing w:val="-103"/>
        </w:rPr>
        <w:t> </w:t>
      </w:r>
      <w:r>
        <w:rPr>
          <w:spacing w:val="-103"/>
        </w:rPr>
      </w:r>
      <w:r>
        <w:rPr>
          <w:spacing w:val="-3"/>
        </w:rPr>
        <w:t>表重大错报风险的评估。在进行风险评估时，我们考虑与财务报表编制相关的内</w:t>
      </w:r>
      <w:r>
        <w:rPr>
          <w:spacing w:val="-105"/>
        </w:rPr>
        <w:t> </w:t>
      </w:r>
      <w:r>
        <w:rPr>
          <w:spacing w:val="-105"/>
        </w:rPr>
      </w:r>
      <w:r>
        <w:rPr>
          <w:spacing w:val="-3"/>
        </w:rPr>
        <w:t>部控制，以设计恰当的审计程序，但目的并非对内部控制的有效性发表意见。审</w:t>
      </w:r>
      <w:r>
        <w:rPr>
          <w:spacing w:val="-102"/>
        </w:rPr>
        <w:t> </w:t>
      </w:r>
      <w:r>
        <w:rPr>
          <w:spacing w:val="-102"/>
        </w:rPr>
      </w:r>
      <w:r>
        <w:rPr>
          <w:spacing w:val="-3"/>
        </w:rPr>
        <w:t>计工作还包括评价管理层选用会计政策的恰当性和作出会计估计的合理性，以及</w:t>
      </w:r>
    </w:p>
    <w:p>
      <w:pPr>
        <w:spacing w:after="0" w:line="357" w:lineRule="auto"/>
        <w:jc w:val="left"/>
        <w:sectPr>
          <w:type w:val="continuous"/>
          <w:pgSz w:w="11910" w:h="16840"/>
          <w:pgMar w:top="1060" w:bottom="1460" w:left="1660" w:right="1600"/>
        </w:sectPr>
      </w:pPr>
    </w:p>
    <w:p>
      <w:pPr>
        <w:pStyle w:val="BodyText"/>
        <w:spacing w:line="357" w:lineRule="auto" w:before="13"/>
        <w:ind w:left="957" w:right="146" w:hanging="480"/>
        <w:jc w:val="left"/>
      </w:pPr>
      <w:r>
        <w:rPr/>
        <w:pict>
          <v:group style="position:absolute;margin-left:88.019981pt;margin-top:41.999668pt;width:419.35pt;height:16.4pt;mso-position-horizontal-relative:page;mso-position-vertical-relative:page;z-index:-59468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t>评价财务报表的总体列报。 </w:t>
      </w:r>
      <w:r>
        <w:rPr>
          <w:spacing w:val="-3"/>
        </w:rPr>
        <w:t>我们相信，我们获取的审计证据是充分、适当的，为发表审计意见提供了基</w:t>
      </w:r>
    </w:p>
    <w:p>
      <w:pPr>
        <w:pStyle w:val="BodyText"/>
        <w:spacing w:line="240" w:lineRule="auto" w:before="35"/>
        <w:ind w:left="477" w:right="146"/>
        <w:jc w:val="left"/>
      </w:pPr>
      <w:r>
        <w:rPr/>
        <w:t>础。</w:t>
      </w:r>
    </w:p>
    <w:p>
      <w:pPr>
        <w:spacing w:line="240" w:lineRule="auto" w:before="9"/>
        <w:rPr>
          <w:rFonts w:ascii="宋体" w:hAnsi="宋体" w:cs="宋体" w:eastAsia="宋体" w:hint="default"/>
          <w:sz w:val="9"/>
          <w:szCs w:val="9"/>
        </w:rPr>
      </w:pPr>
    </w:p>
    <w:p>
      <w:pPr>
        <w:pStyle w:val="Heading3"/>
        <w:spacing w:line="367" w:lineRule="exact"/>
        <w:ind w:left="960" w:right="146"/>
        <w:jc w:val="left"/>
        <w:rPr>
          <w:b w:val="0"/>
          <w:bCs w:val="0"/>
        </w:rPr>
      </w:pPr>
      <w:r>
        <w:rPr/>
        <w:t>三、审计意见</w:t>
      </w:r>
      <w:r>
        <w:rPr>
          <w:b w:val="0"/>
          <w:bCs w:val="0"/>
        </w:rPr>
      </w:r>
    </w:p>
    <w:p>
      <w:pPr>
        <w:pStyle w:val="BodyText"/>
        <w:spacing w:line="357" w:lineRule="auto" w:before="125"/>
        <w:ind w:left="477" w:right="152" w:firstLine="480"/>
        <w:jc w:val="both"/>
      </w:pPr>
      <w:r>
        <w:rPr>
          <w:spacing w:val="-3"/>
        </w:rPr>
        <w:t>我们认为，贵公司财务报表已经按照企业会计准则的规定编制，在所有重大</w:t>
      </w:r>
      <w:r>
        <w:rPr/>
        <w:t> 方面公允反映了贵公司</w:t>
      </w:r>
      <w:r>
        <w:rPr>
          <w:spacing w:val="-64"/>
        </w:rPr>
        <w:t> </w:t>
      </w:r>
      <w:r>
        <w:rPr/>
        <w:t>2007</w:t>
      </w:r>
      <w:r>
        <w:rPr>
          <w:spacing w:val="-64"/>
        </w:rPr>
        <w:t> </w:t>
      </w:r>
      <w:r>
        <w:rPr/>
        <w:t>年</w:t>
      </w:r>
      <w:r>
        <w:rPr>
          <w:spacing w:val="-64"/>
        </w:rPr>
        <w:t> </w:t>
      </w:r>
      <w:r>
        <w:rPr/>
        <w:t>12</w:t>
      </w:r>
      <w:r>
        <w:rPr>
          <w:spacing w:val="-64"/>
        </w:rPr>
        <w:t> </w:t>
      </w:r>
      <w:r>
        <w:rPr/>
        <w:t>月</w:t>
      </w:r>
      <w:r>
        <w:rPr>
          <w:spacing w:val="-64"/>
        </w:rPr>
        <w:t> </w:t>
      </w:r>
      <w:r>
        <w:rPr/>
        <w:t>31</w:t>
      </w:r>
      <w:r>
        <w:rPr>
          <w:spacing w:val="-64"/>
        </w:rPr>
        <w:t> </w:t>
      </w:r>
      <w:r>
        <w:rPr/>
        <w:t>日的财务状况、合并财务状况以及</w:t>
      </w:r>
      <w:r>
        <w:rPr>
          <w:spacing w:val="-64"/>
        </w:rPr>
        <w:t> </w:t>
      </w:r>
      <w:r>
        <w:rPr/>
        <w:t>2007</w:t>
      </w:r>
      <w:r>
        <w:rPr/>
        <w:t> 年度的经营成果、合并经营成果和现金流量、合并现金流量。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tabs>
          <w:tab w:pos="5241" w:val="left" w:leader="none"/>
        </w:tabs>
        <w:spacing w:line="240" w:lineRule="auto" w:before="26"/>
        <w:ind w:left="111" w:right="146"/>
        <w:jc w:val="left"/>
      </w:pPr>
      <w:r>
        <w:rPr/>
        <w:t>中瑞岳华会计师事务所有限公司</w:t>
        <w:tab/>
        <w:t>中国注册会计师：</w:t>
      </w:r>
    </w:p>
    <w:p>
      <w:pPr>
        <w:pStyle w:val="BodyText"/>
        <w:tabs>
          <w:tab w:pos="600" w:val="left" w:leader="none"/>
        </w:tabs>
        <w:spacing w:line="240" w:lineRule="auto" w:before="46"/>
        <w:ind w:left="0" w:right="781"/>
        <w:jc w:val="right"/>
      </w:pPr>
      <w:r>
        <w:rPr/>
        <w:t>黄</w:t>
        <w:tab/>
        <w:t>简</w:t>
      </w:r>
    </w:p>
    <w:p>
      <w:pPr>
        <w:spacing w:line="240" w:lineRule="auto" w:before="10"/>
        <w:rPr>
          <w:rFonts w:ascii="宋体" w:hAnsi="宋体" w:cs="宋体" w:eastAsia="宋体" w:hint="default"/>
          <w:sz w:val="15"/>
          <w:szCs w:val="15"/>
        </w:rPr>
      </w:pPr>
    </w:p>
    <w:p>
      <w:pPr>
        <w:pStyle w:val="BodyText"/>
        <w:tabs>
          <w:tab w:pos="5241" w:val="left" w:leader="none"/>
        </w:tabs>
        <w:spacing w:line="240" w:lineRule="auto" w:before="26"/>
        <w:ind w:left="1191" w:right="146"/>
        <w:jc w:val="left"/>
      </w:pPr>
      <w:r>
        <w:rPr/>
        <w:t>中国·北京</w:t>
        <w:tab/>
        <w:t>中国注册会计师：</w:t>
      </w:r>
    </w:p>
    <w:p>
      <w:pPr>
        <w:pStyle w:val="BodyText"/>
        <w:tabs>
          <w:tab w:pos="720" w:val="left" w:leader="none"/>
        </w:tabs>
        <w:spacing w:line="240" w:lineRule="auto" w:before="46"/>
        <w:ind w:left="0" w:right="721"/>
        <w:jc w:val="right"/>
      </w:pPr>
      <w:r>
        <w:rPr/>
        <w:t>罗</w:t>
        <w:tab/>
        <w:t>军</w:t>
      </w:r>
    </w:p>
    <w:p>
      <w:pPr>
        <w:pStyle w:val="BodyText"/>
        <w:spacing w:line="240" w:lineRule="auto" w:before="46"/>
        <w:ind w:left="0" w:right="232"/>
        <w:jc w:val="right"/>
      </w:pPr>
      <w:r>
        <w:rPr>
          <w:spacing w:val="25"/>
        </w:rPr>
        <w:t>2008年1月</w:t>
      </w:r>
      <w:r>
        <w:rPr>
          <w:spacing w:val="-55"/>
        </w:rPr>
        <w:t> </w:t>
      </w:r>
      <w:r>
        <w:rPr>
          <w:spacing w:val="20"/>
        </w:rPr>
        <w:t>26日</w:t>
      </w:r>
      <w:r>
        <w:rPr>
          <w:spacing w:val="-60"/>
        </w:rPr>
        <w:t> </w:t>
      </w:r>
      <w:r>
        <w:rPr/>
      </w:r>
    </w:p>
    <w:p>
      <w:pPr>
        <w:spacing w:after="0" w:line="240" w:lineRule="auto"/>
        <w:jc w:val="right"/>
        <w:sectPr>
          <w:pgSz w:w="11910" w:h="16840"/>
          <w:pgMar w:header="915" w:footer="1712" w:top="1100" w:bottom="1900" w:left="1320" w:right="1640"/>
        </w:sectPr>
      </w:pPr>
    </w:p>
    <w:p>
      <w:pPr>
        <w:pStyle w:val="Heading3"/>
        <w:spacing w:line="355" w:lineRule="exact"/>
        <w:ind w:left="657" w:right="1283"/>
        <w:jc w:val="left"/>
        <w:rPr>
          <w:b w:val="0"/>
          <w:bCs w:val="0"/>
        </w:rPr>
      </w:pPr>
      <w:r>
        <w:rPr/>
        <w:pict>
          <v:group style="position:absolute;margin-left:88.019981pt;margin-top:41.999668pt;width:419.35pt;height:16.4pt;mso-position-horizontal-relative:page;mso-position-vertical-relative:page;z-index:-594664"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t>（二）会计报表</w:t>
      </w:r>
      <w:r>
        <w:rPr>
          <w:b w:val="0"/>
          <w:bCs w:val="0"/>
        </w:rPr>
      </w:r>
    </w:p>
    <w:p>
      <w:pPr>
        <w:pStyle w:val="Heading3"/>
        <w:spacing w:line="240" w:lineRule="auto" w:before="140"/>
        <w:ind w:left="2" w:right="0"/>
        <w:jc w:val="center"/>
        <w:rPr>
          <w:rFonts w:ascii="宋体" w:hAnsi="宋体" w:cs="宋体" w:eastAsia="宋体" w:hint="default"/>
          <w:b w:val="0"/>
          <w:bCs w:val="0"/>
        </w:rPr>
      </w:pPr>
      <w:r>
        <w:rPr>
          <w:rFonts w:ascii="宋体" w:hAnsi="宋体" w:cs="宋体" w:eastAsia="宋体" w:hint="default"/>
        </w:rPr>
        <w:t>合并资产负债表</w:t>
      </w:r>
      <w:r>
        <w:rPr>
          <w:rFonts w:ascii="宋体" w:hAnsi="宋体" w:cs="宋体" w:eastAsia="宋体" w:hint="default"/>
          <w:b w:val="0"/>
          <w:bCs w:val="0"/>
        </w:rPr>
      </w:r>
    </w:p>
    <w:p>
      <w:pPr>
        <w:spacing w:before="73"/>
        <w:ind w:left="47" w:right="0" w:firstLine="0"/>
        <w:jc w:val="center"/>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pacing w:val="15"/>
          <w:sz w:val="18"/>
          <w:szCs w:val="18"/>
        </w:rPr>
        <w:t>31日</w:t>
      </w:r>
      <w:r>
        <w:rPr>
          <w:rFonts w:ascii="宋体" w:hAnsi="宋体" w:cs="宋体" w:eastAsia="宋体" w:hint="default"/>
          <w:b/>
          <w:bCs/>
          <w:spacing w:val="-44"/>
          <w:sz w:val="18"/>
          <w:szCs w:val="18"/>
        </w:rPr>
        <w:t> </w:t>
      </w:r>
      <w:r>
        <w:rPr>
          <w:rFonts w:ascii="宋体" w:hAnsi="宋体" w:cs="宋体" w:eastAsia="宋体" w:hint="default"/>
          <w:sz w:val="18"/>
          <w:szCs w:val="18"/>
        </w:rPr>
      </w:r>
    </w:p>
    <w:p>
      <w:pPr>
        <w:tabs>
          <w:tab w:pos="7535" w:val="left" w:leader="none"/>
        </w:tabs>
        <w:spacing w:before="105"/>
        <w:ind w:left="3"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编制单位:东港安全印刷股份有限公司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6"/>
          <w:szCs w:val="6"/>
        </w:rPr>
      </w:pPr>
    </w:p>
    <w:tbl>
      <w:tblPr>
        <w:tblW w:w="0" w:type="auto"/>
        <w:jc w:val="left"/>
        <w:tblInd w:w="116" w:type="dxa"/>
        <w:tblLayout w:type="fixed"/>
        <w:tblCellMar>
          <w:top w:w="0" w:type="dxa"/>
          <w:left w:w="0" w:type="dxa"/>
          <w:bottom w:w="0" w:type="dxa"/>
          <w:right w:w="0" w:type="dxa"/>
        </w:tblCellMar>
        <w:tblLook w:val="01E0"/>
      </w:tblPr>
      <w:tblGrid>
        <w:gridCol w:w="4006"/>
        <w:gridCol w:w="750"/>
        <w:gridCol w:w="2310"/>
        <w:gridCol w:w="2310"/>
      </w:tblGrid>
      <w:tr>
        <w:trPr>
          <w:trHeight w:val="355" w:hRule="exact"/>
        </w:trPr>
        <w:tc>
          <w:tcPr>
            <w:tcW w:w="4006" w:type="dxa"/>
            <w:tcBorders>
              <w:top w:val="single" w:sz="8" w:space="0" w:color="000000"/>
              <w:left w:val="single" w:sz="8" w:space="0" w:color="000000"/>
              <w:bottom w:val="single" w:sz="4" w:space="0" w:color="000000"/>
              <w:right w:val="single" w:sz="4" w:space="0" w:color="000000"/>
            </w:tcBorders>
          </w:tcPr>
          <w:p>
            <w:pPr>
              <w:pStyle w:val="TableParagraph"/>
              <w:tabs>
                <w:tab w:pos="724" w:val="left" w:leader="none"/>
              </w:tabs>
              <w:spacing w:line="240" w:lineRule="auto" w:before="23"/>
              <w:ind w:right="1497"/>
              <w:jc w:val="right"/>
              <w:rPr>
                <w:rFonts w:ascii="宋体" w:hAnsi="宋体" w:cs="宋体" w:eastAsia="宋体" w:hint="default"/>
                <w:sz w:val="18"/>
                <w:szCs w:val="18"/>
              </w:rPr>
            </w:pPr>
            <w:r>
              <w:rPr>
                <w:rFonts w:ascii="宋体" w:hAnsi="宋体" w:cs="宋体" w:eastAsia="宋体" w:hint="default"/>
                <w:b/>
                <w:bCs/>
                <w:w w:val="95"/>
                <w:sz w:val="18"/>
                <w:szCs w:val="18"/>
              </w:rPr>
              <w:t>资</w:t>
              <w:tab/>
              <w:t>产</w:t>
            </w:r>
            <w:r>
              <w:rPr>
                <w:rFonts w:ascii="宋体" w:hAnsi="宋体" w:cs="宋体" w:eastAsia="宋体" w:hint="default"/>
                <w:sz w:val="18"/>
                <w:szCs w:val="18"/>
              </w:rPr>
            </w:r>
          </w:p>
        </w:tc>
        <w:tc>
          <w:tcPr>
            <w:tcW w:w="75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3"/>
              <w:ind w:left="147" w:right="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2"/>
                <w:sz w:val="18"/>
                <w:szCs w:val="18"/>
              </w:rPr>
              <w:t> </w:t>
            </w:r>
            <w:r>
              <w:rPr>
                <w:rFonts w:ascii="宋体" w:hAnsi="宋体" w:cs="宋体" w:eastAsia="宋体" w:hint="default"/>
                <w:b/>
                <w:bCs/>
                <w:sz w:val="18"/>
                <w:szCs w:val="18"/>
              </w:rPr>
              <w:t>释</w:t>
            </w:r>
            <w:r>
              <w:rPr>
                <w:rFonts w:ascii="宋体" w:hAnsi="宋体" w:cs="宋体" w:eastAsia="宋体" w:hint="default"/>
                <w:sz w:val="18"/>
                <w:szCs w:val="18"/>
              </w:rPr>
            </w:r>
          </w:p>
        </w:tc>
        <w:tc>
          <w:tcPr>
            <w:tcW w:w="23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23"/>
              <w:ind w:left="5"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231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23"/>
              <w:ind w:left="6"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8" w:space="0" w:color="000000"/>
            </w:tcBorders>
          </w:tcPr>
          <w:p>
            <w:pP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5" w:right="0"/>
              <w:jc w:val="left"/>
              <w:rPr>
                <w:rFonts w:ascii="宋体" w:hAnsi="宋体" w:cs="宋体" w:eastAsia="宋体" w:hint="default"/>
                <w:sz w:val="18"/>
                <w:szCs w:val="18"/>
              </w:rPr>
            </w:pPr>
            <w:r>
              <w:rPr>
                <w:rFonts w:ascii="宋体" w:hAnsi="宋体" w:cs="宋体" w:eastAsia="宋体" w:hint="default"/>
                <w:sz w:val="18"/>
                <w:szCs w:val="18"/>
              </w:rPr>
              <w:t>七、1</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178,471,201.10</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75,389,695.93</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5" w:right="0"/>
              <w:jc w:val="left"/>
              <w:rPr>
                <w:rFonts w:ascii="宋体" w:hAnsi="宋体" w:cs="宋体" w:eastAsia="宋体" w:hint="default"/>
                <w:sz w:val="18"/>
                <w:szCs w:val="18"/>
              </w:rPr>
            </w:pPr>
            <w:r>
              <w:rPr>
                <w:rFonts w:ascii="宋体" w:hAnsi="宋体" w:cs="宋体" w:eastAsia="宋体" w:hint="default"/>
                <w:sz w:val="18"/>
                <w:szCs w:val="18"/>
              </w:rPr>
              <w:t>七、2</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5" w:right="0"/>
              <w:jc w:val="left"/>
              <w:rPr>
                <w:rFonts w:ascii="宋体" w:hAnsi="宋体" w:cs="宋体" w:eastAsia="宋体" w:hint="default"/>
                <w:sz w:val="18"/>
                <w:szCs w:val="18"/>
              </w:rPr>
            </w:pPr>
            <w:r>
              <w:rPr>
                <w:rFonts w:ascii="宋体" w:hAnsi="宋体" w:cs="宋体" w:eastAsia="宋体" w:hint="default"/>
                <w:sz w:val="18"/>
                <w:szCs w:val="18"/>
              </w:rPr>
              <w:t>七、3</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59,807,692.61</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71,978,750.96</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5" w:right="0"/>
              <w:jc w:val="left"/>
              <w:rPr>
                <w:rFonts w:ascii="宋体" w:hAnsi="宋体" w:cs="宋体" w:eastAsia="宋体" w:hint="default"/>
                <w:sz w:val="18"/>
                <w:szCs w:val="18"/>
              </w:rPr>
            </w:pPr>
            <w:r>
              <w:rPr>
                <w:rFonts w:ascii="宋体" w:hAnsi="宋体" w:cs="宋体" w:eastAsia="宋体" w:hint="default"/>
                <w:sz w:val="18"/>
                <w:szCs w:val="18"/>
              </w:rPr>
              <w:t>七、4</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3,427,885.99</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2,964,848.20</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5" w:right="0"/>
              <w:jc w:val="left"/>
              <w:rPr>
                <w:rFonts w:ascii="宋体" w:hAnsi="宋体" w:cs="宋体" w:eastAsia="宋体" w:hint="default"/>
                <w:sz w:val="18"/>
                <w:szCs w:val="18"/>
              </w:rPr>
            </w:pPr>
            <w:r>
              <w:rPr>
                <w:rFonts w:ascii="宋体" w:hAnsi="宋体" w:cs="宋体" w:eastAsia="宋体" w:hint="default"/>
                <w:sz w:val="18"/>
                <w:szCs w:val="18"/>
              </w:rPr>
              <w:t>七、5</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12,820,612.56</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11,853,897.39</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5" w:right="0"/>
              <w:jc w:val="left"/>
              <w:rPr>
                <w:rFonts w:ascii="宋体" w:hAnsi="宋体" w:cs="宋体" w:eastAsia="宋体" w:hint="default"/>
                <w:sz w:val="18"/>
                <w:szCs w:val="18"/>
              </w:rPr>
            </w:pPr>
            <w:r>
              <w:rPr>
                <w:rFonts w:ascii="宋体" w:hAnsi="宋体" w:cs="宋体" w:eastAsia="宋体" w:hint="default"/>
                <w:sz w:val="18"/>
                <w:szCs w:val="18"/>
              </w:rPr>
              <w:t>七、6</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57,714,217.77</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36,871,758.03</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5" w:right="0"/>
              <w:jc w:val="left"/>
              <w:rPr>
                <w:rFonts w:ascii="宋体" w:hAnsi="宋体" w:cs="宋体" w:eastAsia="宋体" w:hint="default"/>
                <w:sz w:val="18"/>
                <w:szCs w:val="18"/>
              </w:rPr>
            </w:pPr>
            <w:r>
              <w:rPr>
                <w:rFonts w:ascii="宋体" w:hAnsi="宋体" w:cs="宋体" w:eastAsia="宋体" w:hint="default"/>
                <w:sz w:val="18"/>
                <w:szCs w:val="18"/>
              </w:rPr>
              <w:t>七、7</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817,688.06</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1,179,959.40</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313,059,298.09</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200,238,909.91</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5" w:right="0"/>
              <w:jc w:val="left"/>
              <w:rPr>
                <w:rFonts w:ascii="宋体" w:hAnsi="宋体" w:cs="宋体" w:eastAsia="宋体" w:hint="default"/>
                <w:sz w:val="18"/>
                <w:szCs w:val="18"/>
              </w:rPr>
            </w:pPr>
            <w:r>
              <w:rPr>
                <w:rFonts w:ascii="宋体" w:hAnsi="宋体" w:cs="宋体" w:eastAsia="宋体" w:hint="default"/>
                <w:sz w:val="18"/>
                <w:szCs w:val="18"/>
              </w:rPr>
              <w:t>七、8</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15,000,000.00</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5" w:right="0"/>
              <w:jc w:val="left"/>
              <w:rPr>
                <w:rFonts w:ascii="宋体" w:hAnsi="宋体" w:cs="宋体" w:eastAsia="宋体" w:hint="default"/>
                <w:sz w:val="18"/>
                <w:szCs w:val="18"/>
              </w:rPr>
            </w:pPr>
            <w:r>
              <w:rPr>
                <w:rFonts w:ascii="宋体" w:hAnsi="宋体" w:cs="宋体" w:eastAsia="宋体" w:hint="default"/>
                <w:sz w:val="18"/>
                <w:szCs w:val="18"/>
              </w:rPr>
              <w:t>七、9</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306,259,642.46</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244,321,022.87</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七、10</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22,983,734.11</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24,991,330.61</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七、11</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51,303,103.36</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27,896,657.10</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七、12</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1,099,540.36</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1,275,993.02</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七、13</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1,067,458.47</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632,671.10</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75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397,713,478.76</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299,117,674.70</w:t>
            </w:r>
          </w:p>
        </w:tc>
      </w:tr>
      <w:tr>
        <w:trPr>
          <w:trHeight w:val="355" w:hRule="exact"/>
        </w:trPr>
        <w:tc>
          <w:tcPr>
            <w:tcW w:w="400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22"/>
              <w:ind w:right="1543"/>
              <w:jc w:val="righ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750" w:type="dxa"/>
            <w:tcBorders>
              <w:top w:val="single" w:sz="4" w:space="0" w:color="000000"/>
              <w:left w:val="single" w:sz="4" w:space="0" w:color="000000"/>
              <w:bottom w:val="single" w:sz="8" w:space="0" w:color="000000"/>
              <w:right w:val="single" w:sz="4" w:space="0" w:color="000000"/>
            </w:tcBorders>
          </w:tcPr>
          <w:p>
            <w:pPr/>
          </w:p>
        </w:tc>
        <w:tc>
          <w:tcPr>
            <w:tcW w:w="231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710,772,776.85</w:t>
            </w:r>
          </w:p>
        </w:tc>
        <w:tc>
          <w:tcPr>
            <w:tcW w:w="231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499,356,584.61</w:t>
            </w:r>
          </w:p>
        </w:tc>
      </w:tr>
    </w:tbl>
    <w:p>
      <w:pPr>
        <w:spacing w:after="0" w:line="240" w:lineRule="auto"/>
        <w:jc w:val="right"/>
        <w:rPr>
          <w:rFonts w:ascii="宋体" w:hAnsi="宋体" w:cs="宋体" w:eastAsia="宋体" w:hint="default"/>
          <w:sz w:val="18"/>
          <w:szCs w:val="18"/>
        </w:rPr>
        <w:sectPr>
          <w:pgSz w:w="11910" w:h="16840"/>
          <w:pgMar w:header="915" w:footer="1712" w:top="1100" w:bottom="1900" w:left="1140" w:right="1140"/>
        </w:sectPr>
      </w:pPr>
    </w:p>
    <w:p>
      <w:pPr>
        <w:spacing w:line="240" w:lineRule="auto" w:before="0"/>
        <w:rPr>
          <w:rFonts w:ascii="宋体" w:hAnsi="宋体" w:cs="宋体" w:eastAsia="宋体" w:hint="default"/>
          <w:b/>
          <w:bCs/>
          <w:sz w:val="20"/>
          <w:szCs w:val="20"/>
        </w:rPr>
      </w:pPr>
      <w:r>
        <w:rPr/>
        <w:pict>
          <v:group style="position:absolute;margin-left:88.019981pt;margin-top:41.999668pt;width:419.35pt;height:16.4pt;mso-position-horizontal-relative:page;mso-position-vertical-relative:page;z-index:212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76"/>
        <w:ind w:left="2" w:right="0"/>
        <w:jc w:val="center"/>
        <w:rPr>
          <w:rFonts w:ascii="宋体" w:hAnsi="宋体" w:cs="宋体" w:eastAsia="宋体" w:hint="default"/>
          <w:b w:val="0"/>
          <w:bCs w:val="0"/>
        </w:rPr>
      </w:pPr>
      <w:r>
        <w:rPr>
          <w:rFonts w:ascii="宋体" w:hAnsi="宋体" w:cs="宋体" w:eastAsia="宋体" w:hint="default"/>
        </w:rPr>
        <w:t>合并资产负债表（续）</w:t>
      </w:r>
      <w:r>
        <w:rPr>
          <w:rFonts w:ascii="宋体" w:hAnsi="宋体" w:cs="宋体" w:eastAsia="宋体" w:hint="default"/>
          <w:b w:val="0"/>
          <w:bCs w:val="0"/>
        </w:rPr>
      </w:r>
    </w:p>
    <w:p>
      <w:pPr>
        <w:spacing w:before="73"/>
        <w:ind w:left="47" w:right="0" w:firstLine="0"/>
        <w:jc w:val="center"/>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pacing w:val="15"/>
          <w:sz w:val="18"/>
          <w:szCs w:val="18"/>
        </w:rPr>
        <w:t>31日</w:t>
      </w:r>
      <w:r>
        <w:rPr>
          <w:rFonts w:ascii="宋体" w:hAnsi="宋体" w:cs="宋体" w:eastAsia="宋体" w:hint="default"/>
          <w:b/>
          <w:bCs/>
          <w:spacing w:val="-44"/>
          <w:sz w:val="18"/>
          <w:szCs w:val="18"/>
        </w:rPr>
        <w:t> </w:t>
      </w:r>
      <w:r>
        <w:rPr>
          <w:rFonts w:ascii="宋体" w:hAnsi="宋体" w:cs="宋体" w:eastAsia="宋体" w:hint="default"/>
          <w:sz w:val="18"/>
          <w:szCs w:val="18"/>
        </w:rPr>
      </w:r>
    </w:p>
    <w:p>
      <w:pPr>
        <w:tabs>
          <w:tab w:pos="7535" w:val="left" w:leader="none"/>
        </w:tabs>
        <w:spacing w:before="105"/>
        <w:ind w:left="3"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编制单位:东港安全印刷股份有限公司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6"/>
        <w:rPr>
          <w:rFonts w:ascii="宋体" w:hAnsi="宋体" w:cs="宋体" w:eastAsia="宋体" w:hint="default"/>
          <w:b/>
          <w:bCs/>
          <w:sz w:val="5"/>
          <w:szCs w:val="5"/>
        </w:rPr>
      </w:pPr>
    </w:p>
    <w:tbl>
      <w:tblPr>
        <w:tblW w:w="0" w:type="auto"/>
        <w:jc w:val="left"/>
        <w:tblInd w:w="116" w:type="dxa"/>
        <w:tblLayout w:type="fixed"/>
        <w:tblCellMar>
          <w:top w:w="0" w:type="dxa"/>
          <w:left w:w="0" w:type="dxa"/>
          <w:bottom w:w="0" w:type="dxa"/>
          <w:right w:w="0" w:type="dxa"/>
        </w:tblCellMar>
        <w:tblLook w:val="01E0"/>
      </w:tblPr>
      <w:tblGrid>
        <w:gridCol w:w="4006"/>
        <w:gridCol w:w="750"/>
        <w:gridCol w:w="2310"/>
        <w:gridCol w:w="2310"/>
      </w:tblGrid>
      <w:tr>
        <w:trPr>
          <w:trHeight w:val="294" w:hRule="exact"/>
        </w:trPr>
        <w:tc>
          <w:tcPr>
            <w:tcW w:w="4006" w:type="dxa"/>
            <w:tcBorders>
              <w:top w:val="nil" w:sz="6" w:space="0" w:color="auto"/>
              <w:left w:val="single" w:sz="8" w:space="0" w:color="000000"/>
              <w:bottom w:val="single" w:sz="8" w:space="0" w:color="000000"/>
              <w:right w:val="single" w:sz="4" w:space="0" w:color="000000"/>
            </w:tcBorders>
          </w:tcPr>
          <w:p>
            <w:pPr>
              <w:pStyle w:val="TableParagraph"/>
              <w:spacing w:line="230" w:lineRule="exact"/>
              <w:ind w:right="4"/>
              <w:jc w:val="center"/>
              <w:rPr>
                <w:rFonts w:ascii="宋体" w:hAnsi="宋体" w:cs="宋体" w:eastAsia="宋体" w:hint="default"/>
                <w:sz w:val="18"/>
                <w:szCs w:val="18"/>
              </w:rPr>
            </w:pPr>
            <w:r>
              <w:rPr>
                <w:rFonts w:ascii="宋体" w:hAnsi="宋体" w:cs="宋体" w:eastAsia="宋体" w:hint="default"/>
                <w:b/>
                <w:bCs/>
                <w:sz w:val="18"/>
                <w:szCs w:val="18"/>
              </w:rPr>
              <w:t>负债和股东权益</w:t>
            </w:r>
            <w:r>
              <w:rPr>
                <w:rFonts w:ascii="宋体" w:hAnsi="宋体" w:cs="宋体" w:eastAsia="宋体" w:hint="default"/>
                <w:sz w:val="18"/>
                <w:szCs w:val="18"/>
              </w:rPr>
            </w:r>
          </w:p>
        </w:tc>
        <w:tc>
          <w:tcPr>
            <w:tcW w:w="750" w:type="dxa"/>
            <w:tcBorders>
              <w:top w:val="nil" w:sz="6" w:space="0" w:color="auto"/>
              <w:left w:val="single" w:sz="4" w:space="0" w:color="000000"/>
              <w:bottom w:val="single" w:sz="8" w:space="0" w:color="000000"/>
              <w:right w:val="single" w:sz="4" w:space="0" w:color="000000"/>
            </w:tcBorders>
          </w:tcPr>
          <w:p>
            <w:pPr>
              <w:pStyle w:val="TableParagraph"/>
              <w:spacing w:line="230" w:lineRule="exact"/>
              <w:ind w:left="144" w:right="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2"/>
                <w:sz w:val="18"/>
                <w:szCs w:val="18"/>
              </w:rPr>
              <w:t> </w:t>
            </w:r>
            <w:r>
              <w:rPr>
                <w:rFonts w:ascii="宋体" w:hAnsi="宋体" w:cs="宋体" w:eastAsia="宋体" w:hint="default"/>
                <w:b/>
                <w:bCs/>
                <w:sz w:val="18"/>
                <w:szCs w:val="18"/>
              </w:rPr>
              <w:t>释</w:t>
            </w:r>
            <w:r>
              <w:rPr>
                <w:rFonts w:ascii="宋体" w:hAnsi="宋体" w:cs="宋体" w:eastAsia="宋体" w:hint="default"/>
                <w:sz w:val="18"/>
                <w:szCs w:val="18"/>
              </w:rPr>
            </w:r>
          </w:p>
        </w:tc>
        <w:tc>
          <w:tcPr>
            <w:tcW w:w="2310" w:type="dxa"/>
            <w:tcBorders>
              <w:top w:val="nil" w:sz="6" w:space="0" w:color="auto"/>
              <w:left w:val="single" w:sz="4" w:space="0" w:color="000000"/>
              <w:bottom w:val="single" w:sz="8" w:space="0" w:color="000000"/>
              <w:right w:val="single" w:sz="4" w:space="0" w:color="000000"/>
            </w:tcBorders>
          </w:tcPr>
          <w:p>
            <w:pPr>
              <w:pStyle w:val="TableParagraph"/>
              <w:spacing w:line="230"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2310" w:type="dxa"/>
            <w:tcBorders>
              <w:top w:val="nil" w:sz="6" w:space="0" w:color="auto"/>
              <w:left w:val="single" w:sz="4" w:space="0" w:color="000000"/>
              <w:bottom w:val="single" w:sz="8" w:space="0" w:color="000000"/>
              <w:right w:val="single" w:sz="8" w:space="0" w:color="000000"/>
            </w:tcBorders>
          </w:tcPr>
          <w:p>
            <w:pPr>
              <w:pStyle w:val="TableParagraph"/>
              <w:spacing w:line="230"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8" w:space="0" w:color="000000"/>
            </w:tcBorders>
          </w:tcPr>
          <w:p>
            <w:pP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5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七、15</w:t>
            </w: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10,000,000.00</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107,460,000.00</w:t>
            </w:r>
          </w:p>
        </w:tc>
      </w:tr>
      <w:tr>
        <w:trPr>
          <w:trHeight w:val="305"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383"/>
              <w:jc w:val="right"/>
              <w:rPr>
                <w:rFonts w:ascii="宋体" w:hAnsi="宋体" w:cs="宋体" w:eastAsia="宋体" w:hint="default"/>
                <w:sz w:val="18"/>
                <w:szCs w:val="18"/>
              </w:rPr>
            </w:pPr>
            <w:r>
              <w:rPr>
                <w:rFonts w:ascii="宋体"/>
                <w:sz w:val="18"/>
              </w:rPr>
              <w:t>-</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378"/>
              <w:jc w:val="right"/>
              <w:rPr>
                <w:rFonts w:ascii="宋体" w:hAnsi="宋体" w:cs="宋体" w:eastAsia="宋体" w:hint="default"/>
                <w:sz w:val="18"/>
                <w:szCs w:val="18"/>
              </w:rPr>
            </w:pPr>
            <w:r>
              <w:rPr>
                <w:rFonts w:ascii="宋体"/>
                <w:sz w:val="18"/>
              </w:rPr>
              <w:t>-</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5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七、16</w:t>
            </w: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37,485,275.72</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43,655,519.95</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5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七、17</w:t>
            </w: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76,532,641.50</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67,155,513.87</w:t>
            </w:r>
          </w:p>
        </w:tc>
      </w:tr>
      <w:tr>
        <w:trPr>
          <w:trHeight w:val="305"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5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七、18</w:t>
            </w: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16,666,364.89</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12,938,103.65</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5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七、19</w:t>
            </w: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3,496,777.03</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5,247,839.74</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5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七、20</w:t>
            </w: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5,995,020.01</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2,713,057.24</w:t>
            </w:r>
          </w:p>
        </w:tc>
      </w:tr>
      <w:tr>
        <w:trPr>
          <w:trHeight w:val="305"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383"/>
              <w:jc w:val="right"/>
              <w:rPr>
                <w:rFonts w:ascii="宋体" w:hAnsi="宋体" w:cs="宋体" w:eastAsia="宋体" w:hint="default"/>
                <w:sz w:val="18"/>
                <w:szCs w:val="18"/>
              </w:rPr>
            </w:pPr>
            <w:r>
              <w:rPr>
                <w:rFonts w:ascii="宋体"/>
                <w:sz w:val="18"/>
              </w:rPr>
              <w:t>-</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378"/>
              <w:jc w:val="right"/>
              <w:rPr>
                <w:rFonts w:ascii="宋体" w:hAnsi="宋体" w:cs="宋体" w:eastAsia="宋体" w:hint="default"/>
                <w:sz w:val="18"/>
                <w:szCs w:val="18"/>
              </w:rPr>
            </w:pPr>
            <w:r>
              <w:rPr>
                <w:rFonts w:ascii="宋体"/>
                <w:sz w:val="18"/>
              </w:rPr>
              <w:t>-</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5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七、21</w:t>
            </w: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3,099,600.00</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16,391,660.06</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5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七、22</w:t>
            </w: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12,961,513.30</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4,742,460.79</w:t>
            </w:r>
          </w:p>
        </w:tc>
      </w:tr>
      <w:tr>
        <w:trPr>
          <w:trHeight w:val="305"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5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七、23</w:t>
            </w: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383"/>
              <w:jc w:val="right"/>
              <w:rPr>
                <w:rFonts w:ascii="宋体" w:hAnsi="宋体" w:cs="宋体" w:eastAsia="宋体" w:hint="default"/>
                <w:sz w:val="18"/>
                <w:szCs w:val="18"/>
              </w:rPr>
            </w:pPr>
            <w:r>
              <w:rPr>
                <w:rFonts w:ascii="宋体"/>
                <w:sz w:val="18"/>
              </w:rPr>
              <w:t>-</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3,595,487.32</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383"/>
              <w:jc w:val="right"/>
              <w:rPr>
                <w:rFonts w:ascii="宋体" w:hAnsi="宋体" w:cs="宋体" w:eastAsia="宋体" w:hint="default"/>
                <w:sz w:val="18"/>
                <w:szCs w:val="18"/>
              </w:rPr>
            </w:pPr>
            <w:r>
              <w:rPr>
                <w:rFonts w:ascii="宋体"/>
                <w:sz w:val="18"/>
              </w:rPr>
              <w:t>-</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378"/>
              <w:jc w:val="right"/>
              <w:rPr>
                <w:rFonts w:ascii="宋体" w:hAnsi="宋体" w:cs="宋体" w:eastAsia="宋体" w:hint="default"/>
                <w:sz w:val="18"/>
                <w:szCs w:val="18"/>
              </w:rPr>
            </w:pPr>
            <w:r>
              <w:rPr>
                <w:rFonts w:ascii="宋体"/>
                <w:sz w:val="18"/>
              </w:rPr>
              <w:t>-</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460"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166,237,192.45</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263,899,642.62</w:t>
            </w:r>
          </w:p>
        </w:tc>
      </w:tr>
      <w:tr>
        <w:trPr>
          <w:trHeight w:val="305"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8" w:space="0" w:color="000000"/>
            </w:tcBorders>
          </w:tcPr>
          <w:p>
            <w:pP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5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七、24</w:t>
            </w: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23,000,000.00</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23,000,000.00</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383"/>
              <w:jc w:val="right"/>
              <w:rPr>
                <w:rFonts w:ascii="宋体" w:hAnsi="宋体" w:cs="宋体" w:eastAsia="宋体" w:hint="default"/>
                <w:sz w:val="18"/>
                <w:szCs w:val="18"/>
              </w:rPr>
            </w:pPr>
            <w:r>
              <w:rPr>
                <w:rFonts w:ascii="宋体"/>
                <w:sz w:val="18"/>
              </w:rPr>
              <w:t>-</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378"/>
              <w:jc w:val="right"/>
              <w:rPr>
                <w:rFonts w:ascii="宋体" w:hAnsi="宋体" w:cs="宋体" w:eastAsia="宋体" w:hint="default"/>
                <w:sz w:val="18"/>
                <w:szCs w:val="18"/>
              </w:rPr>
            </w:pPr>
            <w:r>
              <w:rPr>
                <w:rFonts w:ascii="宋体"/>
                <w:sz w:val="18"/>
              </w:rPr>
              <w:t>-</w:t>
            </w:r>
          </w:p>
        </w:tc>
      </w:tr>
      <w:tr>
        <w:trPr>
          <w:trHeight w:val="305"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383"/>
              <w:jc w:val="right"/>
              <w:rPr>
                <w:rFonts w:ascii="宋体" w:hAnsi="宋体" w:cs="宋体" w:eastAsia="宋体" w:hint="default"/>
                <w:sz w:val="18"/>
                <w:szCs w:val="18"/>
              </w:rPr>
            </w:pPr>
            <w:r>
              <w:rPr>
                <w:rFonts w:ascii="宋体"/>
                <w:sz w:val="18"/>
              </w:rPr>
              <w:t>-</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378"/>
              <w:jc w:val="right"/>
              <w:rPr>
                <w:rFonts w:ascii="宋体" w:hAnsi="宋体" w:cs="宋体" w:eastAsia="宋体" w:hint="default"/>
                <w:sz w:val="18"/>
                <w:szCs w:val="18"/>
              </w:rPr>
            </w:pPr>
            <w:r>
              <w:rPr>
                <w:rFonts w:ascii="宋体"/>
                <w:sz w:val="18"/>
              </w:rPr>
              <w:t>-</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5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七、25</w:t>
            </w: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383"/>
              <w:jc w:val="right"/>
              <w:rPr>
                <w:rFonts w:ascii="宋体" w:hAnsi="宋体" w:cs="宋体" w:eastAsia="宋体" w:hint="default"/>
                <w:sz w:val="18"/>
                <w:szCs w:val="18"/>
              </w:rPr>
            </w:pPr>
            <w:r>
              <w:rPr>
                <w:rFonts w:ascii="宋体"/>
                <w:sz w:val="18"/>
              </w:rPr>
              <w:t>-</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823,845.00</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383"/>
              <w:jc w:val="right"/>
              <w:rPr>
                <w:rFonts w:ascii="宋体" w:hAnsi="宋体" w:cs="宋体" w:eastAsia="宋体" w:hint="default"/>
                <w:sz w:val="18"/>
                <w:szCs w:val="18"/>
              </w:rPr>
            </w:pPr>
            <w:r>
              <w:rPr>
                <w:rFonts w:ascii="宋体"/>
                <w:sz w:val="18"/>
              </w:rPr>
              <w:t>-</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378"/>
              <w:jc w:val="right"/>
              <w:rPr>
                <w:rFonts w:ascii="宋体" w:hAnsi="宋体" w:cs="宋体" w:eastAsia="宋体" w:hint="default"/>
                <w:sz w:val="18"/>
                <w:szCs w:val="18"/>
              </w:rPr>
            </w:pPr>
            <w:r>
              <w:rPr>
                <w:rFonts w:ascii="宋体"/>
                <w:sz w:val="18"/>
              </w:rPr>
              <w:t>-</w:t>
            </w:r>
          </w:p>
        </w:tc>
      </w:tr>
      <w:tr>
        <w:trPr>
          <w:trHeight w:val="305"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383"/>
              <w:jc w:val="right"/>
              <w:rPr>
                <w:rFonts w:ascii="宋体" w:hAnsi="宋体" w:cs="宋体" w:eastAsia="宋体" w:hint="default"/>
                <w:sz w:val="18"/>
                <w:szCs w:val="18"/>
              </w:rPr>
            </w:pPr>
            <w:r>
              <w:rPr>
                <w:rFonts w:ascii="宋体"/>
                <w:sz w:val="18"/>
              </w:rPr>
              <w:t>-</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378"/>
              <w:jc w:val="right"/>
              <w:rPr>
                <w:rFonts w:ascii="宋体" w:hAnsi="宋体" w:cs="宋体" w:eastAsia="宋体" w:hint="default"/>
                <w:sz w:val="18"/>
                <w:szCs w:val="18"/>
              </w:rPr>
            </w:pPr>
            <w:r>
              <w:rPr>
                <w:rFonts w:ascii="宋体"/>
                <w:sz w:val="18"/>
              </w:rPr>
              <w:t>-</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383"/>
              <w:jc w:val="right"/>
              <w:rPr>
                <w:rFonts w:ascii="宋体" w:hAnsi="宋体" w:cs="宋体" w:eastAsia="宋体" w:hint="default"/>
                <w:sz w:val="18"/>
                <w:szCs w:val="18"/>
              </w:rPr>
            </w:pPr>
            <w:r>
              <w:rPr>
                <w:rFonts w:ascii="宋体"/>
                <w:sz w:val="18"/>
              </w:rPr>
              <w:t>-</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378"/>
              <w:jc w:val="right"/>
              <w:rPr>
                <w:rFonts w:ascii="宋体" w:hAnsi="宋体" w:cs="宋体" w:eastAsia="宋体" w:hint="default"/>
                <w:sz w:val="18"/>
                <w:szCs w:val="18"/>
              </w:rPr>
            </w:pPr>
            <w:r>
              <w:rPr>
                <w:rFonts w:ascii="宋体"/>
                <w:sz w:val="18"/>
              </w:rPr>
              <w:t>-</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460"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23,000,000.00</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23,823,845.00</w:t>
            </w:r>
          </w:p>
        </w:tc>
      </w:tr>
      <w:tr>
        <w:trPr>
          <w:trHeight w:val="305"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640"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189,237,192.45</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287,723,487.62</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8" w:space="0" w:color="000000"/>
            </w:tcBorders>
          </w:tcPr>
          <w:p>
            <w:pP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75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七、26</w:t>
            </w: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110,000,000.00</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82,000,000.00</w:t>
            </w:r>
          </w:p>
        </w:tc>
      </w:tr>
      <w:tr>
        <w:trPr>
          <w:trHeight w:val="305"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5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七、27</w:t>
            </w: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248,451,758.29</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1,970,902.74</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383"/>
              <w:jc w:val="right"/>
              <w:rPr>
                <w:rFonts w:ascii="宋体" w:hAnsi="宋体" w:cs="宋体" w:eastAsia="宋体" w:hint="default"/>
                <w:sz w:val="18"/>
                <w:szCs w:val="18"/>
              </w:rPr>
            </w:pPr>
            <w:r>
              <w:rPr>
                <w:rFonts w:ascii="宋体"/>
                <w:sz w:val="18"/>
              </w:rPr>
              <w:t>-</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378"/>
              <w:jc w:val="right"/>
              <w:rPr>
                <w:rFonts w:ascii="宋体" w:hAnsi="宋体" w:cs="宋体" w:eastAsia="宋体" w:hint="default"/>
                <w:sz w:val="18"/>
                <w:szCs w:val="18"/>
              </w:rPr>
            </w:pPr>
            <w:r>
              <w:rPr>
                <w:rFonts w:ascii="宋体"/>
                <w:sz w:val="18"/>
              </w:rPr>
              <w:t>-</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5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七、28</w:t>
            </w: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34,823,952.02</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27,805,456.12</w:t>
            </w:r>
          </w:p>
        </w:tc>
      </w:tr>
      <w:tr>
        <w:trPr>
          <w:trHeight w:val="305"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5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七、29</w:t>
            </w: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105,834,381.01</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86,485,262.64</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383"/>
              <w:jc w:val="right"/>
              <w:rPr>
                <w:rFonts w:ascii="宋体" w:hAnsi="宋体" w:cs="宋体" w:eastAsia="宋体" w:hint="default"/>
                <w:sz w:val="18"/>
                <w:szCs w:val="18"/>
              </w:rPr>
            </w:pPr>
            <w:r>
              <w:rPr>
                <w:rFonts w:ascii="宋体"/>
                <w:sz w:val="18"/>
              </w:rPr>
              <w:t>-</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378"/>
              <w:jc w:val="right"/>
              <w:rPr>
                <w:rFonts w:ascii="宋体" w:hAnsi="宋体" w:cs="宋体" w:eastAsia="宋体" w:hint="default"/>
                <w:sz w:val="18"/>
                <w:szCs w:val="18"/>
              </w:rPr>
            </w:pPr>
            <w:r>
              <w:rPr>
                <w:rFonts w:ascii="宋体"/>
                <w:sz w:val="18"/>
              </w:rPr>
              <w:t>-</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归属于母公司股东权益小计</w:t>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499,110,091.32</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198,261,621.50</w:t>
            </w:r>
          </w:p>
        </w:tc>
      </w:tr>
      <w:tr>
        <w:trPr>
          <w:trHeight w:val="305"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27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22,425,493.08</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13,371,475.49</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86" w:right="0"/>
              <w:jc w:val="center"/>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521,535,584.40</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211,633,096.99</w:t>
            </w:r>
          </w:p>
        </w:tc>
      </w:tr>
      <w:tr>
        <w:trPr>
          <w:trHeight w:val="304" w:hRule="exact"/>
        </w:trPr>
        <w:tc>
          <w:tcPr>
            <w:tcW w:w="4006" w:type="dxa"/>
            <w:tcBorders>
              <w:top w:val="single" w:sz="8" w:space="0" w:color="000000"/>
              <w:left w:val="single" w:sz="8" w:space="0" w:color="000000"/>
              <w:bottom w:val="single" w:sz="8" w:space="0" w:color="000000"/>
              <w:right w:val="single" w:sz="4" w:space="0" w:color="000000"/>
            </w:tcBorders>
          </w:tcPr>
          <w:p>
            <w:pPr>
              <w:pStyle w:val="TableParagraph"/>
              <w:spacing w:line="231" w:lineRule="exact"/>
              <w:ind w:left="1225"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750" w:type="dxa"/>
            <w:tcBorders>
              <w:top w:val="single" w:sz="8" w:space="0" w:color="000000"/>
              <w:left w:val="single" w:sz="4" w:space="0" w:color="000000"/>
              <w:bottom w:val="single" w:sz="8" w:space="0" w:color="000000"/>
              <w:right w:val="single" w:sz="4" w:space="0" w:color="000000"/>
            </w:tcBorders>
          </w:tcPr>
          <w:p>
            <w:pPr/>
          </w:p>
        </w:tc>
        <w:tc>
          <w:tcPr>
            <w:tcW w:w="2310" w:type="dxa"/>
            <w:tcBorders>
              <w:top w:val="single" w:sz="8" w:space="0" w:color="000000"/>
              <w:left w:val="single" w:sz="4" w:space="0" w:color="000000"/>
              <w:bottom w:val="single" w:sz="8" w:space="0" w:color="000000"/>
              <w:right w:val="single" w:sz="4" w:space="0" w:color="000000"/>
            </w:tcBorders>
          </w:tcPr>
          <w:p>
            <w:pPr>
              <w:pStyle w:val="TableParagraph"/>
              <w:spacing w:line="231" w:lineRule="exact"/>
              <w:ind w:right="293"/>
              <w:jc w:val="right"/>
              <w:rPr>
                <w:rFonts w:ascii="宋体" w:hAnsi="宋体" w:cs="宋体" w:eastAsia="宋体" w:hint="default"/>
                <w:sz w:val="18"/>
                <w:szCs w:val="18"/>
              </w:rPr>
            </w:pPr>
            <w:r>
              <w:rPr>
                <w:rFonts w:ascii="宋体"/>
                <w:sz w:val="18"/>
              </w:rPr>
              <w:t>710,772,776.85</w:t>
            </w:r>
          </w:p>
        </w:tc>
        <w:tc>
          <w:tcPr>
            <w:tcW w:w="2310" w:type="dxa"/>
            <w:tcBorders>
              <w:top w:val="single" w:sz="8" w:space="0" w:color="000000"/>
              <w:left w:val="single" w:sz="4" w:space="0" w:color="000000"/>
              <w:bottom w:val="single" w:sz="8" w:space="0" w:color="000000"/>
              <w:right w:val="single" w:sz="8" w:space="0" w:color="000000"/>
            </w:tcBorders>
          </w:tcPr>
          <w:p>
            <w:pPr>
              <w:pStyle w:val="TableParagraph"/>
              <w:spacing w:line="231" w:lineRule="exact"/>
              <w:ind w:right="288"/>
              <w:jc w:val="right"/>
              <w:rPr>
                <w:rFonts w:ascii="宋体" w:hAnsi="宋体" w:cs="宋体" w:eastAsia="宋体" w:hint="default"/>
                <w:sz w:val="18"/>
                <w:szCs w:val="18"/>
              </w:rPr>
            </w:pPr>
            <w:r>
              <w:rPr>
                <w:rFonts w:ascii="宋体"/>
                <w:sz w:val="18"/>
              </w:rPr>
              <w:t>499,356,584.61</w:t>
            </w:r>
          </w:p>
        </w:tc>
      </w:tr>
    </w:tbl>
    <w:p>
      <w:pPr>
        <w:spacing w:after="0" w:line="231" w:lineRule="exact"/>
        <w:jc w:val="right"/>
        <w:rPr>
          <w:rFonts w:ascii="宋体" w:hAnsi="宋体" w:cs="宋体" w:eastAsia="宋体" w:hint="default"/>
          <w:sz w:val="18"/>
          <w:szCs w:val="18"/>
        </w:rPr>
        <w:sectPr>
          <w:pgSz w:w="11910" w:h="16840"/>
          <w:pgMar w:header="915" w:footer="1712" w:top="1100" w:bottom="1900" w:left="1140" w:right="114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pStyle w:val="Heading3"/>
        <w:spacing w:line="240" w:lineRule="auto" w:before="26"/>
        <w:ind w:left="0" w:right="16"/>
        <w:jc w:val="center"/>
        <w:rPr>
          <w:rFonts w:ascii="宋体" w:hAnsi="宋体" w:cs="宋体" w:eastAsia="宋体" w:hint="default"/>
          <w:b w:val="0"/>
          <w:bCs w:val="0"/>
        </w:rPr>
      </w:pPr>
      <w:r>
        <w:rPr>
          <w:rFonts w:ascii="宋体" w:hAnsi="宋体" w:cs="宋体" w:eastAsia="宋体" w:hint="default"/>
        </w:rPr>
        <w:t>合 并 利 润</w:t>
      </w:r>
      <w:r>
        <w:rPr>
          <w:rFonts w:ascii="宋体" w:hAnsi="宋体" w:cs="宋体" w:eastAsia="宋体" w:hint="default"/>
          <w:spacing w:val="-5"/>
        </w:rPr>
        <w:t> </w:t>
      </w:r>
      <w:r>
        <w:rPr>
          <w:rFonts w:ascii="宋体" w:hAnsi="宋体" w:cs="宋体" w:eastAsia="宋体" w:hint="default"/>
        </w:rPr>
        <w:t>表</w:t>
      </w:r>
      <w:r>
        <w:rPr>
          <w:rFonts w:ascii="宋体" w:hAnsi="宋体" w:cs="宋体" w:eastAsia="宋体" w:hint="default"/>
          <w:b w:val="0"/>
          <w:bCs w:val="0"/>
        </w:rPr>
      </w:r>
    </w:p>
    <w:p>
      <w:pPr>
        <w:spacing w:before="123"/>
        <w:ind w:left="0" w:right="17" w:firstLine="0"/>
        <w:jc w:val="center"/>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7750" w:val="left" w:leader="none"/>
        </w:tabs>
        <w:spacing w:before="147"/>
        <w:ind w:left="0" w:right="14"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编制单位:东港安全印刷股份有限公司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2"/>
        <w:rPr>
          <w:rFonts w:ascii="宋体" w:hAnsi="宋体" w:cs="宋体" w:eastAsia="宋体" w:hint="default"/>
          <w:b/>
          <w:bCs/>
          <w:sz w:val="8"/>
          <w:szCs w:val="8"/>
        </w:rPr>
      </w:pPr>
    </w:p>
    <w:tbl>
      <w:tblPr>
        <w:tblW w:w="0" w:type="auto"/>
        <w:jc w:val="left"/>
        <w:tblInd w:w="107" w:type="dxa"/>
        <w:tblLayout w:type="fixed"/>
        <w:tblCellMar>
          <w:top w:w="0" w:type="dxa"/>
          <w:left w:w="0" w:type="dxa"/>
          <w:bottom w:w="0" w:type="dxa"/>
          <w:right w:w="0" w:type="dxa"/>
        </w:tblCellMar>
        <w:tblLook w:val="01E0"/>
      </w:tblPr>
      <w:tblGrid>
        <w:gridCol w:w="4986"/>
        <w:gridCol w:w="756"/>
        <w:gridCol w:w="1926"/>
        <w:gridCol w:w="1926"/>
      </w:tblGrid>
      <w:tr>
        <w:trPr>
          <w:trHeight w:val="390" w:hRule="exact"/>
        </w:trPr>
        <w:tc>
          <w:tcPr>
            <w:tcW w:w="4986" w:type="dxa"/>
            <w:tcBorders>
              <w:top w:val="single" w:sz="8" w:space="0" w:color="000000"/>
              <w:left w:val="single" w:sz="8" w:space="0" w:color="000000"/>
              <w:bottom w:val="single" w:sz="4" w:space="0" w:color="000000"/>
              <w:right w:val="single" w:sz="4" w:space="0" w:color="000000"/>
            </w:tcBorders>
          </w:tcPr>
          <w:p>
            <w:pPr>
              <w:pStyle w:val="TableParagraph"/>
              <w:tabs>
                <w:tab w:pos="989" w:val="left" w:leader="none"/>
              </w:tabs>
              <w:spacing w:line="240" w:lineRule="auto" w:before="40"/>
              <w:ind w:left="86"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75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0"/>
              <w:ind w:left="146" w:right="0"/>
              <w:jc w:val="left"/>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2"/>
                <w:sz w:val="18"/>
                <w:szCs w:val="18"/>
              </w:rPr>
              <w:t> </w:t>
            </w:r>
            <w:r>
              <w:rPr>
                <w:rFonts w:ascii="宋体" w:hAnsi="宋体" w:cs="宋体" w:eastAsia="宋体" w:hint="default"/>
                <w:b/>
                <w:bCs/>
                <w:sz w:val="18"/>
                <w:szCs w:val="18"/>
              </w:rPr>
              <w:t>释</w:t>
            </w:r>
            <w:r>
              <w:rPr>
                <w:rFonts w:ascii="宋体" w:hAnsi="宋体" w:cs="宋体" w:eastAsia="宋体" w:hint="default"/>
                <w:sz w:val="18"/>
                <w:szCs w:val="18"/>
              </w:rPr>
            </w:r>
          </w:p>
        </w:tc>
        <w:tc>
          <w:tcPr>
            <w:tcW w:w="192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1926"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七、30</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468,661,577.47</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415,751,481.42</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458"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七、30</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468,661,577.47</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415,751,481.42</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398,490,553.63</w:t>
            </w:r>
          </w:p>
        </w:tc>
        <w:tc>
          <w:tcPr>
            <w:tcW w:w="1926"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350,829,094.73</w:t>
            </w:r>
          </w:p>
        </w:tc>
      </w:tr>
      <w:tr>
        <w:trPr>
          <w:trHeight w:val="384"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458"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七、30</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313,312,566.28</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279,352,389.84</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9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七、31</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193,009.80</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142,224.11</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9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七、32</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57,758,980.11</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42,980,995.10</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9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七、33</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25,720,220.97</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19,613,434.26</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9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七、34</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2,194,328.90</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5,337,587.57</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9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七、35</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-688,552.43</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3,402,463.85</w:t>
            </w:r>
          </w:p>
        </w:tc>
      </w:tr>
      <w:tr>
        <w:trPr>
          <w:trHeight w:val="384"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458"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756"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1"/>
              <w:jc w:val="right"/>
              <w:rPr>
                <w:rFonts w:ascii="宋体" w:hAnsi="宋体" w:cs="宋体" w:eastAsia="宋体" w:hint="default"/>
                <w:sz w:val="18"/>
                <w:szCs w:val="18"/>
              </w:rPr>
            </w:pPr>
            <w:r>
              <w:rPr>
                <w:rFonts w:ascii="宋体"/>
                <w:sz w:val="18"/>
              </w:rPr>
              <w:t>-</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186"/>
              <w:jc w:val="right"/>
              <w:rPr>
                <w:rFonts w:ascii="宋体" w:hAnsi="宋体" w:cs="宋体" w:eastAsia="宋体" w:hint="default"/>
                <w:sz w:val="18"/>
                <w:szCs w:val="18"/>
              </w:rPr>
            </w:pPr>
            <w:r>
              <w:rPr>
                <w:rFonts w:ascii="宋体"/>
                <w:sz w:val="18"/>
              </w:rPr>
              <w:t>-</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818"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756"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1"/>
              <w:jc w:val="right"/>
              <w:rPr>
                <w:rFonts w:ascii="宋体" w:hAnsi="宋体" w:cs="宋体" w:eastAsia="宋体" w:hint="default"/>
                <w:sz w:val="18"/>
                <w:szCs w:val="18"/>
              </w:rPr>
            </w:pPr>
            <w:r>
              <w:rPr>
                <w:rFonts w:ascii="宋体"/>
                <w:sz w:val="18"/>
              </w:rPr>
              <w:t>-</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186"/>
              <w:jc w:val="right"/>
              <w:rPr>
                <w:rFonts w:ascii="宋体" w:hAnsi="宋体" w:cs="宋体" w:eastAsia="宋体" w:hint="default"/>
                <w:sz w:val="18"/>
                <w:szCs w:val="18"/>
              </w:rPr>
            </w:pPr>
            <w:r>
              <w:rPr>
                <w:rFonts w:ascii="宋体"/>
                <w:sz w:val="18"/>
              </w:rPr>
              <w:t>-</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9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756"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1"/>
              <w:jc w:val="right"/>
              <w:rPr>
                <w:rFonts w:ascii="宋体" w:hAnsi="宋体" w:cs="宋体" w:eastAsia="宋体" w:hint="default"/>
                <w:sz w:val="18"/>
                <w:szCs w:val="18"/>
              </w:rPr>
            </w:pPr>
            <w:r>
              <w:rPr>
                <w:rFonts w:ascii="宋体"/>
                <w:sz w:val="18"/>
              </w:rPr>
              <w:t>-</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186"/>
              <w:jc w:val="right"/>
              <w:rPr>
                <w:rFonts w:ascii="宋体" w:hAnsi="宋体" w:cs="宋体" w:eastAsia="宋体" w:hint="default"/>
                <w:sz w:val="18"/>
                <w:szCs w:val="18"/>
              </w:rPr>
            </w:pPr>
            <w:r>
              <w:rPr>
                <w:rFonts w:ascii="宋体"/>
                <w:sz w:val="18"/>
              </w:rPr>
              <w:t>-</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b/>
                <w:bCs/>
                <w:sz w:val="18"/>
                <w:szCs w:val="18"/>
              </w:rPr>
              <w:t>三、营业利润（损失以“－”号填列）</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70,171,023.84</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64,922,386.69</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48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七、36</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1,845,844.81</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582,780.21</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54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七、37</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727,267.61</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513,249.36</w:t>
            </w:r>
          </w:p>
        </w:tc>
      </w:tr>
      <w:tr>
        <w:trPr>
          <w:trHeight w:val="384"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728"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七、37</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107,454.40</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767,676,605.72</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四、利润总额（亏损总额以“－”号填列</w:t>
            </w:r>
            <w:r>
              <w:rPr>
                <w:rFonts w:ascii="宋体" w:hAnsi="宋体" w:cs="宋体" w:eastAsia="宋体" w:hint="default"/>
                <w:sz w:val="18"/>
                <w:szCs w:val="18"/>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71,289,601.04</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64,991,917.54</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54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七、38</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8,433,144.72</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6,426,575.28</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b/>
                <w:bCs/>
                <w:sz w:val="18"/>
                <w:szCs w:val="18"/>
              </w:rPr>
              <w:t>五、净利润（净亏损以"－"号填列）</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62,856,456.32</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58,565,342.26</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548"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756"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56,067,614.27</w:t>
            </w:r>
          </w:p>
        </w:tc>
        <w:tc>
          <w:tcPr>
            <w:tcW w:w="1926"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52,627,483.53</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548"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756"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6,788,842.05</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5,937,858.73</w:t>
            </w:r>
          </w:p>
        </w:tc>
      </w:tr>
      <w:tr>
        <w:trPr>
          <w:trHeight w:val="384"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548" w:right="0"/>
              <w:jc w:val="left"/>
              <w:rPr>
                <w:rFonts w:ascii="宋体" w:hAnsi="宋体" w:cs="宋体" w:eastAsia="宋体" w:hint="default"/>
                <w:sz w:val="18"/>
                <w:szCs w:val="18"/>
              </w:rPr>
            </w:pPr>
            <w:r>
              <w:rPr>
                <w:rFonts w:ascii="宋体" w:hAnsi="宋体" w:cs="宋体" w:eastAsia="宋体" w:hint="default"/>
                <w:sz w:val="18"/>
                <w:szCs w:val="18"/>
              </w:rPr>
              <w:t>同一控制下企业合并被合并方在合并日前实现的净利润</w:t>
            </w:r>
          </w:p>
        </w:tc>
        <w:tc>
          <w:tcPr>
            <w:tcW w:w="756"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1"/>
              <w:jc w:val="right"/>
              <w:rPr>
                <w:rFonts w:ascii="宋体" w:hAnsi="宋体" w:cs="宋体" w:eastAsia="宋体" w:hint="default"/>
                <w:sz w:val="18"/>
                <w:szCs w:val="18"/>
              </w:rPr>
            </w:pPr>
            <w:r>
              <w:rPr>
                <w:rFonts w:ascii="宋体"/>
                <w:sz w:val="18"/>
              </w:rPr>
              <w:t>-</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186"/>
              <w:jc w:val="right"/>
              <w:rPr>
                <w:rFonts w:ascii="宋体" w:hAnsi="宋体" w:cs="宋体" w:eastAsia="宋体" w:hint="default"/>
                <w:sz w:val="18"/>
                <w:szCs w:val="18"/>
              </w:rPr>
            </w:pPr>
            <w:r>
              <w:rPr>
                <w:rFonts w:ascii="宋体"/>
                <w:sz w:val="18"/>
              </w:rPr>
              <w:t>-</w:t>
            </w: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b/>
                <w:bCs/>
                <w:sz w:val="18"/>
                <w:szCs w:val="18"/>
              </w:rPr>
              <w:t>六、每股收益：</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8" w:space="0" w:color="000000"/>
            </w:tcBorders>
          </w:tcPr>
          <w:p>
            <w:pPr/>
          </w:p>
        </w:tc>
      </w:tr>
      <w:tr>
        <w:trPr>
          <w:trHeight w:val="385" w:hRule="exact"/>
        </w:trPr>
        <w:tc>
          <w:tcPr>
            <w:tcW w:w="498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45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七、39</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0.53</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0.64</w:t>
            </w:r>
          </w:p>
        </w:tc>
      </w:tr>
      <w:tr>
        <w:trPr>
          <w:trHeight w:val="391" w:hRule="exact"/>
        </w:trPr>
        <w:tc>
          <w:tcPr>
            <w:tcW w:w="498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40"/>
              <w:ind w:left="45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75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七、39</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0.53</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0.64</w:t>
            </w:r>
          </w:p>
        </w:tc>
      </w:tr>
    </w:tbl>
    <w:p>
      <w:pPr>
        <w:spacing w:after="0" w:line="240" w:lineRule="auto"/>
        <w:jc w:val="right"/>
        <w:rPr>
          <w:rFonts w:ascii="宋体" w:hAnsi="宋体" w:cs="宋体" w:eastAsia="宋体" w:hint="default"/>
          <w:sz w:val="18"/>
          <w:szCs w:val="18"/>
        </w:rPr>
        <w:sectPr>
          <w:headerReference w:type="default" r:id="rId35"/>
          <w:pgSz w:w="11910" w:h="16840"/>
          <w:pgMar w:header="840" w:footer="1712" w:top="1160" w:bottom="1900" w:left="1040" w:right="1020"/>
        </w:sectPr>
      </w:pPr>
    </w:p>
    <w:p>
      <w:pPr>
        <w:spacing w:line="240" w:lineRule="auto" w:before="0"/>
        <w:rPr>
          <w:rFonts w:ascii="宋体" w:hAnsi="宋体" w:cs="宋体" w:eastAsia="宋体" w:hint="default"/>
          <w:b/>
          <w:bCs/>
          <w:sz w:val="20"/>
          <w:szCs w:val="20"/>
        </w:rPr>
      </w:pPr>
    </w:p>
    <w:p>
      <w:pPr>
        <w:pStyle w:val="Heading3"/>
        <w:spacing w:line="240" w:lineRule="auto" w:before="166"/>
        <w:ind w:left="0" w:right="15"/>
        <w:jc w:val="center"/>
        <w:rPr>
          <w:rFonts w:ascii="宋体" w:hAnsi="宋体" w:cs="宋体" w:eastAsia="宋体" w:hint="default"/>
          <w:b w:val="0"/>
          <w:bCs w:val="0"/>
        </w:rPr>
      </w:pPr>
      <w:r>
        <w:rPr>
          <w:rFonts w:ascii="宋体" w:hAnsi="宋体" w:cs="宋体" w:eastAsia="宋体" w:hint="default"/>
        </w:rPr>
        <w:t>合并现金流量表</w:t>
      </w:r>
      <w:r>
        <w:rPr>
          <w:rFonts w:ascii="宋体" w:hAnsi="宋体" w:cs="宋体" w:eastAsia="宋体" w:hint="default"/>
          <w:b w:val="0"/>
          <w:bCs w:val="0"/>
        </w:rPr>
      </w:r>
    </w:p>
    <w:p>
      <w:pPr>
        <w:spacing w:before="31"/>
        <w:ind w:left="0" w:right="17" w:firstLine="0"/>
        <w:jc w:val="center"/>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7750" w:val="left" w:leader="none"/>
        </w:tabs>
        <w:spacing w:before="49"/>
        <w:ind w:left="0" w:right="15" w:firstLine="0"/>
        <w:jc w:val="center"/>
        <w:rPr>
          <w:rFonts w:ascii="宋体" w:hAnsi="宋体" w:cs="宋体" w:eastAsia="宋体" w:hint="default"/>
          <w:sz w:val="18"/>
          <w:szCs w:val="18"/>
        </w:rPr>
      </w:pPr>
      <w:r>
        <w:rPr>
          <w:rFonts w:ascii="宋体" w:hAnsi="宋体" w:cs="宋体" w:eastAsia="宋体" w:hint="default"/>
          <w:b/>
          <w:bCs/>
          <w:sz w:val="18"/>
          <w:szCs w:val="18"/>
        </w:rPr>
        <w:t>编制单位：</w:t>
      </w:r>
      <w:r>
        <w:rPr>
          <w:rFonts w:ascii="宋体" w:hAnsi="宋体" w:cs="宋体" w:eastAsia="宋体" w:hint="default"/>
          <w:b/>
          <w:bCs/>
          <w:spacing w:val="-3"/>
          <w:sz w:val="18"/>
          <w:szCs w:val="18"/>
        </w:rPr>
        <w:t> </w:t>
      </w:r>
      <w:r>
        <w:rPr>
          <w:rFonts w:ascii="宋体" w:hAnsi="宋体" w:cs="宋体" w:eastAsia="宋体" w:hint="default"/>
          <w:b/>
          <w:bCs/>
          <w:sz w:val="18"/>
          <w:szCs w:val="18"/>
        </w:rPr>
        <w:t>东港安全印刷股份有限公司</w:t>
        <w:tab/>
        <w:t>金额单位：人民币元</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07" w:type="dxa"/>
        <w:tblLayout w:type="fixed"/>
        <w:tblCellMar>
          <w:top w:w="0" w:type="dxa"/>
          <w:left w:w="0" w:type="dxa"/>
          <w:bottom w:w="0" w:type="dxa"/>
          <w:right w:w="0" w:type="dxa"/>
        </w:tblCellMar>
        <w:tblLook w:val="01E0"/>
      </w:tblPr>
      <w:tblGrid>
        <w:gridCol w:w="5076"/>
        <w:gridCol w:w="756"/>
        <w:gridCol w:w="1746"/>
        <w:gridCol w:w="2016"/>
      </w:tblGrid>
      <w:tr>
        <w:trPr>
          <w:trHeight w:val="299" w:hRule="exact"/>
        </w:trPr>
        <w:tc>
          <w:tcPr>
            <w:tcW w:w="5076" w:type="dxa"/>
            <w:tcBorders>
              <w:top w:val="single" w:sz="8" w:space="0" w:color="000000"/>
              <w:left w:val="single" w:sz="8" w:space="0" w:color="000000"/>
              <w:bottom w:val="single" w:sz="4" w:space="0" w:color="000000"/>
              <w:right w:val="single" w:sz="4" w:space="0" w:color="000000"/>
            </w:tcBorders>
          </w:tcPr>
          <w:p>
            <w:pPr>
              <w:pStyle w:val="TableParagraph"/>
              <w:tabs>
                <w:tab w:pos="1270" w:val="left" w:leader="none"/>
              </w:tabs>
              <w:spacing w:line="231" w:lineRule="exact"/>
              <w:ind w:right="1"/>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756" w:type="dxa"/>
            <w:tcBorders>
              <w:top w:val="single" w:sz="8" w:space="0" w:color="000000"/>
              <w:left w:val="single" w:sz="4" w:space="0" w:color="000000"/>
              <w:bottom w:val="single" w:sz="4" w:space="0" w:color="000000"/>
              <w:right w:val="single" w:sz="4" w:space="0" w:color="000000"/>
            </w:tcBorders>
          </w:tcPr>
          <w:p>
            <w:pPr>
              <w:pStyle w:val="TableParagraph"/>
              <w:spacing w:line="231" w:lineRule="exact"/>
              <w:ind w:left="8"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1746" w:type="dxa"/>
            <w:tcBorders>
              <w:top w:val="single" w:sz="8" w:space="0" w:color="000000"/>
              <w:left w:val="single" w:sz="4" w:space="0" w:color="000000"/>
              <w:bottom w:val="single" w:sz="4" w:space="0" w:color="000000"/>
              <w:right w:val="single" w:sz="4" w:space="0" w:color="000000"/>
            </w:tcBorders>
          </w:tcPr>
          <w:p>
            <w:pPr>
              <w:pStyle w:val="TableParagraph"/>
              <w:spacing w:line="231"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2016" w:type="dxa"/>
            <w:tcBorders>
              <w:top w:val="single" w:sz="8" w:space="0" w:color="000000"/>
              <w:left w:val="single" w:sz="4" w:space="0" w:color="000000"/>
              <w:bottom w:val="single" w:sz="4" w:space="0" w:color="000000"/>
              <w:right w:val="single" w:sz="8" w:space="0" w:color="000000"/>
            </w:tcBorders>
          </w:tcPr>
          <w:p>
            <w:pPr>
              <w:pStyle w:val="TableParagraph"/>
              <w:spacing w:line="231" w:lineRule="exact"/>
              <w:ind w:left="7"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569,113,653.36</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456,388,869.59</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221,504.71</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12,300.00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七、40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8,756,746.81</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1,949,568.00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578,091,904.88</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458,350,737.59</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350,953,061.20</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264,912,048.09</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45,924,257.48</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39,324,215.05</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41,800,346.56</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35,595,406.63</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七、41</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65,631,745.91</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42,347,119.84</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504,309,411.15</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382,178,789.61</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732"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73,782,493.73</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76,171,947.98</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81"/>
              <w:jc w:val="right"/>
              <w:rPr>
                <w:rFonts w:ascii="宋体" w:hAnsi="宋体" w:cs="宋体" w:eastAsia="宋体" w:hint="default"/>
                <w:sz w:val="18"/>
                <w:szCs w:val="18"/>
              </w:rPr>
            </w:pPr>
            <w:r>
              <w:rPr>
                <w:rFonts w:ascii="宋体"/>
                <w:sz w:val="18"/>
              </w:rPr>
              <w:t>-</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276"/>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81"/>
              <w:jc w:val="right"/>
              <w:rPr>
                <w:rFonts w:ascii="宋体" w:hAnsi="宋体" w:cs="宋体" w:eastAsia="宋体" w:hint="default"/>
                <w:sz w:val="18"/>
                <w:szCs w:val="18"/>
              </w:rPr>
            </w:pPr>
            <w:r>
              <w:rPr>
                <w:rFonts w:ascii="宋体"/>
                <w:sz w:val="18"/>
              </w:rPr>
              <w:t>-</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276"/>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2,683,854.15</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4,278,749.33</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81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276"/>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七、42</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2,969,886.54</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276"/>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5,653,740.69</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4,278,749.33</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95,575,902.89</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85,325,442.47</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15,000,000.00</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4,495,000.00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15,000,000.00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276"/>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110,575,902.89</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104,820,442.47</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732"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-104,922,162.20</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-100,541,693.14</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283,566,579.26</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276"/>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7,041,779.26</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276"/>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10,000,000.00</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180,460,000.00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81"/>
              <w:jc w:val="right"/>
              <w:rPr>
                <w:rFonts w:ascii="宋体" w:hAnsi="宋体" w:cs="宋体" w:eastAsia="宋体" w:hint="default"/>
                <w:sz w:val="18"/>
                <w:szCs w:val="18"/>
              </w:rPr>
            </w:pPr>
            <w:r>
              <w:rPr>
                <w:rFonts w:ascii="宋体"/>
                <w:sz w:val="18"/>
              </w:rPr>
              <w:t>-</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276"/>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293,566,579.26</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180,460,000.00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107,460,000.00</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111,280,000.00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49,935,461.17</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31,832,246.50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4,700,397.51</w:t>
            </w:r>
          </w:p>
        </w:tc>
        <w:tc>
          <w:tcPr>
            <w:tcW w:w="2016"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七、43</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1,949,944.45</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276"/>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159,345,405.62</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143,112,246.50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732"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134,221,173.64</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37,347,753.50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81"/>
              <w:jc w:val="right"/>
              <w:rPr>
                <w:rFonts w:ascii="宋体" w:hAnsi="宋体" w:cs="宋体" w:eastAsia="宋体" w:hint="default"/>
                <w:sz w:val="18"/>
                <w:szCs w:val="18"/>
              </w:rPr>
            </w:pPr>
            <w:r>
              <w:rPr>
                <w:rFonts w:ascii="宋体"/>
                <w:sz w:val="18"/>
              </w:rPr>
              <w:t>-</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276"/>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103,081,505.17</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12,978,008.34</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81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5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75,389,695.93</w:t>
            </w:r>
          </w:p>
        </w:tc>
        <w:tc>
          <w:tcPr>
            <w:tcW w:w="2016"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62,411,687.59</w:t>
            </w:r>
          </w:p>
        </w:tc>
      </w:tr>
      <w:tr>
        <w:trPr>
          <w:trHeight w:val="299" w:hRule="exact"/>
        </w:trPr>
        <w:tc>
          <w:tcPr>
            <w:tcW w:w="5076" w:type="dxa"/>
            <w:tcBorders>
              <w:top w:val="single" w:sz="4" w:space="0" w:color="000000"/>
              <w:left w:val="single" w:sz="8" w:space="0" w:color="000000"/>
              <w:bottom w:val="single" w:sz="8"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56" w:type="dxa"/>
            <w:tcBorders>
              <w:top w:val="single" w:sz="4" w:space="0" w:color="000000"/>
              <w:left w:val="single" w:sz="4" w:space="0" w:color="000000"/>
              <w:bottom w:val="single" w:sz="8" w:space="0" w:color="000000"/>
              <w:right w:val="single" w:sz="4" w:space="0" w:color="000000"/>
            </w:tcBorders>
          </w:tcPr>
          <w:p>
            <w:pPr/>
          </w:p>
        </w:tc>
        <w:tc>
          <w:tcPr>
            <w:tcW w:w="1746" w:type="dxa"/>
            <w:tcBorders>
              <w:top w:val="single" w:sz="4" w:space="0" w:color="000000"/>
              <w:left w:val="single" w:sz="4" w:space="0" w:color="000000"/>
              <w:bottom w:val="single" w:sz="8"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178,471,201.10</w:t>
            </w:r>
          </w:p>
        </w:tc>
        <w:tc>
          <w:tcPr>
            <w:tcW w:w="2016" w:type="dxa"/>
            <w:tcBorders>
              <w:top w:val="single" w:sz="4" w:space="0" w:color="000000"/>
              <w:left w:val="single" w:sz="4" w:space="0" w:color="000000"/>
              <w:bottom w:val="single" w:sz="8" w:space="0" w:color="000000"/>
              <w:right w:val="single" w:sz="8" w:space="0" w:color="000000"/>
            </w:tcBorders>
          </w:tcPr>
          <w:p>
            <w:pPr>
              <w:pStyle w:val="TableParagraph"/>
              <w:spacing w:line="231" w:lineRule="exact"/>
              <w:ind w:right="96"/>
              <w:jc w:val="right"/>
              <w:rPr>
                <w:rFonts w:ascii="宋体" w:hAnsi="宋体" w:cs="宋体" w:eastAsia="宋体" w:hint="default"/>
                <w:sz w:val="18"/>
                <w:szCs w:val="18"/>
              </w:rPr>
            </w:pPr>
            <w:r>
              <w:rPr>
                <w:rFonts w:ascii="宋体"/>
                <w:sz w:val="18"/>
              </w:rPr>
              <w:t>75,389,695.93</w:t>
            </w:r>
          </w:p>
        </w:tc>
      </w:tr>
    </w:tbl>
    <w:p>
      <w:pPr>
        <w:spacing w:after="0" w:line="231" w:lineRule="exact"/>
        <w:jc w:val="right"/>
        <w:rPr>
          <w:rFonts w:ascii="宋体" w:hAnsi="宋体" w:cs="宋体" w:eastAsia="宋体" w:hint="default"/>
          <w:sz w:val="18"/>
          <w:szCs w:val="18"/>
        </w:rPr>
        <w:sectPr>
          <w:pgSz w:w="11910" w:h="16840"/>
          <w:pgMar w:header="840" w:footer="1712" w:top="1160" w:bottom="1900" w:left="104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pStyle w:val="Heading3"/>
        <w:spacing w:line="240" w:lineRule="auto" w:before="26"/>
        <w:ind w:left="1" w:right="0"/>
        <w:jc w:val="center"/>
        <w:rPr>
          <w:rFonts w:ascii="宋体" w:hAnsi="宋体" w:cs="宋体" w:eastAsia="宋体" w:hint="default"/>
          <w:b w:val="0"/>
          <w:bCs w:val="0"/>
        </w:rPr>
      </w:pPr>
      <w:r>
        <w:rPr>
          <w:rFonts w:ascii="宋体" w:hAnsi="宋体" w:cs="宋体" w:eastAsia="宋体" w:hint="default"/>
        </w:rPr>
        <w:t>资 产 负 债</w:t>
      </w:r>
      <w:r>
        <w:rPr>
          <w:rFonts w:ascii="宋体" w:hAnsi="宋体" w:cs="宋体" w:eastAsia="宋体" w:hint="default"/>
          <w:spacing w:val="-5"/>
        </w:rPr>
        <w:t> </w:t>
      </w:r>
      <w:r>
        <w:rPr>
          <w:rFonts w:ascii="宋体" w:hAnsi="宋体" w:cs="宋体" w:eastAsia="宋体" w:hint="default"/>
        </w:rPr>
        <w:t>表</w:t>
      </w:r>
      <w:r>
        <w:rPr>
          <w:rFonts w:ascii="宋体" w:hAnsi="宋体" w:cs="宋体" w:eastAsia="宋体" w:hint="default"/>
          <w:b w:val="0"/>
          <w:bCs w:val="0"/>
        </w:rPr>
      </w:r>
    </w:p>
    <w:p>
      <w:pPr>
        <w:spacing w:before="73"/>
        <w:ind w:left="47" w:right="0" w:firstLine="0"/>
        <w:jc w:val="center"/>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pacing w:val="15"/>
          <w:sz w:val="18"/>
          <w:szCs w:val="18"/>
        </w:rPr>
        <w:t>31日</w:t>
      </w:r>
      <w:r>
        <w:rPr>
          <w:rFonts w:ascii="宋体" w:hAnsi="宋体" w:cs="宋体" w:eastAsia="宋体" w:hint="default"/>
          <w:b/>
          <w:bCs/>
          <w:spacing w:val="-44"/>
          <w:sz w:val="18"/>
          <w:szCs w:val="18"/>
        </w:rPr>
        <w:t> </w:t>
      </w:r>
      <w:r>
        <w:rPr>
          <w:rFonts w:ascii="宋体" w:hAnsi="宋体" w:cs="宋体" w:eastAsia="宋体" w:hint="default"/>
          <w:sz w:val="18"/>
          <w:szCs w:val="18"/>
        </w:rPr>
      </w:r>
    </w:p>
    <w:p>
      <w:pPr>
        <w:tabs>
          <w:tab w:pos="7417" w:val="left" w:leader="none"/>
        </w:tabs>
        <w:spacing w:before="105"/>
        <w:ind w:left="2"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编制单位:东港安全印刷股份有限公司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6"/>
          <w:szCs w:val="6"/>
        </w:rPr>
      </w:pPr>
    </w:p>
    <w:tbl>
      <w:tblPr>
        <w:tblW w:w="0" w:type="auto"/>
        <w:jc w:val="left"/>
        <w:tblInd w:w="113" w:type="dxa"/>
        <w:tblLayout w:type="fixed"/>
        <w:tblCellMar>
          <w:top w:w="0" w:type="dxa"/>
          <w:left w:w="0" w:type="dxa"/>
          <w:bottom w:w="0" w:type="dxa"/>
          <w:right w:w="0" w:type="dxa"/>
        </w:tblCellMar>
        <w:tblLook w:val="01E0"/>
      </w:tblPr>
      <w:tblGrid>
        <w:gridCol w:w="4006"/>
        <w:gridCol w:w="634"/>
        <w:gridCol w:w="2310"/>
        <w:gridCol w:w="2310"/>
      </w:tblGrid>
      <w:tr>
        <w:trPr>
          <w:trHeight w:val="482" w:hRule="exact"/>
        </w:trPr>
        <w:tc>
          <w:tcPr>
            <w:tcW w:w="4006" w:type="dxa"/>
            <w:tcBorders>
              <w:top w:val="single" w:sz="8" w:space="0" w:color="000000"/>
              <w:left w:val="single" w:sz="8" w:space="0" w:color="000000"/>
              <w:bottom w:val="single" w:sz="4" w:space="0" w:color="000000"/>
              <w:right w:val="single" w:sz="4" w:space="0" w:color="000000"/>
            </w:tcBorders>
          </w:tcPr>
          <w:p>
            <w:pPr>
              <w:pStyle w:val="TableParagraph"/>
              <w:tabs>
                <w:tab w:pos="808" w:val="left" w:leader="none"/>
              </w:tabs>
              <w:spacing w:line="240" w:lineRule="auto" w:before="87"/>
              <w:ind w:left="86" w:right="0"/>
              <w:jc w:val="center"/>
              <w:rPr>
                <w:rFonts w:ascii="宋体" w:hAnsi="宋体" w:cs="宋体" w:eastAsia="宋体" w:hint="default"/>
                <w:sz w:val="18"/>
                <w:szCs w:val="18"/>
              </w:rPr>
            </w:pPr>
            <w:r>
              <w:rPr>
                <w:rFonts w:ascii="宋体" w:hAnsi="宋体" w:cs="宋体" w:eastAsia="宋体" w:hint="default"/>
                <w:b/>
                <w:bCs/>
                <w:w w:val="95"/>
                <w:sz w:val="18"/>
                <w:szCs w:val="18"/>
              </w:rPr>
              <w:t>资</w:t>
              <w:tab/>
            </w:r>
            <w:r>
              <w:rPr>
                <w:rFonts w:ascii="宋体" w:hAnsi="宋体" w:cs="宋体" w:eastAsia="宋体" w:hint="default"/>
                <w:b/>
                <w:bCs/>
                <w:sz w:val="18"/>
                <w:szCs w:val="18"/>
              </w:rPr>
              <w:t>产</w:t>
            </w:r>
            <w:r>
              <w:rPr>
                <w:rFonts w:ascii="宋体" w:hAnsi="宋体" w:cs="宋体" w:eastAsia="宋体" w:hint="default"/>
                <w:sz w:val="18"/>
                <w:szCs w:val="18"/>
              </w:rPr>
            </w:r>
          </w:p>
        </w:tc>
        <w:tc>
          <w:tcPr>
            <w:tcW w:w="634" w:type="dxa"/>
            <w:tcBorders>
              <w:top w:val="single" w:sz="8"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注</w:t>
            </w:r>
            <w:r>
              <w:rPr>
                <w:rFonts w:ascii="宋体" w:hAnsi="宋体" w:cs="宋体" w:eastAsia="宋体" w:hint="default"/>
                <w:sz w:val="18"/>
                <w:szCs w:val="18"/>
              </w:rPr>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释</w:t>
            </w:r>
            <w:r>
              <w:rPr>
                <w:rFonts w:ascii="宋体" w:hAnsi="宋体" w:cs="宋体" w:eastAsia="宋体" w:hint="default"/>
                <w:sz w:val="18"/>
                <w:szCs w:val="18"/>
              </w:rPr>
            </w:r>
          </w:p>
        </w:tc>
        <w:tc>
          <w:tcPr>
            <w:tcW w:w="23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231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110,196,390.93</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56,460,687.54</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11"/>
                <w:sz w:val="18"/>
                <w:szCs w:val="18"/>
              </w:rPr>
              <w:t>八、1</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61,347,634.69</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48,002,893.35</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1,161,869.58</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2,024,927.42</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11"/>
                <w:sz w:val="18"/>
                <w:szCs w:val="18"/>
              </w:rPr>
              <w:t>八、2</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19,668,760.02</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9,917,338.42</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39,194,680.43</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21,750,509.12</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224,057.91</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634,631.97</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231,793,393.56</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138,790,987.82</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pacing w:val="-11"/>
                <w:sz w:val="18"/>
                <w:szCs w:val="18"/>
              </w:rPr>
              <w:t>八、3</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118,415,555.00</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51,086,055.00</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210,002,145.69</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168,776,505.30</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12,861,284.18</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24,703,480.61</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29,342,030.81</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22,448,261.27</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757,702.16</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987,224.58</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636,504.48</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565,353.93</w:t>
            </w:r>
          </w:p>
        </w:tc>
      </w:tr>
      <w:tr>
        <w:trPr>
          <w:trHeight w:val="349"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3"/>
              <w:jc w:val="right"/>
              <w:rPr>
                <w:rFonts w:ascii="宋体" w:hAnsi="宋体" w:cs="宋体" w:eastAsia="宋体" w:hint="default"/>
                <w:sz w:val="18"/>
                <w:szCs w:val="18"/>
              </w:rPr>
            </w:pPr>
            <w:r>
              <w:rPr>
                <w:rFonts w:ascii="宋体"/>
                <w:sz w:val="18"/>
              </w:rPr>
              <w:t>-</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78"/>
              <w:jc w:val="right"/>
              <w:rPr>
                <w:rFonts w:ascii="宋体" w:hAnsi="宋体" w:cs="宋体" w:eastAsia="宋体" w:hint="default"/>
                <w:sz w:val="18"/>
                <w:szCs w:val="18"/>
              </w:rPr>
            </w:pPr>
            <w:r>
              <w:rPr>
                <w:rFonts w:ascii="宋体"/>
                <w:sz w:val="18"/>
              </w:rPr>
              <w:t>-</w:t>
            </w:r>
          </w:p>
        </w:tc>
      </w:tr>
      <w:tr>
        <w:trPr>
          <w:trHeight w:val="350" w:hRule="exact"/>
        </w:trPr>
        <w:tc>
          <w:tcPr>
            <w:tcW w:w="400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93"/>
              <w:jc w:val="right"/>
              <w:rPr>
                <w:rFonts w:ascii="宋体" w:hAnsi="宋体" w:cs="宋体" w:eastAsia="宋体" w:hint="default"/>
                <w:sz w:val="18"/>
                <w:szCs w:val="18"/>
              </w:rPr>
            </w:pPr>
            <w:r>
              <w:rPr>
                <w:rFonts w:ascii="宋体"/>
                <w:sz w:val="18"/>
              </w:rPr>
              <w:t>372,015,222.32</w:t>
            </w:r>
          </w:p>
        </w:tc>
        <w:tc>
          <w:tcPr>
            <w:tcW w:w="231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288"/>
              <w:jc w:val="right"/>
              <w:rPr>
                <w:rFonts w:ascii="宋体" w:hAnsi="宋体" w:cs="宋体" w:eastAsia="宋体" w:hint="default"/>
                <w:sz w:val="18"/>
                <w:szCs w:val="18"/>
              </w:rPr>
            </w:pPr>
            <w:r>
              <w:rPr>
                <w:rFonts w:ascii="宋体"/>
                <w:sz w:val="18"/>
              </w:rPr>
              <w:t>268,566,880.69</w:t>
            </w:r>
          </w:p>
        </w:tc>
      </w:tr>
    </w:tbl>
    <w:p>
      <w:pPr>
        <w:spacing w:after="0" w:line="240" w:lineRule="auto"/>
        <w:jc w:val="right"/>
        <w:rPr>
          <w:rFonts w:ascii="宋体" w:hAnsi="宋体" w:cs="宋体" w:eastAsia="宋体" w:hint="default"/>
          <w:sz w:val="18"/>
          <w:szCs w:val="18"/>
        </w:rPr>
        <w:sectPr>
          <w:pgSz w:w="11910" w:h="16840"/>
          <w:pgMar w:header="840" w:footer="1712" w:top="1160" w:bottom="1900" w:left="1200" w:right="1200"/>
        </w:sectPr>
      </w:pPr>
    </w:p>
    <w:p>
      <w:pPr>
        <w:spacing w:line="240" w:lineRule="auto" w:before="5"/>
        <w:rPr>
          <w:rFonts w:ascii="Times New Roman" w:hAnsi="Times New Roman" w:cs="Times New Roman" w:eastAsia="Times New Roman" w:hint="default"/>
          <w:sz w:val="17"/>
          <w:szCs w:val="17"/>
        </w:rPr>
      </w:pPr>
      <w:r>
        <w:rPr/>
        <w:pict>
          <v:group style="position:absolute;margin-left:65.219994pt;margin-top:41.999668pt;width:464.4pt;height:34.9pt;mso-position-horizontal-relative:page;mso-position-vertical-relative:page;z-index:-594544" coordorigin="1304,840" coordsize="9288,69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v:group style="position:absolute;left:1324;top:1168;width:2;height:360" coordorigin="1324,1168" coordsize="2,360">
              <v:shape style="position:absolute;left:1324;top:1168;width:2;height:360" coordorigin="1324,1168" coordsize="0,360" path="m1324,1168l1324,1528e" filled="false" stroked="true" strokeweight=".96001pt" strokecolor="#000000">
                <v:path arrowok="t"/>
              </v:shape>
            </v:group>
            <v:group style="position:absolute;left:1314;top:1518;width:4011;height:2" coordorigin="1314,1518" coordsize="4011,2">
              <v:shape style="position:absolute;left:1314;top:1518;width:4011;height:2" coordorigin="1314,1518" coordsize="4011,0" path="m1314,1518l5324,1518e" filled="false" stroked="true" strokeweight=".96002pt" strokecolor="#000000">
                <v:path arrowok="t"/>
              </v:shape>
            </v:group>
            <v:group style="position:absolute;left:5329;top:1168;width:2;height:341" coordorigin="5329,1168" coordsize="2,341">
              <v:shape style="position:absolute;left:5329;top:1168;width:2;height:341" coordorigin="5329,1168" coordsize="0,341" path="m5329,1168l5329,1508e" filled="false" stroked="true" strokeweight=".48001pt" strokecolor="#000000">
                <v:path arrowok="t"/>
              </v:shape>
            </v:group>
            <v:group style="position:absolute;left:5324;top:1518;width:634;height:2" coordorigin="5324,1518" coordsize="634,2">
              <v:shape style="position:absolute;left:5324;top:1518;width:634;height:2" coordorigin="5324,1518" coordsize="634,0" path="m5324,1518l5958,1518e" filled="false" stroked="true" strokeweight=".96002pt" strokecolor="#000000">
                <v:path arrowok="t"/>
              </v:shape>
            </v:group>
            <v:group style="position:absolute;left:5963;top:1168;width:2;height:341" coordorigin="5963,1168" coordsize="2,341">
              <v:shape style="position:absolute;left:5963;top:1168;width:2;height:341" coordorigin="5963,1168" coordsize="0,341" path="m5963,1168l5963,1508e" filled="false" stroked="true" strokeweight=".48001pt" strokecolor="#000000">
                <v:path arrowok="t"/>
              </v:shape>
            </v:group>
            <v:group style="position:absolute;left:5958;top:1518;width:2310;height:2" coordorigin="5958,1518" coordsize="2310,2">
              <v:shape style="position:absolute;left:5958;top:1518;width:2310;height:2" coordorigin="5958,1518" coordsize="2310,0" path="m5958,1518l8268,1518e" filled="false" stroked="true" strokeweight=".96002pt" strokecolor="#000000">
                <v:path arrowok="t"/>
              </v:shape>
            </v:group>
            <v:group style="position:absolute;left:8273;top:1168;width:2;height:341" coordorigin="8273,1168" coordsize="2,341">
              <v:shape style="position:absolute;left:8273;top:1168;width:2;height:341" coordorigin="8273,1168" coordsize="0,341" path="m8273,1168l8273,1508e" filled="false" stroked="true" strokeweight=".48001pt" strokecolor="#000000">
                <v:path arrowok="t"/>
              </v:shape>
            </v:group>
            <v:group style="position:absolute;left:8268;top:1518;width:2306;height:2" coordorigin="8268,1518" coordsize="2306,2">
              <v:shape style="position:absolute;left:8268;top:1518;width:2306;height:2" coordorigin="8268,1518" coordsize="2306,0" path="m8268,1518l10573,1518e" filled="false" stroked="true" strokeweight=".96002pt" strokecolor="#000000">
                <v:path arrowok="t"/>
              </v:shape>
            </v:group>
            <v:group style="position:absolute;left:10583;top:1168;width:2;height:360" coordorigin="10583,1168" coordsize="2,360">
              <v:shape style="position:absolute;left:10583;top:1168;width:2;height:360" coordorigin="10583,1168" coordsize="0,360" path="m10583,1168l10583,1528e" filled="false" stroked="true" strokeweight=".95996pt" strokecolor="#000000">
                <v:path arrowok="t"/>
              </v:shape>
              <v:shape style="position:absolute;left:5963;top:1160;width:2310;height:358" type="#_x0000_t202" filled="false" stroked="false">
                <v:textbox inset="0,0,0,0">
                  <w:txbxContent>
                    <w:p>
                      <w:pPr>
                        <w:spacing w:before="29"/>
                        <w:ind w:left="750" w:right="0" w:firstLine="0"/>
                        <w:jc w:val="left"/>
                        <w:rPr>
                          <w:rFonts w:ascii="宋体" w:hAnsi="宋体" w:cs="宋体" w:eastAsia="宋体" w:hint="default"/>
                          <w:sz w:val="18"/>
                          <w:szCs w:val="18"/>
                        </w:rPr>
                      </w:pPr>
                      <w:r>
                        <w:rPr>
                          <w:rFonts w:ascii="宋体"/>
                          <w:sz w:val="18"/>
                        </w:rPr>
                        <w:t>603,808,615.88</w:t>
                      </w:r>
                    </w:p>
                  </w:txbxContent>
                </v:textbox>
                <w10:wrap type="none"/>
              </v:shape>
              <v:shape style="position:absolute;left:8273;top:1160;width:2310;height:358" type="#_x0000_t202" filled="false" stroked="false">
                <v:textbox inset="0,0,0,0">
                  <w:txbxContent>
                    <w:p>
                      <w:pPr>
                        <w:spacing w:before="29"/>
                        <w:ind w:left="750" w:right="0" w:firstLine="0"/>
                        <w:jc w:val="left"/>
                        <w:rPr>
                          <w:rFonts w:ascii="宋体" w:hAnsi="宋体" w:cs="宋体" w:eastAsia="宋体" w:hint="default"/>
                          <w:sz w:val="18"/>
                          <w:szCs w:val="18"/>
                        </w:rPr>
                      </w:pPr>
                      <w:r>
                        <w:rPr>
                          <w:rFonts w:ascii="宋体"/>
                          <w:sz w:val="18"/>
                        </w:rPr>
                        <w:t>407,357,868.51</w:t>
                      </w:r>
                    </w:p>
                  </w:txbxContent>
                </v:textbox>
                <w10:wrap type="none"/>
              </v:shape>
              <v:shape style="position:absolute;left:3055;top:1246;width:72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xbxContent>
                </v:textbox>
                <w10:wrap type="none"/>
              </v:shape>
            </v:group>
            <w10:wrap type="none"/>
          </v:group>
        </w:pict>
      </w:r>
    </w:p>
    <w:p>
      <w:pPr>
        <w:spacing w:after="0" w:line="240" w:lineRule="auto"/>
        <w:rPr>
          <w:rFonts w:ascii="Times New Roman" w:hAnsi="Times New Roman" w:cs="Times New Roman" w:eastAsia="Times New Roman" w:hint="default"/>
          <w:sz w:val="17"/>
          <w:szCs w:val="17"/>
        </w:rPr>
        <w:sectPr>
          <w:headerReference w:type="default" r:id="rId36"/>
          <w:pgSz w:w="11910" w:h="16840"/>
          <w:pgMar w:header="915" w:footer="1712" w:top="1100" w:bottom="1900" w:left="1200" w:right="1200"/>
        </w:sectPr>
      </w:pPr>
    </w:p>
    <w:p>
      <w:pPr>
        <w:spacing w:line="240" w:lineRule="auto" w:before="0"/>
        <w:rPr>
          <w:rFonts w:ascii="Times New Roman" w:hAnsi="Times New Roman" w:cs="Times New Roman" w:eastAsia="Times New Roman" w:hint="default"/>
          <w:sz w:val="20"/>
          <w:szCs w:val="20"/>
        </w:rPr>
      </w:pPr>
      <w:r>
        <w:rPr/>
        <w:pict>
          <v:group style="position:absolute;margin-left:88.019981pt;margin-top:41.999668pt;width:419.35pt;height:16.4pt;mso-position-horizontal-relative:page;mso-position-vertical-relative:page;z-index:224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p>
    <w:p>
      <w:pPr>
        <w:spacing w:line="240" w:lineRule="auto" w:before="9"/>
        <w:rPr>
          <w:rFonts w:ascii="Times New Roman" w:hAnsi="Times New Roman" w:cs="Times New Roman" w:eastAsia="Times New Roman" w:hint="default"/>
          <w:sz w:val="20"/>
          <w:szCs w:val="20"/>
        </w:rPr>
      </w:pPr>
    </w:p>
    <w:p>
      <w:pPr>
        <w:pStyle w:val="Heading3"/>
        <w:spacing w:line="240" w:lineRule="auto" w:before="26"/>
        <w:ind w:left="3" w:right="0"/>
        <w:jc w:val="center"/>
        <w:rPr>
          <w:rFonts w:ascii="宋体" w:hAnsi="宋体" w:cs="宋体" w:eastAsia="宋体" w:hint="default"/>
          <w:b w:val="0"/>
          <w:bCs w:val="0"/>
        </w:rPr>
      </w:pPr>
      <w:r>
        <w:rPr>
          <w:rFonts w:ascii="宋体" w:hAnsi="宋体" w:cs="宋体" w:eastAsia="宋体" w:hint="default"/>
        </w:rPr>
        <w:t>资产负债表(续)</w:t>
      </w:r>
      <w:r>
        <w:rPr>
          <w:rFonts w:ascii="宋体" w:hAnsi="宋体" w:cs="宋体" w:eastAsia="宋体" w:hint="default"/>
          <w:b w:val="0"/>
          <w:bCs w:val="0"/>
        </w:rPr>
      </w:r>
    </w:p>
    <w:p>
      <w:pPr>
        <w:spacing w:before="73"/>
        <w:ind w:left="47" w:right="0" w:firstLine="0"/>
        <w:jc w:val="center"/>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8"/>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宋体" w:hAnsi="宋体" w:cs="宋体" w:eastAsia="宋体" w:hint="default"/>
          <w:b/>
          <w:bCs/>
          <w:sz w:val="18"/>
          <w:szCs w:val="18"/>
        </w:rPr>
        <w:t>12</w:t>
      </w:r>
      <w:r>
        <w:rPr>
          <w:rFonts w:ascii="宋体" w:hAnsi="宋体" w:cs="宋体" w:eastAsia="宋体" w:hint="default"/>
          <w:b/>
          <w:bCs/>
          <w:spacing w:val="-48"/>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宋体" w:hAnsi="宋体" w:cs="宋体" w:eastAsia="宋体" w:hint="default"/>
          <w:b/>
          <w:bCs/>
          <w:spacing w:val="15"/>
          <w:sz w:val="18"/>
          <w:szCs w:val="18"/>
        </w:rPr>
        <w:t>31日</w:t>
      </w:r>
      <w:r>
        <w:rPr>
          <w:rFonts w:ascii="宋体" w:hAnsi="宋体" w:cs="宋体" w:eastAsia="宋体" w:hint="default"/>
          <w:b/>
          <w:bCs/>
          <w:spacing w:val="-44"/>
          <w:sz w:val="18"/>
          <w:szCs w:val="18"/>
        </w:rPr>
        <w:t> </w:t>
      </w:r>
      <w:r>
        <w:rPr>
          <w:rFonts w:ascii="宋体" w:hAnsi="宋体" w:cs="宋体" w:eastAsia="宋体" w:hint="default"/>
          <w:sz w:val="18"/>
          <w:szCs w:val="18"/>
        </w:rPr>
      </w:r>
    </w:p>
    <w:p>
      <w:pPr>
        <w:tabs>
          <w:tab w:pos="7660" w:val="left" w:leader="none"/>
        </w:tabs>
        <w:spacing w:before="105"/>
        <w:ind w:left="3" w:right="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编制单位:东港安全印刷股份有限公司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3"/>
        <w:rPr>
          <w:rFonts w:ascii="宋体" w:hAnsi="宋体" w:cs="宋体" w:eastAsia="宋体" w:hint="default"/>
          <w:b/>
          <w:bCs/>
          <w:sz w:val="6"/>
          <w:szCs w:val="6"/>
        </w:rPr>
      </w:pPr>
    </w:p>
    <w:tbl>
      <w:tblPr>
        <w:tblW w:w="0" w:type="auto"/>
        <w:jc w:val="left"/>
        <w:tblInd w:w="113" w:type="dxa"/>
        <w:tblLayout w:type="fixed"/>
        <w:tblCellMar>
          <w:top w:w="0" w:type="dxa"/>
          <w:left w:w="0" w:type="dxa"/>
          <w:bottom w:w="0" w:type="dxa"/>
          <w:right w:w="0" w:type="dxa"/>
        </w:tblCellMar>
        <w:tblLook w:val="01E0"/>
      </w:tblPr>
      <w:tblGrid>
        <w:gridCol w:w="4110"/>
        <w:gridCol w:w="649"/>
        <w:gridCol w:w="2370"/>
        <w:gridCol w:w="2371"/>
      </w:tblGrid>
      <w:tr>
        <w:trPr>
          <w:trHeight w:val="482" w:hRule="exact"/>
        </w:trPr>
        <w:tc>
          <w:tcPr>
            <w:tcW w:w="4110"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87"/>
              <w:ind w:left="84" w:right="0"/>
              <w:jc w:val="center"/>
              <w:rPr>
                <w:rFonts w:ascii="宋体" w:hAnsi="宋体" w:cs="宋体" w:eastAsia="宋体" w:hint="default"/>
                <w:sz w:val="18"/>
                <w:szCs w:val="18"/>
              </w:rPr>
            </w:pPr>
            <w:r>
              <w:rPr>
                <w:rFonts w:ascii="宋体" w:hAnsi="宋体" w:cs="宋体" w:eastAsia="宋体" w:hint="default"/>
                <w:b/>
                <w:bCs/>
                <w:sz w:val="18"/>
                <w:szCs w:val="18"/>
              </w:rPr>
              <w:t>负债和股东权益</w:t>
            </w:r>
            <w:r>
              <w:rPr>
                <w:rFonts w:ascii="宋体" w:hAnsi="宋体" w:cs="宋体" w:eastAsia="宋体" w:hint="default"/>
                <w:sz w:val="18"/>
                <w:szCs w:val="18"/>
              </w:rPr>
            </w:r>
          </w:p>
        </w:tc>
        <w:tc>
          <w:tcPr>
            <w:tcW w:w="649" w:type="dxa"/>
            <w:tcBorders>
              <w:top w:val="single" w:sz="8"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注</w:t>
            </w:r>
            <w:r>
              <w:rPr>
                <w:rFonts w:ascii="宋体" w:hAnsi="宋体" w:cs="宋体" w:eastAsia="宋体" w:hint="default"/>
                <w:sz w:val="18"/>
                <w:szCs w:val="18"/>
              </w:rPr>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释</w:t>
            </w:r>
            <w:r>
              <w:rPr>
                <w:rFonts w:ascii="宋体" w:hAnsi="宋体" w:cs="宋体" w:eastAsia="宋体" w:hint="default"/>
                <w:sz w:val="18"/>
                <w:szCs w:val="18"/>
              </w:rPr>
            </w:r>
          </w:p>
        </w:tc>
        <w:tc>
          <w:tcPr>
            <w:tcW w:w="237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2371"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49"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c>
          <w:tcPr>
            <w:tcW w:w="2371"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3"/>
              <w:jc w:val="right"/>
              <w:rPr>
                <w:rFonts w:ascii="宋体" w:hAnsi="宋体" w:cs="宋体" w:eastAsia="宋体" w:hint="default"/>
                <w:sz w:val="18"/>
                <w:szCs w:val="18"/>
              </w:rPr>
            </w:pPr>
            <w:r>
              <w:rPr>
                <w:rFonts w:ascii="宋体"/>
                <w:sz w:val="18"/>
              </w:rPr>
              <w:t>10,000,000.00</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107,460,000.00</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409"/>
              <w:jc w:val="right"/>
              <w:rPr>
                <w:rFonts w:ascii="宋体" w:hAnsi="宋体" w:cs="宋体" w:eastAsia="宋体" w:hint="default"/>
                <w:sz w:val="18"/>
                <w:szCs w:val="18"/>
              </w:rPr>
            </w:pPr>
            <w:r>
              <w:rPr>
                <w:rFonts w:ascii="宋体"/>
                <w:sz w:val="18"/>
              </w:rPr>
              <w:t>-</w:t>
            </w:r>
          </w:p>
        </w:tc>
      </w:tr>
      <w:tr>
        <w:trPr>
          <w:trHeight w:val="349"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3"/>
              <w:jc w:val="right"/>
              <w:rPr>
                <w:rFonts w:ascii="宋体" w:hAnsi="宋体" w:cs="宋体" w:eastAsia="宋体" w:hint="default"/>
                <w:sz w:val="18"/>
                <w:szCs w:val="18"/>
              </w:rPr>
            </w:pPr>
            <w:r>
              <w:rPr>
                <w:rFonts w:ascii="宋体"/>
                <w:sz w:val="18"/>
              </w:rPr>
              <w:t>33,196,693.32</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37,007,369.88</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3"/>
              <w:jc w:val="right"/>
              <w:rPr>
                <w:rFonts w:ascii="宋体" w:hAnsi="宋体" w:cs="宋体" w:eastAsia="宋体" w:hint="default"/>
                <w:sz w:val="18"/>
                <w:szCs w:val="18"/>
              </w:rPr>
            </w:pPr>
            <w:r>
              <w:rPr>
                <w:rFonts w:ascii="宋体"/>
                <w:sz w:val="18"/>
              </w:rPr>
              <w:t>57,398,626.76</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54,155,808.45</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3"/>
              <w:jc w:val="right"/>
              <w:rPr>
                <w:rFonts w:ascii="宋体" w:hAnsi="宋体" w:cs="宋体" w:eastAsia="宋体" w:hint="default"/>
                <w:sz w:val="18"/>
                <w:szCs w:val="18"/>
              </w:rPr>
            </w:pPr>
            <w:r>
              <w:rPr>
                <w:rFonts w:ascii="宋体"/>
                <w:sz w:val="18"/>
              </w:rPr>
              <w:t>30,652,089.76</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17,702,619.14</w:t>
            </w:r>
          </w:p>
        </w:tc>
      </w:tr>
      <w:tr>
        <w:trPr>
          <w:trHeight w:val="349"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3"/>
              <w:jc w:val="right"/>
              <w:rPr>
                <w:rFonts w:ascii="宋体" w:hAnsi="宋体" w:cs="宋体" w:eastAsia="宋体" w:hint="default"/>
                <w:sz w:val="18"/>
                <w:szCs w:val="18"/>
              </w:rPr>
            </w:pPr>
            <w:r>
              <w:rPr>
                <w:rFonts w:ascii="宋体"/>
                <w:sz w:val="18"/>
              </w:rPr>
              <w:t>2,187,931.18</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4,680,988.44</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3"/>
              <w:jc w:val="right"/>
              <w:rPr>
                <w:rFonts w:ascii="宋体" w:hAnsi="宋体" w:cs="宋体" w:eastAsia="宋体" w:hint="default"/>
                <w:sz w:val="18"/>
                <w:szCs w:val="18"/>
              </w:rPr>
            </w:pPr>
            <w:r>
              <w:rPr>
                <w:rFonts w:ascii="宋体"/>
                <w:sz w:val="18"/>
              </w:rPr>
              <w:t>991,826.08</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1,683,072.73</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c>
          <w:tcPr>
            <w:tcW w:w="2371" w:type="dxa"/>
            <w:tcBorders>
              <w:top w:val="single" w:sz="4" w:space="0" w:color="000000"/>
              <w:left w:val="single" w:sz="4" w:space="0" w:color="000000"/>
              <w:bottom w:val="single" w:sz="4" w:space="0" w:color="000000"/>
              <w:right w:val="single" w:sz="8" w:space="0" w:color="000000"/>
            </w:tcBorders>
          </w:tcPr>
          <w:p>
            <w:pPr/>
          </w:p>
        </w:tc>
      </w:tr>
      <w:tr>
        <w:trPr>
          <w:trHeight w:val="349"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3"/>
              <w:jc w:val="right"/>
              <w:rPr>
                <w:rFonts w:ascii="宋体" w:hAnsi="宋体" w:cs="宋体" w:eastAsia="宋体" w:hint="default"/>
                <w:sz w:val="18"/>
                <w:szCs w:val="18"/>
              </w:rPr>
            </w:pPr>
            <w:r>
              <w:rPr>
                <w:rFonts w:ascii="宋体"/>
                <w:sz w:val="18"/>
              </w:rPr>
              <w:t>3,099,600.00</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16,391,660.06</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3"/>
              <w:jc w:val="right"/>
              <w:rPr>
                <w:rFonts w:ascii="宋体" w:hAnsi="宋体" w:cs="宋体" w:eastAsia="宋体" w:hint="default"/>
                <w:sz w:val="18"/>
                <w:szCs w:val="18"/>
              </w:rPr>
            </w:pPr>
            <w:r>
              <w:rPr>
                <w:rFonts w:ascii="宋体"/>
                <w:sz w:val="18"/>
              </w:rPr>
              <w:t>9,303,743.57</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2,045,227.86</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409"/>
              <w:jc w:val="right"/>
              <w:rPr>
                <w:rFonts w:ascii="宋体" w:hAnsi="宋体" w:cs="宋体" w:eastAsia="宋体" w:hint="default"/>
                <w:sz w:val="18"/>
                <w:szCs w:val="18"/>
              </w:rPr>
            </w:pPr>
            <w:r>
              <w:rPr>
                <w:rFonts w:ascii="宋体"/>
                <w:sz w:val="18"/>
              </w:rPr>
              <w:t>-</w:t>
            </w:r>
          </w:p>
        </w:tc>
      </w:tr>
      <w:tr>
        <w:trPr>
          <w:trHeight w:val="349"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409"/>
              <w:jc w:val="right"/>
              <w:rPr>
                <w:rFonts w:ascii="宋体" w:hAnsi="宋体" w:cs="宋体" w:eastAsia="宋体" w:hint="default"/>
                <w:sz w:val="18"/>
                <w:szCs w:val="18"/>
              </w:rPr>
            </w:pPr>
            <w:r>
              <w:rPr>
                <w:rFonts w:ascii="宋体"/>
                <w:sz w:val="18"/>
              </w:rPr>
              <w:t>-</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3"/>
              <w:jc w:val="right"/>
              <w:rPr>
                <w:rFonts w:ascii="宋体" w:hAnsi="宋体" w:cs="宋体" w:eastAsia="宋体" w:hint="default"/>
                <w:sz w:val="18"/>
                <w:szCs w:val="18"/>
              </w:rPr>
            </w:pPr>
            <w:r>
              <w:rPr>
                <w:rFonts w:ascii="宋体"/>
                <w:sz w:val="18"/>
              </w:rPr>
              <w:t>146,830,510.67</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241,126,746.56</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c>
          <w:tcPr>
            <w:tcW w:w="2371" w:type="dxa"/>
            <w:tcBorders>
              <w:top w:val="single" w:sz="4" w:space="0" w:color="000000"/>
              <w:left w:val="single" w:sz="4" w:space="0" w:color="000000"/>
              <w:bottom w:val="single" w:sz="4" w:space="0" w:color="000000"/>
              <w:right w:val="single" w:sz="8" w:space="0" w:color="000000"/>
            </w:tcBorders>
          </w:tcPr>
          <w:p>
            <w:pPr/>
          </w:p>
        </w:tc>
      </w:tr>
      <w:tr>
        <w:trPr>
          <w:trHeight w:val="349"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409"/>
              <w:jc w:val="right"/>
              <w:rPr>
                <w:rFonts w:ascii="宋体" w:hAnsi="宋体" w:cs="宋体" w:eastAsia="宋体" w:hint="default"/>
                <w:sz w:val="18"/>
                <w:szCs w:val="18"/>
              </w:rPr>
            </w:pPr>
            <w:r>
              <w:rPr>
                <w:rFonts w:ascii="宋体"/>
                <w:sz w:val="18"/>
              </w:rPr>
              <w:t>-</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409"/>
              <w:jc w:val="right"/>
              <w:rPr>
                <w:rFonts w:ascii="宋体" w:hAnsi="宋体" w:cs="宋体" w:eastAsia="宋体" w:hint="default"/>
                <w:sz w:val="18"/>
                <w:szCs w:val="18"/>
              </w:rPr>
            </w:pPr>
            <w:r>
              <w:rPr>
                <w:rFonts w:ascii="宋体"/>
                <w:sz w:val="18"/>
              </w:rPr>
              <w:t>-</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409"/>
              <w:jc w:val="right"/>
              <w:rPr>
                <w:rFonts w:ascii="宋体" w:hAnsi="宋体" w:cs="宋体" w:eastAsia="宋体" w:hint="default"/>
                <w:sz w:val="18"/>
                <w:szCs w:val="18"/>
              </w:rPr>
            </w:pPr>
            <w:r>
              <w:rPr>
                <w:rFonts w:ascii="宋体"/>
                <w:sz w:val="18"/>
              </w:rPr>
              <w:t>-</w:t>
            </w:r>
          </w:p>
        </w:tc>
      </w:tr>
      <w:tr>
        <w:trPr>
          <w:trHeight w:val="349"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823,845.00</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409"/>
              <w:jc w:val="right"/>
              <w:rPr>
                <w:rFonts w:ascii="宋体" w:hAnsi="宋体" w:cs="宋体" w:eastAsia="宋体" w:hint="default"/>
                <w:sz w:val="18"/>
                <w:szCs w:val="18"/>
              </w:rPr>
            </w:pPr>
            <w:r>
              <w:rPr>
                <w:rFonts w:ascii="宋体"/>
                <w:sz w:val="18"/>
              </w:rPr>
              <w:t>-</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409"/>
              <w:jc w:val="right"/>
              <w:rPr>
                <w:rFonts w:ascii="宋体" w:hAnsi="宋体" w:cs="宋体" w:eastAsia="宋体" w:hint="default"/>
                <w:sz w:val="18"/>
                <w:szCs w:val="18"/>
              </w:rPr>
            </w:pPr>
            <w:r>
              <w:rPr>
                <w:rFonts w:ascii="宋体"/>
                <w:sz w:val="18"/>
              </w:rPr>
              <w:t>-</w:t>
            </w:r>
          </w:p>
        </w:tc>
      </w:tr>
      <w:tr>
        <w:trPr>
          <w:trHeight w:val="349"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409"/>
              <w:jc w:val="right"/>
              <w:rPr>
                <w:rFonts w:ascii="宋体" w:hAnsi="宋体" w:cs="宋体" w:eastAsia="宋体" w:hint="default"/>
                <w:sz w:val="18"/>
                <w:szCs w:val="18"/>
              </w:rPr>
            </w:pPr>
            <w:r>
              <w:rPr>
                <w:rFonts w:ascii="宋体"/>
                <w:sz w:val="18"/>
              </w:rPr>
              <w:t>-</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460"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823,845.00</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640"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3"/>
              <w:jc w:val="right"/>
              <w:rPr>
                <w:rFonts w:ascii="宋体" w:hAnsi="宋体" w:cs="宋体" w:eastAsia="宋体" w:hint="default"/>
                <w:sz w:val="18"/>
                <w:szCs w:val="18"/>
              </w:rPr>
            </w:pPr>
            <w:r>
              <w:rPr>
                <w:rFonts w:ascii="宋体"/>
                <w:sz w:val="18"/>
              </w:rPr>
              <w:t>146,830,510.67</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241,950,591.56</w:t>
            </w:r>
          </w:p>
        </w:tc>
      </w:tr>
      <w:tr>
        <w:trPr>
          <w:trHeight w:val="349"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
        </w:tc>
        <w:tc>
          <w:tcPr>
            <w:tcW w:w="2371" w:type="dxa"/>
            <w:tcBorders>
              <w:top w:val="single" w:sz="4" w:space="0" w:color="000000"/>
              <w:left w:val="single" w:sz="4" w:space="0" w:color="000000"/>
              <w:bottom w:val="single" w:sz="4" w:space="0" w:color="000000"/>
              <w:right w:val="single" w:sz="8" w:space="0" w:color="000000"/>
            </w:tcBorders>
          </w:tcPr>
          <w:p>
            <w:pP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3"/>
              <w:jc w:val="right"/>
              <w:rPr>
                <w:rFonts w:ascii="宋体" w:hAnsi="宋体" w:cs="宋体" w:eastAsia="宋体" w:hint="default"/>
                <w:sz w:val="18"/>
                <w:szCs w:val="18"/>
              </w:rPr>
            </w:pPr>
            <w:r>
              <w:rPr>
                <w:rFonts w:ascii="宋体"/>
                <w:sz w:val="18"/>
              </w:rPr>
              <w:t>110,000,000.00</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82,000,000.00</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3"/>
              <w:jc w:val="right"/>
              <w:rPr>
                <w:rFonts w:ascii="宋体" w:hAnsi="宋体" w:cs="宋体" w:eastAsia="宋体" w:hint="default"/>
                <w:sz w:val="18"/>
                <w:szCs w:val="18"/>
              </w:rPr>
            </w:pPr>
            <w:r>
              <w:rPr>
                <w:rFonts w:ascii="宋体"/>
                <w:sz w:val="18"/>
              </w:rPr>
              <w:t>247,186,763.62</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705,908.07</w:t>
            </w:r>
          </w:p>
        </w:tc>
      </w:tr>
      <w:tr>
        <w:trPr>
          <w:trHeight w:val="349"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413"/>
              <w:jc w:val="right"/>
              <w:rPr>
                <w:rFonts w:ascii="宋体" w:hAnsi="宋体" w:cs="宋体" w:eastAsia="宋体" w:hint="default"/>
                <w:sz w:val="18"/>
                <w:szCs w:val="18"/>
              </w:rPr>
            </w:pPr>
            <w:r>
              <w:rPr>
                <w:rFonts w:ascii="宋体"/>
                <w:sz w:val="18"/>
              </w:rPr>
              <w:t>-</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409"/>
              <w:jc w:val="right"/>
              <w:rPr>
                <w:rFonts w:ascii="宋体" w:hAnsi="宋体" w:cs="宋体" w:eastAsia="宋体" w:hint="default"/>
                <w:sz w:val="18"/>
                <w:szCs w:val="18"/>
              </w:rPr>
            </w:pPr>
            <w:r>
              <w:rPr>
                <w:rFonts w:ascii="宋体"/>
                <w:sz w:val="18"/>
              </w:rPr>
              <w:t>-</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3"/>
              <w:jc w:val="right"/>
              <w:rPr>
                <w:rFonts w:ascii="宋体" w:hAnsi="宋体" w:cs="宋体" w:eastAsia="宋体" w:hint="default"/>
                <w:sz w:val="18"/>
                <w:szCs w:val="18"/>
              </w:rPr>
            </w:pPr>
            <w:r>
              <w:rPr>
                <w:rFonts w:ascii="宋体"/>
                <w:sz w:val="18"/>
              </w:rPr>
              <w:t>34,823,952.02</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27,805,456.12</w:t>
            </w:r>
          </w:p>
        </w:tc>
      </w:tr>
      <w:tr>
        <w:trPr>
          <w:trHeight w:val="350"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3"/>
              <w:jc w:val="right"/>
              <w:rPr>
                <w:rFonts w:ascii="宋体" w:hAnsi="宋体" w:cs="宋体" w:eastAsia="宋体" w:hint="default"/>
                <w:sz w:val="18"/>
                <w:szCs w:val="18"/>
              </w:rPr>
            </w:pPr>
            <w:r>
              <w:rPr>
                <w:rFonts w:ascii="宋体"/>
                <w:sz w:val="18"/>
              </w:rPr>
              <w:t>64,967,389.57</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54,895,912.76</w:t>
            </w:r>
          </w:p>
        </w:tc>
      </w:tr>
      <w:tr>
        <w:trPr>
          <w:trHeight w:val="349" w:hRule="exact"/>
        </w:trPr>
        <w:tc>
          <w:tcPr>
            <w:tcW w:w="411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649" w:type="dxa"/>
            <w:tcBorders>
              <w:top w:val="single" w:sz="4" w:space="0" w:color="000000"/>
              <w:left w:val="single" w:sz="4" w:space="0" w:color="000000"/>
              <w:bottom w:val="single" w:sz="4" w:space="0" w:color="000000"/>
              <w:right w:val="single" w:sz="4" w:space="0" w:color="000000"/>
            </w:tcBorders>
          </w:tcPr>
          <w:p>
            <w:pP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23"/>
              <w:jc w:val="right"/>
              <w:rPr>
                <w:rFonts w:ascii="宋体" w:hAnsi="宋体" w:cs="宋体" w:eastAsia="宋体" w:hint="default"/>
                <w:sz w:val="18"/>
                <w:szCs w:val="18"/>
              </w:rPr>
            </w:pPr>
            <w:r>
              <w:rPr>
                <w:rFonts w:ascii="宋体"/>
                <w:sz w:val="18"/>
              </w:rPr>
              <w:t>456,978,105.21</w:t>
            </w:r>
          </w:p>
        </w:tc>
        <w:tc>
          <w:tcPr>
            <w:tcW w:w="237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165,407,276.95</w:t>
            </w:r>
          </w:p>
        </w:tc>
      </w:tr>
      <w:tr>
        <w:trPr>
          <w:trHeight w:val="355" w:hRule="exact"/>
        </w:trPr>
        <w:tc>
          <w:tcPr>
            <w:tcW w:w="411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22"/>
              <w:ind w:left="1278"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649" w:type="dxa"/>
            <w:tcBorders>
              <w:top w:val="single" w:sz="4" w:space="0" w:color="000000"/>
              <w:left w:val="single" w:sz="4" w:space="0" w:color="000000"/>
              <w:bottom w:val="single" w:sz="8" w:space="0" w:color="000000"/>
              <w:right w:val="single" w:sz="4" w:space="0" w:color="000000"/>
            </w:tcBorders>
          </w:tcPr>
          <w:p>
            <w:pPr/>
          </w:p>
        </w:tc>
        <w:tc>
          <w:tcPr>
            <w:tcW w:w="237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2"/>
              <w:ind w:right="323"/>
              <w:jc w:val="right"/>
              <w:rPr>
                <w:rFonts w:ascii="宋体" w:hAnsi="宋体" w:cs="宋体" w:eastAsia="宋体" w:hint="default"/>
                <w:sz w:val="18"/>
                <w:szCs w:val="18"/>
              </w:rPr>
            </w:pPr>
            <w:r>
              <w:rPr>
                <w:rFonts w:ascii="宋体"/>
                <w:sz w:val="18"/>
              </w:rPr>
              <w:t>603,808,615.88</w:t>
            </w:r>
          </w:p>
        </w:tc>
        <w:tc>
          <w:tcPr>
            <w:tcW w:w="237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22"/>
              <w:ind w:right="319"/>
              <w:jc w:val="right"/>
              <w:rPr>
                <w:rFonts w:ascii="宋体" w:hAnsi="宋体" w:cs="宋体" w:eastAsia="宋体" w:hint="default"/>
                <w:sz w:val="18"/>
                <w:szCs w:val="18"/>
              </w:rPr>
            </w:pPr>
            <w:r>
              <w:rPr>
                <w:rFonts w:ascii="宋体"/>
                <w:sz w:val="18"/>
              </w:rPr>
              <w:t>407,357,868.51</w:t>
            </w:r>
          </w:p>
        </w:tc>
      </w:tr>
    </w:tbl>
    <w:p>
      <w:pPr>
        <w:spacing w:after="0" w:line="240" w:lineRule="auto"/>
        <w:jc w:val="right"/>
        <w:rPr>
          <w:rFonts w:ascii="宋体" w:hAnsi="宋体" w:cs="宋体" w:eastAsia="宋体" w:hint="default"/>
          <w:sz w:val="18"/>
          <w:szCs w:val="18"/>
        </w:rPr>
        <w:sectPr>
          <w:pgSz w:w="11910" w:h="16840"/>
          <w:pgMar w:header="915" w:footer="1712" w:top="1100" w:bottom="1900" w:left="1080" w:right="10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pStyle w:val="Heading3"/>
        <w:tabs>
          <w:tab w:pos="723" w:val="left" w:leader="none"/>
          <w:tab w:pos="1447" w:val="left" w:leader="none"/>
        </w:tabs>
        <w:spacing w:line="240" w:lineRule="auto" w:before="26"/>
        <w:ind w:left="0" w:right="15"/>
        <w:jc w:val="center"/>
        <w:rPr>
          <w:rFonts w:ascii="宋体" w:hAnsi="宋体" w:cs="宋体" w:eastAsia="宋体" w:hint="default"/>
          <w:b w:val="0"/>
          <w:bCs w:val="0"/>
        </w:rPr>
      </w:pPr>
      <w:r>
        <w:rPr>
          <w:rFonts w:ascii="宋体" w:hAnsi="宋体" w:cs="宋体" w:eastAsia="宋体" w:hint="default"/>
          <w:w w:val="95"/>
        </w:rPr>
        <w:t>利</w:t>
        <w:tab/>
        <w:t>润</w:t>
        <w:tab/>
      </w:r>
      <w:r>
        <w:rPr>
          <w:rFonts w:ascii="宋体" w:hAnsi="宋体" w:cs="宋体" w:eastAsia="宋体" w:hint="default"/>
        </w:rPr>
        <w:t>表</w:t>
      </w:r>
      <w:r>
        <w:rPr>
          <w:rFonts w:ascii="宋体" w:hAnsi="宋体" w:cs="宋体" w:eastAsia="宋体" w:hint="default"/>
          <w:b w:val="0"/>
          <w:bCs w:val="0"/>
        </w:rPr>
      </w:r>
    </w:p>
    <w:p>
      <w:pPr>
        <w:spacing w:before="63"/>
        <w:ind w:left="0" w:right="17" w:firstLine="0"/>
        <w:jc w:val="center"/>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7033" w:val="left" w:leader="none"/>
        </w:tabs>
        <w:spacing w:before="41"/>
        <w:ind w:left="0" w:right="14"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编制单位:东港安全印刷股份有限公司</w:t>
        <w:tab/>
      </w:r>
      <w:r>
        <w:rPr>
          <w:rFonts w:ascii="宋体" w:hAnsi="宋体" w:cs="宋体" w:eastAsia="宋体" w:hint="default"/>
          <w:b/>
          <w:bCs/>
          <w:sz w:val="18"/>
          <w:szCs w:val="18"/>
        </w:rPr>
        <w:t>金额单位：人民币元</w:t>
      </w:r>
      <w:r>
        <w:rPr>
          <w:rFonts w:ascii="宋体" w:hAnsi="宋体" w:cs="宋体" w:eastAsia="宋体" w:hint="default"/>
          <w:sz w:val="18"/>
          <w:szCs w:val="18"/>
        </w:rPr>
      </w:r>
    </w:p>
    <w:p>
      <w:pPr>
        <w:spacing w:line="240" w:lineRule="auto" w:before="10"/>
        <w:rPr>
          <w:rFonts w:ascii="宋体" w:hAnsi="宋体" w:cs="宋体" w:eastAsia="宋体" w:hint="default"/>
          <w:b/>
          <w:bCs/>
          <w:sz w:val="4"/>
          <w:szCs w:val="4"/>
        </w:rPr>
      </w:pPr>
    </w:p>
    <w:tbl>
      <w:tblPr>
        <w:tblW w:w="0" w:type="auto"/>
        <w:jc w:val="left"/>
        <w:tblInd w:w="106" w:type="dxa"/>
        <w:tblLayout w:type="fixed"/>
        <w:tblCellMar>
          <w:top w:w="0" w:type="dxa"/>
          <w:left w:w="0" w:type="dxa"/>
          <w:bottom w:w="0" w:type="dxa"/>
          <w:right w:w="0" w:type="dxa"/>
        </w:tblCellMar>
        <w:tblLook w:val="01E0"/>
      </w:tblPr>
      <w:tblGrid>
        <w:gridCol w:w="4356"/>
        <w:gridCol w:w="668"/>
        <w:gridCol w:w="1926"/>
        <w:gridCol w:w="1926"/>
      </w:tblGrid>
      <w:tr>
        <w:trPr>
          <w:trHeight w:val="390" w:hRule="exact"/>
        </w:trPr>
        <w:tc>
          <w:tcPr>
            <w:tcW w:w="4356" w:type="dxa"/>
            <w:tcBorders>
              <w:top w:val="single" w:sz="8" w:space="0" w:color="000000"/>
              <w:left w:val="single" w:sz="8" w:space="0" w:color="000000"/>
              <w:bottom w:val="single" w:sz="4" w:space="0" w:color="000000"/>
              <w:right w:val="single" w:sz="4" w:space="0" w:color="000000"/>
            </w:tcBorders>
          </w:tcPr>
          <w:p>
            <w:pPr>
              <w:pStyle w:val="TableParagraph"/>
              <w:tabs>
                <w:tab w:pos="988" w:val="left" w:leader="none"/>
              </w:tabs>
              <w:spacing w:line="240" w:lineRule="auto" w:before="40"/>
              <w:ind w:left="85"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66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b/>
                <w:bCs/>
                <w:sz w:val="18"/>
                <w:szCs w:val="18"/>
              </w:rPr>
              <w:t>注</w:t>
            </w:r>
            <w:r>
              <w:rPr>
                <w:rFonts w:ascii="宋体" w:hAnsi="宋体" w:cs="宋体" w:eastAsia="宋体" w:hint="default"/>
                <w:b/>
                <w:bCs/>
                <w:spacing w:val="-2"/>
                <w:sz w:val="18"/>
                <w:szCs w:val="18"/>
              </w:rPr>
              <w:t> </w:t>
            </w:r>
            <w:r>
              <w:rPr>
                <w:rFonts w:ascii="宋体" w:hAnsi="宋体" w:cs="宋体" w:eastAsia="宋体" w:hint="default"/>
                <w:b/>
                <w:bCs/>
                <w:sz w:val="18"/>
                <w:szCs w:val="18"/>
              </w:rPr>
              <w:t>释</w:t>
            </w:r>
            <w:r>
              <w:rPr>
                <w:rFonts w:ascii="宋体" w:hAnsi="宋体" w:cs="宋体" w:eastAsia="宋体" w:hint="default"/>
                <w:sz w:val="18"/>
                <w:szCs w:val="18"/>
              </w:rPr>
            </w:r>
          </w:p>
        </w:tc>
        <w:tc>
          <w:tcPr>
            <w:tcW w:w="192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1926"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40"/>
              <w:ind w:left="4"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385"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八、4</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367,161,965.89</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338,731,366.19</w:t>
            </w:r>
          </w:p>
        </w:tc>
      </w:tr>
      <w:tr>
        <w:trPr>
          <w:trHeight w:val="385"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45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八、4</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269,741,956.39</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246,332,920.49</w:t>
            </w:r>
          </w:p>
        </w:tc>
      </w:tr>
      <w:tr>
        <w:trPr>
          <w:trHeight w:val="385"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81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66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1"/>
              <w:jc w:val="right"/>
              <w:rPr>
                <w:rFonts w:ascii="宋体" w:hAnsi="宋体" w:cs="宋体" w:eastAsia="宋体" w:hint="default"/>
                <w:sz w:val="18"/>
                <w:szCs w:val="18"/>
              </w:rPr>
            </w:pPr>
            <w:r>
              <w:rPr>
                <w:rFonts w:ascii="宋体"/>
                <w:sz w:val="18"/>
              </w:rPr>
              <w:t>-</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186"/>
              <w:jc w:val="right"/>
              <w:rPr>
                <w:rFonts w:ascii="宋体" w:hAnsi="宋体" w:cs="宋体" w:eastAsia="宋体" w:hint="default"/>
                <w:sz w:val="18"/>
                <w:szCs w:val="18"/>
              </w:rPr>
            </w:pPr>
            <w:r>
              <w:rPr>
                <w:rFonts w:ascii="宋体"/>
                <w:sz w:val="18"/>
              </w:rPr>
              <w:t>-</w:t>
            </w:r>
          </w:p>
        </w:tc>
      </w:tr>
      <w:tr>
        <w:trPr>
          <w:trHeight w:val="384"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81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66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48,697,523.43</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35,923,354.32</w:t>
            </w:r>
          </w:p>
        </w:tc>
      </w:tr>
      <w:tr>
        <w:trPr>
          <w:trHeight w:val="385"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81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66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17,631,457.55</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13,803,608.06</w:t>
            </w:r>
          </w:p>
        </w:tc>
      </w:tr>
      <w:tr>
        <w:trPr>
          <w:trHeight w:val="385"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81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66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889,018.56</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4,825,716.66</w:t>
            </w:r>
          </w:p>
        </w:tc>
      </w:tr>
      <w:tr>
        <w:trPr>
          <w:trHeight w:val="385"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81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八、6</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-923,318.72</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2,092,606.96</w:t>
            </w:r>
          </w:p>
        </w:tc>
      </w:tr>
      <w:tr>
        <w:trPr>
          <w:trHeight w:val="385"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66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1"/>
              <w:jc w:val="right"/>
              <w:rPr>
                <w:rFonts w:ascii="宋体" w:hAnsi="宋体" w:cs="宋体" w:eastAsia="宋体" w:hint="default"/>
                <w:sz w:val="18"/>
                <w:szCs w:val="18"/>
              </w:rPr>
            </w:pPr>
            <w:r>
              <w:rPr>
                <w:rFonts w:ascii="宋体"/>
                <w:sz w:val="18"/>
              </w:rPr>
              <w:t>-</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186"/>
              <w:jc w:val="right"/>
              <w:rPr>
                <w:rFonts w:ascii="宋体" w:hAnsi="宋体" w:cs="宋体" w:eastAsia="宋体" w:hint="default"/>
                <w:sz w:val="18"/>
                <w:szCs w:val="18"/>
              </w:rPr>
            </w:pPr>
            <w:r>
              <w:rPr>
                <w:rFonts w:ascii="宋体"/>
                <w:sz w:val="18"/>
              </w:rPr>
              <w:t>-</w:t>
            </w:r>
          </w:p>
        </w:tc>
      </w:tr>
      <w:tr>
        <w:trPr>
          <w:trHeight w:val="385"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818"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八、5</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19,915,493.00</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12,382,500.00</w:t>
            </w:r>
          </w:p>
        </w:tc>
      </w:tr>
      <w:tr>
        <w:trPr>
          <w:trHeight w:val="384"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66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91"/>
              <w:jc w:val="right"/>
              <w:rPr>
                <w:rFonts w:ascii="宋体" w:hAnsi="宋体" w:cs="宋体" w:eastAsia="宋体" w:hint="default"/>
                <w:sz w:val="18"/>
                <w:szCs w:val="18"/>
              </w:rPr>
            </w:pPr>
            <w:r>
              <w:rPr>
                <w:rFonts w:ascii="宋体"/>
                <w:sz w:val="18"/>
              </w:rPr>
              <w:t>-</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186"/>
              <w:jc w:val="right"/>
              <w:rPr>
                <w:rFonts w:ascii="宋体" w:hAnsi="宋体" w:cs="宋体" w:eastAsia="宋体" w:hint="default"/>
                <w:sz w:val="18"/>
                <w:szCs w:val="18"/>
              </w:rPr>
            </w:pPr>
            <w:r>
              <w:rPr>
                <w:rFonts w:ascii="宋体"/>
                <w:sz w:val="18"/>
              </w:rPr>
              <w:t>-</w:t>
            </w:r>
          </w:p>
        </w:tc>
      </w:tr>
      <w:tr>
        <w:trPr>
          <w:trHeight w:val="385"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b/>
                <w:bCs/>
                <w:sz w:val="18"/>
                <w:szCs w:val="18"/>
              </w:rPr>
              <w:t>二、营业利润（损失以“－”号填列）</w:t>
            </w:r>
            <w:r>
              <w:rPr>
                <w:rFonts w:ascii="宋体" w:hAnsi="宋体" w:cs="宋体" w:eastAsia="宋体" w:hint="default"/>
                <w:sz w:val="18"/>
                <w:szCs w:val="18"/>
              </w:rPr>
            </w:r>
          </w:p>
        </w:tc>
        <w:tc>
          <w:tcPr>
            <w:tcW w:w="66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51,040,821.68</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48,135,659.70</w:t>
            </w:r>
          </w:p>
        </w:tc>
      </w:tr>
      <w:tr>
        <w:trPr>
          <w:trHeight w:val="385"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48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66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1,658,616.00</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519,549.47</w:t>
            </w:r>
          </w:p>
        </w:tc>
      </w:tr>
      <w:tr>
        <w:trPr>
          <w:trHeight w:val="385"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54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66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501,030.20</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333,320.95</w:t>
            </w:r>
          </w:p>
        </w:tc>
      </w:tr>
      <w:tr>
        <w:trPr>
          <w:trHeight w:val="385"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1088"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66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270,018.04</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134,641.16</w:t>
            </w:r>
          </w:p>
        </w:tc>
      </w:tr>
      <w:tr>
        <w:trPr>
          <w:trHeight w:val="385"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三、利润总额（亏损总额以“－”号填列</w:t>
            </w:r>
            <w:r>
              <w:rPr>
                <w:rFonts w:ascii="宋体" w:hAnsi="宋体" w:cs="宋体" w:eastAsia="宋体" w:hint="default"/>
                <w:sz w:val="18"/>
                <w:szCs w:val="18"/>
              </w:rPr>
              <w:t>)</w:t>
            </w:r>
          </w:p>
        </w:tc>
        <w:tc>
          <w:tcPr>
            <w:tcW w:w="66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52,198,407.48</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48,321,888.22</w:t>
            </w:r>
          </w:p>
        </w:tc>
      </w:tr>
      <w:tr>
        <w:trPr>
          <w:trHeight w:val="384"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54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66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5,408,434.77</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5,914,869.91</w:t>
            </w:r>
          </w:p>
        </w:tc>
      </w:tr>
      <w:tr>
        <w:trPr>
          <w:trHeight w:val="385"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b/>
                <w:bCs/>
                <w:sz w:val="18"/>
                <w:szCs w:val="18"/>
              </w:rPr>
              <w:t>四、净利润（净亏损以"－"号填列）</w:t>
            </w:r>
            <w:r>
              <w:rPr>
                <w:rFonts w:ascii="宋体" w:hAnsi="宋体" w:cs="宋体" w:eastAsia="宋体" w:hint="default"/>
                <w:sz w:val="18"/>
                <w:szCs w:val="18"/>
              </w:rPr>
            </w:r>
          </w:p>
        </w:tc>
        <w:tc>
          <w:tcPr>
            <w:tcW w:w="66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46,789,972.71</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42,407,018.31</w:t>
            </w:r>
          </w:p>
        </w:tc>
      </w:tr>
      <w:tr>
        <w:trPr>
          <w:trHeight w:val="385"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98"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66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8" w:space="0" w:color="000000"/>
            </w:tcBorders>
          </w:tcPr>
          <w:p>
            <w:pPr/>
          </w:p>
        </w:tc>
      </w:tr>
      <w:tr>
        <w:trPr>
          <w:trHeight w:val="385" w:hRule="exact"/>
        </w:trPr>
        <w:tc>
          <w:tcPr>
            <w:tcW w:w="43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0"/>
              <w:ind w:left="45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668" w:type="dxa"/>
            <w:tcBorders>
              <w:top w:val="single" w:sz="4" w:space="0" w:color="000000"/>
              <w:left w:val="single" w:sz="4" w:space="0" w:color="000000"/>
              <w:bottom w:val="single" w:sz="4" w:space="0" w:color="000000"/>
              <w:right w:val="single" w:sz="4" w:space="0" w:color="000000"/>
            </w:tcBorders>
          </w:tcPr>
          <w:p>
            <w:pP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0.44</w:t>
            </w:r>
          </w:p>
        </w:tc>
        <w:tc>
          <w:tcPr>
            <w:tcW w:w="192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0.52</w:t>
            </w:r>
          </w:p>
        </w:tc>
      </w:tr>
      <w:tr>
        <w:trPr>
          <w:trHeight w:val="389" w:hRule="exact"/>
        </w:trPr>
        <w:tc>
          <w:tcPr>
            <w:tcW w:w="435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40"/>
              <w:ind w:left="45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668" w:type="dxa"/>
            <w:tcBorders>
              <w:top w:val="single" w:sz="4" w:space="0" w:color="000000"/>
              <w:left w:val="single" w:sz="4" w:space="0" w:color="000000"/>
              <w:bottom w:val="single" w:sz="8" w:space="0" w:color="000000"/>
              <w:right w:val="single" w:sz="4" w:space="0" w:color="000000"/>
            </w:tcBorders>
          </w:tcPr>
          <w:p>
            <w:pPr/>
          </w:p>
        </w:tc>
        <w:tc>
          <w:tcPr>
            <w:tcW w:w="192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0"/>
              <w:ind w:right="101"/>
              <w:jc w:val="right"/>
              <w:rPr>
                <w:rFonts w:ascii="宋体" w:hAnsi="宋体" w:cs="宋体" w:eastAsia="宋体" w:hint="default"/>
                <w:sz w:val="18"/>
                <w:szCs w:val="18"/>
              </w:rPr>
            </w:pPr>
            <w:r>
              <w:rPr>
                <w:rFonts w:ascii="宋体"/>
                <w:sz w:val="18"/>
              </w:rPr>
              <w:t>0.44</w:t>
            </w:r>
          </w:p>
        </w:tc>
        <w:tc>
          <w:tcPr>
            <w:tcW w:w="1926"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40"/>
              <w:ind w:right="96"/>
              <w:jc w:val="right"/>
              <w:rPr>
                <w:rFonts w:ascii="宋体" w:hAnsi="宋体" w:cs="宋体" w:eastAsia="宋体" w:hint="default"/>
                <w:sz w:val="18"/>
                <w:szCs w:val="18"/>
              </w:rPr>
            </w:pPr>
            <w:r>
              <w:rPr>
                <w:rFonts w:ascii="宋体"/>
                <w:sz w:val="18"/>
              </w:rPr>
              <w:t>0.52</w:t>
            </w:r>
          </w:p>
        </w:tc>
      </w:tr>
    </w:tbl>
    <w:p>
      <w:pPr>
        <w:spacing w:after="0" w:line="240" w:lineRule="auto"/>
        <w:jc w:val="right"/>
        <w:rPr>
          <w:rFonts w:ascii="宋体" w:hAnsi="宋体" w:cs="宋体" w:eastAsia="宋体" w:hint="default"/>
          <w:sz w:val="18"/>
          <w:szCs w:val="18"/>
        </w:rPr>
        <w:sectPr>
          <w:headerReference w:type="default" r:id="rId37"/>
          <w:pgSz w:w="11910" w:h="16840"/>
          <w:pgMar w:header="840" w:footer="1712" w:top="1160" w:bottom="1900" w:left="1400" w:right="1380"/>
        </w:sectPr>
      </w:pPr>
    </w:p>
    <w:p>
      <w:pPr>
        <w:spacing w:line="240" w:lineRule="auto" w:before="0"/>
        <w:rPr>
          <w:rFonts w:ascii="宋体" w:hAnsi="宋体" w:cs="宋体" w:eastAsia="宋体" w:hint="default"/>
          <w:b/>
          <w:bCs/>
          <w:sz w:val="20"/>
          <w:szCs w:val="20"/>
        </w:rPr>
      </w:pPr>
    </w:p>
    <w:p>
      <w:pPr>
        <w:pStyle w:val="Heading3"/>
        <w:spacing w:line="240" w:lineRule="auto" w:before="166"/>
        <w:ind w:left="0" w:right="16"/>
        <w:jc w:val="center"/>
        <w:rPr>
          <w:rFonts w:ascii="宋体" w:hAnsi="宋体" w:cs="宋体" w:eastAsia="宋体" w:hint="default"/>
          <w:b w:val="0"/>
          <w:bCs w:val="0"/>
        </w:rPr>
      </w:pPr>
      <w:r>
        <w:rPr>
          <w:rFonts w:ascii="宋体" w:hAnsi="宋体" w:cs="宋体" w:eastAsia="宋体" w:hint="default"/>
        </w:rPr>
        <w:t>现 金 流 量</w:t>
      </w:r>
      <w:r>
        <w:rPr>
          <w:rFonts w:ascii="宋体" w:hAnsi="宋体" w:cs="宋体" w:eastAsia="宋体" w:hint="default"/>
          <w:spacing w:val="-5"/>
        </w:rPr>
        <w:t> </w:t>
      </w:r>
      <w:r>
        <w:rPr>
          <w:rFonts w:ascii="宋体" w:hAnsi="宋体" w:cs="宋体" w:eastAsia="宋体" w:hint="default"/>
        </w:rPr>
        <w:t>表</w:t>
      </w:r>
      <w:r>
        <w:rPr>
          <w:rFonts w:ascii="宋体" w:hAnsi="宋体" w:cs="宋体" w:eastAsia="宋体" w:hint="default"/>
          <w:b w:val="0"/>
          <w:bCs w:val="0"/>
        </w:rPr>
      </w:r>
    </w:p>
    <w:p>
      <w:pPr>
        <w:spacing w:before="31"/>
        <w:ind w:left="0" w:right="17" w:firstLine="0"/>
        <w:jc w:val="center"/>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7"/>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tabs>
          <w:tab w:pos="7399" w:val="left" w:leader="none"/>
        </w:tabs>
        <w:spacing w:before="49"/>
        <w:ind w:left="0" w:right="17" w:firstLine="0"/>
        <w:jc w:val="center"/>
        <w:rPr>
          <w:rFonts w:ascii="宋体" w:hAnsi="宋体" w:cs="宋体" w:eastAsia="宋体" w:hint="default"/>
          <w:sz w:val="18"/>
          <w:szCs w:val="18"/>
        </w:rPr>
      </w:pPr>
      <w:r>
        <w:rPr>
          <w:rFonts w:ascii="宋体" w:hAnsi="宋体" w:cs="宋体" w:eastAsia="宋体" w:hint="default"/>
          <w:b/>
          <w:bCs/>
          <w:sz w:val="18"/>
          <w:szCs w:val="18"/>
        </w:rPr>
        <w:t>编制单位：</w:t>
      </w:r>
      <w:r>
        <w:rPr>
          <w:rFonts w:ascii="宋体" w:hAnsi="宋体" w:cs="宋体" w:eastAsia="宋体" w:hint="default"/>
          <w:b/>
          <w:bCs/>
          <w:spacing w:val="-3"/>
          <w:sz w:val="18"/>
          <w:szCs w:val="18"/>
        </w:rPr>
        <w:t> </w:t>
      </w:r>
      <w:r>
        <w:rPr>
          <w:rFonts w:ascii="宋体" w:hAnsi="宋体" w:cs="宋体" w:eastAsia="宋体" w:hint="default"/>
          <w:b/>
          <w:bCs/>
          <w:sz w:val="18"/>
          <w:szCs w:val="18"/>
        </w:rPr>
        <w:t>东港安全印刷股份有限公司</w:t>
        <w:tab/>
        <w:t>金额单位：人民币元</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tbl>
      <w:tblPr>
        <w:tblW w:w="0" w:type="auto"/>
        <w:jc w:val="left"/>
        <w:tblInd w:w="102" w:type="dxa"/>
        <w:tblLayout w:type="fixed"/>
        <w:tblCellMar>
          <w:top w:w="0" w:type="dxa"/>
          <w:left w:w="0" w:type="dxa"/>
          <w:bottom w:w="0" w:type="dxa"/>
          <w:right w:w="0" w:type="dxa"/>
        </w:tblCellMar>
        <w:tblLook w:val="01E0"/>
      </w:tblPr>
      <w:tblGrid>
        <w:gridCol w:w="5076"/>
        <w:gridCol w:w="577"/>
        <w:gridCol w:w="1746"/>
        <w:gridCol w:w="1843"/>
      </w:tblGrid>
      <w:tr>
        <w:trPr>
          <w:trHeight w:val="299" w:hRule="exact"/>
        </w:trPr>
        <w:tc>
          <w:tcPr>
            <w:tcW w:w="5076" w:type="dxa"/>
            <w:tcBorders>
              <w:top w:val="single" w:sz="8" w:space="0" w:color="000000"/>
              <w:left w:val="single" w:sz="8" w:space="0" w:color="000000"/>
              <w:bottom w:val="single" w:sz="4" w:space="0" w:color="000000"/>
              <w:right w:val="single" w:sz="4" w:space="0" w:color="000000"/>
            </w:tcBorders>
          </w:tcPr>
          <w:p>
            <w:pPr>
              <w:pStyle w:val="TableParagraph"/>
              <w:tabs>
                <w:tab w:pos="1360" w:val="left" w:leader="none"/>
              </w:tabs>
              <w:spacing w:line="231" w:lineRule="exact"/>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577" w:type="dxa"/>
            <w:tcBorders>
              <w:top w:val="single" w:sz="8" w:space="0" w:color="000000"/>
              <w:left w:val="single" w:sz="4" w:space="0" w:color="000000"/>
              <w:bottom w:val="single" w:sz="4" w:space="0" w:color="000000"/>
              <w:right w:val="single" w:sz="4" w:space="0" w:color="000000"/>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1746" w:type="dxa"/>
            <w:tcBorders>
              <w:top w:val="single" w:sz="8" w:space="0" w:color="000000"/>
              <w:left w:val="single" w:sz="4" w:space="0" w:color="000000"/>
              <w:bottom w:val="single" w:sz="4" w:space="0" w:color="000000"/>
              <w:right w:val="single" w:sz="4" w:space="0" w:color="000000"/>
            </w:tcBorders>
          </w:tcPr>
          <w:p>
            <w:pPr>
              <w:pStyle w:val="TableParagraph"/>
              <w:spacing w:line="231"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1843" w:type="dxa"/>
            <w:tcBorders>
              <w:top w:val="single" w:sz="8" w:space="0" w:color="000000"/>
              <w:left w:val="single" w:sz="4" w:space="0" w:color="000000"/>
              <w:bottom w:val="single" w:sz="4" w:space="0" w:color="000000"/>
              <w:right w:val="single" w:sz="8" w:space="0" w:color="000000"/>
            </w:tcBorders>
          </w:tcPr>
          <w:p>
            <w:pPr>
              <w:pStyle w:val="TableParagraph"/>
              <w:spacing w:line="231" w:lineRule="exact"/>
              <w:ind w:left="7"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484,144,420.80</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367,546,452.34</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81"/>
              <w:jc w:val="right"/>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373"/>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3,829,044.99</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838,284.89</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487,973,465.79</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368,384,737.23</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288,613,100.42</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210,590,093.98</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37,440,947.61</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33,494,848.62</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28,784,929.58</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24,850,665.58</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98,276,615.15</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38,789,856.90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453,115,592.76</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307,725,465.08</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732"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34,857,873.03</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60,659,272.15</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81"/>
              <w:jc w:val="right"/>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373"/>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19,945,298.90</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12,382,500.00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1,407,000.00</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4,693,696.93</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81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81"/>
              <w:jc w:val="right"/>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373"/>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81"/>
              <w:jc w:val="right"/>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373"/>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21,352,298.90</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17,076,196.93</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67,024,760.43</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70,060,787.31</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67,329,500.00</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3,825,000.00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11,250,000.00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81"/>
              <w:jc w:val="right"/>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373"/>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134,354,260.43</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85,135,787.31</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732"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-113,001,961.53</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-68,059,590.38</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8" w:space="0" w:color="000000"/>
            </w:tcBorders>
          </w:tcPr>
          <w:p>
            <w:pP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276,524,800.00</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373"/>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10,000,000.00</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157,460,000.00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81"/>
              <w:jc w:val="right"/>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373"/>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286,524,800.00</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157,460,000.00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107,460,000.00</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95,000,000.00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45,235,063.66</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27,153,839.00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458"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1,949,944.45</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373"/>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1182"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154,645,008.11</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122,153,839.00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732"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131,879,791.89</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35,306,161.00</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81"/>
              <w:jc w:val="right"/>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373"/>
              <w:jc w:val="right"/>
              <w:rPr>
                <w:rFonts w:ascii="宋体" w:hAnsi="宋体" w:cs="宋体" w:eastAsia="宋体" w:hint="default"/>
                <w:sz w:val="18"/>
                <w:szCs w:val="18"/>
              </w:rPr>
            </w:pPr>
            <w:r>
              <w:rPr>
                <w:rFonts w:ascii="宋体"/>
                <w:sz w:val="18"/>
              </w:rPr>
              <w:t>-</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53,735,703.39</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27,905,842.77</w:t>
            </w:r>
          </w:p>
        </w:tc>
      </w:tr>
      <w:tr>
        <w:trPr>
          <w:trHeight w:val="294" w:hRule="exact"/>
        </w:trPr>
        <w:tc>
          <w:tcPr>
            <w:tcW w:w="5076" w:type="dxa"/>
            <w:tcBorders>
              <w:top w:val="single" w:sz="4" w:space="0" w:color="000000"/>
              <w:left w:val="single" w:sz="8" w:space="0" w:color="000000"/>
              <w:bottom w:val="single" w:sz="4" w:space="0" w:color="000000"/>
              <w:right w:val="single" w:sz="4" w:space="0" w:color="000000"/>
            </w:tcBorders>
          </w:tcPr>
          <w:p>
            <w:pPr>
              <w:pStyle w:val="TableParagraph"/>
              <w:spacing w:line="231" w:lineRule="exact"/>
              <w:ind w:left="818"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577"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56,460,687.54</w:t>
            </w:r>
          </w:p>
        </w:tc>
        <w:tc>
          <w:tcPr>
            <w:tcW w:w="1843" w:type="dxa"/>
            <w:tcBorders>
              <w:top w:val="single" w:sz="4" w:space="0" w:color="000000"/>
              <w:left w:val="single" w:sz="4" w:space="0" w:color="000000"/>
              <w:bottom w:val="single" w:sz="4"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28,554,844.77</w:t>
            </w:r>
          </w:p>
        </w:tc>
      </w:tr>
      <w:tr>
        <w:trPr>
          <w:trHeight w:val="299" w:hRule="exact"/>
        </w:trPr>
        <w:tc>
          <w:tcPr>
            <w:tcW w:w="5076" w:type="dxa"/>
            <w:tcBorders>
              <w:top w:val="single" w:sz="4" w:space="0" w:color="000000"/>
              <w:left w:val="single" w:sz="8" w:space="0" w:color="000000"/>
              <w:bottom w:val="single" w:sz="8" w:space="0" w:color="000000"/>
              <w:right w:val="single" w:sz="4" w:space="0" w:color="000000"/>
            </w:tcBorders>
          </w:tcPr>
          <w:p>
            <w:pPr>
              <w:pStyle w:val="TableParagraph"/>
              <w:spacing w:line="231"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577" w:type="dxa"/>
            <w:tcBorders>
              <w:top w:val="single" w:sz="4" w:space="0" w:color="000000"/>
              <w:left w:val="single" w:sz="4" w:space="0" w:color="000000"/>
              <w:bottom w:val="single" w:sz="8" w:space="0" w:color="000000"/>
              <w:right w:val="single" w:sz="4" w:space="0" w:color="000000"/>
            </w:tcBorders>
          </w:tcPr>
          <w:p>
            <w:pPr/>
          </w:p>
        </w:tc>
        <w:tc>
          <w:tcPr>
            <w:tcW w:w="1746" w:type="dxa"/>
            <w:tcBorders>
              <w:top w:val="single" w:sz="4" w:space="0" w:color="000000"/>
              <w:left w:val="single" w:sz="4" w:space="0" w:color="000000"/>
              <w:bottom w:val="single" w:sz="8" w:space="0" w:color="000000"/>
              <w:right w:val="single" w:sz="4" w:space="0" w:color="000000"/>
            </w:tcBorders>
          </w:tcPr>
          <w:p>
            <w:pPr>
              <w:pStyle w:val="TableParagraph"/>
              <w:spacing w:line="231" w:lineRule="exact"/>
              <w:ind w:right="101"/>
              <w:jc w:val="right"/>
              <w:rPr>
                <w:rFonts w:ascii="宋体" w:hAnsi="宋体" w:cs="宋体" w:eastAsia="宋体" w:hint="default"/>
                <w:sz w:val="18"/>
                <w:szCs w:val="18"/>
              </w:rPr>
            </w:pPr>
            <w:r>
              <w:rPr>
                <w:rFonts w:ascii="宋体"/>
                <w:sz w:val="18"/>
              </w:rPr>
              <w:t>110,196,390.93</w:t>
            </w:r>
          </w:p>
        </w:tc>
        <w:tc>
          <w:tcPr>
            <w:tcW w:w="1843" w:type="dxa"/>
            <w:tcBorders>
              <w:top w:val="single" w:sz="4" w:space="0" w:color="000000"/>
              <w:left w:val="single" w:sz="4" w:space="0" w:color="000000"/>
              <w:bottom w:val="single" w:sz="8" w:space="0" w:color="000000"/>
              <w:right w:val="single" w:sz="8" w:space="0" w:color="000000"/>
            </w:tcBorders>
          </w:tcPr>
          <w:p>
            <w:pPr>
              <w:pStyle w:val="TableParagraph"/>
              <w:spacing w:line="231" w:lineRule="exact"/>
              <w:ind w:right="193"/>
              <w:jc w:val="right"/>
              <w:rPr>
                <w:rFonts w:ascii="宋体" w:hAnsi="宋体" w:cs="宋体" w:eastAsia="宋体" w:hint="default"/>
                <w:sz w:val="18"/>
                <w:szCs w:val="18"/>
              </w:rPr>
            </w:pPr>
            <w:r>
              <w:rPr>
                <w:rFonts w:ascii="宋体"/>
                <w:sz w:val="18"/>
              </w:rPr>
              <w:t>56,460,687.54</w:t>
            </w:r>
          </w:p>
        </w:tc>
      </w:tr>
    </w:tbl>
    <w:p>
      <w:pPr>
        <w:spacing w:after="0" w:line="231" w:lineRule="exact"/>
        <w:jc w:val="right"/>
        <w:rPr>
          <w:rFonts w:ascii="宋体" w:hAnsi="宋体" w:cs="宋体" w:eastAsia="宋体" w:hint="default"/>
          <w:sz w:val="18"/>
          <w:szCs w:val="18"/>
        </w:rPr>
        <w:sectPr>
          <w:pgSz w:w="11910" w:h="16840"/>
          <w:pgMar w:header="840" w:footer="1712" w:top="1160" w:bottom="1900" w:left="1220" w:right="12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before="35"/>
        <w:ind w:left="6432" w:right="6781" w:firstLine="0"/>
        <w:jc w:val="center"/>
        <w:rPr>
          <w:rFonts w:ascii="宋体" w:hAnsi="宋体" w:cs="宋体" w:eastAsia="宋体" w:hint="default"/>
          <w:sz w:val="21"/>
          <w:szCs w:val="21"/>
        </w:rPr>
      </w:pPr>
      <w:r>
        <w:rPr>
          <w:rFonts w:ascii="宋体" w:hAnsi="宋体" w:cs="宋体" w:eastAsia="宋体" w:hint="default"/>
          <w:b/>
          <w:bCs/>
          <w:sz w:val="21"/>
          <w:szCs w:val="21"/>
        </w:rPr>
        <w:t>所有者权益变动表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tabs>
          <w:tab w:pos="8222" w:val="left" w:leader="none"/>
          <w:tab w:pos="12368" w:val="left" w:leader="none"/>
        </w:tabs>
        <w:spacing w:before="0"/>
        <w:ind w:left="139" w:right="0" w:firstLine="0"/>
        <w:jc w:val="left"/>
        <w:rPr>
          <w:rFonts w:ascii="宋体" w:hAnsi="宋体" w:cs="宋体" w:eastAsia="宋体" w:hint="default"/>
          <w:sz w:val="21"/>
          <w:szCs w:val="21"/>
        </w:rPr>
      </w:pPr>
      <w:r>
        <w:rPr>
          <w:rFonts w:ascii="宋体" w:hAnsi="宋体" w:cs="宋体" w:eastAsia="宋体" w:hint="default"/>
          <w:sz w:val="21"/>
          <w:szCs w:val="21"/>
        </w:rPr>
        <w:t>编制单位：东港安全印刷股份有限公司</w:t>
        <w:tab/>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tab/>
      </w:r>
      <w:r>
        <w:rPr>
          <w:rFonts w:ascii="宋体" w:hAnsi="宋体" w:cs="宋体" w:eastAsia="宋体" w:hint="default"/>
          <w:spacing w:val="-2"/>
          <w:sz w:val="21"/>
          <w:szCs w:val="21"/>
        </w:rPr>
        <w:t>单</w:t>
      </w:r>
      <w:r>
        <w:rPr>
          <w:rFonts w:ascii="宋体" w:hAnsi="宋体" w:cs="宋体" w:eastAsia="宋体" w:hint="default"/>
          <w:sz w:val="21"/>
          <w:szCs w:val="21"/>
        </w:rPr>
        <w:t>位</w:t>
      </w:r>
      <w:r>
        <w:rPr>
          <w:rFonts w:ascii="宋体" w:hAnsi="宋体" w:cs="宋体" w:eastAsia="宋体" w:hint="default"/>
          <w:spacing w:val="-105"/>
          <w:sz w:val="21"/>
          <w:szCs w:val="21"/>
        </w:rPr>
        <w:t>：</w:t>
      </w:r>
      <w:r>
        <w:rPr>
          <w:rFonts w:ascii="宋体" w:hAnsi="宋体" w:cs="宋体" w:eastAsia="宋体" w:hint="default"/>
          <w:sz w:val="21"/>
          <w:szCs w:val="21"/>
        </w:rPr>
        <w:t>（人民</w:t>
      </w:r>
      <w:r>
        <w:rPr>
          <w:rFonts w:ascii="宋体" w:hAnsi="宋体" w:cs="宋体" w:eastAsia="宋体" w:hint="default"/>
          <w:spacing w:val="-2"/>
          <w:sz w:val="21"/>
          <w:szCs w:val="21"/>
        </w:rPr>
        <w:t>币</w:t>
      </w:r>
      <w:r>
        <w:rPr>
          <w:rFonts w:ascii="宋体" w:hAnsi="宋体" w:cs="宋体" w:eastAsia="宋体" w:hint="default"/>
          <w:sz w:val="21"/>
          <w:szCs w:val="21"/>
        </w:rPr>
        <w:t>）元</w:t>
      </w:r>
    </w:p>
    <w:tbl>
      <w:tblPr>
        <w:tblW w:w="0" w:type="auto"/>
        <w:jc w:val="left"/>
        <w:tblInd w:w="135" w:type="dxa"/>
        <w:tblLayout w:type="fixed"/>
        <w:tblCellMar>
          <w:top w:w="0" w:type="dxa"/>
          <w:left w:w="0" w:type="dxa"/>
          <w:bottom w:w="0" w:type="dxa"/>
          <w:right w:w="0" w:type="dxa"/>
        </w:tblCellMar>
        <w:tblLook w:val="01E0"/>
      </w:tblPr>
      <w:tblGrid>
        <w:gridCol w:w="2288"/>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244" w:hRule="exact"/>
        </w:trPr>
        <w:tc>
          <w:tcPr>
            <w:tcW w:w="22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2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02"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44" w:hRule="exact"/>
        </w:trPr>
        <w:tc>
          <w:tcPr>
            <w:tcW w:w="2288" w:type="dxa"/>
            <w:vMerge/>
            <w:tcBorders>
              <w:left w:val="single" w:sz="4" w:space="0" w:color="000000"/>
              <w:right w:val="single" w:sz="4" w:space="0" w:color="000000"/>
            </w:tcBorders>
          </w:tcPr>
          <w:p>
            <w:pPr/>
          </w:p>
        </w:tc>
        <w:tc>
          <w:tcPr>
            <w:tcW w:w="4823"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8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8" w:right="6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9" w:type="dxa"/>
            <w:vMerge w:val="restart"/>
            <w:tcBorders>
              <w:top w:val="single" w:sz="4" w:space="0" w:color="000000"/>
              <w:left w:val="single" w:sz="4" w:space="0" w:color="000000"/>
              <w:right w:val="single" w:sz="4" w:space="0" w:color="000000"/>
            </w:tcBorders>
          </w:tcPr>
          <w:p>
            <w:pPr>
              <w:pStyle w:val="TableParagraph"/>
              <w:spacing w:line="237" w:lineRule="auto" w:before="88"/>
              <w:ind w:left="68" w:right="68"/>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823"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6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9" w:type="dxa"/>
            <w:vMerge w:val="restart"/>
            <w:tcBorders>
              <w:top w:val="single" w:sz="4" w:space="0" w:color="000000"/>
              <w:left w:val="single" w:sz="4" w:space="0" w:color="000000"/>
              <w:right w:val="single" w:sz="4" w:space="0" w:color="000000"/>
            </w:tcBorders>
          </w:tcPr>
          <w:p>
            <w:pPr>
              <w:pStyle w:val="TableParagraph"/>
              <w:spacing w:line="237" w:lineRule="auto" w:before="88"/>
              <w:ind w:left="68" w:right="6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0" w:hRule="exact"/>
        </w:trPr>
        <w:tc>
          <w:tcPr>
            <w:tcW w:w="2288" w:type="dxa"/>
            <w:vMerge/>
            <w:tcBorders>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firstLine="45"/>
              <w:jc w:val="left"/>
              <w:rPr>
                <w:rFonts w:ascii="宋体" w:hAnsi="宋体" w:cs="宋体" w:eastAsia="宋体" w:hint="default"/>
                <w:sz w:val="18"/>
                <w:szCs w:val="18"/>
              </w:rPr>
            </w:pPr>
            <w:r>
              <w:rPr>
                <w:rFonts w:ascii="宋体" w:hAnsi="宋体" w:cs="宋体" w:eastAsia="宋体" w:hint="default"/>
                <w:sz w:val="18"/>
                <w:szCs w:val="18"/>
              </w:rPr>
              <w:t>实收资</w:t>
            </w:r>
          </w:p>
          <w:p>
            <w:pPr>
              <w:pStyle w:val="TableParagraph"/>
              <w:spacing w:line="232" w:lineRule="exact" w:before="24"/>
              <w:ind w:left="158" w:right="20" w:hanging="136"/>
              <w:jc w:val="left"/>
              <w:rPr>
                <w:rFonts w:ascii="宋体" w:hAnsi="宋体" w:cs="宋体" w:eastAsia="宋体" w:hint="default"/>
                <w:sz w:val="18"/>
                <w:szCs w:val="18"/>
              </w:rPr>
            </w:pPr>
            <w:r>
              <w:rPr>
                <w:rFonts w:ascii="宋体" w:hAnsi="宋体" w:cs="宋体" w:eastAsia="宋体" w:hint="default"/>
                <w:spacing w:val="-22"/>
                <w:sz w:val="18"/>
                <w:szCs w:val="18"/>
              </w:rPr>
              <w:t>本（或股</w:t>
            </w:r>
            <w:r>
              <w:rPr>
                <w:rFonts w:ascii="宋体" w:hAnsi="宋体" w:cs="宋体" w:eastAsia="宋体" w:hint="default"/>
                <w:sz w:val="18"/>
                <w:szCs w:val="18"/>
              </w:rPr>
              <w:t> 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8" w:right="6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8" w:right="20"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9" w:right="67"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9" w:right="6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8" w:right="6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9"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firstLine="45"/>
              <w:jc w:val="left"/>
              <w:rPr>
                <w:rFonts w:ascii="宋体" w:hAnsi="宋体" w:cs="宋体" w:eastAsia="宋体" w:hint="default"/>
                <w:sz w:val="18"/>
                <w:szCs w:val="18"/>
              </w:rPr>
            </w:pPr>
            <w:r>
              <w:rPr>
                <w:rFonts w:ascii="宋体" w:hAnsi="宋体" w:cs="宋体" w:eastAsia="宋体" w:hint="default"/>
                <w:sz w:val="18"/>
                <w:szCs w:val="18"/>
              </w:rPr>
              <w:t>实收资</w:t>
            </w:r>
          </w:p>
          <w:p>
            <w:pPr>
              <w:pStyle w:val="TableParagraph"/>
              <w:spacing w:line="232" w:lineRule="exact" w:before="24"/>
              <w:ind w:left="159" w:right="19" w:hanging="136"/>
              <w:jc w:val="left"/>
              <w:rPr>
                <w:rFonts w:ascii="宋体" w:hAnsi="宋体" w:cs="宋体" w:eastAsia="宋体" w:hint="default"/>
                <w:sz w:val="18"/>
                <w:szCs w:val="18"/>
              </w:rPr>
            </w:pPr>
            <w:r>
              <w:rPr>
                <w:rFonts w:ascii="宋体" w:hAnsi="宋体" w:cs="宋体" w:eastAsia="宋体" w:hint="default"/>
                <w:spacing w:val="-22"/>
                <w:sz w:val="18"/>
                <w:szCs w:val="18"/>
              </w:rPr>
              <w:t>本（或股</w:t>
            </w:r>
            <w:r>
              <w:rPr>
                <w:rFonts w:ascii="宋体" w:hAnsi="宋体" w:cs="宋体" w:eastAsia="宋体" w:hint="default"/>
                <w:sz w:val="18"/>
                <w:szCs w:val="18"/>
              </w:rPr>
              <w:t> 本）</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9" w:right="6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8" w:right="20"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8" w:right="6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8" w:right="6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58" w:right="6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0" w:type="dxa"/>
            <w:vMerge/>
            <w:tcBorders>
              <w:left w:val="single" w:sz="4" w:space="0" w:color="000000"/>
              <w:bottom w:val="single" w:sz="4" w:space="0" w:color="000000"/>
              <w:right w:val="single" w:sz="4" w:space="0" w:color="000000"/>
            </w:tcBorders>
          </w:tcPr>
          <w:p>
            <w:pPr/>
          </w:p>
        </w:tc>
        <w:tc>
          <w:tcPr>
            <w:tcW w:w="689" w:type="dxa"/>
            <w:vMerge/>
            <w:tcBorders>
              <w:left w:val="single" w:sz="4" w:space="0" w:color="000000"/>
              <w:bottom w:val="single" w:sz="4" w:space="0" w:color="000000"/>
              <w:right w:val="single" w:sz="4" w:space="0" w:color="000000"/>
            </w:tcBorders>
          </w:tcPr>
          <w:p>
            <w:pPr/>
          </w:p>
        </w:tc>
      </w:tr>
      <w:tr>
        <w:trPr>
          <w:trHeight w:val="42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1,970,90</w:t>
            </w:r>
          </w:p>
          <w:p>
            <w:pPr>
              <w:pStyle w:val="TableParagraph"/>
              <w:spacing w:line="207" w:lineRule="exact"/>
              <w:ind w:left="339" w:right="0"/>
              <w:jc w:val="left"/>
              <w:rPr>
                <w:rFonts w:ascii="Times New Roman" w:hAnsi="Times New Roman" w:cs="Times New Roman" w:eastAsia="Times New Roman" w:hint="default"/>
                <w:sz w:val="18"/>
                <w:szCs w:val="18"/>
              </w:rPr>
            </w:pPr>
            <w:r>
              <w:rPr>
                <w:rFonts w:ascii="Times New Roman"/>
                <w:sz w:val="18"/>
              </w:rPr>
              <w:t>2.74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27,805,4</w:t>
            </w:r>
          </w:p>
          <w:p>
            <w:pPr>
              <w:pStyle w:val="TableParagraph"/>
              <w:spacing w:line="207" w:lineRule="exact"/>
              <w:ind w:left="250" w:right="0"/>
              <w:jc w:val="left"/>
              <w:rPr>
                <w:rFonts w:ascii="Times New Roman" w:hAnsi="Times New Roman" w:cs="Times New Roman" w:eastAsia="Times New Roman" w:hint="default"/>
                <w:sz w:val="18"/>
                <w:szCs w:val="18"/>
              </w:rPr>
            </w:pPr>
            <w:r>
              <w:rPr>
                <w:rFonts w:ascii="Times New Roman"/>
                <w:sz w:val="18"/>
              </w:rPr>
              <w:t>56.12</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86,485,2</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62.64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13,371,4</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75.49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 w:right="0"/>
              <w:jc w:val="center"/>
              <w:rPr>
                <w:rFonts w:ascii="Times New Roman" w:hAnsi="Times New Roman" w:cs="Times New Roman" w:eastAsia="Times New Roman" w:hint="default"/>
                <w:sz w:val="18"/>
                <w:szCs w:val="18"/>
              </w:rPr>
            </w:pPr>
            <w:r>
              <w:rPr>
                <w:rFonts w:ascii="Times New Roman"/>
                <w:sz w:val="18"/>
              </w:rPr>
              <w:t>211,633,</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096.99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07" w:lineRule="exact"/>
              <w:ind w:left="250" w:right="0"/>
              <w:jc w:val="left"/>
              <w:rPr>
                <w:rFonts w:ascii="Times New Roman" w:hAnsi="Times New Roman" w:cs="Times New Roman" w:eastAsia="Times New Roman" w:hint="default"/>
                <w:sz w:val="18"/>
                <w:szCs w:val="18"/>
              </w:rPr>
            </w:pPr>
            <w:r>
              <w:rPr>
                <w:rFonts w:ascii="Times New Roman"/>
                <w:sz w:val="18"/>
              </w:rPr>
              <w:t>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810,700.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57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28,352,1</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86.78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62,994,8</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37.39</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17,713,1</w:t>
            </w:r>
          </w:p>
          <w:p>
            <w:pPr>
              <w:pStyle w:val="TableParagraph"/>
              <w:spacing w:line="207" w:lineRule="exact"/>
              <w:ind w:left="250" w:right="0"/>
              <w:jc w:val="left"/>
              <w:rPr>
                <w:rFonts w:ascii="Times New Roman" w:hAnsi="Times New Roman" w:cs="Times New Roman" w:eastAsia="Times New Roman" w:hint="default"/>
                <w:sz w:val="18"/>
                <w:szCs w:val="18"/>
              </w:rPr>
            </w:pPr>
            <w:r>
              <w:rPr>
                <w:rFonts w:ascii="Times New Roman"/>
                <w:sz w:val="18"/>
              </w:rPr>
              <w:t>35.12</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sz w:val="18"/>
              </w:rPr>
              <w:t>191,870,</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859.86</w:t>
            </w:r>
          </w:p>
        </w:tc>
      </w:tr>
      <w:tr>
        <w:trPr>
          <w:trHeight w:val="425"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 w:right="0"/>
              <w:jc w:val="center"/>
              <w:rPr>
                <w:rFonts w:ascii="Times New Roman" w:hAnsi="Times New Roman" w:cs="Times New Roman" w:eastAsia="Times New Roman" w:hint="default"/>
                <w:sz w:val="18"/>
                <w:szCs w:val="18"/>
              </w:rPr>
            </w:pPr>
            <w:r>
              <w:rPr>
                <w:rFonts w:ascii="Times New Roman"/>
                <w:sz w:val="18"/>
              </w:rPr>
              <w:t>-6,907,7</w:t>
            </w:r>
          </w:p>
          <w:p>
            <w:pPr>
              <w:pStyle w:val="TableParagraph"/>
              <w:spacing w:line="240" w:lineRule="auto"/>
              <w:ind w:left="225" w:right="0"/>
              <w:jc w:val="center"/>
              <w:rPr>
                <w:rFonts w:ascii="Times New Roman" w:hAnsi="Times New Roman" w:cs="Times New Roman" w:eastAsia="Times New Roman" w:hint="default"/>
                <w:sz w:val="18"/>
                <w:szCs w:val="18"/>
              </w:rPr>
            </w:pPr>
            <w:r>
              <w:rPr>
                <w:rFonts w:ascii="Times New Roman"/>
                <w:sz w:val="18"/>
              </w:rPr>
              <w:t>83.40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7,223,99</w:t>
            </w: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4.46</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w w:val="95"/>
                <w:sz w:val="18"/>
              </w:rPr>
              <w:t>-85,324.</w:t>
            </w:r>
            <w:r>
              <w:rPr>
                <w:rFonts w:ascii="Times New Roman"/>
                <w:sz w:val="18"/>
              </w:rPr>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230,886.</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w:t>
            </w:r>
          </w:p>
        </w:tc>
      </w:tr>
      <w:tr>
        <w:trPr>
          <w:trHeight w:val="242"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1,970,90</w:t>
            </w: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2.74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27,805,4</w:t>
            </w: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56.12</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86,485,2</w:t>
            </w: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62.64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13,371,4</w:t>
            </w: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75.49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8" w:right="0"/>
              <w:jc w:val="center"/>
              <w:rPr>
                <w:rFonts w:ascii="Times New Roman" w:hAnsi="Times New Roman" w:cs="Times New Roman" w:eastAsia="Times New Roman" w:hint="default"/>
                <w:sz w:val="18"/>
                <w:szCs w:val="18"/>
              </w:rPr>
            </w:pPr>
            <w:r>
              <w:rPr>
                <w:rFonts w:ascii="Times New Roman"/>
                <w:sz w:val="18"/>
              </w:rPr>
              <w:t>211,633,</w:t>
            </w: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096.99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810,700.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21,444,4</w:t>
            </w: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03.38</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70,218,8</w:t>
            </w: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31.85</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17,627,8</w:t>
            </w: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10.36</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sz w:val="18"/>
              </w:rPr>
              <w:t>192,101,</w:t>
            </w: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746.16</w:t>
            </w: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三、本年增减变动金额（减</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5"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 w:right="0"/>
              <w:jc w:val="center"/>
              <w:rPr>
                <w:rFonts w:ascii="Times New Roman" w:hAnsi="Times New Roman" w:cs="Times New Roman" w:eastAsia="Times New Roman" w:hint="default"/>
                <w:sz w:val="18"/>
                <w:szCs w:val="18"/>
              </w:rPr>
            </w:pPr>
            <w:r>
              <w:rPr>
                <w:rFonts w:ascii="Times New Roman"/>
                <w:sz w:val="18"/>
              </w:rPr>
              <w:t>246,480,</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855.55</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6" w:right="0"/>
              <w:jc w:val="left"/>
              <w:rPr>
                <w:rFonts w:ascii="Times New Roman" w:hAnsi="Times New Roman" w:cs="Times New Roman" w:eastAsia="Times New Roman" w:hint="default"/>
                <w:sz w:val="18"/>
                <w:szCs w:val="18"/>
              </w:rPr>
            </w:pPr>
            <w:r>
              <w:rPr>
                <w:rFonts w:ascii="Times New Roman"/>
                <w:sz w:val="18"/>
              </w:rPr>
              <w:t>7,018,49</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5.90</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32" w:right="0"/>
              <w:jc w:val="left"/>
              <w:rPr>
                <w:rFonts w:ascii="Times New Roman" w:hAnsi="Times New Roman" w:cs="Times New Roman" w:eastAsia="Times New Roman" w:hint="default"/>
                <w:sz w:val="18"/>
                <w:szCs w:val="18"/>
              </w:rPr>
            </w:pPr>
            <w:r>
              <w:rPr>
                <w:rFonts w:ascii="Times New Roman"/>
                <w:sz w:val="18"/>
              </w:rPr>
              <w:t>19,349,1</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18.37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5" w:right="0"/>
              <w:jc w:val="left"/>
              <w:rPr>
                <w:rFonts w:ascii="Times New Roman" w:hAnsi="Times New Roman" w:cs="Times New Roman" w:eastAsia="Times New Roman" w:hint="default"/>
                <w:sz w:val="18"/>
                <w:szCs w:val="18"/>
              </w:rPr>
            </w:pPr>
            <w:r>
              <w:rPr>
                <w:rFonts w:ascii="Times New Roman"/>
                <w:sz w:val="18"/>
              </w:rPr>
              <w:t>9,054,01</w:t>
            </w:r>
          </w:p>
          <w:p>
            <w:pPr>
              <w:pStyle w:val="TableParagraph"/>
              <w:spacing w:line="207" w:lineRule="exact"/>
              <w:ind w:left="339" w:right="0"/>
              <w:jc w:val="left"/>
              <w:rPr>
                <w:rFonts w:ascii="Times New Roman" w:hAnsi="Times New Roman" w:cs="Times New Roman" w:eastAsia="Times New Roman" w:hint="default"/>
                <w:sz w:val="18"/>
                <w:szCs w:val="18"/>
              </w:rPr>
            </w:pPr>
            <w:r>
              <w:rPr>
                <w:rFonts w:ascii="Times New Roman"/>
                <w:sz w:val="18"/>
              </w:rPr>
              <w:t>7.59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 w:right="0"/>
              <w:jc w:val="center"/>
              <w:rPr>
                <w:rFonts w:ascii="Times New Roman" w:hAnsi="Times New Roman" w:cs="Times New Roman" w:eastAsia="Times New Roman" w:hint="default"/>
                <w:sz w:val="18"/>
                <w:szCs w:val="18"/>
              </w:rPr>
            </w:pPr>
            <w:r>
              <w:rPr>
                <w:rFonts w:ascii="Times New Roman"/>
                <w:sz w:val="18"/>
              </w:rPr>
              <w:t>309,902,</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487.41</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6" w:right="0"/>
              <w:jc w:val="left"/>
              <w:rPr>
                <w:rFonts w:ascii="Times New Roman" w:hAnsi="Times New Roman" w:cs="Times New Roman" w:eastAsia="Times New Roman" w:hint="default"/>
                <w:sz w:val="18"/>
                <w:szCs w:val="18"/>
              </w:rPr>
            </w:pPr>
            <w:r>
              <w:rPr>
                <w:rFonts w:ascii="Times New Roman"/>
                <w:sz w:val="18"/>
              </w:rPr>
              <w:t>1,160,20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2.17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5" w:right="0"/>
              <w:jc w:val="left"/>
              <w:rPr>
                <w:rFonts w:ascii="Times New Roman" w:hAnsi="Times New Roman" w:cs="Times New Roman" w:eastAsia="Times New Roman" w:hint="default"/>
                <w:sz w:val="18"/>
                <w:szCs w:val="18"/>
              </w:rPr>
            </w:pPr>
            <w:r>
              <w:rPr>
                <w:rFonts w:ascii="Times New Roman"/>
                <w:sz w:val="18"/>
              </w:rPr>
              <w:t>6,361,05</w:t>
            </w:r>
          </w:p>
          <w:p>
            <w:pPr>
              <w:pStyle w:val="TableParagraph"/>
              <w:spacing w:line="207" w:lineRule="exact"/>
              <w:ind w:left="339" w:right="0"/>
              <w:jc w:val="left"/>
              <w:rPr>
                <w:rFonts w:ascii="Times New Roman" w:hAnsi="Times New Roman" w:cs="Times New Roman" w:eastAsia="Times New Roman" w:hint="default"/>
                <w:sz w:val="18"/>
                <w:szCs w:val="18"/>
              </w:rPr>
            </w:pPr>
            <w:r>
              <w:rPr>
                <w:rFonts w:ascii="Times New Roman"/>
                <w:sz w:val="18"/>
              </w:rPr>
              <w:t>2.74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5" w:right="0"/>
              <w:jc w:val="left"/>
              <w:rPr>
                <w:rFonts w:ascii="Times New Roman" w:hAnsi="Times New Roman" w:cs="Times New Roman" w:eastAsia="Times New Roman" w:hint="default"/>
                <w:sz w:val="18"/>
                <w:szCs w:val="18"/>
              </w:rPr>
            </w:pPr>
            <w:r>
              <w:rPr>
                <w:rFonts w:ascii="Times New Roman"/>
                <w:sz w:val="18"/>
              </w:rPr>
              <w:t>16,266,4</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30.79</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33" w:right="0"/>
              <w:jc w:val="center"/>
              <w:rPr>
                <w:rFonts w:ascii="Times New Roman" w:hAnsi="Times New Roman" w:cs="Times New Roman" w:eastAsia="Times New Roman" w:hint="default"/>
                <w:sz w:val="18"/>
                <w:szCs w:val="18"/>
              </w:rPr>
            </w:pPr>
            <w:r>
              <w:rPr>
                <w:rFonts w:ascii="Times New Roman"/>
                <w:sz w:val="18"/>
              </w:rPr>
              <w:t>-4,256,3</w:t>
            </w:r>
          </w:p>
          <w:p>
            <w:pPr>
              <w:pStyle w:val="TableParagraph"/>
              <w:spacing w:line="207" w:lineRule="exact"/>
              <w:ind w:left="226" w:right="0"/>
              <w:jc w:val="center"/>
              <w:rPr>
                <w:rFonts w:ascii="Times New Roman" w:hAnsi="Times New Roman" w:cs="Times New Roman" w:eastAsia="Times New Roman" w:hint="default"/>
                <w:sz w:val="18"/>
                <w:szCs w:val="18"/>
              </w:rPr>
            </w:pPr>
            <w:r>
              <w:rPr>
                <w:rFonts w:ascii="Times New Roman"/>
                <w:sz w:val="18"/>
              </w:rPr>
              <w:t>34.87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5" w:right="0"/>
              <w:jc w:val="left"/>
              <w:rPr>
                <w:rFonts w:ascii="Times New Roman" w:hAnsi="Times New Roman" w:cs="Times New Roman" w:eastAsia="Times New Roman" w:hint="default"/>
                <w:sz w:val="18"/>
                <w:szCs w:val="18"/>
              </w:rPr>
            </w:pPr>
            <w:r>
              <w:rPr>
                <w:rFonts w:ascii="Times New Roman"/>
                <w:sz w:val="18"/>
              </w:rPr>
              <w:t>19,531,3</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50.83</w:t>
            </w:r>
          </w:p>
        </w:tc>
      </w:tr>
      <w:tr>
        <w:trPr>
          <w:trHeight w:val="42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56,067,6</w:t>
            </w: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14.27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6,788,84</w:t>
            </w: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2.05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62,856,4</w:t>
            </w: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56.32</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52,627,4</w:t>
            </w: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83.53</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5,937,85</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8.73</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58,565,3</w:t>
            </w: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42.26</w:t>
            </w:r>
          </w:p>
        </w:tc>
      </w:tr>
      <w:tr>
        <w:trPr>
          <w:trHeight w:val="47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（二）直接计入所有者权</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益的利得和损失</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 w:right="0"/>
              <w:jc w:val="left"/>
              <w:rPr>
                <w:rFonts w:ascii="Times New Roman" w:hAnsi="Times New Roman" w:cs="Times New Roman" w:eastAsia="Times New Roman" w:hint="default"/>
                <w:sz w:val="18"/>
                <w:szCs w:val="18"/>
              </w:rPr>
            </w:pPr>
            <w:r>
              <w:rPr>
                <w:rFonts w:ascii="Times New Roman"/>
                <w:sz w:val="18"/>
              </w:rPr>
              <w:t>6,958,67</w:t>
            </w: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2.89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 w:right="0"/>
              <w:jc w:val="left"/>
              <w:rPr>
                <w:rFonts w:ascii="Times New Roman" w:hAnsi="Times New Roman" w:cs="Times New Roman" w:eastAsia="Times New Roman" w:hint="default"/>
                <w:sz w:val="18"/>
                <w:szCs w:val="18"/>
              </w:rPr>
            </w:pPr>
            <w:r>
              <w:rPr>
                <w:rFonts w:ascii="Times New Roman"/>
                <w:sz w:val="18"/>
              </w:rPr>
              <w:t>6,958,67</w:t>
            </w: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2.89</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 w:right="0"/>
              <w:jc w:val="left"/>
              <w:rPr>
                <w:rFonts w:ascii="Times New Roman" w:hAnsi="Times New Roman" w:cs="Times New Roman" w:eastAsia="Times New Roman" w:hint="default"/>
                <w:sz w:val="18"/>
                <w:szCs w:val="18"/>
              </w:rPr>
            </w:pPr>
            <w:r>
              <w:rPr>
                <w:rFonts w:ascii="Times New Roman"/>
                <w:sz w:val="18"/>
              </w:rPr>
              <w:t>1,160,20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2.17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3" w:right="0"/>
              <w:jc w:val="center"/>
              <w:rPr>
                <w:rFonts w:ascii="Times New Roman" w:hAnsi="Times New Roman" w:cs="Times New Roman" w:eastAsia="Times New Roman" w:hint="default"/>
                <w:sz w:val="18"/>
                <w:szCs w:val="18"/>
              </w:rPr>
            </w:pPr>
            <w:r>
              <w:rPr>
                <w:rFonts w:ascii="Times New Roman"/>
                <w:sz w:val="18"/>
              </w:rPr>
              <w:t>-6,066,6</w:t>
            </w:r>
          </w:p>
          <w:p>
            <w:pPr>
              <w:pStyle w:val="TableParagraph"/>
              <w:spacing w:line="240" w:lineRule="auto"/>
              <w:ind w:left="226" w:right="0"/>
              <w:jc w:val="center"/>
              <w:rPr>
                <w:rFonts w:ascii="Times New Roman" w:hAnsi="Times New Roman" w:cs="Times New Roman" w:eastAsia="Times New Roman" w:hint="default"/>
                <w:sz w:val="18"/>
                <w:szCs w:val="18"/>
              </w:rPr>
            </w:pPr>
            <w:r>
              <w:rPr>
                <w:rFonts w:ascii="Times New Roman"/>
                <w:sz w:val="18"/>
              </w:rPr>
              <w:t>93.60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 w:right="0"/>
              <w:jc w:val="center"/>
              <w:rPr>
                <w:rFonts w:ascii="Times New Roman" w:hAnsi="Times New Roman" w:cs="Times New Roman" w:eastAsia="Times New Roman" w:hint="default"/>
                <w:sz w:val="18"/>
                <w:szCs w:val="18"/>
              </w:rPr>
            </w:pPr>
            <w:r>
              <w:rPr>
                <w:rFonts w:ascii="Times New Roman"/>
                <w:sz w:val="18"/>
              </w:rPr>
              <w:t>-4,906,4</w:t>
            </w:r>
          </w:p>
          <w:p>
            <w:pPr>
              <w:pStyle w:val="TableParagraph"/>
              <w:spacing w:line="240" w:lineRule="auto"/>
              <w:ind w:left="225" w:right="0"/>
              <w:jc w:val="center"/>
              <w:rPr>
                <w:rFonts w:ascii="Times New Roman" w:hAnsi="Times New Roman" w:cs="Times New Roman" w:eastAsia="Times New Roman" w:hint="default"/>
                <w:sz w:val="18"/>
                <w:szCs w:val="18"/>
              </w:rPr>
            </w:pPr>
            <w:r>
              <w:rPr>
                <w:rFonts w:ascii="Times New Roman"/>
                <w:sz w:val="18"/>
              </w:rPr>
              <w:t>91.43</w:t>
            </w: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允价值变动净额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其他所有者权益变动的影响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．与计入所有者权益项</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目相关的所得税影响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6,958,67</w:t>
            </w: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2.89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6,958,67</w:t>
            </w: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2.89</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1,160,20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2.17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3" w:right="0"/>
              <w:jc w:val="center"/>
              <w:rPr>
                <w:rFonts w:ascii="Times New Roman" w:hAnsi="Times New Roman" w:cs="Times New Roman" w:eastAsia="Times New Roman" w:hint="default"/>
                <w:sz w:val="18"/>
                <w:szCs w:val="18"/>
              </w:rPr>
            </w:pPr>
            <w:r>
              <w:rPr>
                <w:rFonts w:ascii="Times New Roman"/>
                <w:sz w:val="18"/>
              </w:rPr>
              <w:t>-6,066,6</w:t>
            </w:r>
          </w:p>
          <w:p>
            <w:pPr>
              <w:pStyle w:val="TableParagraph"/>
              <w:spacing w:line="240" w:lineRule="auto"/>
              <w:ind w:left="226" w:right="0"/>
              <w:jc w:val="center"/>
              <w:rPr>
                <w:rFonts w:ascii="Times New Roman" w:hAnsi="Times New Roman" w:cs="Times New Roman" w:eastAsia="Times New Roman" w:hint="default"/>
                <w:sz w:val="18"/>
                <w:szCs w:val="18"/>
              </w:rPr>
            </w:pPr>
            <w:r>
              <w:rPr>
                <w:rFonts w:ascii="Times New Roman"/>
                <w:sz w:val="18"/>
              </w:rPr>
              <w:t>93.60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 w:right="0"/>
              <w:jc w:val="center"/>
              <w:rPr>
                <w:rFonts w:ascii="Times New Roman" w:hAnsi="Times New Roman" w:cs="Times New Roman" w:eastAsia="Times New Roman" w:hint="default"/>
                <w:sz w:val="18"/>
                <w:szCs w:val="18"/>
              </w:rPr>
            </w:pPr>
            <w:r>
              <w:rPr>
                <w:rFonts w:ascii="Times New Roman"/>
                <w:sz w:val="18"/>
              </w:rPr>
              <w:t>-4,906,4</w:t>
            </w:r>
          </w:p>
          <w:p>
            <w:pPr>
              <w:pStyle w:val="TableParagraph"/>
              <w:spacing w:line="240" w:lineRule="auto"/>
              <w:ind w:left="225" w:right="0"/>
              <w:jc w:val="center"/>
              <w:rPr>
                <w:rFonts w:ascii="Times New Roman" w:hAnsi="Times New Roman" w:cs="Times New Roman" w:eastAsia="Times New Roman" w:hint="default"/>
                <w:sz w:val="18"/>
                <w:szCs w:val="18"/>
              </w:rPr>
            </w:pPr>
            <w:r>
              <w:rPr>
                <w:rFonts w:ascii="Times New Roman"/>
                <w:sz w:val="18"/>
              </w:rPr>
              <w:t>91.43</w:t>
            </w:r>
          </w:p>
        </w:tc>
      </w:tr>
      <w:tr>
        <w:trPr>
          <w:trHeight w:val="425"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56,067,6</w:t>
            </w: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14.27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13,747,5</w:t>
            </w: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14.94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69,815,1</w:t>
            </w: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29.21</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1,160,20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2.17</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52,627,4</w:t>
            </w: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83.53</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2" w:right="0"/>
              <w:jc w:val="left"/>
              <w:rPr>
                <w:rFonts w:ascii="Times New Roman" w:hAnsi="Times New Roman" w:cs="Times New Roman" w:eastAsia="Times New Roman" w:hint="default"/>
                <w:sz w:val="18"/>
                <w:szCs w:val="18"/>
              </w:rPr>
            </w:pPr>
            <w:r>
              <w:rPr>
                <w:rFonts w:ascii="Times New Roman"/>
                <w:sz w:val="18"/>
              </w:rPr>
              <w:t>-128,83</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4.87</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53,658,8</w:t>
            </w: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50.83</w:t>
            </w: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2" w:right="0"/>
              <w:jc w:val="left"/>
              <w:rPr>
                <w:rFonts w:ascii="宋体" w:hAnsi="宋体" w:cs="宋体" w:eastAsia="宋体" w:hint="default"/>
                <w:sz w:val="18"/>
                <w:szCs w:val="18"/>
              </w:rPr>
            </w:pPr>
            <w:r>
              <w:rPr>
                <w:rFonts w:ascii="宋体" w:hAnsi="宋体" w:cs="宋体" w:eastAsia="宋体" w:hint="default"/>
                <w:sz w:val="18"/>
                <w:szCs w:val="18"/>
              </w:rPr>
              <w:t>（三）所有者投入和减少</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25"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 w:right="0"/>
              <w:jc w:val="center"/>
              <w:rPr>
                <w:rFonts w:ascii="Times New Roman" w:hAnsi="Times New Roman" w:cs="Times New Roman" w:eastAsia="Times New Roman" w:hint="default"/>
                <w:sz w:val="18"/>
                <w:szCs w:val="18"/>
              </w:rPr>
            </w:pPr>
            <w:r>
              <w:rPr>
                <w:rFonts w:ascii="Times New Roman"/>
                <w:sz w:val="18"/>
              </w:rPr>
              <w:t>246,480,</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855.55</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 w:right="0"/>
              <w:jc w:val="center"/>
              <w:rPr>
                <w:rFonts w:ascii="Times New Roman" w:hAnsi="Times New Roman" w:cs="Times New Roman" w:eastAsia="Times New Roman" w:hint="default"/>
                <w:sz w:val="18"/>
                <w:szCs w:val="18"/>
              </w:rPr>
            </w:pPr>
            <w:r>
              <w:rPr>
                <w:rFonts w:ascii="Times New Roman"/>
                <w:sz w:val="18"/>
              </w:rPr>
              <w:t>274,480,</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855.55</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 w:right="0"/>
              <w:jc w:val="left"/>
              <w:rPr>
                <w:rFonts w:ascii="Times New Roman" w:hAnsi="Times New Roman" w:cs="Times New Roman" w:eastAsia="Times New Roman" w:hint="default"/>
                <w:sz w:val="18"/>
                <w:szCs w:val="18"/>
              </w:rPr>
            </w:pPr>
            <w:r>
              <w:rPr>
                <w:rFonts w:ascii="Times New Roman"/>
                <w:sz w:val="18"/>
              </w:rPr>
              <w:t>28,000,0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 w:right="0"/>
              <w:jc w:val="left"/>
              <w:rPr>
                <w:rFonts w:ascii="Times New Roman" w:hAnsi="Times New Roman" w:cs="Times New Roman" w:eastAsia="Times New Roman" w:hint="default"/>
                <w:sz w:val="18"/>
                <w:szCs w:val="18"/>
              </w:rPr>
            </w:pPr>
            <w:r>
              <w:rPr>
                <w:rFonts w:ascii="Times New Roman"/>
                <w:sz w:val="18"/>
              </w:rPr>
              <w:t>28,000,0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8"/>
          <w:footerReference w:type="default" r:id="rId39"/>
          <w:pgSz w:w="16840" w:h="11910" w:orient="landscape"/>
          <w:pgMar w:header="840" w:footer="1497" w:top="1160" w:bottom="1680" w:left="1300" w:right="600"/>
          <w:pgNumType w:start="5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2288"/>
        <w:gridCol w:w="689"/>
        <w:gridCol w:w="689"/>
        <w:gridCol w:w="689"/>
        <w:gridCol w:w="689"/>
        <w:gridCol w:w="690"/>
        <w:gridCol w:w="689"/>
        <w:gridCol w:w="689"/>
        <w:gridCol w:w="689"/>
        <w:gridCol w:w="689"/>
        <w:gridCol w:w="689"/>
        <w:gridCol w:w="690"/>
        <w:gridCol w:w="689"/>
        <w:gridCol w:w="689"/>
        <w:gridCol w:w="689"/>
        <w:gridCol w:w="689"/>
        <w:gridCol w:w="689"/>
        <w:gridCol w:w="690"/>
        <w:gridCol w:w="689"/>
      </w:tblGrid>
      <w:tr>
        <w:trPr>
          <w:trHeight w:val="216" w:hRule="exact"/>
        </w:trPr>
        <w:tc>
          <w:tcPr>
            <w:tcW w:w="2288"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9" w:right="0"/>
              <w:jc w:val="left"/>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49" w:right="0"/>
              <w:jc w:val="left"/>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sz w:val="18"/>
              </w:rPr>
              <w:t>246,480,</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855.55</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sz w:val="18"/>
              </w:rPr>
              <w:t>246,480,</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855.55</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7,018,49</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5.90</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 w:right="0"/>
              <w:jc w:val="center"/>
              <w:rPr>
                <w:rFonts w:ascii="Times New Roman" w:hAnsi="Times New Roman" w:cs="Times New Roman" w:eastAsia="Times New Roman" w:hint="default"/>
                <w:sz w:val="18"/>
                <w:szCs w:val="18"/>
              </w:rPr>
            </w:pPr>
            <w:r>
              <w:rPr>
                <w:rFonts w:ascii="Times New Roman"/>
                <w:sz w:val="18"/>
              </w:rPr>
              <w:t>-36,718,</w:t>
            </w: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495.90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 w:right="0"/>
              <w:jc w:val="center"/>
              <w:rPr>
                <w:rFonts w:ascii="Times New Roman" w:hAnsi="Times New Roman" w:cs="Times New Roman" w:eastAsia="Times New Roman" w:hint="default"/>
                <w:sz w:val="18"/>
                <w:szCs w:val="18"/>
              </w:rPr>
            </w:pPr>
            <w:r>
              <w:rPr>
                <w:rFonts w:ascii="Times New Roman"/>
                <w:sz w:val="18"/>
              </w:rPr>
              <w:t>-4,693,4</w:t>
            </w:r>
          </w:p>
          <w:p>
            <w:pPr>
              <w:pStyle w:val="TableParagraph"/>
              <w:spacing w:line="240" w:lineRule="auto"/>
              <w:ind w:left="225" w:right="0"/>
              <w:jc w:val="center"/>
              <w:rPr>
                <w:rFonts w:ascii="Times New Roman" w:hAnsi="Times New Roman" w:cs="Times New Roman" w:eastAsia="Times New Roman" w:hint="default"/>
                <w:sz w:val="18"/>
                <w:szCs w:val="18"/>
              </w:rPr>
            </w:pPr>
            <w:r>
              <w:rPr>
                <w:rFonts w:ascii="Times New Roman"/>
                <w:sz w:val="18"/>
              </w:rPr>
              <w:t>97.35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 w:right="0"/>
              <w:jc w:val="center"/>
              <w:rPr>
                <w:rFonts w:ascii="Times New Roman" w:hAnsi="Times New Roman" w:cs="Times New Roman" w:eastAsia="Times New Roman" w:hint="default"/>
                <w:sz w:val="18"/>
                <w:szCs w:val="18"/>
              </w:rPr>
            </w:pPr>
            <w:r>
              <w:rPr>
                <w:rFonts w:ascii="Times New Roman"/>
                <w:sz w:val="18"/>
              </w:rPr>
              <w:t>-34,393,</w:t>
            </w: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497.35</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6,361,05</w:t>
            </w: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2.74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 w:right="0"/>
              <w:jc w:val="center"/>
              <w:rPr>
                <w:rFonts w:ascii="Times New Roman" w:hAnsi="Times New Roman" w:cs="Times New Roman" w:eastAsia="Times New Roman" w:hint="default"/>
                <w:sz w:val="18"/>
                <w:szCs w:val="18"/>
              </w:rPr>
            </w:pPr>
            <w:r>
              <w:rPr>
                <w:rFonts w:ascii="Times New Roman"/>
                <w:sz w:val="18"/>
              </w:rPr>
              <w:t>-36,361,</w:t>
            </w: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052.74</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3" w:right="0"/>
              <w:jc w:val="center"/>
              <w:rPr>
                <w:rFonts w:ascii="Times New Roman" w:hAnsi="Times New Roman" w:cs="Times New Roman" w:eastAsia="Times New Roman" w:hint="default"/>
                <w:sz w:val="18"/>
                <w:szCs w:val="18"/>
              </w:rPr>
            </w:pPr>
            <w:r>
              <w:rPr>
                <w:rFonts w:ascii="Times New Roman"/>
                <w:sz w:val="18"/>
              </w:rPr>
              <w:t>-4,127,5</w:t>
            </w:r>
          </w:p>
          <w:p>
            <w:pPr>
              <w:pStyle w:val="TableParagraph"/>
              <w:spacing w:line="240" w:lineRule="auto"/>
              <w:ind w:left="226" w:right="0"/>
              <w:jc w:val="center"/>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 w:right="0"/>
              <w:jc w:val="center"/>
              <w:rPr>
                <w:rFonts w:ascii="Times New Roman" w:hAnsi="Times New Roman" w:cs="Times New Roman" w:eastAsia="Times New Roman" w:hint="default"/>
                <w:sz w:val="18"/>
                <w:szCs w:val="18"/>
              </w:rPr>
            </w:pPr>
            <w:r>
              <w:rPr>
                <w:rFonts w:ascii="Times New Roman"/>
                <w:sz w:val="18"/>
              </w:rPr>
              <w:t>-34,127,</w:t>
            </w: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500.00</w:t>
            </w:r>
          </w:p>
        </w:tc>
      </w:tr>
      <w:tr>
        <w:trPr>
          <w:trHeight w:val="425"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7,018,49</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5.90</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 w:right="0"/>
              <w:jc w:val="center"/>
              <w:rPr>
                <w:rFonts w:ascii="Times New Roman" w:hAnsi="Times New Roman" w:cs="Times New Roman" w:eastAsia="Times New Roman" w:hint="default"/>
                <w:sz w:val="18"/>
                <w:szCs w:val="18"/>
              </w:rPr>
            </w:pPr>
            <w:r>
              <w:rPr>
                <w:rFonts w:ascii="Times New Roman"/>
                <w:sz w:val="18"/>
              </w:rPr>
              <w:t>-7,018,4</w:t>
            </w:r>
          </w:p>
          <w:p>
            <w:pPr>
              <w:pStyle w:val="TableParagraph"/>
              <w:spacing w:line="240" w:lineRule="auto"/>
              <w:ind w:left="225" w:right="0"/>
              <w:jc w:val="center"/>
              <w:rPr>
                <w:rFonts w:ascii="Times New Roman" w:hAnsi="Times New Roman" w:cs="Times New Roman" w:eastAsia="Times New Roman" w:hint="default"/>
                <w:sz w:val="18"/>
                <w:szCs w:val="18"/>
              </w:rPr>
            </w:pPr>
            <w:r>
              <w:rPr>
                <w:rFonts w:ascii="Times New Roman"/>
                <w:sz w:val="18"/>
              </w:rPr>
              <w:t>95.90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6,361,05</w:t>
            </w: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2.74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 w:right="0"/>
              <w:jc w:val="center"/>
              <w:rPr>
                <w:rFonts w:ascii="Times New Roman" w:hAnsi="Times New Roman" w:cs="Times New Roman" w:eastAsia="Times New Roman" w:hint="default"/>
                <w:sz w:val="18"/>
                <w:szCs w:val="18"/>
              </w:rPr>
            </w:pPr>
            <w:r>
              <w:rPr>
                <w:rFonts w:ascii="Times New Roman"/>
                <w:sz w:val="18"/>
              </w:rPr>
              <w:t>-6,361,0</w:t>
            </w:r>
          </w:p>
          <w:p>
            <w:pPr>
              <w:pStyle w:val="TableParagraph"/>
              <w:spacing w:line="240" w:lineRule="auto"/>
              <w:ind w:left="225" w:right="0"/>
              <w:jc w:val="center"/>
              <w:rPr>
                <w:rFonts w:ascii="Times New Roman" w:hAnsi="Times New Roman" w:cs="Times New Roman" w:eastAsia="Times New Roman" w:hint="default"/>
                <w:sz w:val="18"/>
                <w:szCs w:val="18"/>
              </w:rPr>
            </w:pPr>
            <w:r>
              <w:rPr>
                <w:rFonts w:ascii="Times New Roman"/>
                <w:sz w:val="18"/>
              </w:rPr>
              <w:t>52.74</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000.00</w:t>
            </w: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31" w:right="0"/>
              <w:jc w:val="center"/>
              <w:rPr>
                <w:rFonts w:ascii="Times New Roman" w:hAnsi="Times New Roman" w:cs="Times New Roman" w:eastAsia="Times New Roman" w:hint="default"/>
                <w:sz w:val="18"/>
                <w:szCs w:val="18"/>
              </w:rPr>
            </w:pPr>
            <w:r>
              <w:rPr>
                <w:rFonts w:ascii="Times New Roman"/>
                <w:sz w:val="18"/>
              </w:rPr>
              <w:t>-29,700,</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31" w:right="0"/>
              <w:jc w:val="center"/>
              <w:rPr>
                <w:rFonts w:ascii="Times New Roman" w:hAnsi="Times New Roman" w:cs="Times New Roman" w:eastAsia="Times New Roman" w:hint="default"/>
                <w:sz w:val="18"/>
                <w:szCs w:val="18"/>
              </w:rPr>
            </w:pPr>
            <w:r>
              <w:rPr>
                <w:rFonts w:ascii="Times New Roman"/>
                <w:sz w:val="18"/>
              </w:rPr>
              <w:t>-29,700,</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000.00</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33" w:right="0"/>
              <w:jc w:val="center"/>
              <w:rPr>
                <w:rFonts w:ascii="Times New Roman" w:hAnsi="Times New Roman" w:cs="Times New Roman" w:eastAsia="Times New Roman" w:hint="default"/>
                <w:sz w:val="18"/>
                <w:szCs w:val="18"/>
              </w:rPr>
            </w:pPr>
            <w:r>
              <w:rPr>
                <w:rFonts w:ascii="Times New Roman"/>
                <w:sz w:val="18"/>
              </w:rPr>
              <w:t>-4,127,5</w:t>
            </w:r>
          </w:p>
          <w:p>
            <w:pPr>
              <w:pStyle w:val="TableParagraph"/>
              <w:spacing w:line="207" w:lineRule="exact"/>
              <w:ind w:left="226" w:right="0"/>
              <w:jc w:val="center"/>
              <w:rPr>
                <w:rFonts w:ascii="Times New Roman" w:hAnsi="Times New Roman" w:cs="Times New Roman" w:eastAsia="Times New Roman" w:hint="default"/>
                <w:sz w:val="18"/>
                <w:szCs w:val="18"/>
              </w:rPr>
            </w:pPr>
            <w:r>
              <w:rPr>
                <w:rFonts w:ascii="Times New Roman"/>
                <w:sz w:val="18"/>
              </w:rPr>
              <w:t>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32" w:right="0"/>
              <w:jc w:val="center"/>
              <w:rPr>
                <w:rFonts w:ascii="Times New Roman" w:hAnsi="Times New Roman" w:cs="Times New Roman" w:eastAsia="Times New Roman" w:hint="default"/>
                <w:sz w:val="18"/>
                <w:szCs w:val="18"/>
              </w:rPr>
            </w:pPr>
            <w:r>
              <w:rPr>
                <w:rFonts w:ascii="Times New Roman"/>
                <w:sz w:val="18"/>
              </w:rPr>
              <w:t>-4,127,5</w:t>
            </w:r>
          </w:p>
          <w:p>
            <w:pPr>
              <w:pStyle w:val="TableParagraph"/>
              <w:spacing w:line="207" w:lineRule="exact"/>
              <w:ind w:left="225" w:right="0"/>
              <w:jc w:val="center"/>
              <w:rPr>
                <w:rFonts w:ascii="Times New Roman" w:hAnsi="Times New Roman" w:cs="Times New Roman" w:eastAsia="Times New Roman" w:hint="default"/>
                <w:sz w:val="18"/>
                <w:szCs w:val="18"/>
              </w:rPr>
            </w:pPr>
            <w:r>
              <w:rPr>
                <w:rFonts w:ascii="Times New Roman"/>
                <w:sz w:val="18"/>
              </w:rPr>
              <w:t>00.00</w:t>
            </w:r>
          </w:p>
        </w:tc>
      </w:tr>
      <w:tr>
        <w:trPr>
          <w:trHeight w:val="425"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 w:right="0"/>
              <w:jc w:val="center"/>
              <w:rPr>
                <w:rFonts w:ascii="Times New Roman" w:hAnsi="Times New Roman" w:cs="Times New Roman" w:eastAsia="Times New Roman" w:hint="default"/>
                <w:sz w:val="18"/>
                <w:szCs w:val="18"/>
              </w:rPr>
            </w:pPr>
            <w:r>
              <w:rPr>
                <w:rFonts w:ascii="Times New Roman"/>
                <w:sz w:val="18"/>
              </w:rPr>
              <w:t>-4,693,4</w:t>
            </w:r>
          </w:p>
          <w:p>
            <w:pPr>
              <w:pStyle w:val="TableParagraph"/>
              <w:spacing w:line="240" w:lineRule="auto"/>
              <w:ind w:left="225" w:right="0"/>
              <w:jc w:val="center"/>
              <w:rPr>
                <w:rFonts w:ascii="Times New Roman" w:hAnsi="Times New Roman" w:cs="Times New Roman" w:eastAsia="Times New Roman" w:hint="default"/>
                <w:sz w:val="18"/>
                <w:szCs w:val="18"/>
              </w:rPr>
            </w:pPr>
            <w:r>
              <w:rPr>
                <w:rFonts w:ascii="Times New Roman"/>
                <w:sz w:val="18"/>
              </w:rPr>
              <w:t>97.35</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 w:right="0"/>
              <w:jc w:val="center"/>
              <w:rPr>
                <w:rFonts w:ascii="Times New Roman" w:hAnsi="Times New Roman" w:cs="Times New Roman" w:eastAsia="Times New Roman" w:hint="default"/>
                <w:sz w:val="18"/>
                <w:szCs w:val="18"/>
              </w:rPr>
            </w:pPr>
            <w:r>
              <w:rPr>
                <w:rFonts w:ascii="Times New Roman"/>
                <w:sz w:val="18"/>
              </w:rPr>
              <w:t>-4,693,4</w:t>
            </w:r>
          </w:p>
          <w:p>
            <w:pPr>
              <w:pStyle w:val="TableParagraph"/>
              <w:spacing w:line="240" w:lineRule="auto"/>
              <w:ind w:left="225" w:right="0"/>
              <w:jc w:val="center"/>
              <w:rPr>
                <w:rFonts w:ascii="Times New Roman" w:hAnsi="Times New Roman" w:cs="Times New Roman" w:eastAsia="Times New Roman" w:hint="default"/>
                <w:sz w:val="18"/>
                <w:szCs w:val="18"/>
              </w:rPr>
            </w:pPr>
            <w:r>
              <w:rPr>
                <w:rFonts w:ascii="Times New Roman"/>
                <w:sz w:val="18"/>
              </w:rPr>
              <w:t>97.35</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2"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9" w:right="0"/>
              <w:jc w:val="center"/>
              <w:rPr>
                <w:rFonts w:ascii="Times New Roman" w:hAnsi="Times New Roman" w:cs="Times New Roman" w:eastAsia="Times New Roman" w:hint="default"/>
                <w:sz w:val="18"/>
                <w:szCs w:val="18"/>
              </w:rPr>
            </w:pPr>
            <w:r>
              <w:rPr>
                <w:rFonts w:ascii="Times New Roman"/>
                <w:sz w:val="18"/>
              </w:rPr>
              <w:t>110,000,</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000.00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sz w:val="18"/>
              </w:rPr>
              <w:t>248,451,</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758.29</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34,823,9</w:t>
            </w:r>
          </w:p>
          <w:p>
            <w:pPr>
              <w:pStyle w:val="TableParagraph"/>
              <w:spacing w:line="207" w:lineRule="exact"/>
              <w:ind w:left="250" w:right="0"/>
              <w:jc w:val="left"/>
              <w:rPr>
                <w:rFonts w:ascii="Times New Roman" w:hAnsi="Times New Roman" w:cs="Times New Roman" w:eastAsia="Times New Roman" w:hint="default"/>
                <w:sz w:val="18"/>
                <w:szCs w:val="18"/>
              </w:rPr>
            </w:pPr>
            <w:r>
              <w:rPr>
                <w:rFonts w:ascii="Times New Roman"/>
                <w:sz w:val="18"/>
              </w:rPr>
              <w:t>52.02</w:t>
            </w:r>
          </w:p>
        </w:tc>
        <w:tc>
          <w:tcPr>
            <w:tcW w:w="690"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sz w:val="18"/>
              </w:rPr>
              <w:t>105,834,</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381.01</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22,425,4</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93.08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 w:right="0"/>
              <w:jc w:val="center"/>
              <w:rPr>
                <w:rFonts w:ascii="Times New Roman" w:hAnsi="Times New Roman" w:cs="Times New Roman" w:eastAsia="Times New Roman" w:hint="default"/>
                <w:sz w:val="18"/>
                <w:szCs w:val="18"/>
              </w:rPr>
            </w:pPr>
            <w:r>
              <w:rPr>
                <w:rFonts w:ascii="Times New Roman"/>
                <w:sz w:val="18"/>
              </w:rPr>
              <w:t>521,535,</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584.40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07" w:lineRule="exact"/>
              <w:ind w:left="250" w:right="0"/>
              <w:jc w:val="left"/>
              <w:rPr>
                <w:rFonts w:ascii="Times New Roman" w:hAnsi="Times New Roman" w:cs="Times New Roman" w:eastAsia="Times New Roman" w:hint="default"/>
                <w:sz w:val="18"/>
                <w:szCs w:val="18"/>
              </w:rPr>
            </w:pPr>
            <w:r>
              <w:rPr>
                <w:rFonts w:ascii="Times New Roman"/>
                <w:sz w:val="18"/>
              </w:rPr>
              <w:t>00.00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1,970,90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2.74</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27,805,4</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56.12</w:t>
            </w: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5" w:right="0"/>
              <w:jc w:val="left"/>
              <w:rPr>
                <w:rFonts w:ascii="Times New Roman" w:hAnsi="Times New Roman" w:cs="Times New Roman" w:eastAsia="Times New Roman" w:hint="default"/>
                <w:sz w:val="18"/>
                <w:szCs w:val="18"/>
              </w:rPr>
            </w:pPr>
            <w:r>
              <w:rPr>
                <w:rFonts w:ascii="Times New Roman"/>
                <w:sz w:val="18"/>
              </w:rPr>
              <w:t>86,485,2</w:t>
            </w:r>
          </w:p>
          <w:p>
            <w:pPr>
              <w:pStyle w:val="TableParagraph"/>
              <w:spacing w:line="207" w:lineRule="exact"/>
              <w:ind w:left="249" w:right="0"/>
              <w:jc w:val="left"/>
              <w:rPr>
                <w:rFonts w:ascii="Times New Roman" w:hAnsi="Times New Roman" w:cs="Times New Roman" w:eastAsia="Times New Roman" w:hint="default"/>
                <w:sz w:val="18"/>
                <w:szCs w:val="18"/>
              </w:rPr>
            </w:pPr>
            <w:r>
              <w:rPr>
                <w:rFonts w:ascii="Times New Roman"/>
                <w:sz w:val="18"/>
              </w:rPr>
              <w:t>62.64</w:t>
            </w:r>
          </w:p>
        </w:tc>
        <w:tc>
          <w:tcPr>
            <w:tcW w:w="689"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13,371,4</w:t>
            </w:r>
          </w:p>
          <w:p>
            <w:pPr>
              <w:pStyle w:val="TableParagraph"/>
              <w:spacing w:line="207" w:lineRule="exact"/>
              <w:ind w:left="250" w:right="0"/>
              <w:jc w:val="left"/>
              <w:rPr>
                <w:rFonts w:ascii="Times New Roman" w:hAnsi="Times New Roman" w:cs="Times New Roman" w:eastAsia="Times New Roman" w:hint="default"/>
                <w:sz w:val="18"/>
                <w:szCs w:val="18"/>
              </w:rPr>
            </w:pPr>
            <w:r>
              <w:rPr>
                <w:rFonts w:ascii="Times New Roman"/>
                <w:sz w:val="18"/>
              </w:rPr>
              <w:t>75.49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9" w:right="0"/>
              <w:jc w:val="center"/>
              <w:rPr>
                <w:rFonts w:ascii="Times New Roman" w:hAnsi="Times New Roman" w:cs="Times New Roman" w:eastAsia="Times New Roman" w:hint="default"/>
                <w:sz w:val="18"/>
                <w:szCs w:val="18"/>
              </w:rPr>
            </w:pPr>
            <w:r>
              <w:rPr>
                <w:rFonts w:ascii="Times New Roman"/>
                <w:sz w:val="18"/>
              </w:rPr>
              <w:t>211,633,</w:t>
            </w:r>
          </w:p>
          <w:p>
            <w:pPr>
              <w:pStyle w:val="TableParagraph"/>
              <w:spacing w:line="207" w:lineRule="exact"/>
              <w:ind w:left="135" w:right="0"/>
              <w:jc w:val="center"/>
              <w:rPr>
                <w:rFonts w:ascii="Times New Roman" w:hAnsi="Times New Roman" w:cs="Times New Roman" w:eastAsia="Times New Roman" w:hint="default"/>
                <w:sz w:val="18"/>
                <w:szCs w:val="18"/>
              </w:rPr>
            </w:pPr>
            <w:r>
              <w:rPr>
                <w:rFonts w:ascii="Times New Roman"/>
                <w:sz w:val="18"/>
              </w:rPr>
              <w:t>096.99</w:t>
            </w:r>
          </w:p>
        </w:tc>
      </w:tr>
    </w:tbl>
    <w:p>
      <w:pPr>
        <w:spacing w:after="0" w:line="207" w:lineRule="exact"/>
        <w:jc w:val="center"/>
        <w:rPr>
          <w:rFonts w:ascii="Times New Roman" w:hAnsi="Times New Roman" w:cs="Times New Roman" w:eastAsia="Times New Roman" w:hint="default"/>
          <w:sz w:val="18"/>
          <w:szCs w:val="18"/>
        </w:rPr>
        <w:sectPr>
          <w:pgSz w:w="16840" w:h="11910" w:orient="landscape"/>
          <w:pgMar w:header="840" w:footer="1497" w:top="1160" w:bottom="1680" w:left="1300" w:right="60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p>
      <w:pPr>
        <w:pStyle w:val="Heading2"/>
        <w:spacing w:line="388" w:lineRule="exact"/>
        <w:ind w:left="2204" w:right="2659"/>
        <w:jc w:val="center"/>
        <w:rPr>
          <w:b w:val="0"/>
          <w:bCs w:val="0"/>
        </w:rPr>
      </w:pPr>
      <w:r>
        <w:rPr/>
        <w:t>东港安全印刷股份有限公司</w:t>
      </w:r>
      <w:r>
        <w:rPr>
          <w:b w:val="0"/>
          <w:bCs w:val="0"/>
        </w:rPr>
      </w:r>
    </w:p>
    <w:p>
      <w:pPr>
        <w:pStyle w:val="Heading2"/>
        <w:spacing w:line="440" w:lineRule="exact" w:before="40"/>
        <w:ind w:left="3269" w:right="3725"/>
        <w:jc w:val="center"/>
        <w:rPr>
          <w:b w:val="0"/>
          <w:bCs w:val="0"/>
        </w:rPr>
      </w:pPr>
      <w:r>
        <w:rPr/>
        <w:t>财务报表附注</w:t>
      </w:r>
      <w:r>
        <w:rPr>
          <w:spacing w:val="1"/>
          <w:w w:val="99"/>
        </w:rPr>
        <w:t> </w:t>
      </w:r>
      <w:r>
        <w:rPr>
          <w:w w:val="95"/>
        </w:rPr>
        <w:t>2007</w:t>
      </w:r>
      <w:r>
        <w:rPr>
          <w:spacing w:val="-38"/>
          <w:w w:val="95"/>
        </w:rPr>
        <w:t> </w:t>
      </w:r>
      <w:r>
        <w:rPr>
          <w:w w:val="95"/>
        </w:rPr>
        <w:t>年度</w:t>
      </w:r>
      <w:r>
        <w:rPr>
          <w:b w:val="0"/>
          <w:bCs w:val="0"/>
        </w:rPr>
      </w:r>
    </w:p>
    <w:p>
      <w:pPr>
        <w:spacing w:before="40"/>
        <w:ind w:left="2204" w:right="2660"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（除特别说明外，金额单位为人民币元）</w:t>
      </w:r>
      <w:r>
        <w:rPr>
          <w:rFonts w:ascii="Microsoft JhengHei" w:hAnsi="Microsoft JhengHei" w:cs="Microsoft JhengHei" w:eastAsia="Microsoft JhengHei" w:hint="default"/>
          <w:sz w:val="21"/>
          <w:szCs w:val="21"/>
        </w:rPr>
      </w:r>
    </w:p>
    <w:p>
      <w:pPr>
        <w:spacing w:line="295" w:lineRule="auto" w:before="30"/>
        <w:ind w:left="617" w:right="227"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一、公司基本情况</w:t>
      </w:r>
      <w:r>
        <w:rPr>
          <w:rFonts w:ascii="Microsoft JhengHei" w:hAnsi="Microsoft JhengHei" w:cs="Microsoft JhengHei" w:eastAsia="Microsoft JhengHei" w:hint="default"/>
          <w:b/>
          <w:bCs/>
          <w:spacing w:val="-55"/>
          <w:sz w:val="24"/>
          <w:szCs w:val="24"/>
        </w:rPr>
        <w:t> </w:t>
      </w:r>
      <w:r>
        <w:rPr>
          <w:rFonts w:ascii="宋体" w:hAnsi="宋体" w:cs="宋体" w:eastAsia="宋体" w:hint="default"/>
          <w:spacing w:val="-4"/>
          <w:sz w:val="24"/>
          <w:szCs w:val="24"/>
        </w:rPr>
        <w:t>东港安全印刷股份有限公司（以下简称“本公司”或“公司”）原名“济南</w:t>
      </w:r>
      <w:r>
        <w:rPr>
          <w:rFonts w:ascii="宋体" w:hAnsi="宋体" w:cs="宋体" w:eastAsia="宋体" w:hint="default"/>
          <w:sz w:val="24"/>
          <w:szCs w:val="24"/>
        </w:rPr>
      </w:r>
    </w:p>
    <w:p>
      <w:pPr>
        <w:pStyle w:val="BodyText"/>
        <w:spacing w:line="336" w:lineRule="auto" w:before="71"/>
        <w:ind w:right="232"/>
        <w:jc w:val="both"/>
      </w:pPr>
      <w:r>
        <w:rPr/>
        <w:t>东港安全印务有限公司”，成立于</w:t>
      </w:r>
      <w:r>
        <w:rPr>
          <w:spacing w:val="-65"/>
        </w:rPr>
        <w:t> </w:t>
      </w:r>
      <w:r>
        <w:rPr>
          <w:spacing w:val="25"/>
        </w:rPr>
        <w:t>1996年3月</w:t>
      </w:r>
      <w:r>
        <w:rPr>
          <w:spacing w:val="-65"/>
        </w:rPr>
        <w:t> </w:t>
      </w:r>
      <w:r>
        <w:rPr/>
        <w:t>25</w:t>
      </w:r>
      <w:r>
        <w:rPr>
          <w:spacing w:val="-65"/>
        </w:rPr>
        <w:t> </w:t>
      </w:r>
      <w:r>
        <w:rPr/>
        <w:t>日。2002</w:t>
      </w:r>
      <w:r>
        <w:rPr>
          <w:spacing w:val="-65"/>
        </w:rPr>
        <w:t> </w:t>
      </w:r>
      <w:r>
        <w:rPr/>
        <w:t>年</w:t>
      </w:r>
      <w:r>
        <w:rPr>
          <w:spacing w:val="-65"/>
        </w:rPr>
        <w:t> </w:t>
      </w:r>
      <w:r>
        <w:rPr/>
        <w:t>11</w:t>
      </w:r>
      <w:r>
        <w:rPr>
          <w:spacing w:val="-65"/>
        </w:rPr>
        <w:t> </w:t>
      </w:r>
      <w:r>
        <w:rPr/>
        <w:t>月经中华人民</w:t>
      </w:r>
      <w:r>
        <w:rPr/>
        <w:t> 共和国对外贸易经济合作部外经贸资一函（2002）1298</w:t>
      </w:r>
      <w:r>
        <w:rPr>
          <w:spacing w:val="1"/>
        </w:rPr>
        <w:t> </w:t>
      </w:r>
      <w:r>
        <w:rPr/>
        <w:t>号《关于同意济南东港</w:t>
      </w:r>
      <w:r>
        <w:rPr/>
        <w:t> </w:t>
      </w:r>
      <w:r>
        <w:rPr>
          <w:spacing w:val="-3"/>
        </w:rPr>
        <w:t>安全印务有限公司转制为外商投资股份有限公司的批复》文件批准变更为股份有</w:t>
      </w:r>
      <w:r>
        <w:rPr>
          <w:spacing w:val="-103"/>
        </w:rPr>
        <w:t> </w:t>
      </w:r>
      <w:r>
        <w:rPr>
          <w:spacing w:val="-103"/>
        </w:rPr>
      </w:r>
      <w:r>
        <w:rPr/>
        <w:t>限公司，并由国家工商行政管理总局颁发了企股国字第 000960</w:t>
      </w:r>
      <w:r>
        <w:rPr>
          <w:spacing w:val="-90"/>
        </w:rPr>
        <w:t> </w:t>
      </w:r>
      <w:r>
        <w:rPr/>
        <w:t>号企业法人营业</w:t>
      </w:r>
      <w:r>
        <w:rPr/>
        <w:t> 执照。</w:t>
      </w:r>
    </w:p>
    <w:p>
      <w:pPr>
        <w:pStyle w:val="BodyText"/>
        <w:spacing w:line="336" w:lineRule="auto" w:before="29"/>
        <w:ind w:left="617" w:right="227"/>
        <w:jc w:val="left"/>
      </w:pPr>
      <w:r>
        <w:rPr/>
        <w:t>本公司历史沿革情况如下： 经济南市对外经济贸易委员会济外经贸投字（1996）33</w:t>
      </w:r>
      <w:r>
        <w:rPr>
          <w:spacing w:val="3"/>
        </w:rPr>
        <w:t> </w:t>
      </w:r>
      <w:r>
        <w:rPr/>
        <w:t>号文《关于“济南</w:t>
      </w:r>
    </w:p>
    <w:p>
      <w:pPr>
        <w:pStyle w:val="BodyText"/>
        <w:spacing w:line="336" w:lineRule="auto"/>
        <w:ind w:right="232"/>
        <w:jc w:val="both"/>
      </w:pPr>
      <w:r>
        <w:rPr>
          <w:spacing w:val="-3"/>
        </w:rPr>
        <w:t>鲁港印务有限公司”合同章程的批复及颁发批准证书的通知》批准，由济南市历</w:t>
      </w:r>
      <w:r>
        <w:rPr>
          <w:spacing w:val="-103"/>
        </w:rPr>
        <w:t> </w:t>
      </w:r>
      <w:r>
        <w:rPr>
          <w:spacing w:val="-103"/>
        </w:rPr>
      </w:r>
      <w:r>
        <w:rPr>
          <w:spacing w:val="-3"/>
        </w:rPr>
        <w:t>城区工业供销公司、浪潮电子信息产业集团公司与香港喜多来集团有限公司（以</w:t>
      </w:r>
      <w:r>
        <w:rPr>
          <w:spacing w:val="-105"/>
        </w:rPr>
        <w:t> </w:t>
      </w:r>
      <w:r>
        <w:rPr>
          <w:spacing w:val="-105"/>
        </w:rPr>
      </w:r>
      <w:r>
        <w:rPr/>
        <w:t>下简称“喜多来”）于</w:t>
      </w:r>
      <w:r>
        <w:rPr>
          <w:spacing w:val="-52"/>
        </w:rPr>
        <w:t> </w:t>
      </w:r>
      <w:r>
        <w:rPr/>
        <w:t>1996</w:t>
      </w:r>
      <w:r>
        <w:rPr>
          <w:spacing w:val="-52"/>
        </w:rPr>
        <w:t> </w:t>
      </w:r>
      <w:r>
        <w:rPr/>
        <w:t>年</w:t>
      </w:r>
      <w:r>
        <w:rPr>
          <w:spacing w:val="-53"/>
        </w:rPr>
        <w:t> </w:t>
      </w:r>
      <w:r>
        <w:rPr/>
        <w:t>3</w:t>
      </w:r>
      <w:r>
        <w:rPr>
          <w:spacing w:val="-52"/>
        </w:rPr>
        <w:t> </w:t>
      </w:r>
      <w:r>
        <w:rPr/>
        <w:t>月共同投资成立了济南鲁港印务有限公司，成</w:t>
      </w:r>
    </w:p>
    <w:p>
      <w:pPr>
        <w:pStyle w:val="BodyText"/>
        <w:spacing w:line="240" w:lineRule="auto"/>
        <w:ind w:right="96"/>
        <w:jc w:val="left"/>
      </w:pPr>
      <w:r>
        <w:rPr/>
        <w:t>立时项目总投资</w:t>
      </w:r>
      <w:r>
        <w:rPr>
          <w:spacing w:val="-60"/>
        </w:rPr>
        <w:t> </w:t>
      </w:r>
      <w:r>
        <w:rPr/>
        <w:t>100</w:t>
      </w:r>
      <w:r>
        <w:rPr>
          <w:spacing w:val="-60"/>
        </w:rPr>
        <w:t> </w:t>
      </w:r>
      <w:r>
        <w:rPr/>
        <w:t>万美元，注册资本</w:t>
      </w:r>
      <w:r>
        <w:rPr>
          <w:spacing w:val="-60"/>
        </w:rPr>
        <w:t> </w:t>
      </w:r>
      <w:r>
        <w:rPr/>
        <w:t>70</w:t>
      </w:r>
      <w:r>
        <w:rPr>
          <w:spacing w:val="-60"/>
        </w:rPr>
        <w:t> </w:t>
      </w:r>
      <w:r>
        <w:rPr/>
        <w:t>万美元（其中：济南市历城区工业供</w:t>
      </w:r>
    </w:p>
    <w:p>
      <w:pPr>
        <w:pStyle w:val="BodyText"/>
        <w:spacing w:line="336" w:lineRule="auto" w:before="125"/>
        <w:ind w:right="96"/>
        <w:jc w:val="left"/>
      </w:pPr>
      <w:r>
        <w:rPr/>
        <w:t>销公司出资</w:t>
      </w:r>
      <w:r>
        <w:rPr>
          <w:spacing w:val="-58"/>
        </w:rPr>
        <w:t> </w:t>
      </w:r>
      <w:r>
        <w:rPr/>
        <w:t>14</w:t>
      </w:r>
      <w:r>
        <w:rPr>
          <w:spacing w:val="-58"/>
        </w:rPr>
        <w:t> </w:t>
      </w:r>
      <w:r>
        <w:rPr/>
        <w:t>万美元，占注册资本的</w:t>
      </w:r>
      <w:r>
        <w:rPr>
          <w:spacing w:val="-58"/>
        </w:rPr>
        <w:t> </w:t>
      </w:r>
      <w:r>
        <w:rPr/>
        <w:t>20%；浪潮电子信息产业集团公司出资</w:t>
      </w:r>
      <w:r>
        <w:rPr>
          <w:spacing w:val="-58"/>
        </w:rPr>
        <w:t> </w:t>
      </w:r>
      <w:r>
        <w:rPr/>
        <w:t>14</w:t>
      </w:r>
      <w:r>
        <w:rPr>
          <w:spacing w:val="-1"/>
        </w:rPr>
        <w:t> </w:t>
      </w:r>
      <w:r>
        <w:rPr/>
        <w:t>万美元，占注册资本的</w:t>
      </w:r>
      <w:r>
        <w:rPr>
          <w:spacing w:val="-36"/>
        </w:rPr>
        <w:t> </w:t>
      </w:r>
      <w:r>
        <w:rPr/>
        <w:t>20%；香港喜多来集团有限公司出资</w:t>
      </w:r>
      <w:r>
        <w:rPr>
          <w:spacing w:val="-36"/>
        </w:rPr>
        <w:t> </w:t>
      </w:r>
      <w:r>
        <w:rPr/>
        <w:t>42</w:t>
      </w:r>
      <w:r>
        <w:rPr>
          <w:spacing w:val="-36"/>
        </w:rPr>
        <w:t> </w:t>
      </w:r>
      <w:r>
        <w:rPr/>
        <w:t>万美元，占注册</w:t>
      </w:r>
      <w:r>
        <w:rPr>
          <w:spacing w:val="-1"/>
        </w:rPr>
        <w:t> </w:t>
      </w:r>
      <w:r>
        <w:rPr/>
        <w:t>资本的</w:t>
      </w:r>
      <w:r>
        <w:rPr>
          <w:spacing w:val="-66"/>
        </w:rPr>
        <w:t> </w:t>
      </w:r>
      <w:r>
        <w:rPr>
          <w:spacing w:val="-7"/>
        </w:rPr>
        <w:t>60%）。1997</w:t>
      </w:r>
      <w:r>
        <w:rPr>
          <w:spacing w:val="-68"/>
        </w:rPr>
        <w:t> </w:t>
      </w:r>
      <w:r>
        <w:rPr/>
        <w:t>年</w:t>
      </w:r>
      <w:r>
        <w:rPr>
          <w:spacing w:val="-66"/>
        </w:rPr>
        <w:t> </w:t>
      </w:r>
      <w:r>
        <w:rPr/>
        <w:t>12</w:t>
      </w:r>
      <w:r>
        <w:rPr>
          <w:spacing w:val="-66"/>
        </w:rPr>
        <w:t> </w:t>
      </w:r>
      <w:r>
        <w:rPr/>
        <w:t>月经济南市对外经济贸易委员会济外经贸投字（1997）</w:t>
      </w:r>
      <w:r>
        <w:rPr/>
        <w:t> 211</w:t>
      </w:r>
      <w:r>
        <w:rPr>
          <w:spacing w:val="-70"/>
        </w:rPr>
        <w:t> </w:t>
      </w:r>
      <w:r>
        <w:rPr/>
        <w:t>号文《关于济南鲁港印务有限公司更名事宜的批复》，济南鲁港印务有限公</w:t>
      </w:r>
      <w:r>
        <w:rPr/>
        <w:t> 司更名为“济南东港安全印务有限公司”。</w:t>
      </w:r>
    </w:p>
    <w:p>
      <w:pPr>
        <w:pStyle w:val="BodyText"/>
        <w:spacing w:line="336" w:lineRule="auto"/>
        <w:ind w:right="127" w:firstLine="480"/>
        <w:jc w:val="left"/>
      </w:pPr>
      <w:r>
        <w:rPr/>
        <w:t>1998</w:t>
      </w:r>
      <w:r>
        <w:rPr>
          <w:spacing w:val="-22"/>
        </w:rPr>
        <w:t> </w:t>
      </w:r>
      <w:r>
        <w:rPr/>
        <w:t>年</w:t>
      </w:r>
      <w:r>
        <w:rPr>
          <w:spacing w:val="-22"/>
        </w:rPr>
        <w:t> </w:t>
      </w:r>
      <w:r>
        <w:rPr/>
        <w:t>7</w:t>
      </w:r>
      <w:r>
        <w:rPr>
          <w:spacing w:val="-23"/>
        </w:rPr>
        <w:t> </w:t>
      </w:r>
      <w:r>
        <w:rPr/>
        <w:t>月经济南市对外经济贸易委员会济外经贸外资字（1998）第</w:t>
      </w:r>
      <w:r>
        <w:rPr>
          <w:spacing w:val="-22"/>
        </w:rPr>
        <w:t> </w:t>
      </w:r>
      <w:r>
        <w:rPr/>
        <w:t>111</w:t>
      </w:r>
      <w:r>
        <w:rPr/>
        <w:t> 号文《关于同意济南东港安全印务有限公司增加投资及注册资本的批复》批准， 济南东港安全印务有限公司总投资由</w:t>
      </w:r>
      <w:r>
        <w:rPr>
          <w:spacing w:val="-60"/>
        </w:rPr>
        <w:t> </w:t>
      </w:r>
      <w:r>
        <w:rPr/>
        <w:t>100</w:t>
      </w:r>
      <w:r>
        <w:rPr>
          <w:spacing w:val="-60"/>
        </w:rPr>
        <w:t> </w:t>
      </w:r>
      <w:r>
        <w:rPr/>
        <w:t>万美元增加到</w:t>
      </w:r>
      <w:r>
        <w:rPr>
          <w:spacing w:val="-60"/>
        </w:rPr>
        <w:t> </w:t>
      </w:r>
      <w:r>
        <w:rPr/>
        <w:t>250</w:t>
      </w:r>
      <w:r>
        <w:rPr>
          <w:spacing w:val="-60"/>
        </w:rPr>
        <w:t> </w:t>
      </w:r>
      <w:r>
        <w:rPr>
          <w:spacing w:val="-10"/>
        </w:rPr>
        <w:t>万美元，注册资本由</w:t>
      </w:r>
    </w:p>
    <w:p>
      <w:pPr>
        <w:pStyle w:val="BodyText"/>
        <w:spacing w:line="336" w:lineRule="auto"/>
        <w:ind w:right="100"/>
        <w:jc w:val="left"/>
      </w:pPr>
      <w:r>
        <w:rPr/>
        <w:t>70</w:t>
      </w:r>
      <w:r>
        <w:rPr>
          <w:spacing w:val="-57"/>
        </w:rPr>
        <w:t> </w:t>
      </w:r>
      <w:r>
        <w:rPr/>
        <w:t>万美元增加到</w:t>
      </w:r>
      <w:r>
        <w:rPr>
          <w:spacing w:val="-57"/>
        </w:rPr>
        <w:t> </w:t>
      </w:r>
      <w:r>
        <w:rPr/>
        <w:t>175</w:t>
      </w:r>
      <w:r>
        <w:rPr>
          <w:spacing w:val="-57"/>
        </w:rPr>
        <w:t> </w:t>
      </w:r>
      <w:r>
        <w:rPr>
          <w:spacing w:val="-8"/>
        </w:rPr>
        <w:t>万美元（其中：济南市历城区工业供销公司出资</w:t>
      </w:r>
      <w:r>
        <w:rPr>
          <w:spacing w:val="-57"/>
        </w:rPr>
        <w:t> </w:t>
      </w:r>
      <w:r>
        <w:rPr/>
        <w:t>35</w:t>
      </w:r>
      <w:r>
        <w:rPr>
          <w:spacing w:val="-57"/>
        </w:rPr>
        <w:t> </w:t>
      </w:r>
      <w:r>
        <w:rPr/>
        <w:t>万美元，</w:t>
      </w:r>
      <w:r>
        <w:rPr/>
        <w:t> 占注册资本的 20%；浪潮电子信息产业集团公司出资 35</w:t>
      </w:r>
      <w:r>
        <w:rPr>
          <w:spacing w:val="-88"/>
        </w:rPr>
        <w:t> </w:t>
      </w:r>
      <w:r>
        <w:rPr/>
        <w:t>万美元，占注册资本的</w:t>
      </w:r>
      <w:r>
        <w:rPr/>
        <w:t> 20%；香港喜多来集团有限公司出资</w:t>
      </w:r>
      <w:r>
        <w:rPr>
          <w:spacing w:val="-60"/>
        </w:rPr>
        <w:t> </w:t>
      </w:r>
      <w:r>
        <w:rPr/>
        <w:t>105</w:t>
      </w:r>
      <w:r>
        <w:rPr>
          <w:spacing w:val="-60"/>
        </w:rPr>
        <w:t> </w:t>
      </w:r>
      <w:r>
        <w:rPr/>
        <w:t>万美元，占注册资本的</w:t>
      </w:r>
      <w:r>
        <w:rPr>
          <w:spacing w:val="-60"/>
        </w:rPr>
        <w:t> </w:t>
      </w:r>
      <w:r>
        <w:rPr/>
        <w:t>60%）。</w:t>
      </w:r>
    </w:p>
    <w:p>
      <w:pPr>
        <w:pStyle w:val="BodyText"/>
        <w:spacing w:line="336" w:lineRule="auto"/>
        <w:ind w:right="216" w:firstLine="480"/>
        <w:jc w:val="left"/>
      </w:pPr>
      <w:r>
        <w:rPr/>
        <w:t>1999</w:t>
      </w:r>
      <w:r>
        <w:rPr>
          <w:spacing w:val="-22"/>
        </w:rPr>
        <w:t> </w:t>
      </w:r>
      <w:r>
        <w:rPr/>
        <w:t>年</w:t>
      </w:r>
      <w:r>
        <w:rPr>
          <w:spacing w:val="-22"/>
        </w:rPr>
        <w:t> </w:t>
      </w:r>
      <w:r>
        <w:rPr/>
        <w:t>4</w:t>
      </w:r>
      <w:r>
        <w:rPr>
          <w:spacing w:val="-23"/>
        </w:rPr>
        <w:t> </w:t>
      </w:r>
      <w:r>
        <w:rPr/>
        <w:t>月经济南市对外经济贸易委员会济外经贸外资字（1999）第</w:t>
      </w:r>
      <w:r>
        <w:rPr>
          <w:spacing w:val="-22"/>
        </w:rPr>
        <w:t> </w:t>
      </w:r>
      <w:r>
        <w:rPr/>
        <w:t>079</w:t>
      </w:r>
      <w:r>
        <w:rPr/>
        <w:t> </w:t>
      </w:r>
      <w:r>
        <w:rPr>
          <w:spacing w:val="-3"/>
        </w:rPr>
        <w:t>号文《关于济南东港安全印务有限公司有关变更事宜的批复》批准，浪潮电子信</w:t>
      </w:r>
    </w:p>
    <w:p>
      <w:pPr>
        <w:spacing w:after="0" w:line="336" w:lineRule="auto"/>
        <w:jc w:val="left"/>
        <w:sectPr>
          <w:headerReference w:type="default" r:id="rId40"/>
          <w:footerReference w:type="default" r:id="rId41"/>
          <w:pgSz w:w="11910" w:h="16840"/>
          <w:pgMar w:header="840" w:footer="1712" w:top="1160" w:bottom="1900" w:left="1660" w:right="1560"/>
          <w:pgNumType w:start="57"/>
        </w:sectPr>
      </w:pPr>
    </w:p>
    <w:p>
      <w:pPr>
        <w:pStyle w:val="BodyText"/>
        <w:spacing w:line="336" w:lineRule="auto" w:before="71"/>
        <w:ind w:right="495"/>
        <w:jc w:val="left"/>
      </w:pPr>
      <w:r>
        <w:rPr/>
        <w:t>息产业集团公司将持有的济南东港安全印务有限公司</w:t>
      </w:r>
      <w:r>
        <w:rPr>
          <w:spacing w:val="-88"/>
        </w:rPr>
        <w:t> </w:t>
      </w:r>
      <w:r>
        <w:rPr/>
        <w:t>20%的股份全部转让给浪潮</w:t>
      </w:r>
      <w:r>
        <w:rPr/>
        <w:t> 电子信息产业股份有限公司。</w:t>
      </w:r>
    </w:p>
    <w:p>
      <w:pPr>
        <w:pStyle w:val="BodyText"/>
        <w:spacing w:line="336" w:lineRule="auto" w:before="29"/>
        <w:ind w:right="511" w:firstLine="480"/>
        <w:jc w:val="both"/>
      </w:pPr>
      <w:r>
        <w:rPr/>
        <w:t>1999</w:t>
      </w:r>
      <w:r>
        <w:rPr>
          <w:spacing w:val="-52"/>
        </w:rPr>
        <w:t> </w:t>
      </w:r>
      <w:r>
        <w:rPr/>
        <w:t>年</w:t>
      </w:r>
      <w:r>
        <w:rPr>
          <w:spacing w:val="-52"/>
        </w:rPr>
        <w:t> </w:t>
      </w:r>
      <w:r>
        <w:rPr/>
        <w:t>12</w:t>
      </w:r>
      <w:r>
        <w:rPr>
          <w:spacing w:val="-53"/>
        </w:rPr>
        <w:t> </w:t>
      </w:r>
      <w:r>
        <w:rPr/>
        <w:t>月经济南市对外经济贸易委员会济外经贸外资字（1999）第</w:t>
      </w:r>
      <w:r>
        <w:rPr>
          <w:spacing w:val="-52"/>
        </w:rPr>
        <w:t> </w:t>
      </w:r>
      <w:r>
        <w:rPr/>
        <w:t>252</w:t>
      </w:r>
      <w:r>
        <w:rPr/>
        <w:t> </w:t>
      </w:r>
      <w:r>
        <w:rPr>
          <w:spacing w:val="-3"/>
        </w:rPr>
        <w:t>号文《关于济南东港安全印务有限公司股权转让的批复》批准，济南市历城区工</w:t>
      </w:r>
      <w:r>
        <w:rPr>
          <w:spacing w:val="-102"/>
        </w:rPr>
        <w:t> </w:t>
      </w:r>
      <w:r>
        <w:rPr>
          <w:spacing w:val="-102"/>
        </w:rPr>
      </w:r>
      <w:r>
        <w:rPr/>
        <w:t>业供销公司将持有的济南东港安全印务有限公司</w:t>
      </w:r>
      <w:r>
        <w:rPr>
          <w:spacing w:val="-88"/>
        </w:rPr>
        <w:t> </w:t>
      </w:r>
      <w:r>
        <w:rPr/>
        <w:t>20%的股份全部转让给济南发展</w:t>
      </w:r>
      <w:r>
        <w:rPr/>
        <w:t> 国有工业资产经营有限公司。</w:t>
      </w:r>
    </w:p>
    <w:p>
      <w:pPr>
        <w:pStyle w:val="BodyText"/>
        <w:spacing w:line="336" w:lineRule="auto"/>
        <w:ind w:right="511" w:firstLine="480"/>
        <w:jc w:val="both"/>
      </w:pPr>
      <w:r>
        <w:rPr/>
        <w:t>2000</w:t>
      </w:r>
      <w:r>
        <w:rPr>
          <w:spacing w:val="-22"/>
        </w:rPr>
        <w:t> </w:t>
      </w:r>
      <w:r>
        <w:rPr/>
        <w:t>年</w:t>
      </w:r>
      <w:r>
        <w:rPr>
          <w:spacing w:val="-22"/>
        </w:rPr>
        <w:t> </w:t>
      </w:r>
      <w:r>
        <w:rPr/>
        <w:t>7</w:t>
      </w:r>
      <w:r>
        <w:rPr>
          <w:spacing w:val="-23"/>
        </w:rPr>
        <w:t> </w:t>
      </w:r>
      <w:r>
        <w:rPr/>
        <w:t>月经济南市对外经济贸易委员会济外经贸外资字（2000）第</w:t>
      </w:r>
      <w:r>
        <w:rPr>
          <w:spacing w:val="-22"/>
        </w:rPr>
        <w:t> </w:t>
      </w:r>
      <w:r>
        <w:rPr/>
        <w:t>160</w:t>
      </w:r>
      <w:r>
        <w:rPr/>
        <w:t> </w:t>
      </w:r>
      <w:r>
        <w:rPr>
          <w:spacing w:val="-3"/>
        </w:rPr>
        <w:t>号文《关于济南东港安全印务有限公司增加投资的批复》批准，济南东港安全印</w:t>
      </w:r>
      <w:r>
        <w:rPr>
          <w:spacing w:val="-102"/>
        </w:rPr>
        <w:t> </w:t>
      </w:r>
      <w:r>
        <w:rPr>
          <w:spacing w:val="-102"/>
        </w:rPr>
      </w:r>
      <w:r>
        <w:rPr/>
        <w:t>务有限公司投资总额由</w:t>
      </w:r>
      <w:r>
        <w:rPr>
          <w:spacing w:val="-60"/>
        </w:rPr>
        <w:t> </w:t>
      </w:r>
      <w:r>
        <w:rPr/>
        <w:t>250</w:t>
      </w:r>
      <w:r>
        <w:rPr>
          <w:spacing w:val="-60"/>
        </w:rPr>
        <w:t> </w:t>
      </w:r>
      <w:r>
        <w:rPr/>
        <w:t>万美元增加到</w:t>
      </w:r>
      <w:r>
        <w:rPr>
          <w:spacing w:val="-60"/>
        </w:rPr>
        <w:t> </w:t>
      </w:r>
      <w:r>
        <w:rPr/>
        <w:t>724</w:t>
      </w:r>
      <w:r>
        <w:rPr>
          <w:spacing w:val="-60"/>
        </w:rPr>
        <w:t> </w:t>
      </w:r>
      <w:r>
        <w:rPr>
          <w:spacing w:val="-10"/>
        </w:rPr>
        <w:t>万美元、注册资本由</w:t>
      </w:r>
      <w:r>
        <w:rPr>
          <w:spacing w:val="-60"/>
        </w:rPr>
        <w:t> </w:t>
      </w:r>
      <w:r>
        <w:rPr/>
        <w:t>175</w:t>
      </w:r>
      <w:r>
        <w:rPr>
          <w:spacing w:val="-60"/>
        </w:rPr>
        <w:t> </w:t>
      </w:r>
      <w:r>
        <w:rPr/>
        <w:t>万美元增</w:t>
      </w:r>
    </w:p>
    <w:p>
      <w:pPr>
        <w:pStyle w:val="BodyText"/>
        <w:spacing w:line="336" w:lineRule="auto"/>
        <w:ind w:right="375"/>
        <w:jc w:val="left"/>
      </w:pPr>
      <w:r>
        <w:rPr/>
        <w:t>加到</w:t>
      </w:r>
      <w:r>
        <w:rPr>
          <w:spacing w:val="-58"/>
        </w:rPr>
        <w:t> </w:t>
      </w:r>
      <w:r>
        <w:rPr/>
        <w:t>362</w:t>
      </w:r>
      <w:r>
        <w:rPr>
          <w:spacing w:val="-58"/>
        </w:rPr>
        <w:t> </w:t>
      </w:r>
      <w:r>
        <w:rPr>
          <w:spacing w:val="-4"/>
        </w:rPr>
        <w:t>万美元（其中：济南发展国有工业资产经营有限公司出资</w:t>
      </w:r>
      <w:r>
        <w:rPr>
          <w:spacing w:val="-58"/>
        </w:rPr>
        <w:t> </w:t>
      </w:r>
      <w:r>
        <w:rPr/>
        <w:t>72.4</w:t>
      </w:r>
      <w:r>
        <w:rPr>
          <w:spacing w:val="-58"/>
        </w:rPr>
        <w:t> </w:t>
      </w:r>
      <w:r>
        <w:rPr/>
        <w:t>万美元，</w:t>
      </w:r>
      <w:r>
        <w:rPr/>
        <w:t> 占注册资本的</w:t>
      </w:r>
      <w:r>
        <w:rPr>
          <w:spacing w:val="-37"/>
        </w:rPr>
        <w:t> </w:t>
      </w:r>
      <w:r>
        <w:rPr/>
        <w:t>20%；浪潮电子信息产业股份有限公司出资</w:t>
      </w:r>
      <w:r>
        <w:rPr>
          <w:spacing w:val="-37"/>
        </w:rPr>
        <w:t> </w:t>
      </w:r>
      <w:r>
        <w:rPr/>
        <w:t>72.4</w:t>
      </w:r>
      <w:r>
        <w:rPr>
          <w:spacing w:val="-37"/>
        </w:rPr>
        <w:t> </w:t>
      </w:r>
      <w:r>
        <w:rPr/>
        <w:t>万美元，占注册</w:t>
      </w:r>
      <w:r>
        <w:rPr>
          <w:spacing w:val="-1"/>
        </w:rPr>
        <w:t> </w:t>
      </w:r>
      <w:r>
        <w:rPr/>
        <w:t>资本的</w:t>
      </w:r>
      <w:r>
        <w:rPr>
          <w:spacing w:val="-67"/>
        </w:rPr>
        <w:t> </w:t>
      </w:r>
      <w:r>
        <w:rPr/>
        <w:t>20%；香港喜多来集团有限公司出资</w:t>
      </w:r>
      <w:r>
        <w:rPr>
          <w:spacing w:val="-67"/>
        </w:rPr>
        <w:t> </w:t>
      </w:r>
      <w:r>
        <w:rPr/>
        <w:t>217.2</w:t>
      </w:r>
      <w:r>
        <w:rPr>
          <w:spacing w:val="-67"/>
        </w:rPr>
        <w:t> </w:t>
      </w:r>
      <w:r>
        <w:rPr>
          <w:spacing w:val="-3"/>
        </w:rPr>
        <w:t>万美元，占注册资本的</w:t>
      </w:r>
      <w:r>
        <w:rPr>
          <w:spacing w:val="-67"/>
        </w:rPr>
        <w:t> </w:t>
      </w:r>
      <w:r>
        <w:rPr>
          <w:spacing w:val="-6"/>
        </w:rPr>
        <w:t>60%）。</w:t>
      </w:r>
    </w:p>
    <w:p>
      <w:pPr>
        <w:pStyle w:val="BodyText"/>
        <w:spacing w:line="240" w:lineRule="auto"/>
        <w:ind w:left="617" w:right="0"/>
        <w:jc w:val="left"/>
      </w:pPr>
      <w:r>
        <w:rPr/>
        <w:t>2002</w:t>
      </w:r>
      <w:r>
        <w:rPr>
          <w:spacing w:val="-60"/>
        </w:rPr>
        <w:t> </w:t>
      </w:r>
      <w:r>
        <w:rPr/>
        <w:t>年</w:t>
      </w:r>
      <w:r>
        <w:rPr>
          <w:spacing w:val="-60"/>
        </w:rPr>
        <w:t> </w:t>
      </w:r>
      <w:r>
        <w:rPr/>
        <w:t>8</w:t>
      </w:r>
      <w:r>
        <w:rPr>
          <w:spacing w:val="-60"/>
        </w:rPr>
        <w:t> </w:t>
      </w:r>
      <w:r>
        <w:rPr>
          <w:spacing w:val="-3"/>
        </w:rPr>
        <w:t>月经济南市对外贸易经济合作局济外经贸外资字（2002）211</w:t>
      </w:r>
      <w:r>
        <w:rPr>
          <w:spacing w:val="-60"/>
        </w:rPr>
        <w:t> </w:t>
      </w:r>
      <w:r>
        <w:rPr/>
        <w:t>号文</w:t>
      </w:r>
    </w:p>
    <w:p>
      <w:pPr>
        <w:pStyle w:val="BodyText"/>
        <w:spacing w:line="336" w:lineRule="auto" w:before="126"/>
        <w:ind w:right="510"/>
        <w:jc w:val="both"/>
      </w:pPr>
      <w:r>
        <w:rPr>
          <w:spacing w:val="-3"/>
        </w:rPr>
        <w:t>《关于济南东港安全印务有限公司股权转让的批复》批准，济南发展国有工业资</w:t>
      </w:r>
      <w:r>
        <w:rPr>
          <w:spacing w:val="-105"/>
        </w:rPr>
        <w:t> </w:t>
      </w:r>
      <w:r>
        <w:rPr>
          <w:spacing w:val="-105"/>
        </w:rPr>
      </w:r>
      <w:r>
        <w:rPr/>
        <w:t>产经营有限公司将其持有济南东港安全印务有限公司</w:t>
      </w:r>
      <w:r>
        <w:rPr>
          <w:spacing w:val="15"/>
        </w:rPr>
        <w:t> </w:t>
      </w:r>
      <w:r>
        <w:rPr/>
        <w:t>6%的股权、香港喜多来集</w:t>
      </w:r>
      <w:r>
        <w:rPr>
          <w:spacing w:val="-118"/>
        </w:rPr>
        <w:t> </w:t>
      </w:r>
      <w:r>
        <w:rPr>
          <w:spacing w:val="-118"/>
        </w:rPr>
      </w:r>
      <w:r>
        <w:rPr/>
        <w:t>团有限公司将其持有济南东港安全印务有限公司</w:t>
      </w:r>
      <w:r>
        <w:rPr>
          <w:spacing w:val="-88"/>
        </w:rPr>
        <w:t> </w:t>
      </w:r>
      <w:r>
        <w:rPr/>
        <w:t>11%的股权共同转让给北京中嘉</w:t>
      </w:r>
      <w:r>
        <w:rPr/>
        <w:t> </w:t>
      </w:r>
      <w:r>
        <w:rPr>
          <w:spacing w:val="-3"/>
        </w:rPr>
        <w:t>华投资咨询有限公司；同时香港喜多来集团有限公司将其持有济南东港安全印务</w:t>
      </w:r>
      <w:r>
        <w:rPr>
          <w:spacing w:val="-103"/>
        </w:rPr>
        <w:t> </w:t>
      </w:r>
      <w:r>
        <w:rPr>
          <w:spacing w:val="-103"/>
        </w:rPr>
      </w:r>
      <w:r>
        <w:rPr>
          <w:spacing w:val="21"/>
        </w:rPr>
        <w:t>有限公司 1.5%的股权转让给英属维尔京群岛 </w:t>
      </w:r>
      <w:r>
        <w:rPr/>
        <w:t>RICH  RIVER </w:t>
      </w:r>
      <w:r>
        <w:rPr>
          <w:spacing w:val="116"/>
        </w:rPr>
        <w:t> </w:t>
      </w:r>
      <w:r>
        <w:rPr/>
        <w:t>INVESTMENTS</w:t>
      </w:r>
    </w:p>
    <w:p>
      <w:pPr>
        <w:pStyle w:val="BodyText"/>
        <w:spacing w:line="240" w:lineRule="auto"/>
        <w:ind w:right="0"/>
        <w:jc w:val="left"/>
      </w:pPr>
      <w:r>
        <w:rPr/>
        <w:t>LIMITED，股份转让完成后，济南东港安全印务有限公司股本结构如下：</w:t>
      </w:r>
    </w:p>
    <w:p>
      <w:pPr>
        <w:pStyle w:val="BodyText"/>
        <w:tabs>
          <w:tab w:pos="7501" w:val="left" w:leader="none"/>
        </w:tabs>
        <w:spacing w:line="240" w:lineRule="auto" w:before="20"/>
        <w:ind w:left="5225" w:right="0"/>
        <w:jc w:val="left"/>
      </w:pPr>
      <w:r>
        <w:rPr/>
        <w:pict>
          <v:shape style="position:absolute;margin-left:89.459999pt;margin-top:12.503118pt;width:436.15pt;height:150.7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24"/>
                    <w:gridCol w:w="236"/>
                    <w:gridCol w:w="1759"/>
                    <w:gridCol w:w="235"/>
                    <w:gridCol w:w="1166"/>
                    <w:gridCol w:w="236"/>
                    <w:gridCol w:w="1465"/>
                  </w:tblGrid>
                  <w:tr>
                    <w:trPr>
                      <w:trHeight w:val="441" w:hRule="exact"/>
                    </w:trPr>
                    <w:tc>
                      <w:tcPr>
                        <w:tcW w:w="3624" w:type="dxa"/>
                        <w:tcBorders>
                          <w:top w:val="nil" w:sz="6" w:space="0" w:color="auto"/>
                          <w:left w:val="nil" w:sz="6" w:space="0" w:color="auto"/>
                          <w:bottom w:val="nil" w:sz="6" w:space="0" w:color="auto"/>
                          <w:right w:val="nil" w:sz="6" w:space="0" w:color="auto"/>
                        </w:tcBorders>
                      </w:tcPr>
                      <w:p>
                        <w:pPr>
                          <w:pStyle w:val="TableParagraph"/>
                          <w:spacing w:line="240" w:lineRule="exact"/>
                          <w:ind w:left="19" w:right="0"/>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236"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15" w:right="0"/>
                          <w:jc w:val="left"/>
                          <w:rPr>
                            <w:rFonts w:ascii="宋体" w:hAnsi="宋体" w:cs="宋体" w:eastAsia="宋体" w:hint="default"/>
                            <w:sz w:val="24"/>
                            <w:szCs w:val="24"/>
                          </w:rPr>
                        </w:pPr>
                        <w:r>
                          <w:rPr>
                            <w:rFonts w:ascii="宋体" w:hAnsi="宋体" w:cs="宋体" w:eastAsia="宋体" w:hint="default"/>
                            <w:sz w:val="24"/>
                            <w:szCs w:val="24"/>
                          </w:rPr>
                          <w:t>人民币元</w:t>
                        </w:r>
                      </w:p>
                    </w:tc>
                    <w:tc>
                      <w:tcPr>
                        <w:tcW w:w="235"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38" w:right="0"/>
                          <w:jc w:val="left"/>
                          <w:rPr>
                            <w:rFonts w:ascii="宋体" w:hAnsi="宋体" w:cs="宋体" w:eastAsia="宋体" w:hint="default"/>
                            <w:sz w:val="24"/>
                            <w:szCs w:val="24"/>
                          </w:rPr>
                        </w:pPr>
                        <w:r>
                          <w:rPr>
                            <w:rFonts w:ascii="宋体" w:hAnsi="宋体" w:cs="宋体" w:eastAsia="宋体" w:hint="default"/>
                            <w:sz w:val="24"/>
                            <w:szCs w:val="24"/>
                          </w:rPr>
                          <w:t>万美元</w:t>
                        </w: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15" w:right="0"/>
                          <w:jc w:val="left"/>
                          <w:rPr>
                            <w:rFonts w:ascii="宋体" w:hAnsi="宋体" w:cs="宋体" w:eastAsia="宋体" w:hint="default"/>
                            <w:sz w:val="24"/>
                            <w:szCs w:val="24"/>
                          </w:rPr>
                        </w:pPr>
                        <w:r>
                          <w:rPr>
                            <w:rFonts w:ascii="宋体"/>
                            <w:sz w:val="24"/>
                          </w:rPr>
                          <w:t>(%)</w:t>
                        </w:r>
                      </w:p>
                    </w:tc>
                  </w:tr>
                  <w:tr>
                    <w:trPr>
                      <w:trHeight w:val="315" w:hRule="exact"/>
                    </w:trPr>
                    <w:tc>
                      <w:tcPr>
                        <w:tcW w:w="3624" w:type="dxa"/>
                        <w:tcBorders>
                          <w:top w:val="single" w:sz="4" w:space="0" w:color="000000"/>
                          <w:left w:val="nil" w:sz="6" w:space="0" w:color="auto"/>
                          <w:bottom w:val="nil" w:sz="6" w:space="0" w:color="auto"/>
                          <w:right w:val="nil" w:sz="6" w:space="0" w:color="auto"/>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香港喜多来集团有限公司</w:t>
                        </w:r>
                      </w:p>
                    </w:tc>
                    <w:tc>
                      <w:tcPr>
                        <w:tcW w:w="236" w:type="dxa"/>
                        <w:tcBorders>
                          <w:top w:val="nil" w:sz="6" w:space="0" w:color="auto"/>
                          <w:left w:val="nil" w:sz="6" w:space="0" w:color="auto"/>
                          <w:bottom w:val="nil" w:sz="6" w:space="0" w:color="auto"/>
                          <w:right w:val="nil" w:sz="6" w:space="0" w:color="auto"/>
                        </w:tcBorders>
                      </w:tcPr>
                      <w:p>
                        <w:pPr/>
                      </w:p>
                    </w:tc>
                    <w:tc>
                      <w:tcPr>
                        <w:tcW w:w="1759" w:type="dxa"/>
                        <w:tcBorders>
                          <w:top w:val="single" w:sz="4" w:space="0" w:color="000000"/>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14,254,072.65</w:t>
                        </w:r>
                      </w:p>
                    </w:tc>
                    <w:tc>
                      <w:tcPr>
                        <w:tcW w:w="235" w:type="dxa"/>
                        <w:tcBorders>
                          <w:top w:val="nil" w:sz="6" w:space="0" w:color="auto"/>
                          <w:left w:val="nil" w:sz="6" w:space="0" w:color="auto"/>
                          <w:bottom w:val="nil" w:sz="6" w:space="0" w:color="auto"/>
                          <w:right w:val="nil" w:sz="6" w:space="0" w:color="auto"/>
                        </w:tcBorders>
                      </w:tcPr>
                      <w:p>
                        <w:pPr/>
                      </w:p>
                    </w:tc>
                    <w:tc>
                      <w:tcPr>
                        <w:tcW w:w="1166" w:type="dxa"/>
                        <w:tcBorders>
                          <w:top w:val="single" w:sz="4" w:space="0" w:color="000000"/>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171.95</w:t>
                        </w: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single" w:sz="4" w:space="0" w:color="000000"/>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47.50</w:t>
                        </w:r>
                      </w:p>
                    </w:tc>
                  </w:tr>
                  <w:tr>
                    <w:trPr>
                      <w:trHeight w:val="311" w:hRule="exact"/>
                    </w:trPr>
                    <w:tc>
                      <w:tcPr>
                        <w:tcW w:w="3624" w:type="dxa"/>
                        <w:tcBorders>
                          <w:top w:val="nil" w:sz="6" w:space="0" w:color="auto"/>
                          <w:left w:val="nil" w:sz="6" w:space="0" w:color="auto"/>
                          <w:bottom w:val="nil" w:sz="6" w:space="0" w:color="auto"/>
                          <w:right w:val="nil" w:sz="6" w:space="0" w:color="auto"/>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浪潮电子信息产业股份有限公司</w:t>
                        </w:r>
                      </w:p>
                    </w:tc>
                    <w:tc>
                      <w:tcPr>
                        <w:tcW w:w="236"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6,001,714.80</w:t>
                        </w:r>
                      </w:p>
                    </w:tc>
                    <w:tc>
                      <w:tcPr>
                        <w:tcW w:w="235"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72.40</w:t>
                        </w: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20.00</w:t>
                        </w:r>
                      </w:p>
                    </w:tc>
                  </w:tr>
                  <w:tr>
                    <w:trPr>
                      <w:trHeight w:val="311" w:hRule="exact"/>
                    </w:trPr>
                    <w:tc>
                      <w:tcPr>
                        <w:tcW w:w="3624" w:type="dxa"/>
                        <w:tcBorders>
                          <w:top w:val="nil" w:sz="6" w:space="0" w:color="auto"/>
                          <w:left w:val="nil" w:sz="6" w:space="0" w:color="auto"/>
                          <w:bottom w:val="nil" w:sz="6" w:space="0" w:color="auto"/>
                          <w:right w:val="nil" w:sz="6" w:space="0" w:color="auto"/>
                        </w:tcBorders>
                      </w:tcPr>
                      <w:p>
                        <w:pPr>
                          <w:pStyle w:val="TableParagraph"/>
                          <w:spacing w:line="276" w:lineRule="exact"/>
                          <w:ind w:left="102" w:right="0"/>
                          <w:jc w:val="left"/>
                          <w:rPr>
                            <w:rFonts w:ascii="宋体" w:hAnsi="宋体" w:cs="宋体" w:eastAsia="宋体" w:hint="default"/>
                            <w:sz w:val="24"/>
                            <w:szCs w:val="24"/>
                          </w:rPr>
                        </w:pPr>
                        <w:r>
                          <w:rPr>
                            <w:rFonts w:ascii="宋体" w:hAnsi="宋体" w:cs="宋体" w:eastAsia="宋体" w:hint="default"/>
                            <w:spacing w:val="6"/>
                            <w:sz w:val="24"/>
                            <w:szCs w:val="24"/>
                          </w:rPr>
                          <w:t>济南发展国有工业资产经营有限</w:t>
                        </w:r>
                        <w:r>
                          <w:rPr>
                            <w:rFonts w:ascii="宋体" w:hAnsi="宋体" w:cs="宋体" w:eastAsia="宋体" w:hint="default"/>
                            <w:sz w:val="24"/>
                            <w:szCs w:val="24"/>
                          </w:rPr>
                        </w:r>
                      </w:p>
                    </w:tc>
                    <w:tc>
                      <w:tcPr>
                        <w:tcW w:w="236"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r>
                  <w:tr>
                    <w:trPr>
                      <w:trHeight w:val="311" w:hRule="exact"/>
                    </w:trPr>
                    <w:tc>
                      <w:tcPr>
                        <w:tcW w:w="3624" w:type="dxa"/>
                        <w:tcBorders>
                          <w:top w:val="nil" w:sz="6" w:space="0" w:color="auto"/>
                          <w:left w:val="nil" w:sz="6" w:space="0" w:color="auto"/>
                          <w:bottom w:val="nil" w:sz="6" w:space="0" w:color="auto"/>
                          <w:right w:val="nil" w:sz="6" w:space="0" w:color="auto"/>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236"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4,201,200.36</w:t>
                        </w:r>
                      </w:p>
                    </w:tc>
                    <w:tc>
                      <w:tcPr>
                        <w:tcW w:w="235"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50.68</w:t>
                        </w: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14.00</w:t>
                        </w:r>
                      </w:p>
                    </w:tc>
                  </w:tr>
                  <w:tr>
                    <w:trPr>
                      <w:trHeight w:val="275" w:hRule="exact"/>
                    </w:trPr>
                    <w:tc>
                      <w:tcPr>
                        <w:tcW w:w="3624" w:type="dxa"/>
                        <w:tcBorders>
                          <w:top w:val="nil" w:sz="6" w:space="0" w:color="auto"/>
                          <w:left w:val="nil" w:sz="6" w:space="0" w:color="auto"/>
                          <w:bottom w:val="nil" w:sz="6" w:space="0" w:color="auto"/>
                          <w:right w:val="nil" w:sz="6" w:space="0" w:color="auto"/>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北京中嘉华投资咨询有限公司</w:t>
                        </w:r>
                      </w:p>
                    </w:tc>
                    <w:tc>
                      <w:tcPr>
                        <w:tcW w:w="236"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5,101,457.58</w:t>
                        </w:r>
                      </w:p>
                    </w:tc>
                    <w:tc>
                      <w:tcPr>
                        <w:tcW w:w="235"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61.54</w:t>
                        </w: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17.00</w:t>
                        </w:r>
                      </w:p>
                    </w:tc>
                  </w:tr>
                  <w:tr>
                    <w:trPr>
                      <w:trHeight w:val="347" w:hRule="exact"/>
                    </w:trPr>
                    <w:tc>
                      <w:tcPr>
                        <w:tcW w:w="3624" w:type="dxa"/>
                        <w:tcBorders>
                          <w:top w:val="nil" w:sz="6" w:space="0" w:color="auto"/>
                          <w:left w:val="nil" w:sz="6" w:space="0" w:color="auto"/>
                          <w:bottom w:val="nil" w:sz="6" w:space="0" w:color="auto"/>
                          <w:right w:val="nil" w:sz="6" w:space="0" w:color="auto"/>
                        </w:tcBorders>
                      </w:tcPr>
                      <w:p>
                        <w:pPr>
                          <w:pStyle w:val="TableParagraph"/>
                          <w:spacing w:line="312" w:lineRule="exact"/>
                          <w:ind w:left="102" w:right="0"/>
                          <w:jc w:val="left"/>
                          <w:rPr>
                            <w:rFonts w:ascii="宋体" w:hAnsi="宋体" w:cs="宋体" w:eastAsia="宋体" w:hint="default"/>
                            <w:sz w:val="24"/>
                            <w:szCs w:val="24"/>
                          </w:rPr>
                        </w:pPr>
                        <w:r>
                          <w:rPr>
                            <w:rFonts w:ascii="宋体" w:hAnsi="宋体" w:cs="宋体" w:eastAsia="宋体" w:hint="default"/>
                            <w:spacing w:val="47"/>
                            <w:sz w:val="24"/>
                            <w:szCs w:val="24"/>
                          </w:rPr>
                          <w:t>英属维尔京群岛 </w:t>
                        </w:r>
                        <w:r>
                          <w:rPr>
                            <w:rFonts w:ascii="宋体" w:hAnsi="宋体" w:cs="宋体" w:eastAsia="宋体" w:hint="default"/>
                            <w:sz w:val="24"/>
                            <w:szCs w:val="24"/>
                          </w:rPr>
                          <w:t>RICH</w:t>
                        </w:r>
                        <w:r>
                          <w:rPr>
                            <w:rFonts w:ascii="宋体" w:hAnsi="宋体" w:cs="宋体" w:eastAsia="宋体" w:hint="default"/>
                            <w:spacing w:val="60"/>
                            <w:sz w:val="24"/>
                            <w:szCs w:val="24"/>
                          </w:rPr>
                          <w:t> </w:t>
                        </w:r>
                        <w:r>
                          <w:rPr>
                            <w:rFonts w:ascii="宋体" w:hAnsi="宋体" w:cs="宋体" w:eastAsia="宋体" w:hint="default"/>
                            <w:sz w:val="24"/>
                            <w:szCs w:val="24"/>
                          </w:rPr>
                          <w:t>RIVER</w:t>
                        </w:r>
                      </w:p>
                    </w:tc>
                    <w:tc>
                      <w:tcPr>
                        <w:tcW w:w="236"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r>
                  <w:tr>
                    <w:trPr>
                      <w:trHeight w:val="317" w:hRule="exact"/>
                    </w:trPr>
                    <w:tc>
                      <w:tcPr>
                        <w:tcW w:w="3860" w:type="dxa"/>
                        <w:gridSpan w:val="2"/>
                        <w:tcBorders>
                          <w:top w:val="nil" w:sz="6" w:space="0" w:color="auto"/>
                          <w:left w:val="nil" w:sz="6" w:space="0" w:color="auto"/>
                          <w:bottom w:val="nil" w:sz="6" w:space="0" w:color="auto"/>
                          <w:right w:val="nil" w:sz="6" w:space="0" w:color="auto"/>
                        </w:tcBorders>
                      </w:tcPr>
                      <w:p>
                        <w:pPr>
                          <w:pStyle w:val="TableParagraph"/>
                          <w:spacing w:line="275" w:lineRule="exact"/>
                          <w:ind w:left="101" w:right="0"/>
                          <w:jc w:val="left"/>
                          <w:rPr>
                            <w:rFonts w:ascii="宋体" w:hAnsi="宋体" w:cs="宋体" w:eastAsia="宋体" w:hint="default"/>
                            <w:sz w:val="24"/>
                            <w:szCs w:val="24"/>
                          </w:rPr>
                        </w:pPr>
                        <w:r>
                          <w:rPr>
                            <w:rFonts w:ascii="宋体"/>
                            <w:sz w:val="24"/>
                          </w:rPr>
                          <w:t>INVESTMENTS LIMITED</w:t>
                        </w:r>
                      </w:p>
                    </w:tc>
                    <w:tc>
                      <w:tcPr>
                        <w:tcW w:w="1759" w:type="dxa"/>
                        <w:tcBorders>
                          <w:top w:val="nil" w:sz="6" w:space="0" w:color="auto"/>
                          <w:left w:val="nil" w:sz="6" w:space="0" w:color="auto"/>
                          <w:bottom w:val="single" w:sz="4" w:space="0" w:color="000000"/>
                          <w:right w:val="nil" w:sz="6" w:space="0" w:color="auto"/>
                        </w:tcBorders>
                      </w:tcPr>
                      <w:p>
                        <w:pPr>
                          <w:pStyle w:val="TableParagraph"/>
                          <w:spacing w:line="121" w:lineRule="exact"/>
                          <w:ind w:right="83"/>
                          <w:jc w:val="right"/>
                          <w:rPr>
                            <w:rFonts w:ascii="宋体" w:hAnsi="宋体" w:cs="宋体" w:eastAsia="宋体" w:hint="default"/>
                            <w:sz w:val="24"/>
                            <w:szCs w:val="24"/>
                          </w:rPr>
                        </w:pPr>
                        <w:r>
                          <w:rPr>
                            <w:rFonts w:ascii="宋体"/>
                            <w:sz w:val="24"/>
                          </w:rPr>
                          <w:t>450,128.61</w:t>
                        </w:r>
                      </w:p>
                    </w:tc>
                    <w:tc>
                      <w:tcPr>
                        <w:tcW w:w="235"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single" w:sz="4" w:space="0" w:color="000000"/>
                          <w:right w:val="nil" w:sz="6" w:space="0" w:color="auto"/>
                        </w:tcBorders>
                      </w:tcPr>
                      <w:p>
                        <w:pPr>
                          <w:pStyle w:val="TableParagraph"/>
                          <w:spacing w:line="121" w:lineRule="exact"/>
                          <w:ind w:right="83"/>
                          <w:jc w:val="right"/>
                          <w:rPr>
                            <w:rFonts w:ascii="宋体" w:hAnsi="宋体" w:cs="宋体" w:eastAsia="宋体" w:hint="default"/>
                            <w:sz w:val="24"/>
                            <w:szCs w:val="24"/>
                          </w:rPr>
                        </w:pPr>
                        <w:r>
                          <w:rPr>
                            <w:rFonts w:ascii="宋体"/>
                            <w:sz w:val="24"/>
                          </w:rPr>
                          <w:t>5.43</w:t>
                        </w: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single" w:sz="4" w:space="0" w:color="000000"/>
                          <w:right w:val="nil" w:sz="6" w:space="0" w:color="auto"/>
                        </w:tcBorders>
                      </w:tcPr>
                      <w:p>
                        <w:pPr>
                          <w:pStyle w:val="TableParagraph"/>
                          <w:spacing w:line="121" w:lineRule="exact"/>
                          <w:ind w:right="83"/>
                          <w:jc w:val="right"/>
                          <w:rPr>
                            <w:rFonts w:ascii="宋体" w:hAnsi="宋体" w:cs="宋体" w:eastAsia="宋体" w:hint="default"/>
                            <w:sz w:val="24"/>
                            <w:szCs w:val="24"/>
                          </w:rPr>
                        </w:pPr>
                        <w:r>
                          <w:rPr>
                            <w:rFonts w:ascii="宋体"/>
                            <w:sz w:val="24"/>
                          </w:rPr>
                          <w:t>1.50</w:t>
                        </w:r>
                      </w:p>
                    </w:tc>
                  </w:tr>
                  <w:tr>
                    <w:trPr>
                      <w:trHeight w:val="340" w:hRule="exact"/>
                    </w:trPr>
                    <w:tc>
                      <w:tcPr>
                        <w:tcW w:w="3860" w:type="dxa"/>
                        <w:gridSpan w:val="2"/>
                        <w:tcBorders>
                          <w:top w:val="nil" w:sz="6" w:space="0" w:color="auto"/>
                          <w:left w:val="nil" w:sz="6" w:space="0" w:color="auto"/>
                          <w:bottom w:val="nil" w:sz="6" w:space="0" w:color="auto"/>
                          <w:right w:val="nil" w:sz="6" w:space="0" w:color="auto"/>
                        </w:tcBorders>
                      </w:tcPr>
                      <w:p>
                        <w:pPr>
                          <w:pStyle w:val="TableParagraph"/>
                          <w:spacing w:line="280" w:lineRule="exact"/>
                          <w:ind w:left="102"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759" w:type="dxa"/>
                        <w:tcBorders>
                          <w:top w:val="single" w:sz="4" w:space="0" w:color="000000"/>
                          <w:left w:val="nil" w:sz="6" w:space="0" w:color="auto"/>
                          <w:bottom w:val="single" w:sz="17" w:space="0" w:color="000000"/>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30,008,574.00</w:t>
                        </w:r>
                      </w:p>
                    </w:tc>
                    <w:tc>
                      <w:tcPr>
                        <w:tcW w:w="235" w:type="dxa"/>
                        <w:tcBorders>
                          <w:top w:val="nil" w:sz="6" w:space="0" w:color="auto"/>
                          <w:left w:val="nil" w:sz="6" w:space="0" w:color="auto"/>
                          <w:bottom w:val="nil" w:sz="6" w:space="0" w:color="auto"/>
                          <w:right w:val="nil" w:sz="6" w:space="0" w:color="auto"/>
                        </w:tcBorders>
                      </w:tcPr>
                      <w:p>
                        <w:pPr/>
                      </w:p>
                    </w:tc>
                    <w:tc>
                      <w:tcPr>
                        <w:tcW w:w="1166" w:type="dxa"/>
                        <w:tcBorders>
                          <w:top w:val="single" w:sz="4" w:space="0" w:color="000000"/>
                          <w:left w:val="nil" w:sz="6" w:space="0" w:color="auto"/>
                          <w:bottom w:val="single" w:sz="17" w:space="0" w:color="000000"/>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362.00</w:t>
                        </w:r>
                      </w:p>
                    </w:tc>
                    <w:tc>
                      <w:tcPr>
                        <w:tcW w:w="236" w:type="dxa"/>
                        <w:tcBorders>
                          <w:top w:val="nil" w:sz="6" w:space="0" w:color="auto"/>
                          <w:left w:val="nil" w:sz="6" w:space="0" w:color="auto"/>
                          <w:bottom w:val="nil" w:sz="6" w:space="0" w:color="auto"/>
                          <w:right w:val="nil" w:sz="6" w:space="0" w:color="auto"/>
                        </w:tcBorders>
                      </w:tcPr>
                      <w:p>
                        <w:pPr/>
                      </w:p>
                    </w:tc>
                    <w:tc>
                      <w:tcPr>
                        <w:tcW w:w="1465" w:type="dxa"/>
                        <w:tcBorders>
                          <w:top w:val="single" w:sz="4" w:space="0" w:color="000000"/>
                          <w:left w:val="nil" w:sz="6" w:space="0" w:color="auto"/>
                          <w:bottom w:val="single" w:sz="17" w:space="0" w:color="000000"/>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100.00</w:t>
                        </w:r>
                      </w:p>
                    </w:tc>
                  </w:tr>
                </w:tbl>
                <w:p>
                  <w:pPr/>
                </w:p>
              </w:txbxContent>
            </v:textbox>
            <w10:wrap type="none"/>
          </v:shape>
        </w:pict>
      </w:r>
      <w:r>
        <w:rPr/>
        <w:t>出资额</w:t>
        <w:tab/>
        <w:t>持 股 比</w:t>
      </w:r>
      <w:r>
        <w:rPr>
          <w:spacing w:val="-54"/>
        </w:rPr>
        <w:t> </w:t>
      </w:r>
      <w:r>
        <w:rPr/>
        <w:t>例</w:t>
      </w:r>
    </w:p>
    <w:p>
      <w:pPr>
        <w:spacing w:line="240" w:lineRule="auto" w:before="5"/>
        <w:rPr>
          <w:rFonts w:ascii="宋体" w:hAnsi="宋体" w:cs="宋体" w:eastAsia="宋体" w:hint="default"/>
          <w:sz w:val="2"/>
          <w:szCs w:val="2"/>
        </w:rPr>
      </w:pPr>
    </w:p>
    <w:p>
      <w:pPr>
        <w:spacing w:line="20" w:lineRule="exact"/>
        <w:ind w:left="3984" w:right="0" w:firstLine="0"/>
        <w:rPr>
          <w:rFonts w:ascii="宋体" w:hAnsi="宋体" w:cs="宋体" w:eastAsia="宋体" w:hint="default"/>
          <w:sz w:val="2"/>
          <w:szCs w:val="2"/>
        </w:rPr>
      </w:pPr>
      <w:r>
        <w:rPr>
          <w:rFonts w:ascii="宋体" w:hAnsi="宋体" w:cs="宋体" w:eastAsia="宋体" w:hint="default"/>
          <w:sz w:val="2"/>
          <w:szCs w:val="2"/>
        </w:rPr>
        <w:pict>
          <v:group style="width:158.550pt;height:.5pt;mso-position-horizontal-relative:char;mso-position-vertical-relative:line" coordorigin="0,0" coordsize="3171,10">
            <v:group style="position:absolute;left:5;top:5;width:3161;height:2" coordorigin="5,5" coordsize="3161,2">
              <v:shape style="position:absolute;left:5;top:5;width:3161;height:2" coordorigin="5,5" coordsize="3161,0" path="m5,5l3166,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336" w:lineRule="auto" w:before="26"/>
        <w:ind w:right="377" w:firstLine="480"/>
        <w:jc w:val="left"/>
      </w:pPr>
      <w:r>
        <w:rPr/>
        <w:t>2002</w:t>
      </w:r>
      <w:r>
        <w:rPr>
          <w:spacing w:val="-66"/>
        </w:rPr>
        <w:t> </w:t>
      </w:r>
      <w:r>
        <w:rPr/>
        <w:t>年</w:t>
      </w:r>
      <w:r>
        <w:rPr>
          <w:spacing w:val="-66"/>
        </w:rPr>
        <w:t> </w:t>
      </w:r>
      <w:r>
        <w:rPr/>
        <w:t>11</w:t>
      </w:r>
      <w:r>
        <w:rPr>
          <w:spacing w:val="-66"/>
        </w:rPr>
        <w:t> </w:t>
      </w:r>
      <w:r>
        <w:rPr/>
        <w:t>月</w:t>
      </w:r>
      <w:r>
        <w:rPr>
          <w:spacing w:val="-66"/>
        </w:rPr>
        <w:t> </w:t>
      </w:r>
      <w:r>
        <w:rPr/>
        <w:t>18</w:t>
      </w:r>
      <w:r>
        <w:rPr>
          <w:spacing w:val="-66"/>
        </w:rPr>
        <w:t> </w:t>
      </w:r>
      <w:r>
        <w:rPr/>
        <w:t>日，经中华人民共和国对外经济贸易合作部（现为商务部）</w:t>
      </w:r>
      <w:r>
        <w:rPr/>
        <w:t> 以外经贸资一函[2002]1298 号文《关于同意济南东港安全印务有限公司转制为</w:t>
      </w:r>
      <w:r>
        <w:rPr>
          <w:spacing w:val="-91"/>
        </w:rPr>
        <w:t> </w:t>
      </w:r>
      <w:r>
        <w:rPr>
          <w:spacing w:val="-91"/>
        </w:rPr>
      </w:r>
      <w:r>
        <w:rPr>
          <w:spacing w:val="-4"/>
        </w:rPr>
        <w:t>外商投资股份有限公司的批复》批准，本公司以截止</w:t>
      </w:r>
      <w:r>
        <w:rPr>
          <w:spacing w:val="-59"/>
        </w:rPr>
        <w:t> </w:t>
      </w:r>
      <w:r>
        <w:rPr>
          <w:spacing w:val="25"/>
        </w:rPr>
        <w:t>2002年8月</w:t>
      </w:r>
      <w:r>
        <w:rPr>
          <w:spacing w:val="-59"/>
        </w:rPr>
        <w:t> </w:t>
      </w:r>
      <w:r>
        <w:rPr/>
        <w:t>31</w:t>
      </w:r>
      <w:r>
        <w:rPr>
          <w:spacing w:val="-59"/>
        </w:rPr>
        <w:t> </w:t>
      </w:r>
      <w:r>
        <w:rPr/>
        <w:t>日经审计的</w:t>
      </w:r>
      <w:r>
        <w:rPr>
          <w:spacing w:val="-118"/>
        </w:rPr>
        <w:t> </w:t>
      </w:r>
      <w:r>
        <w:rPr>
          <w:spacing w:val="-118"/>
        </w:rPr>
      </w:r>
      <w:r>
        <w:rPr/>
        <w:t>净资产</w:t>
      </w:r>
      <w:r>
        <w:rPr>
          <w:spacing w:val="-56"/>
        </w:rPr>
        <w:t> </w:t>
      </w:r>
      <w:r>
        <w:rPr/>
        <w:t>8,200</w:t>
      </w:r>
      <w:r>
        <w:rPr>
          <w:spacing w:val="-56"/>
        </w:rPr>
        <w:t> </w:t>
      </w:r>
      <w:r>
        <w:rPr/>
        <w:t>万元，按</w:t>
      </w:r>
      <w:r>
        <w:rPr>
          <w:spacing w:val="-56"/>
        </w:rPr>
        <w:t> </w:t>
      </w:r>
      <w:r>
        <w:rPr/>
        <w:t>1：1</w:t>
      </w:r>
      <w:r>
        <w:rPr>
          <w:spacing w:val="-56"/>
        </w:rPr>
        <w:t> </w:t>
      </w:r>
      <w:r>
        <w:rPr/>
        <w:t>的比例折成</w:t>
      </w:r>
      <w:r>
        <w:rPr>
          <w:spacing w:val="-56"/>
        </w:rPr>
        <w:t> </w:t>
      </w:r>
      <w:r>
        <w:rPr/>
        <w:t>8,200</w:t>
      </w:r>
      <w:r>
        <w:rPr>
          <w:spacing w:val="-56"/>
        </w:rPr>
        <w:t> </w:t>
      </w:r>
      <w:r>
        <w:rPr/>
        <w:t>万股，有限公司整体变更为股份</w:t>
      </w:r>
    </w:p>
    <w:p>
      <w:pPr>
        <w:pStyle w:val="BodyText"/>
        <w:spacing w:line="240" w:lineRule="auto" w:before="29"/>
        <w:ind w:right="0"/>
        <w:jc w:val="left"/>
      </w:pPr>
      <w:r>
        <w:rPr>
          <w:spacing w:val="-5"/>
        </w:rPr>
        <w:t>公司。中瑞华恒信会计师事务所有限公司出具了中瑞华恒信验字（2002）第</w:t>
      </w:r>
      <w:r>
        <w:rPr>
          <w:spacing w:val="-35"/>
        </w:rPr>
        <w:t> </w:t>
      </w:r>
      <w:r>
        <w:rPr/>
        <w:t>2046</w:t>
      </w:r>
    </w:p>
    <w:p>
      <w:pPr>
        <w:spacing w:after="0" w:line="240" w:lineRule="auto"/>
        <w:jc w:val="left"/>
        <w:sectPr>
          <w:pgSz w:w="11910" w:h="16840"/>
          <w:pgMar w:header="840" w:footer="1712" w:top="1160" w:bottom="1900" w:left="1660" w:right="1280"/>
        </w:sectPr>
      </w:pPr>
    </w:p>
    <w:p>
      <w:pPr>
        <w:pStyle w:val="BodyText"/>
        <w:spacing w:line="240" w:lineRule="auto" w:before="71"/>
        <w:ind w:right="0"/>
        <w:jc w:val="left"/>
      </w:pPr>
      <w:r>
        <w:rPr/>
        <w:t>号的验资报告，确认各发起人已足额认购股份。国家工商行政管理总局于</w:t>
      </w:r>
      <w:r>
        <w:rPr>
          <w:spacing w:val="18"/>
        </w:rPr>
        <w:t> </w:t>
      </w:r>
      <w:r>
        <w:rPr/>
        <w:t>2002</w:t>
      </w:r>
    </w:p>
    <w:p>
      <w:pPr>
        <w:pStyle w:val="BodyText"/>
        <w:spacing w:line="672" w:lineRule="auto" w:before="126"/>
        <w:ind w:left="617" w:right="2587" w:hanging="480"/>
        <w:jc w:val="left"/>
      </w:pPr>
      <w:r>
        <w:rPr/>
        <w:pict>
          <v:shape style="position:absolute;margin-left:89.099998pt;margin-top:67.983147pt;width:443.65pt;height:129.6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53"/>
                    <w:gridCol w:w="232"/>
                    <w:gridCol w:w="1884"/>
                    <w:gridCol w:w="233"/>
                    <w:gridCol w:w="1672"/>
                  </w:tblGrid>
                  <w:tr>
                    <w:trPr>
                      <w:trHeight w:val="331" w:hRule="exact"/>
                    </w:trPr>
                    <w:tc>
                      <w:tcPr>
                        <w:tcW w:w="4853" w:type="dxa"/>
                        <w:tcBorders>
                          <w:top w:val="nil" w:sz="6" w:space="0" w:color="auto"/>
                          <w:left w:val="nil" w:sz="6" w:space="0" w:color="auto"/>
                          <w:bottom w:val="single" w:sz="4" w:space="0" w:color="000000"/>
                          <w:right w:val="nil" w:sz="6" w:space="0" w:color="auto"/>
                        </w:tcBorders>
                      </w:tcPr>
                      <w:p>
                        <w:pPr>
                          <w:pStyle w:val="TableParagraph"/>
                          <w:spacing w:line="290" w:lineRule="exact"/>
                          <w:ind w:left="24" w:right="0"/>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232"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290" w:lineRule="exact"/>
                          <w:ind w:left="477" w:right="0"/>
                          <w:jc w:val="left"/>
                          <w:rPr>
                            <w:rFonts w:ascii="宋体" w:hAnsi="宋体" w:cs="宋体" w:eastAsia="宋体" w:hint="default"/>
                            <w:sz w:val="24"/>
                            <w:szCs w:val="24"/>
                          </w:rPr>
                        </w:pPr>
                        <w:r>
                          <w:rPr>
                            <w:rFonts w:ascii="宋体" w:hAnsi="宋体" w:cs="宋体" w:eastAsia="宋体" w:hint="default"/>
                            <w:sz w:val="24"/>
                            <w:szCs w:val="24"/>
                          </w:rPr>
                          <w:t>持股数量</w:t>
                        </w:r>
                      </w:p>
                    </w:tc>
                    <w:tc>
                      <w:tcPr>
                        <w:tcW w:w="233"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single" w:sz="4" w:space="0" w:color="000000"/>
                          <w:right w:val="nil" w:sz="6" w:space="0" w:color="auto"/>
                        </w:tcBorders>
                      </w:tcPr>
                      <w:p>
                        <w:pPr>
                          <w:pStyle w:val="TableParagraph"/>
                          <w:spacing w:line="290" w:lineRule="exact"/>
                          <w:ind w:left="193" w:right="0"/>
                          <w:jc w:val="left"/>
                          <w:rPr>
                            <w:rFonts w:ascii="宋体" w:hAnsi="宋体" w:cs="宋体" w:eastAsia="宋体" w:hint="default"/>
                            <w:sz w:val="24"/>
                            <w:szCs w:val="24"/>
                          </w:rPr>
                        </w:pPr>
                        <w:r>
                          <w:rPr>
                            <w:rFonts w:ascii="宋体" w:hAnsi="宋体" w:cs="宋体" w:eastAsia="宋体" w:hint="default"/>
                            <w:sz w:val="24"/>
                            <w:szCs w:val="24"/>
                          </w:rPr>
                          <w:t>持股比例(%)</w:t>
                        </w:r>
                      </w:p>
                    </w:tc>
                  </w:tr>
                  <w:tr>
                    <w:trPr>
                      <w:trHeight w:val="316" w:hRule="exact"/>
                    </w:trPr>
                    <w:tc>
                      <w:tcPr>
                        <w:tcW w:w="4853" w:type="dxa"/>
                        <w:tcBorders>
                          <w:top w:val="single" w:sz="4" w:space="0" w:color="000000"/>
                          <w:left w:val="nil" w:sz="6" w:space="0" w:color="auto"/>
                          <w:bottom w:val="nil" w:sz="6" w:space="0" w:color="auto"/>
                          <w:right w:val="nil" w:sz="6" w:space="0" w:color="auto"/>
                        </w:tcBorders>
                      </w:tcPr>
                      <w:p>
                        <w:pPr>
                          <w:pStyle w:val="TableParagraph"/>
                          <w:spacing w:line="275" w:lineRule="exact"/>
                          <w:ind w:left="109" w:right="0"/>
                          <w:jc w:val="left"/>
                          <w:rPr>
                            <w:rFonts w:ascii="宋体" w:hAnsi="宋体" w:cs="宋体" w:eastAsia="宋体" w:hint="default"/>
                            <w:sz w:val="24"/>
                            <w:szCs w:val="24"/>
                          </w:rPr>
                        </w:pPr>
                        <w:r>
                          <w:rPr>
                            <w:rFonts w:ascii="宋体" w:hAnsi="宋体" w:cs="宋体" w:eastAsia="宋体" w:hint="default"/>
                            <w:sz w:val="24"/>
                            <w:szCs w:val="24"/>
                          </w:rPr>
                          <w:t>香港喜多来集团有限公司</w:t>
                        </w:r>
                      </w:p>
                    </w:tc>
                    <w:tc>
                      <w:tcPr>
                        <w:tcW w:w="232"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38,950,000.00</w:t>
                        </w:r>
                      </w:p>
                    </w:tc>
                    <w:tc>
                      <w:tcPr>
                        <w:tcW w:w="233" w:type="dxa"/>
                        <w:tcBorders>
                          <w:top w:val="nil" w:sz="6" w:space="0" w:color="auto"/>
                          <w:left w:val="nil" w:sz="6" w:space="0" w:color="auto"/>
                          <w:bottom w:val="nil" w:sz="6" w:space="0" w:color="auto"/>
                          <w:right w:val="nil" w:sz="6" w:space="0" w:color="auto"/>
                        </w:tcBorders>
                      </w:tcPr>
                      <w:p>
                        <w:pPr/>
                      </w:p>
                    </w:tc>
                    <w:tc>
                      <w:tcPr>
                        <w:tcW w:w="1672" w:type="dxa"/>
                        <w:tcBorders>
                          <w:top w:val="single" w:sz="4" w:space="0" w:color="000000"/>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47.50</w:t>
                        </w:r>
                      </w:p>
                    </w:tc>
                  </w:tr>
                  <w:tr>
                    <w:trPr>
                      <w:trHeight w:val="311" w:hRule="exact"/>
                    </w:trPr>
                    <w:tc>
                      <w:tcPr>
                        <w:tcW w:w="4853" w:type="dxa"/>
                        <w:tcBorders>
                          <w:top w:val="nil" w:sz="6" w:space="0" w:color="auto"/>
                          <w:left w:val="nil" w:sz="6" w:space="0" w:color="auto"/>
                          <w:bottom w:val="nil" w:sz="6" w:space="0" w:color="auto"/>
                          <w:right w:val="nil" w:sz="6" w:space="0" w:color="auto"/>
                        </w:tcBorders>
                      </w:tcPr>
                      <w:p>
                        <w:pPr>
                          <w:pStyle w:val="TableParagraph"/>
                          <w:spacing w:line="276" w:lineRule="exact"/>
                          <w:ind w:left="109" w:right="0"/>
                          <w:jc w:val="left"/>
                          <w:rPr>
                            <w:rFonts w:ascii="宋体" w:hAnsi="宋体" w:cs="宋体" w:eastAsia="宋体" w:hint="default"/>
                            <w:sz w:val="24"/>
                            <w:szCs w:val="24"/>
                          </w:rPr>
                        </w:pPr>
                        <w:r>
                          <w:rPr>
                            <w:rFonts w:ascii="宋体" w:hAnsi="宋体" w:cs="宋体" w:eastAsia="宋体" w:hint="default"/>
                            <w:sz w:val="24"/>
                            <w:szCs w:val="24"/>
                          </w:rPr>
                          <w:t>浪潮电子信息产业股份有限公司</w:t>
                        </w:r>
                      </w:p>
                    </w:tc>
                    <w:tc>
                      <w:tcPr>
                        <w:tcW w:w="232"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76" w:lineRule="exact"/>
                          <w:ind w:right="83"/>
                          <w:jc w:val="right"/>
                          <w:rPr>
                            <w:rFonts w:ascii="宋体" w:hAnsi="宋体" w:cs="宋体" w:eastAsia="宋体" w:hint="default"/>
                            <w:sz w:val="24"/>
                            <w:szCs w:val="24"/>
                          </w:rPr>
                        </w:pPr>
                        <w:r>
                          <w:rPr>
                            <w:rFonts w:ascii="宋体"/>
                            <w:sz w:val="24"/>
                          </w:rPr>
                          <w:t>16,400,000.00</w:t>
                        </w:r>
                      </w:p>
                    </w:tc>
                    <w:tc>
                      <w:tcPr>
                        <w:tcW w:w="233"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Style w:val="TableParagraph"/>
                          <w:spacing w:line="276" w:lineRule="exact"/>
                          <w:ind w:right="83"/>
                          <w:jc w:val="right"/>
                          <w:rPr>
                            <w:rFonts w:ascii="宋体" w:hAnsi="宋体" w:cs="宋体" w:eastAsia="宋体" w:hint="default"/>
                            <w:sz w:val="24"/>
                            <w:szCs w:val="24"/>
                          </w:rPr>
                        </w:pPr>
                        <w:r>
                          <w:rPr>
                            <w:rFonts w:ascii="宋体"/>
                            <w:sz w:val="24"/>
                          </w:rPr>
                          <w:t>20.00</w:t>
                        </w:r>
                      </w:p>
                    </w:tc>
                  </w:tr>
                  <w:tr>
                    <w:trPr>
                      <w:trHeight w:val="311" w:hRule="exact"/>
                    </w:trPr>
                    <w:tc>
                      <w:tcPr>
                        <w:tcW w:w="4853" w:type="dxa"/>
                        <w:tcBorders>
                          <w:top w:val="nil" w:sz="6" w:space="0" w:color="auto"/>
                          <w:left w:val="nil" w:sz="6" w:space="0" w:color="auto"/>
                          <w:bottom w:val="nil" w:sz="6" w:space="0" w:color="auto"/>
                          <w:right w:val="nil" w:sz="6" w:space="0" w:color="auto"/>
                        </w:tcBorders>
                      </w:tcPr>
                      <w:p>
                        <w:pPr>
                          <w:pStyle w:val="TableParagraph"/>
                          <w:spacing w:line="275" w:lineRule="exact"/>
                          <w:ind w:left="109" w:right="0"/>
                          <w:jc w:val="left"/>
                          <w:rPr>
                            <w:rFonts w:ascii="宋体" w:hAnsi="宋体" w:cs="宋体" w:eastAsia="宋体" w:hint="default"/>
                            <w:sz w:val="24"/>
                            <w:szCs w:val="24"/>
                          </w:rPr>
                        </w:pPr>
                        <w:r>
                          <w:rPr>
                            <w:rFonts w:ascii="宋体" w:hAnsi="宋体" w:cs="宋体" w:eastAsia="宋体" w:hint="default"/>
                            <w:sz w:val="24"/>
                            <w:szCs w:val="24"/>
                          </w:rPr>
                          <w:t>济南发展国有工业资产经营有限公司</w:t>
                        </w:r>
                      </w:p>
                    </w:tc>
                    <w:tc>
                      <w:tcPr>
                        <w:tcW w:w="232"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11,480,000.00</w:t>
                        </w:r>
                      </w:p>
                    </w:tc>
                    <w:tc>
                      <w:tcPr>
                        <w:tcW w:w="233"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14.00</w:t>
                        </w:r>
                      </w:p>
                    </w:tc>
                  </w:tr>
                  <w:tr>
                    <w:trPr>
                      <w:trHeight w:val="311" w:hRule="exact"/>
                    </w:trPr>
                    <w:tc>
                      <w:tcPr>
                        <w:tcW w:w="4853" w:type="dxa"/>
                        <w:tcBorders>
                          <w:top w:val="nil" w:sz="6" w:space="0" w:color="auto"/>
                          <w:left w:val="nil" w:sz="6" w:space="0" w:color="auto"/>
                          <w:bottom w:val="nil" w:sz="6" w:space="0" w:color="auto"/>
                          <w:right w:val="nil" w:sz="6" w:space="0" w:color="auto"/>
                        </w:tcBorders>
                      </w:tcPr>
                      <w:p>
                        <w:pPr>
                          <w:pStyle w:val="TableParagraph"/>
                          <w:spacing w:line="275" w:lineRule="exact"/>
                          <w:ind w:left="109" w:right="0"/>
                          <w:jc w:val="left"/>
                          <w:rPr>
                            <w:rFonts w:ascii="宋体" w:hAnsi="宋体" w:cs="宋体" w:eastAsia="宋体" w:hint="default"/>
                            <w:sz w:val="24"/>
                            <w:szCs w:val="24"/>
                          </w:rPr>
                        </w:pPr>
                        <w:r>
                          <w:rPr>
                            <w:rFonts w:ascii="宋体" w:hAnsi="宋体" w:cs="宋体" w:eastAsia="宋体" w:hint="default"/>
                            <w:sz w:val="24"/>
                            <w:szCs w:val="24"/>
                          </w:rPr>
                          <w:t>北京中嘉华投资咨询有限公司</w:t>
                        </w:r>
                      </w:p>
                    </w:tc>
                    <w:tc>
                      <w:tcPr>
                        <w:tcW w:w="232"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13,940,000.00</w:t>
                        </w:r>
                      </w:p>
                    </w:tc>
                    <w:tc>
                      <w:tcPr>
                        <w:tcW w:w="233"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17.00</w:t>
                        </w:r>
                      </w:p>
                    </w:tc>
                  </w:tr>
                  <w:tr>
                    <w:trPr>
                      <w:trHeight w:val="311" w:hRule="exact"/>
                    </w:trPr>
                    <w:tc>
                      <w:tcPr>
                        <w:tcW w:w="4853" w:type="dxa"/>
                        <w:tcBorders>
                          <w:top w:val="nil" w:sz="6" w:space="0" w:color="auto"/>
                          <w:left w:val="nil" w:sz="6" w:space="0" w:color="auto"/>
                          <w:bottom w:val="nil" w:sz="6" w:space="0" w:color="auto"/>
                          <w:right w:val="nil" w:sz="6" w:space="0" w:color="auto"/>
                        </w:tcBorders>
                      </w:tcPr>
                      <w:p>
                        <w:pPr>
                          <w:pStyle w:val="TableParagraph"/>
                          <w:spacing w:line="276" w:lineRule="exact"/>
                          <w:ind w:left="109" w:right="0"/>
                          <w:jc w:val="left"/>
                          <w:rPr>
                            <w:rFonts w:ascii="宋体" w:hAnsi="宋体" w:cs="宋体" w:eastAsia="宋体" w:hint="default"/>
                            <w:sz w:val="24"/>
                            <w:szCs w:val="24"/>
                          </w:rPr>
                        </w:pPr>
                        <w:r>
                          <w:rPr>
                            <w:rFonts w:ascii="宋体" w:hAnsi="宋体" w:cs="宋体" w:eastAsia="宋体" w:hint="default"/>
                            <w:spacing w:val="20"/>
                            <w:sz w:val="24"/>
                            <w:szCs w:val="24"/>
                          </w:rPr>
                          <w:t>英属维尔京群岛 </w:t>
                        </w:r>
                        <w:r>
                          <w:rPr>
                            <w:rFonts w:ascii="宋体" w:hAnsi="宋体" w:cs="宋体" w:eastAsia="宋体" w:hint="default"/>
                            <w:sz w:val="24"/>
                            <w:szCs w:val="24"/>
                          </w:rPr>
                          <w:t>RICH RIVER</w:t>
                        </w:r>
                        <w:r>
                          <w:rPr>
                            <w:rFonts w:ascii="宋体" w:hAnsi="宋体" w:cs="宋体" w:eastAsia="宋体" w:hint="default"/>
                            <w:spacing w:val="56"/>
                            <w:sz w:val="24"/>
                            <w:szCs w:val="24"/>
                          </w:rPr>
                          <w:t> </w:t>
                        </w:r>
                        <w:r>
                          <w:rPr>
                            <w:rFonts w:ascii="宋体" w:hAnsi="宋体" w:cs="宋体" w:eastAsia="宋体" w:hint="default"/>
                            <w:sz w:val="24"/>
                            <w:szCs w:val="24"/>
                          </w:rPr>
                          <w:t>INVESTMENTS</w:t>
                        </w:r>
                      </w:p>
                    </w:tc>
                    <w:tc>
                      <w:tcPr>
                        <w:tcW w:w="232"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nil" w:sz="6" w:space="0" w:color="auto"/>
                          <w:right w:val="nil" w:sz="6" w:space="0" w:color="auto"/>
                        </w:tcBorders>
                      </w:tcPr>
                      <w:p>
                        <w:pPr/>
                      </w:p>
                    </w:tc>
                  </w:tr>
                  <w:tr>
                    <w:trPr>
                      <w:trHeight w:val="316" w:hRule="exact"/>
                    </w:trPr>
                    <w:tc>
                      <w:tcPr>
                        <w:tcW w:w="4853" w:type="dxa"/>
                        <w:tcBorders>
                          <w:top w:val="nil" w:sz="6" w:space="0" w:color="auto"/>
                          <w:left w:val="nil" w:sz="6" w:space="0" w:color="auto"/>
                          <w:bottom w:val="nil" w:sz="6" w:space="0" w:color="auto"/>
                          <w:right w:val="nil" w:sz="6" w:space="0" w:color="auto"/>
                        </w:tcBorders>
                      </w:tcPr>
                      <w:p>
                        <w:pPr>
                          <w:pStyle w:val="TableParagraph"/>
                          <w:spacing w:line="275" w:lineRule="exact"/>
                          <w:ind w:left="109" w:right="0"/>
                          <w:jc w:val="left"/>
                          <w:rPr>
                            <w:rFonts w:ascii="宋体" w:hAnsi="宋体" w:cs="宋体" w:eastAsia="宋体" w:hint="default"/>
                            <w:sz w:val="24"/>
                            <w:szCs w:val="24"/>
                          </w:rPr>
                        </w:pPr>
                        <w:r>
                          <w:rPr>
                            <w:rFonts w:ascii="宋体"/>
                            <w:sz w:val="24"/>
                          </w:rPr>
                          <w:t>LIMITED</w:t>
                        </w:r>
                      </w:p>
                    </w:tc>
                    <w:tc>
                      <w:tcPr>
                        <w:tcW w:w="232"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1,230,000.00</w:t>
                        </w:r>
                      </w:p>
                    </w:tc>
                    <w:tc>
                      <w:tcPr>
                        <w:tcW w:w="233" w:type="dxa"/>
                        <w:tcBorders>
                          <w:top w:val="nil" w:sz="6" w:space="0" w:color="auto"/>
                          <w:left w:val="nil" w:sz="6" w:space="0" w:color="auto"/>
                          <w:bottom w:val="nil" w:sz="6" w:space="0" w:color="auto"/>
                          <w:right w:val="nil" w:sz="6" w:space="0" w:color="auto"/>
                        </w:tcBorders>
                      </w:tcPr>
                      <w:p>
                        <w:pPr/>
                      </w:p>
                    </w:tc>
                    <w:tc>
                      <w:tcPr>
                        <w:tcW w:w="1672" w:type="dxa"/>
                        <w:tcBorders>
                          <w:top w:val="nil" w:sz="6" w:space="0" w:color="auto"/>
                          <w:left w:val="nil" w:sz="6" w:space="0" w:color="auto"/>
                          <w:bottom w:val="single" w:sz="4" w:space="0" w:color="000000"/>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1.50</w:t>
                        </w:r>
                      </w:p>
                    </w:tc>
                  </w:tr>
                  <w:tr>
                    <w:trPr>
                      <w:trHeight w:val="341" w:hRule="exact"/>
                    </w:trPr>
                    <w:tc>
                      <w:tcPr>
                        <w:tcW w:w="4853" w:type="dxa"/>
                        <w:tcBorders>
                          <w:top w:val="nil" w:sz="6" w:space="0" w:color="auto"/>
                          <w:left w:val="nil" w:sz="6" w:space="0" w:color="auto"/>
                          <w:bottom w:val="nil" w:sz="6" w:space="0" w:color="auto"/>
                          <w:right w:val="nil" w:sz="6" w:space="0" w:color="auto"/>
                        </w:tcBorders>
                      </w:tcPr>
                      <w:p>
                        <w:pPr>
                          <w:pStyle w:val="TableParagraph"/>
                          <w:spacing w:line="280" w:lineRule="exact"/>
                          <w:ind w:left="109"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32"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single" w:sz="17" w:space="0" w:color="000000"/>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82,000,000.00</w:t>
                        </w:r>
                      </w:p>
                    </w:tc>
                    <w:tc>
                      <w:tcPr>
                        <w:tcW w:w="233" w:type="dxa"/>
                        <w:tcBorders>
                          <w:top w:val="nil" w:sz="6" w:space="0" w:color="auto"/>
                          <w:left w:val="nil" w:sz="6" w:space="0" w:color="auto"/>
                          <w:bottom w:val="nil" w:sz="6" w:space="0" w:color="auto"/>
                          <w:right w:val="nil" w:sz="6" w:space="0" w:color="auto"/>
                        </w:tcBorders>
                      </w:tcPr>
                      <w:p>
                        <w:pPr/>
                      </w:p>
                    </w:tc>
                    <w:tc>
                      <w:tcPr>
                        <w:tcW w:w="1672" w:type="dxa"/>
                        <w:tcBorders>
                          <w:top w:val="single" w:sz="4" w:space="0" w:color="000000"/>
                          <w:left w:val="nil" w:sz="6" w:space="0" w:color="auto"/>
                          <w:bottom w:val="single" w:sz="17" w:space="0" w:color="000000"/>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100.00</w:t>
                        </w:r>
                      </w:p>
                    </w:tc>
                  </w:tr>
                </w:tbl>
                <w:p>
                  <w:pPr/>
                </w:p>
              </w:txbxContent>
            </v:textbox>
            <w10:wrap type="none"/>
          </v:shape>
        </w:pict>
      </w:r>
      <w:r>
        <w:rPr/>
        <w:t>年</w:t>
      </w:r>
      <w:r>
        <w:rPr>
          <w:spacing w:val="-60"/>
        </w:rPr>
        <w:t> </w:t>
      </w:r>
      <w:r>
        <w:rPr/>
        <w:t>12</w:t>
      </w:r>
      <w:r>
        <w:rPr>
          <w:spacing w:val="-60"/>
        </w:rPr>
        <w:t> </w:t>
      </w:r>
      <w:r>
        <w:rPr/>
        <w:t>月</w:t>
      </w:r>
      <w:r>
        <w:rPr>
          <w:spacing w:val="-60"/>
        </w:rPr>
        <w:t> </w:t>
      </w:r>
      <w:r>
        <w:rPr/>
        <w:t>30</w:t>
      </w:r>
      <w:r>
        <w:rPr>
          <w:spacing w:val="-60"/>
        </w:rPr>
        <w:t> </w:t>
      </w:r>
      <w:r>
        <w:rPr/>
        <w:t>日颁发了企股国字</w:t>
      </w:r>
      <w:r>
        <w:rPr>
          <w:spacing w:val="-60"/>
        </w:rPr>
        <w:t> </w:t>
      </w:r>
      <w:r>
        <w:rPr/>
        <w:t>000960</w:t>
      </w:r>
      <w:r>
        <w:rPr>
          <w:spacing w:val="-60"/>
        </w:rPr>
        <w:t> </w:t>
      </w:r>
      <w:r>
        <w:rPr/>
        <w:t>号企业法人营业执照。</w:t>
      </w:r>
      <w:r>
        <w:rPr/>
        <w:t> 股本结构如下：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before="26"/>
        <w:ind w:left="617" w:right="0"/>
        <w:jc w:val="left"/>
      </w:pPr>
      <w:r>
        <w:rPr/>
        <w:t>2007 年 1 月 30 日经中国证券监督管理委员会证监发行字[2007]24</w:t>
      </w:r>
      <w:r>
        <w:rPr>
          <w:spacing w:val="21"/>
        </w:rPr>
        <w:t> </w:t>
      </w:r>
      <w:r>
        <w:rPr/>
        <w:t>号文</w:t>
      </w:r>
    </w:p>
    <w:p>
      <w:pPr>
        <w:pStyle w:val="BodyText"/>
        <w:spacing w:line="240" w:lineRule="auto" w:before="125"/>
        <w:ind w:right="0"/>
        <w:jc w:val="left"/>
      </w:pPr>
      <w:r>
        <w:rPr/>
        <w:t>核准，本公司于</w:t>
      </w:r>
      <w:r>
        <w:rPr>
          <w:spacing w:val="-55"/>
        </w:rPr>
        <w:t> </w:t>
      </w:r>
      <w:r>
        <w:rPr/>
        <w:t>2007</w:t>
      </w:r>
      <w:r>
        <w:rPr>
          <w:spacing w:val="-6"/>
        </w:rPr>
        <w:t> </w:t>
      </w:r>
      <w:r>
        <w:rPr/>
        <w:t>年</w:t>
      </w:r>
      <w:r>
        <w:rPr>
          <w:spacing w:val="-55"/>
        </w:rPr>
        <w:t> </w:t>
      </w:r>
      <w:r>
        <w:rPr/>
        <w:t>2</w:t>
      </w:r>
      <w:r>
        <w:rPr>
          <w:spacing w:val="-6"/>
        </w:rPr>
        <w:t> </w:t>
      </w:r>
      <w:r>
        <w:rPr/>
        <w:t>月</w:t>
      </w:r>
      <w:r>
        <w:rPr>
          <w:spacing w:val="-55"/>
        </w:rPr>
        <w:t> </w:t>
      </w:r>
      <w:r>
        <w:rPr/>
        <w:t>8</w:t>
      </w:r>
      <w:r>
        <w:rPr>
          <w:spacing w:val="-6"/>
        </w:rPr>
        <w:t> </w:t>
      </w:r>
      <w:r>
        <w:rPr/>
        <w:t>日向社会发行人民币普通股股票</w:t>
      </w:r>
      <w:r>
        <w:rPr>
          <w:spacing w:val="-55"/>
        </w:rPr>
        <w:t> </w:t>
      </w:r>
      <w:r>
        <w:rPr/>
        <w:t>2,800</w:t>
      </w:r>
      <w:r>
        <w:rPr>
          <w:spacing w:val="-6"/>
        </w:rPr>
        <w:t> </w:t>
      </w:r>
      <w:r>
        <w:rPr/>
        <w:t>万股。</w:t>
      </w:r>
    </w:p>
    <w:p>
      <w:pPr>
        <w:pStyle w:val="BodyText"/>
        <w:spacing w:line="240" w:lineRule="auto" w:before="126"/>
        <w:ind w:right="0"/>
        <w:jc w:val="left"/>
      </w:pPr>
      <w:r>
        <w:rPr/>
        <w:t>中瑞华恒信会计师事务所有限公司出具了中瑞华恒信验字（2007）第</w:t>
      </w:r>
      <w:r>
        <w:rPr>
          <w:spacing w:val="-70"/>
        </w:rPr>
        <w:t> </w:t>
      </w:r>
      <w:r>
        <w:rPr/>
        <w:t>2011</w:t>
      </w:r>
      <w:r>
        <w:rPr>
          <w:spacing w:val="-20"/>
        </w:rPr>
        <w:t> </w:t>
      </w:r>
      <w:r>
        <w:rPr/>
        <w:t>号的</w:t>
      </w:r>
    </w:p>
    <w:p>
      <w:pPr>
        <w:pStyle w:val="BodyText"/>
        <w:spacing w:line="240" w:lineRule="auto" w:before="126"/>
        <w:ind w:right="0"/>
        <w:jc w:val="left"/>
      </w:pPr>
      <w:r>
        <w:rPr/>
        <w:t>验资报告，确认已收到社会公众认缴的投入资金为 276,524,800.00</w:t>
      </w:r>
      <w:r>
        <w:rPr>
          <w:spacing w:val="-90"/>
        </w:rPr>
        <w:t> </w:t>
      </w:r>
      <w:r>
        <w:rPr/>
        <w:t>元，社会公</w:t>
      </w:r>
    </w:p>
    <w:p>
      <w:pPr>
        <w:pStyle w:val="BodyText"/>
        <w:spacing w:line="240" w:lineRule="auto" w:before="125"/>
        <w:ind w:right="0"/>
        <w:jc w:val="left"/>
      </w:pPr>
      <w:r>
        <w:rPr/>
        <w:t>众股均以货币资金出资。截至</w:t>
      </w:r>
      <w:r>
        <w:rPr>
          <w:spacing w:val="-64"/>
        </w:rPr>
        <w:t> </w:t>
      </w:r>
      <w:r>
        <w:rPr/>
        <w:t>2007</w:t>
      </w:r>
      <w:r>
        <w:rPr>
          <w:spacing w:val="-7"/>
        </w:rPr>
        <w:t> </w:t>
      </w:r>
      <w:r>
        <w:rPr/>
        <w:t>年</w:t>
      </w:r>
      <w:r>
        <w:rPr>
          <w:spacing w:val="-64"/>
        </w:rPr>
        <w:t> </w:t>
      </w:r>
      <w:r>
        <w:rPr/>
        <w:t>2</w:t>
      </w:r>
      <w:r>
        <w:rPr>
          <w:spacing w:val="-7"/>
        </w:rPr>
        <w:t> </w:t>
      </w:r>
      <w:r>
        <w:rPr/>
        <w:t>月</w:t>
      </w:r>
      <w:r>
        <w:rPr>
          <w:spacing w:val="-64"/>
        </w:rPr>
        <w:t> </w:t>
      </w:r>
      <w:r>
        <w:rPr/>
        <w:t>14</w:t>
      </w:r>
      <w:r>
        <w:rPr>
          <w:spacing w:val="-7"/>
        </w:rPr>
        <w:t> </w:t>
      </w:r>
      <w:r>
        <w:rPr/>
        <w:t>日止，变更后的累计注册资本金</w:t>
      </w:r>
    </w:p>
    <w:p>
      <w:pPr>
        <w:pStyle w:val="BodyText"/>
        <w:spacing w:line="240" w:lineRule="auto" w:before="126"/>
        <w:ind w:right="0"/>
        <w:jc w:val="left"/>
      </w:pPr>
      <w:r>
        <w:rPr/>
        <w:t>额为人民币</w:t>
      </w:r>
      <w:r>
        <w:rPr>
          <w:spacing w:val="-60"/>
        </w:rPr>
        <w:t> </w:t>
      </w:r>
      <w:r>
        <w:rPr/>
        <w:t>110,000,000.00</w:t>
      </w:r>
      <w:r>
        <w:rPr>
          <w:spacing w:val="-60"/>
        </w:rPr>
        <w:t> </w:t>
      </w:r>
      <w:r>
        <w:rPr/>
        <w:t>元，股本为人民币</w:t>
      </w:r>
      <w:r>
        <w:rPr>
          <w:spacing w:val="-60"/>
        </w:rPr>
        <w:t> </w:t>
      </w:r>
      <w:r>
        <w:rPr/>
        <w:t>110,000,000.00 元。</w:t>
      </w:r>
    </w:p>
    <w:p>
      <w:pPr>
        <w:spacing w:line="240" w:lineRule="auto" w:before="8"/>
        <w:rPr>
          <w:rFonts w:ascii="宋体" w:hAnsi="宋体" w:cs="宋体" w:eastAsia="宋体" w:hint="default"/>
          <w:sz w:val="17"/>
          <w:szCs w:val="17"/>
        </w:rPr>
      </w:pPr>
    </w:p>
    <w:tbl>
      <w:tblPr>
        <w:tblW w:w="0" w:type="auto"/>
        <w:jc w:val="left"/>
        <w:tblInd w:w="121" w:type="dxa"/>
        <w:tblLayout w:type="fixed"/>
        <w:tblCellMar>
          <w:top w:w="0" w:type="dxa"/>
          <w:left w:w="0" w:type="dxa"/>
          <w:bottom w:w="0" w:type="dxa"/>
          <w:right w:w="0" w:type="dxa"/>
        </w:tblCellMar>
        <w:tblLook w:val="01E0"/>
      </w:tblPr>
      <w:tblGrid>
        <w:gridCol w:w="4712"/>
        <w:gridCol w:w="233"/>
        <w:gridCol w:w="1883"/>
        <w:gridCol w:w="232"/>
        <w:gridCol w:w="1742"/>
      </w:tblGrid>
      <w:tr>
        <w:trPr>
          <w:trHeight w:val="381" w:hRule="exact"/>
        </w:trPr>
        <w:tc>
          <w:tcPr>
            <w:tcW w:w="471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5" w:right="0"/>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233"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478" w:right="0"/>
              <w:jc w:val="left"/>
              <w:rPr>
                <w:rFonts w:ascii="宋体" w:hAnsi="宋体" w:cs="宋体" w:eastAsia="宋体" w:hint="default"/>
                <w:sz w:val="24"/>
                <w:szCs w:val="24"/>
              </w:rPr>
            </w:pPr>
            <w:r>
              <w:rPr>
                <w:rFonts w:ascii="宋体" w:hAnsi="宋体" w:cs="宋体" w:eastAsia="宋体" w:hint="default"/>
                <w:sz w:val="24"/>
                <w:szCs w:val="24"/>
              </w:rPr>
              <w:t>持股数量</w:t>
            </w:r>
          </w:p>
        </w:tc>
        <w:tc>
          <w:tcPr>
            <w:tcW w:w="232"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26" w:right="0"/>
              <w:jc w:val="left"/>
              <w:rPr>
                <w:rFonts w:ascii="宋体" w:hAnsi="宋体" w:cs="宋体" w:eastAsia="宋体" w:hint="default"/>
                <w:sz w:val="24"/>
                <w:szCs w:val="24"/>
              </w:rPr>
            </w:pPr>
            <w:r>
              <w:rPr>
                <w:rFonts w:ascii="宋体" w:hAnsi="宋体" w:cs="宋体" w:eastAsia="宋体" w:hint="default"/>
                <w:sz w:val="24"/>
                <w:szCs w:val="24"/>
              </w:rPr>
              <w:t>持股比例(%)</w:t>
            </w:r>
          </w:p>
        </w:tc>
      </w:tr>
      <w:tr>
        <w:trPr>
          <w:trHeight w:val="316" w:hRule="exact"/>
        </w:trPr>
        <w:tc>
          <w:tcPr>
            <w:tcW w:w="4712" w:type="dxa"/>
            <w:tcBorders>
              <w:top w:val="single" w:sz="4" w:space="0" w:color="000000"/>
              <w:left w:val="nil" w:sz="6" w:space="0" w:color="auto"/>
              <w:bottom w:val="nil" w:sz="6" w:space="0" w:color="auto"/>
              <w:right w:val="nil" w:sz="6" w:space="0" w:color="auto"/>
            </w:tcBorders>
          </w:tcPr>
          <w:p>
            <w:pPr>
              <w:pStyle w:val="TableParagraph"/>
              <w:spacing w:line="275" w:lineRule="exact"/>
              <w:ind w:left="109" w:right="0"/>
              <w:jc w:val="left"/>
              <w:rPr>
                <w:rFonts w:ascii="宋体" w:hAnsi="宋体" w:cs="宋体" w:eastAsia="宋体" w:hint="default"/>
                <w:sz w:val="24"/>
                <w:szCs w:val="24"/>
              </w:rPr>
            </w:pPr>
            <w:r>
              <w:rPr>
                <w:rFonts w:ascii="宋体" w:hAnsi="宋体" w:cs="宋体" w:eastAsia="宋体" w:hint="default"/>
                <w:sz w:val="24"/>
                <w:szCs w:val="24"/>
              </w:rPr>
              <w:t>香港喜多来集团有限公司</w:t>
            </w:r>
          </w:p>
        </w:tc>
        <w:tc>
          <w:tcPr>
            <w:tcW w:w="233" w:type="dxa"/>
            <w:tcBorders>
              <w:top w:val="nil" w:sz="6" w:space="0" w:color="auto"/>
              <w:left w:val="nil" w:sz="6" w:space="0" w:color="auto"/>
              <w:bottom w:val="nil" w:sz="6" w:space="0" w:color="auto"/>
              <w:right w:val="nil" w:sz="6" w:space="0" w:color="auto"/>
            </w:tcBorders>
          </w:tcPr>
          <w:p>
            <w:pPr/>
          </w:p>
        </w:tc>
        <w:tc>
          <w:tcPr>
            <w:tcW w:w="1883" w:type="dxa"/>
            <w:tcBorders>
              <w:top w:val="single" w:sz="4" w:space="0" w:color="000000"/>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38,950,000.00</w:t>
            </w:r>
          </w:p>
        </w:tc>
        <w:tc>
          <w:tcPr>
            <w:tcW w:w="232" w:type="dxa"/>
            <w:tcBorders>
              <w:top w:val="nil" w:sz="6" w:space="0" w:color="auto"/>
              <w:left w:val="nil" w:sz="6" w:space="0" w:color="auto"/>
              <w:bottom w:val="nil" w:sz="6" w:space="0" w:color="auto"/>
              <w:right w:val="nil" w:sz="6" w:space="0" w:color="auto"/>
            </w:tcBorders>
          </w:tcPr>
          <w:p>
            <w:pPr/>
          </w:p>
        </w:tc>
        <w:tc>
          <w:tcPr>
            <w:tcW w:w="1742" w:type="dxa"/>
            <w:tcBorders>
              <w:top w:val="single" w:sz="4" w:space="0" w:color="000000"/>
              <w:left w:val="nil" w:sz="6" w:space="0" w:color="auto"/>
              <w:bottom w:val="nil" w:sz="6" w:space="0" w:color="auto"/>
              <w:right w:val="nil" w:sz="6" w:space="0" w:color="auto"/>
            </w:tcBorders>
          </w:tcPr>
          <w:p>
            <w:pPr>
              <w:pStyle w:val="TableParagraph"/>
              <w:spacing w:line="275" w:lineRule="exact"/>
              <w:ind w:right="84"/>
              <w:jc w:val="right"/>
              <w:rPr>
                <w:rFonts w:ascii="宋体" w:hAnsi="宋体" w:cs="宋体" w:eastAsia="宋体" w:hint="default"/>
                <w:sz w:val="24"/>
                <w:szCs w:val="24"/>
              </w:rPr>
            </w:pPr>
            <w:r>
              <w:rPr>
                <w:rFonts w:ascii="宋体"/>
                <w:sz w:val="24"/>
              </w:rPr>
              <w:t>35.41</w:t>
            </w:r>
          </w:p>
        </w:tc>
      </w:tr>
      <w:tr>
        <w:trPr>
          <w:trHeight w:val="311"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76" w:lineRule="exact"/>
              <w:ind w:left="109" w:right="0"/>
              <w:jc w:val="left"/>
              <w:rPr>
                <w:rFonts w:ascii="宋体" w:hAnsi="宋体" w:cs="宋体" w:eastAsia="宋体" w:hint="default"/>
                <w:sz w:val="24"/>
                <w:szCs w:val="24"/>
              </w:rPr>
            </w:pPr>
            <w:r>
              <w:rPr>
                <w:rFonts w:ascii="宋体" w:hAnsi="宋体" w:cs="宋体" w:eastAsia="宋体" w:hint="default"/>
                <w:sz w:val="24"/>
                <w:szCs w:val="24"/>
              </w:rPr>
              <w:t>浪潮电子信息产业股份有限公司</w:t>
            </w:r>
          </w:p>
        </w:tc>
        <w:tc>
          <w:tcPr>
            <w:tcW w:w="233"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276" w:lineRule="exact"/>
              <w:ind w:right="83"/>
              <w:jc w:val="right"/>
              <w:rPr>
                <w:rFonts w:ascii="宋体" w:hAnsi="宋体" w:cs="宋体" w:eastAsia="宋体" w:hint="default"/>
                <w:sz w:val="24"/>
                <w:szCs w:val="24"/>
              </w:rPr>
            </w:pPr>
            <w:r>
              <w:rPr>
                <w:rFonts w:ascii="宋体"/>
                <w:sz w:val="24"/>
              </w:rPr>
              <w:t>16,400,000.00</w:t>
            </w:r>
          </w:p>
        </w:tc>
        <w:tc>
          <w:tcPr>
            <w:tcW w:w="232"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76" w:lineRule="exact"/>
              <w:ind w:right="84"/>
              <w:jc w:val="right"/>
              <w:rPr>
                <w:rFonts w:ascii="宋体" w:hAnsi="宋体" w:cs="宋体" w:eastAsia="宋体" w:hint="default"/>
                <w:sz w:val="24"/>
                <w:szCs w:val="24"/>
              </w:rPr>
            </w:pPr>
            <w:r>
              <w:rPr>
                <w:rFonts w:ascii="宋体"/>
                <w:sz w:val="24"/>
              </w:rPr>
              <w:t>14.91</w:t>
            </w:r>
          </w:p>
        </w:tc>
      </w:tr>
      <w:tr>
        <w:trPr>
          <w:trHeight w:val="311"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75" w:lineRule="exact"/>
              <w:ind w:left="109" w:right="0"/>
              <w:jc w:val="left"/>
              <w:rPr>
                <w:rFonts w:ascii="宋体" w:hAnsi="宋体" w:cs="宋体" w:eastAsia="宋体" w:hint="default"/>
                <w:sz w:val="24"/>
                <w:szCs w:val="24"/>
              </w:rPr>
            </w:pPr>
            <w:r>
              <w:rPr>
                <w:rFonts w:ascii="宋体" w:hAnsi="宋体" w:cs="宋体" w:eastAsia="宋体" w:hint="default"/>
                <w:sz w:val="24"/>
                <w:szCs w:val="24"/>
              </w:rPr>
              <w:t>济南发展国有工业资产经营有限公司</w:t>
            </w:r>
          </w:p>
        </w:tc>
        <w:tc>
          <w:tcPr>
            <w:tcW w:w="233"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11,480,000.00</w:t>
            </w:r>
          </w:p>
        </w:tc>
        <w:tc>
          <w:tcPr>
            <w:tcW w:w="232"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75" w:lineRule="exact"/>
              <w:ind w:right="84"/>
              <w:jc w:val="right"/>
              <w:rPr>
                <w:rFonts w:ascii="宋体" w:hAnsi="宋体" w:cs="宋体" w:eastAsia="宋体" w:hint="default"/>
                <w:sz w:val="24"/>
                <w:szCs w:val="24"/>
              </w:rPr>
            </w:pPr>
            <w:r>
              <w:rPr>
                <w:rFonts w:ascii="宋体"/>
                <w:sz w:val="24"/>
              </w:rPr>
              <w:t>10.44</w:t>
            </w:r>
          </w:p>
        </w:tc>
      </w:tr>
      <w:tr>
        <w:trPr>
          <w:trHeight w:val="311"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76" w:lineRule="exact"/>
              <w:ind w:left="109" w:right="0"/>
              <w:jc w:val="left"/>
              <w:rPr>
                <w:rFonts w:ascii="宋体" w:hAnsi="宋体" w:cs="宋体" w:eastAsia="宋体" w:hint="default"/>
                <w:sz w:val="24"/>
                <w:szCs w:val="24"/>
              </w:rPr>
            </w:pPr>
            <w:r>
              <w:rPr>
                <w:rFonts w:ascii="宋体" w:hAnsi="宋体" w:cs="宋体" w:eastAsia="宋体" w:hint="default"/>
                <w:sz w:val="24"/>
                <w:szCs w:val="24"/>
              </w:rPr>
              <w:t>北京中嘉华投资咨询有限公司</w:t>
            </w:r>
          </w:p>
        </w:tc>
        <w:tc>
          <w:tcPr>
            <w:tcW w:w="233"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276" w:lineRule="exact"/>
              <w:ind w:right="83"/>
              <w:jc w:val="right"/>
              <w:rPr>
                <w:rFonts w:ascii="宋体" w:hAnsi="宋体" w:cs="宋体" w:eastAsia="宋体" w:hint="default"/>
                <w:sz w:val="24"/>
                <w:szCs w:val="24"/>
              </w:rPr>
            </w:pPr>
            <w:r>
              <w:rPr>
                <w:rFonts w:ascii="宋体"/>
                <w:sz w:val="24"/>
              </w:rPr>
              <w:t>13,940,000.00</w:t>
            </w:r>
          </w:p>
        </w:tc>
        <w:tc>
          <w:tcPr>
            <w:tcW w:w="232"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76" w:lineRule="exact"/>
              <w:ind w:right="84"/>
              <w:jc w:val="right"/>
              <w:rPr>
                <w:rFonts w:ascii="宋体" w:hAnsi="宋体" w:cs="宋体" w:eastAsia="宋体" w:hint="default"/>
                <w:sz w:val="24"/>
                <w:szCs w:val="24"/>
              </w:rPr>
            </w:pPr>
            <w:r>
              <w:rPr>
                <w:rFonts w:ascii="宋体"/>
                <w:sz w:val="24"/>
              </w:rPr>
              <w:t>12.67</w:t>
            </w:r>
          </w:p>
        </w:tc>
      </w:tr>
      <w:tr>
        <w:trPr>
          <w:trHeight w:val="311"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75" w:lineRule="exact"/>
              <w:ind w:left="109" w:right="0"/>
              <w:jc w:val="left"/>
              <w:rPr>
                <w:rFonts w:ascii="宋体" w:hAnsi="宋体" w:cs="宋体" w:eastAsia="宋体" w:hint="default"/>
                <w:sz w:val="24"/>
                <w:szCs w:val="24"/>
              </w:rPr>
            </w:pPr>
            <w:r>
              <w:rPr>
                <w:rFonts w:ascii="宋体" w:hAnsi="宋体" w:cs="宋体" w:eastAsia="宋体" w:hint="default"/>
                <w:spacing w:val="6"/>
                <w:sz w:val="24"/>
                <w:szCs w:val="24"/>
              </w:rPr>
              <w:t>英属维尔京群岛 </w:t>
            </w:r>
            <w:r>
              <w:rPr>
                <w:rFonts w:ascii="宋体" w:hAnsi="宋体" w:cs="宋体" w:eastAsia="宋体" w:hint="default"/>
                <w:sz w:val="24"/>
                <w:szCs w:val="24"/>
              </w:rPr>
              <w:t>RICH RIVER</w:t>
            </w:r>
            <w:r>
              <w:rPr>
                <w:rFonts w:ascii="宋体" w:hAnsi="宋体" w:cs="宋体" w:eastAsia="宋体" w:hint="default"/>
                <w:spacing w:val="23"/>
                <w:sz w:val="24"/>
                <w:szCs w:val="24"/>
              </w:rPr>
              <w:t> </w:t>
            </w:r>
            <w:r>
              <w:rPr>
                <w:rFonts w:ascii="宋体" w:hAnsi="宋体" w:cs="宋体" w:eastAsia="宋体" w:hint="default"/>
                <w:sz w:val="24"/>
                <w:szCs w:val="24"/>
              </w:rPr>
              <w:t>INVESTMENTS</w:t>
            </w:r>
          </w:p>
        </w:tc>
        <w:tc>
          <w:tcPr>
            <w:tcW w:w="233"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
        </w:tc>
      </w:tr>
      <w:tr>
        <w:trPr>
          <w:trHeight w:val="311"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75" w:lineRule="exact"/>
              <w:ind w:left="109" w:right="0"/>
              <w:jc w:val="left"/>
              <w:rPr>
                <w:rFonts w:ascii="宋体" w:hAnsi="宋体" w:cs="宋体" w:eastAsia="宋体" w:hint="default"/>
                <w:sz w:val="24"/>
                <w:szCs w:val="24"/>
              </w:rPr>
            </w:pPr>
            <w:r>
              <w:rPr>
                <w:rFonts w:ascii="宋体"/>
                <w:sz w:val="24"/>
              </w:rPr>
              <w:t>LIMITED</w:t>
            </w:r>
          </w:p>
        </w:tc>
        <w:tc>
          <w:tcPr>
            <w:tcW w:w="233"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1,230,000.00</w:t>
            </w:r>
          </w:p>
        </w:tc>
        <w:tc>
          <w:tcPr>
            <w:tcW w:w="232"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nil" w:sz="6" w:space="0" w:color="auto"/>
              <w:right w:val="nil" w:sz="6" w:space="0" w:color="auto"/>
            </w:tcBorders>
          </w:tcPr>
          <w:p>
            <w:pPr>
              <w:pStyle w:val="TableParagraph"/>
              <w:spacing w:line="275" w:lineRule="exact"/>
              <w:ind w:right="84"/>
              <w:jc w:val="right"/>
              <w:rPr>
                <w:rFonts w:ascii="宋体" w:hAnsi="宋体" w:cs="宋体" w:eastAsia="宋体" w:hint="default"/>
                <w:sz w:val="24"/>
                <w:szCs w:val="24"/>
              </w:rPr>
            </w:pPr>
            <w:r>
              <w:rPr>
                <w:rFonts w:ascii="宋体"/>
                <w:sz w:val="24"/>
              </w:rPr>
              <w:t>1.12</w:t>
            </w:r>
          </w:p>
        </w:tc>
      </w:tr>
      <w:tr>
        <w:trPr>
          <w:trHeight w:val="317"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76" w:lineRule="exact"/>
              <w:ind w:left="109" w:right="0"/>
              <w:jc w:val="left"/>
              <w:rPr>
                <w:rFonts w:ascii="宋体" w:hAnsi="宋体" w:cs="宋体" w:eastAsia="宋体" w:hint="default"/>
                <w:sz w:val="24"/>
                <w:szCs w:val="24"/>
              </w:rPr>
            </w:pPr>
            <w:r>
              <w:rPr>
                <w:rFonts w:ascii="宋体" w:hAnsi="宋体" w:cs="宋体" w:eastAsia="宋体" w:hint="default"/>
                <w:sz w:val="24"/>
                <w:szCs w:val="24"/>
              </w:rPr>
              <w:t>社会公众股股东</w:t>
            </w:r>
          </w:p>
        </w:tc>
        <w:tc>
          <w:tcPr>
            <w:tcW w:w="233"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single" w:sz="4" w:space="0" w:color="000000"/>
              <w:right w:val="nil" w:sz="6" w:space="0" w:color="auto"/>
            </w:tcBorders>
          </w:tcPr>
          <w:p>
            <w:pPr>
              <w:pStyle w:val="TableParagraph"/>
              <w:spacing w:line="276" w:lineRule="exact"/>
              <w:ind w:right="98"/>
              <w:jc w:val="right"/>
              <w:rPr>
                <w:rFonts w:ascii="宋体" w:hAnsi="宋体" w:cs="宋体" w:eastAsia="宋体" w:hint="default"/>
                <w:sz w:val="24"/>
                <w:szCs w:val="24"/>
              </w:rPr>
            </w:pPr>
            <w:r>
              <w:rPr>
                <w:rFonts w:ascii="宋体"/>
                <w:sz w:val="24"/>
              </w:rPr>
              <w:t>28,000,000.00</w:t>
            </w:r>
          </w:p>
        </w:tc>
        <w:tc>
          <w:tcPr>
            <w:tcW w:w="232"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single" w:sz="4" w:space="0" w:color="000000"/>
              <w:right w:val="nil" w:sz="6" w:space="0" w:color="auto"/>
            </w:tcBorders>
          </w:tcPr>
          <w:p>
            <w:pPr>
              <w:pStyle w:val="TableParagraph"/>
              <w:spacing w:line="276" w:lineRule="exact"/>
              <w:ind w:right="101"/>
              <w:jc w:val="right"/>
              <w:rPr>
                <w:rFonts w:ascii="宋体" w:hAnsi="宋体" w:cs="宋体" w:eastAsia="宋体" w:hint="default"/>
                <w:sz w:val="24"/>
                <w:szCs w:val="24"/>
              </w:rPr>
            </w:pPr>
            <w:r>
              <w:rPr>
                <w:rFonts w:ascii="宋体"/>
                <w:sz w:val="24"/>
              </w:rPr>
              <w:t>25.45</w:t>
            </w:r>
          </w:p>
        </w:tc>
      </w:tr>
      <w:tr>
        <w:trPr>
          <w:trHeight w:val="340"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80" w:lineRule="exact"/>
              <w:ind w:left="109"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33" w:type="dxa"/>
            <w:tcBorders>
              <w:top w:val="nil" w:sz="6" w:space="0" w:color="auto"/>
              <w:left w:val="nil" w:sz="6" w:space="0" w:color="auto"/>
              <w:bottom w:val="nil" w:sz="6" w:space="0" w:color="auto"/>
              <w:right w:val="nil" w:sz="6" w:space="0" w:color="auto"/>
            </w:tcBorders>
          </w:tcPr>
          <w:p>
            <w:pPr/>
          </w:p>
        </w:tc>
        <w:tc>
          <w:tcPr>
            <w:tcW w:w="1883" w:type="dxa"/>
            <w:tcBorders>
              <w:top w:val="single" w:sz="4" w:space="0" w:color="000000"/>
              <w:left w:val="nil" w:sz="6" w:space="0" w:color="auto"/>
              <w:bottom w:val="single" w:sz="17" w:space="0" w:color="000000"/>
              <w:right w:val="nil" w:sz="6" w:space="0" w:color="auto"/>
            </w:tcBorders>
          </w:tcPr>
          <w:p>
            <w:pPr>
              <w:pStyle w:val="TableParagraph"/>
              <w:spacing w:line="275" w:lineRule="exact"/>
              <w:ind w:right="83"/>
              <w:jc w:val="right"/>
              <w:rPr>
                <w:rFonts w:ascii="宋体" w:hAnsi="宋体" w:cs="宋体" w:eastAsia="宋体" w:hint="default"/>
                <w:sz w:val="24"/>
                <w:szCs w:val="24"/>
              </w:rPr>
            </w:pPr>
            <w:r>
              <w:rPr>
                <w:rFonts w:ascii="宋体"/>
                <w:sz w:val="24"/>
              </w:rPr>
              <w:t>110,000,000.00</w:t>
            </w:r>
          </w:p>
        </w:tc>
        <w:tc>
          <w:tcPr>
            <w:tcW w:w="232" w:type="dxa"/>
            <w:tcBorders>
              <w:top w:val="nil" w:sz="6" w:space="0" w:color="auto"/>
              <w:left w:val="nil" w:sz="6" w:space="0" w:color="auto"/>
              <w:bottom w:val="nil" w:sz="6" w:space="0" w:color="auto"/>
              <w:right w:val="nil" w:sz="6" w:space="0" w:color="auto"/>
            </w:tcBorders>
          </w:tcPr>
          <w:p>
            <w:pPr/>
          </w:p>
        </w:tc>
        <w:tc>
          <w:tcPr>
            <w:tcW w:w="1742" w:type="dxa"/>
            <w:tcBorders>
              <w:top w:val="single" w:sz="4" w:space="0" w:color="000000"/>
              <w:left w:val="nil" w:sz="6" w:space="0" w:color="auto"/>
              <w:bottom w:val="single" w:sz="17" w:space="0" w:color="000000"/>
              <w:right w:val="nil" w:sz="6" w:space="0" w:color="auto"/>
            </w:tcBorders>
          </w:tcPr>
          <w:p>
            <w:pPr>
              <w:pStyle w:val="TableParagraph"/>
              <w:spacing w:line="275" w:lineRule="exact"/>
              <w:ind w:right="84"/>
              <w:jc w:val="right"/>
              <w:rPr>
                <w:rFonts w:ascii="宋体" w:hAnsi="宋体" w:cs="宋体" w:eastAsia="宋体" w:hint="default"/>
                <w:sz w:val="24"/>
                <w:szCs w:val="24"/>
              </w:rPr>
            </w:pPr>
            <w:r>
              <w:rPr>
                <w:rFonts w:ascii="宋体"/>
                <w:sz w:val="24"/>
              </w:rPr>
              <w:t>100.00</w:t>
            </w:r>
          </w:p>
        </w:tc>
      </w:tr>
    </w:tbl>
    <w:p>
      <w:pPr>
        <w:spacing w:line="240" w:lineRule="auto" w:before="1"/>
        <w:rPr>
          <w:rFonts w:ascii="宋体" w:hAnsi="宋体" w:cs="宋体" w:eastAsia="宋体" w:hint="default"/>
          <w:sz w:val="23"/>
          <w:szCs w:val="23"/>
        </w:rPr>
      </w:pPr>
    </w:p>
    <w:p>
      <w:pPr>
        <w:pStyle w:val="BodyText"/>
        <w:tabs>
          <w:tab w:pos="3259" w:val="left" w:leader="none"/>
        </w:tabs>
        <w:spacing w:line="297" w:lineRule="auto" w:before="26"/>
        <w:ind w:left="620" w:right="2242"/>
        <w:jc w:val="left"/>
      </w:pPr>
      <w:r>
        <w:rPr/>
        <w:t>本公司注册地址：山东省济南市历城区山大北路</w:t>
      </w:r>
      <w:r>
        <w:rPr>
          <w:spacing w:val="-60"/>
        </w:rPr>
        <w:t> </w:t>
      </w:r>
      <w:r>
        <w:rPr/>
        <w:t>23</w:t>
      </w:r>
      <w:r>
        <w:rPr>
          <w:spacing w:val="-60"/>
        </w:rPr>
        <w:t> </w:t>
      </w:r>
      <w:r>
        <w:rPr/>
        <w:t>号</w:t>
      </w:r>
      <w:r>
        <w:rPr/>
        <w:t> 法定代表人：谷望江</w:t>
        <w:tab/>
        <w:t>企业类型：中外合资股份有限公司</w:t>
      </w:r>
    </w:p>
    <w:p>
      <w:pPr>
        <w:pStyle w:val="BodyText"/>
        <w:spacing w:line="336" w:lineRule="auto" w:before="127"/>
        <w:ind w:right="652" w:firstLine="480"/>
        <w:jc w:val="both"/>
      </w:pPr>
      <w:r>
        <w:rPr/>
        <w:t>经营范围：出版物、包装装潢印刷品、其它类印刷品印刷;纸制品的生产、</w:t>
      </w:r>
      <w:r>
        <w:rPr>
          <w:spacing w:val="1"/>
        </w:rPr>
        <w:t> </w:t>
      </w:r>
      <w:r>
        <w:rPr>
          <w:spacing w:val="-3"/>
        </w:rPr>
        <w:t>销售；高档纸张的防伪处理、销售；数据打印系统地开发、生产；科技信息咨询</w:t>
      </w:r>
      <w:r>
        <w:rPr>
          <w:spacing w:val="-105"/>
        </w:rPr>
        <w:t> </w:t>
      </w:r>
      <w:r>
        <w:rPr>
          <w:spacing w:val="-105"/>
        </w:rPr>
      </w:r>
      <w:r>
        <w:rPr/>
        <w:t>服务 IC 卡产品和智能卷标产品的生产、销售。</w:t>
      </w:r>
    </w:p>
    <w:p>
      <w:pPr>
        <w:pStyle w:val="BodyText"/>
        <w:spacing w:line="240" w:lineRule="auto"/>
        <w:ind w:left="617" w:right="0"/>
        <w:jc w:val="left"/>
      </w:pPr>
      <w:r>
        <w:rPr/>
        <w:t>本公司财务报表于</w:t>
      </w:r>
      <w:r>
        <w:rPr>
          <w:spacing w:val="-59"/>
        </w:rPr>
        <w:t> </w:t>
      </w:r>
      <w:r>
        <w:rPr>
          <w:spacing w:val="25"/>
        </w:rPr>
        <w:t>2008年1月</w:t>
      </w:r>
      <w:r>
        <w:rPr>
          <w:spacing w:val="-59"/>
        </w:rPr>
        <w:t> </w:t>
      </w:r>
      <w:r>
        <w:rPr/>
        <w:t>26</w:t>
      </w:r>
      <w:r>
        <w:rPr>
          <w:spacing w:val="-59"/>
        </w:rPr>
        <w:t> </w:t>
      </w:r>
      <w:r>
        <w:rPr/>
        <w:t>日已经公司董事会批准报出。</w:t>
      </w:r>
    </w:p>
    <w:p>
      <w:pPr>
        <w:spacing w:after="0" w:line="240" w:lineRule="auto"/>
        <w:jc w:val="left"/>
        <w:sectPr>
          <w:pgSz w:w="11910" w:h="16840"/>
          <w:pgMar w:header="840" w:footer="1712" w:top="1160" w:bottom="1900" w:left="1660" w:right="1140"/>
        </w:sectPr>
      </w:pPr>
    </w:p>
    <w:p>
      <w:pPr>
        <w:spacing w:line="297" w:lineRule="auto" w:before="0"/>
        <w:ind w:left="617" w:right="226"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二、遵循企业会计准则的声明</w:t>
      </w:r>
      <w:r>
        <w:rPr>
          <w:rFonts w:ascii="Microsoft JhengHei" w:hAnsi="Microsoft JhengHei" w:cs="Microsoft JhengHei" w:eastAsia="Microsoft JhengHei" w:hint="default"/>
          <w:b/>
          <w:bCs/>
          <w:spacing w:val="-50"/>
          <w:sz w:val="24"/>
          <w:szCs w:val="24"/>
        </w:rPr>
        <w:t> </w:t>
      </w:r>
      <w:r>
        <w:rPr>
          <w:rFonts w:ascii="宋体" w:hAnsi="宋体" w:cs="宋体" w:eastAsia="宋体" w:hint="default"/>
          <w:spacing w:val="-3"/>
          <w:sz w:val="24"/>
          <w:szCs w:val="24"/>
        </w:rPr>
        <w:t>本公司编制的财务报表符合企业会计准则的要求，真实、完整地反映了公司</w:t>
      </w:r>
    </w:p>
    <w:p>
      <w:pPr>
        <w:pStyle w:val="BodyText"/>
        <w:spacing w:line="240" w:lineRule="auto" w:before="67"/>
        <w:ind w:right="0"/>
        <w:jc w:val="both"/>
      </w:pPr>
      <w:r>
        <w:rPr/>
        <w:t>财务状况、经营成果和现金流量等有关信息。</w:t>
      </w:r>
    </w:p>
    <w:p>
      <w:pPr>
        <w:spacing w:line="297" w:lineRule="auto" w:before="170"/>
        <w:ind w:left="617" w:right="226"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三、财务报表的编制基础</w:t>
      </w:r>
      <w:r>
        <w:rPr>
          <w:rFonts w:ascii="Microsoft JhengHei" w:hAnsi="Microsoft JhengHei" w:cs="Microsoft JhengHei" w:eastAsia="Microsoft JhengHei" w:hint="default"/>
          <w:b/>
          <w:bCs/>
          <w:spacing w:val="-52"/>
          <w:sz w:val="24"/>
          <w:szCs w:val="24"/>
        </w:rPr>
        <w:t> </w:t>
      </w:r>
      <w:r>
        <w:rPr>
          <w:rFonts w:ascii="宋体" w:hAnsi="宋体" w:cs="宋体" w:eastAsia="宋体" w:hint="default"/>
          <w:spacing w:val="-3"/>
          <w:sz w:val="24"/>
          <w:szCs w:val="24"/>
        </w:rPr>
        <w:t>本公司财务报表以持续经营假设为基础，根据实际发生的交易和事项，按照</w:t>
      </w:r>
    </w:p>
    <w:p>
      <w:pPr>
        <w:pStyle w:val="BodyText"/>
        <w:spacing w:line="240" w:lineRule="auto" w:before="67"/>
        <w:ind w:right="0"/>
        <w:jc w:val="both"/>
      </w:pPr>
      <w:r>
        <w:rPr/>
        <w:t>财政部于</w:t>
      </w:r>
      <w:r>
        <w:rPr>
          <w:spacing w:val="-47"/>
        </w:rPr>
        <w:t> </w:t>
      </w:r>
      <w:r>
        <w:rPr/>
        <w:t>200</w:t>
      </w:r>
      <w:r>
        <w:rPr>
          <w:spacing w:val="73"/>
        </w:rPr>
        <w:t>6年2</w:t>
      </w:r>
      <w:r>
        <w:rPr/>
        <w:t>月</w:t>
      </w:r>
      <w:r>
        <w:rPr>
          <w:spacing w:val="-47"/>
        </w:rPr>
        <w:t> </w:t>
      </w:r>
      <w:r>
        <w:rPr/>
        <w:t>15</w:t>
      </w:r>
      <w:r>
        <w:rPr>
          <w:spacing w:val="-47"/>
        </w:rPr>
        <w:t> </w:t>
      </w:r>
      <w:r>
        <w:rPr/>
        <w:t>日颁布的《企业会计准则-基本准则</w:t>
      </w:r>
      <w:r>
        <w:rPr>
          <w:spacing w:val="-120"/>
        </w:rPr>
        <w:t>》</w:t>
      </w:r>
      <w:r>
        <w:rPr/>
        <w:t>（财政部令第</w:t>
      </w:r>
      <w:r>
        <w:rPr>
          <w:spacing w:val="-47"/>
        </w:rPr>
        <w:t> </w:t>
      </w:r>
      <w:r>
        <w:rPr/>
        <w:t>33</w:t>
      </w:r>
    </w:p>
    <w:p>
      <w:pPr>
        <w:pStyle w:val="BodyText"/>
        <w:spacing w:line="240" w:lineRule="auto" w:before="126"/>
        <w:ind w:right="0"/>
        <w:jc w:val="both"/>
      </w:pPr>
      <w:r>
        <w:rPr/>
        <w:t>号）及《财政部关于印发&lt;企业会计准则第</w:t>
      </w:r>
      <w:r>
        <w:rPr>
          <w:spacing w:val="-60"/>
        </w:rPr>
        <w:t> </w:t>
      </w:r>
      <w:r>
        <w:rPr/>
        <w:t>1</w:t>
      </w:r>
      <w:r>
        <w:rPr>
          <w:spacing w:val="-60"/>
        </w:rPr>
        <w:t> </w:t>
      </w:r>
      <w:r>
        <w:rPr/>
        <w:t>号-存货&gt;等</w:t>
      </w:r>
      <w:r>
        <w:rPr>
          <w:spacing w:val="-60"/>
        </w:rPr>
        <w:t> </w:t>
      </w:r>
      <w:r>
        <w:rPr/>
        <w:t>38</w:t>
      </w:r>
      <w:r>
        <w:rPr>
          <w:spacing w:val="-60"/>
        </w:rPr>
        <w:t> </w:t>
      </w:r>
      <w:r>
        <w:rPr/>
        <w:t>项具体准则的通知》</w:t>
      </w:r>
    </w:p>
    <w:p>
      <w:pPr>
        <w:pStyle w:val="BodyText"/>
        <w:spacing w:line="336" w:lineRule="auto" w:before="126"/>
        <w:ind w:right="232"/>
        <w:jc w:val="both"/>
      </w:pPr>
      <w:r>
        <w:rPr/>
        <w:t>（财会[2006]3</w:t>
      </w:r>
      <w:r>
        <w:rPr>
          <w:spacing w:val="-63"/>
        </w:rPr>
        <w:t> </w:t>
      </w:r>
      <w:r>
        <w:rPr>
          <w:spacing w:val="-5"/>
        </w:rPr>
        <w:t>号）和</w:t>
      </w:r>
      <w:r>
        <w:rPr>
          <w:spacing w:val="-63"/>
        </w:rPr>
        <w:t> </w:t>
      </w:r>
      <w:r>
        <w:rPr/>
        <w:t>2006</w:t>
      </w:r>
      <w:r>
        <w:rPr>
          <w:spacing w:val="-63"/>
        </w:rPr>
        <w:t> </w:t>
      </w:r>
      <w:r>
        <w:rPr/>
        <w:t>年</w:t>
      </w:r>
      <w:r>
        <w:rPr>
          <w:spacing w:val="-63"/>
        </w:rPr>
        <w:t> </w:t>
      </w:r>
      <w:r>
        <w:rPr/>
        <w:t>10</w:t>
      </w:r>
      <w:r>
        <w:rPr>
          <w:spacing w:val="-63"/>
        </w:rPr>
        <w:t> </w:t>
      </w:r>
      <w:r>
        <w:rPr/>
        <w:t>月</w:t>
      </w:r>
      <w:r>
        <w:rPr>
          <w:spacing w:val="-63"/>
        </w:rPr>
        <w:t> </w:t>
      </w:r>
      <w:r>
        <w:rPr/>
        <w:t>30</w:t>
      </w:r>
      <w:r>
        <w:rPr>
          <w:spacing w:val="-63"/>
        </w:rPr>
        <w:t> </w:t>
      </w:r>
      <w:r>
        <w:rPr/>
        <w:t>日颁布的《财政部关于印发&lt;企业会计准</w:t>
      </w:r>
      <w:r>
        <w:rPr/>
        <w:t> </w:t>
      </w:r>
      <w:r>
        <w:rPr>
          <w:spacing w:val="-6"/>
        </w:rPr>
        <w:t>则-应用指南&gt;的通知》（财会[2006]18</w:t>
      </w:r>
      <w:r>
        <w:rPr>
          <w:spacing w:val="-56"/>
        </w:rPr>
        <w:t> </w:t>
      </w:r>
      <w:r>
        <w:rPr>
          <w:spacing w:val="-14"/>
        </w:rPr>
        <w:t>号）（以下简称“新会计准则”）和中国证</w:t>
      </w:r>
      <w:r>
        <w:rPr/>
        <w:t> 券监督管理委员会</w:t>
      </w:r>
      <w:r>
        <w:rPr>
          <w:spacing w:val="-55"/>
        </w:rPr>
        <w:t> </w:t>
      </w:r>
      <w:r>
        <w:rPr>
          <w:spacing w:val="25"/>
        </w:rPr>
        <w:t>2007年2月</w:t>
      </w:r>
      <w:r>
        <w:rPr>
          <w:spacing w:val="-55"/>
        </w:rPr>
        <w:t> </w:t>
      </w:r>
      <w:r>
        <w:rPr/>
        <w:t>15</w:t>
      </w:r>
      <w:r>
        <w:rPr>
          <w:spacing w:val="-55"/>
        </w:rPr>
        <w:t> </w:t>
      </w:r>
      <w:r>
        <w:rPr>
          <w:spacing w:val="-5"/>
        </w:rPr>
        <w:t>日发布的《公开发行证券的公司信息披露规范</w:t>
      </w:r>
      <w:r>
        <w:rPr/>
        <w:t> </w:t>
      </w:r>
      <w:r>
        <w:rPr>
          <w:spacing w:val="15"/>
        </w:rPr>
        <w:t>问答第7</w:t>
      </w:r>
      <w:r>
        <w:rPr>
          <w:spacing w:val="-56"/>
        </w:rPr>
        <w:t> </w:t>
      </w:r>
      <w:r>
        <w:rPr>
          <w:spacing w:val="-3"/>
        </w:rPr>
        <w:t>号</w:t>
      </w:r>
      <w:r>
        <w:rPr>
          <w:rFonts w:ascii="宋体" w:hAnsi="宋体" w:cs="宋体" w:eastAsia="宋体" w:hint="default"/>
          <w:spacing w:val="-3"/>
        </w:rPr>
        <w:t>―</w:t>
      </w:r>
      <w:r>
        <w:rPr>
          <w:spacing w:val="-3"/>
        </w:rPr>
        <w:t>新旧会计准则过渡期间比较财务会计信息的编制和披露》等有关规</w:t>
      </w:r>
      <w:r>
        <w:rPr/>
        <w:t> 定，并基于以下所述主要会计政策、会计估计进行编制。</w:t>
      </w:r>
    </w:p>
    <w:p>
      <w:pPr>
        <w:pStyle w:val="Heading3"/>
        <w:tabs>
          <w:tab w:pos="1397" w:val="left" w:leader="none"/>
        </w:tabs>
        <w:spacing w:line="321" w:lineRule="auto" w:before="74"/>
        <w:ind w:right="2519"/>
        <w:jc w:val="left"/>
        <w:rPr>
          <w:b w:val="0"/>
          <w:bCs w:val="0"/>
        </w:rPr>
      </w:pPr>
      <w:r>
        <w:rPr/>
        <w:t>四、公司采用的主要会计政策、会计估计和前期差错</w:t>
      </w:r>
      <w:r>
        <w:rPr>
          <w:spacing w:val="-38"/>
        </w:rPr>
        <w:t> </w:t>
      </w:r>
      <w:r>
        <w:rPr>
          <w:w w:val="90"/>
        </w:rPr>
        <w:t>1、</w:t>
        <w:tab/>
      </w:r>
      <w:r>
        <w:rPr/>
        <w:t>会计期间</w:t>
      </w:r>
      <w:r>
        <w:rPr>
          <w:b w:val="0"/>
          <w:bCs w:val="0"/>
        </w:rPr>
      </w:r>
    </w:p>
    <w:p>
      <w:pPr>
        <w:pStyle w:val="BodyText"/>
        <w:spacing w:line="336" w:lineRule="auto" w:before="0"/>
        <w:ind w:right="226" w:firstLine="480"/>
        <w:jc w:val="left"/>
      </w:pPr>
      <w:r>
        <w:rPr>
          <w:spacing w:val="-3"/>
        </w:rPr>
        <w:t>本公司的会计期间分为年度和中期，会计中期指短于一个完整的会计年度的</w:t>
      </w:r>
      <w:r>
        <w:rPr/>
        <w:t> </w:t>
      </w:r>
      <w:r>
        <w:rPr>
          <w:spacing w:val="12"/>
        </w:rPr>
        <w:t>报告期间。会计年度为公历1月1</w:t>
      </w:r>
      <w:r>
        <w:rPr>
          <w:spacing w:val="-60"/>
        </w:rPr>
        <w:t> </w:t>
      </w:r>
      <w:r>
        <w:rPr/>
        <w:t>日起至</w:t>
      </w:r>
      <w:r>
        <w:rPr>
          <w:spacing w:val="-60"/>
        </w:rPr>
        <w:t> </w:t>
      </w:r>
      <w:r>
        <w:rPr>
          <w:spacing w:val="20"/>
        </w:rPr>
        <w:t>12月</w:t>
      </w:r>
      <w:r>
        <w:rPr>
          <w:spacing w:val="-60"/>
        </w:rPr>
        <w:t> </w:t>
      </w:r>
      <w:r>
        <w:rPr/>
        <w:t>31</w:t>
      </w:r>
      <w:r>
        <w:rPr>
          <w:spacing w:val="-60"/>
        </w:rPr>
        <w:t> </w:t>
      </w:r>
      <w:r>
        <w:rPr/>
        <w:t>日止。</w:t>
      </w:r>
    </w:p>
    <w:p>
      <w:pPr>
        <w:tabs>
          <w:tab w:pos="1397" w:val="left" w:leader="none"/>
        </w:tabs>
        <w:spacing w:line="295" w:lineRule="auto" w:before="74"/>
        <w:ind w:left="617" w:right="4633" w:firstLine="2"/>
        <w:jc w:val="left"/>
        <w:rPr>
          <w:rFonts w:ascii="宋体" w:hAnsi="宋体" w:cs="宋体" w:eastAsia="宋体" w:hint="default"/>
          <w:sz w:val="24"/>
          <w:szCs w:val="24"/>
        </w:rPr>
      </w:pPr>
      <w:r>
        <w:rPr>
          <w:rFonts w:ascii="Microsoft JhengHei" w:hAnsi="Microsoft JhengHei" w:cs="Microsoft JhengHei" w:eastAsia="Microsoft JhengHei" w:hint="default"/>
          <w:b/>
          <w:bCs/>
          <w:w w:val="90"/>
          <w:sz w:val="24"/>
          <w:szCs w:val="24"/>
        </w:rPr>
        <w:t>2、</w:t>
        <w:tab/>
      </w:r>
      <w:r>
        <w:rPr>
          <w:rFonts w:ascii="Microsoft JhengHei" w:hAnsi="Microsoft JhengHei" w:cs="Microsoft JhengHei" w:eastAsia="Microsoft JhengHei" w:hint="default"/>
          <w:b/>
          <w:bCs/>
          <w:sz w:val="24"/>
          <w:szCs w:val="24"/>
        </w:rPr>
        <w:t>记账本位币</w:t>
      </w:r>
      <w:r>
        <w:rPr>
          <w:rFonts w:ascii="Microsoft JhengHei" w:hAnsi="Microsoft JhengHei" w:cs="Microsoft JhengHei" w:eastAsia="Microsoft JhengHei" w:hint="default"/>
          <w:b/>
          <w:bCs/>
          <w:sz w:val="24"/>
          <w:szCs w:val="24"/>
        </w:rPr>
        <w:t> </w:t>
      </w:r>
      <w:r>
        <w:rPr>
          <w:rFonts w:ascii="宋体" w:hAnsi="宋体" w:cs="宋体" w:eastAsia="宋体" w:hint="default"/>
          <w:sz w:val="24"/>
          <w:szCs w:val="24"/>
        </w:rPr>
        <w:t>本公司以人民币为记账本位币。</w:t>
      </w:r>
    </w:p>
    <w:p>
      <w:pPr>
        <w:tabs>
          <w:tab w:pos="1397" w:val="left" w:leader="none"/>
        </w:tabs>
        <w:spacing w:line="297" w:lineRule="auto" w:before="114"/>
        <w:ind w:left="617" w:right="227" w:firstLine="2"/>
        <w:jc w:val="left"/>
        <w:rPr>
          <w:rFonts w:ascii="宋体" w:hAnsi="宋体" w:cs="宋体" w:eastAsia="宋体" w:hint="default"/>
          <w:sz w:val="24"/>
          <w:szCs w:val="24"/>
        </w:rPr>
      </w:pPr>
      <w:r>
        <w:rPr>
          <w:rFonts w:ascii="Microsoft JhengHei" w:hAnsi="Microsoft JhengHei" w:cs="Microsoft JhengHei" w:eastAsia="Microsoft JhengHei" w:hint="default"/>
          <w:b/>
          <w:bCs/>
          <w:w w:val="90"/>
          <w:sz w:val="24"/>
          <w:szCs w:val="24"/>
        </w:rPr>
        <w:t>3、</w:t>
        <w:tab/>
      </w:r>
      <w:r>
        <w:rPr>
          <w:rFonts w:ascii="Microsoft JhengHei" w:hAnsi="Microsoft JhengHei" w:cs="Microsoft JhengHei" w:eastAsia="Microsoft JhengHei" w:hint="default"/>
          <w:b/>
          <w:bCs/>
          <w:sz w:val="24"/>
          <w:szCs w:val="24"/>
        </w:rPr>
        <w:t>记账基础及会计计量属性</w:t>
      </w:r>
      <w:r>
        <w:rPr>
          <w:rFonts w:ascii="Microsoft JhengHei" w:hAnsi="Microsoft JhengHei" w:cs="Microsoft JhengHei" w:eastAsia="Microsoft JhengHei" w:hint="default"/>
          <w:b/>
          <w:bCs/>
          <w:spacing w:val="-52"/>
          <w:sz w:val="24"/>
          <w:szCs w:val="24"/>
        </w:rPr>
        <w:t> </w:t>
      </w:r>
      <w:r>
        <w:rPr>
          <w:rFonts w:ascii="Microsoft JhengHei" w:hAnsi="Microsoft JhengHei" w:cs="Microsoft JhengHei" w:eastAsia="Microsoft JhengHei" w:hint="default"/>
          <w:b/>
          <w:bCs/>
          <w:spacing w:val="-52"/>
          <w:sz w:val="24"/>
          <w:szCs w:val="24"/>
        </w:rPr>
      </w:r>
      <w:r>
        <w:rPr>
          <w:rFonts w:ascii="宋体" w:hAnsi="宋体" w:cs="宋体" w:eastAsia="宋体" w:hint="default"/>
          <w:spacing w:val="4"/>
          <w:sz w:val="24"/>
          <w:szCs w:val="24"/>
        </w:rPr>
        <w:t>本公司会计核算以权责发生制为记账基础，一般采用历史成本作为计量属</w:t>
      </w:r>
      <w:r>
        <w:rPr>
          <w:rFonts w:ascii="宋体" w:hAnsi="宋体" w:cs="宋体" w:eastAsia="宋体" w:hint="default"/>
          <w:sz w:val="24"/>
          <w:szCs w:val="24"/>
        </w:rPr>
      </w:r>
    </w:p>
    <w:p>
      <w:pPr>
        <w:pStyle w:val="BodyText"/>
        <w:spacing w:line="336" w:lineRule="auto" w:before="67"/>
        <w:ind w:right="103"/>
        <w:jc w:val="left"/>
      </w:pPr>
      <w:r>
        <w:rPr>
          <w:spacing w:val="-6"/>
        </w:rPr>
        <w:t>性，当所确定的会计要素金额符合企业会计准则的要求、能够取得并可靠计量时，</w:t>
      </w:r>
      <w:r>
        <w:rPr>
          <w:spacing w:val="-114"/>
        </w:rPr>
        <w:t> </w:t>
      </w:r>
      <w:r>
        <w:rPr>
          <w:spacing w:val="-114"/>
        </w:rPr>
      </w:r>
      <w:r>
        <w:rPr/>
        <w:t>可采用重置成本、可变现净值、现值、公允价值计量。</w:t>
      </w:r>
    </w:p>
    <w:p>
      <w:pPr>
        <w:tabs>
          <w:tab w:pos="1397" w:val="left" w:leader="none"/>
        </w:tabs>
        <w:spacing w:line="295" w:lineRule="auto" w:before="74"/>
        <w:ind w:left="617" w:right="227" w:firstLine="2"/>
        <w:jc w:val="left"/>
        <w:rPr>
          <w:rFonts w:ascii="宋体" w:hAnsi="宋体" w:cs="宋体" w:eastAsia="宋体" w:hint="default"/>
          <w:sz w:val="24"/>
          <w:szCs w:val="24"/>
        </w:rPr>
      </w:pPr>
      <w:r>
        <w:rPr>
          <w:rFonts w:ascii="Microsoft JhengHei" w:hAnsi="Microsoft JhengHei" w:cs="Microsoft JhengHei" w:eastAsia="Microsoft JhengHei" w:hint="default"/>
          <w:b/>
          <w:bCs/>
          <w:w w:val="90"/>
          <w:sz w:val="24"/>
          <w:szCs w:val="24"/>
        </w:rPr>
        <w:t>4、</w:t>
        <w:tab/>
      </w:r>
      <w:r>
        <w:rPr>
          <w:rFonts w:ascii="Microsoft JhengHei" w:hAnsi="Microsoft JhengHei" w:cs="Microsoft JhengHei" w:eastAsia="Microsoft JhengHei" w:hint="default"/>
          <w:b/>
          <w:bCs/>
          <w:sz w:val="24"/>
          <w:szCs w:val="24"/>
        </w:rPr>
        <w:t>现金等价物的确定标准</w:t>
      </w:r>
      <w:r>
        <w:rPr>
          <w:rFonts w:ascii="Microsoft JhengHei" w:hAnsi="Microsoft JhengHei" w:cs="Microsoft JhengHei" w:eastAsia="Microsoft JhengHei" w:hint="default"/>
          <w:b/>
          <w:bCs/>
          <w:sz w:val="24"/>
          <w:szCs w:val="24"/>
        </w:rPr>
        <w:t> </w:t>
      </w:r>
      <w:r>
        <w:rPr>
          <w:rFonts w:ascii="宋体" w:hAnsi="宋体" w:cs="宋体" w:eastAsia="宋体" w:hint="default"/>
          <w:spacing w:val="4"/>
          <w:sz w:val="24"/>
          <w:szCs w:val="24"/>
        </w:rPr>
        <w:t>本公司现金等价物指公司持有的期限短（一般指从购买日起，三个月内到</w:t>
      </w:r>
      <w:r>
        <w:rPr>
          <w:rFonts w:ascii="宋体" w:hAnsi="宋体" w:cs="宋体" w:eastAsia="宋体" w:hint="default"/>
          <w:sz w:val="24"/>
          <w:szCs w:val="24"/>
        </w:rPr>
      </w:r>
    </w:p>
    <w:p>
      <w:pPr>
        <w:pStyle w:val="BodyText"/>
        <w:spacing w:line="240" w:lineRule="auto" w:before="71"/>
        <w:ind w:right="0"/>
        <w:jc w:val="both"/>
      </w:pPr>
      <w:r>
        <w:rPr/>
        <w:t>期</w:t>
      </w:r>
      <w:r>
        <w:rPr>
          <w:spacing w:val="-120"/>
        </w:rPr>
        <w:t>）</w:t>
      </w:r>
      <w:r>
        <w:rPr/>
        <w:t>、流动性强、易于转换为已知金额现金、价值变动风险很小的投资。</w:t>
      </w:r>
    </w:p>
    <w:p>
      <w:pPr>
        <w:pStyle w:val="Heading3"/>
        <w:tabs>
          <w:tab w:pos="1397" w:val="left" w:leader="none"/>
        </w:tabs>
        <w:spacing w:line="240" w:lineRule="auto" w:before="170"/>
        <w:ind w:right="227"/>
        <w:jc w:val="left"/>
        <w:rPr>
          <w:b w:val="0"/>
          <w:bCs w:val="0"/>
        </w:rPr>
      </w:pPr>
      <w:r>
        <w:rPr>
          <w:w w:val="90"/>
        </w:rPr>
        <w:t>5、</w:t>
        <w:tab/>
      </w:r>
      <w:r>
        <w:rPr/>
        <w:t>外币业务</w:t>
      </w:r>
      <w:r>
        <w:rPr>
          <w:b w:val="0"/>
          <w:bCs w:val="0"/>
        </w:rPr>
      </w:r>
    </w:p>
    <w:p>
      <w:pPr>
        <w:pStyle w:val="BodyText"/>
        <w:spacing w:line="336" w:lineRule="auto" w:before="98"/>
        <w:ind w:left="617" w:right="226"/>
        <w:jc w:val="left"/>
      </w:pPr>
      <w:r>
        <w:rPr/>
        <w:t>（1）发生外币交易时的折算方法 </w:t>
      </w:r>
      <w:r>
        <w:rPr>
          <w:spacing w:val="-3"/>
        </w:rPr>
        <w:t>本公司发生的外币交易在初始确认时，按交易日的即期汇率折算为人民币金</w:t>
      </w:r>
    </w:p>
    <w:p>
      <w:pPr>
        <w:pStyle w:val="BodyText"/>
        <w:spacing w:line="240" w:lineRule="auto"/>
        <w:ind w:right="0"/>
        <w:jc w:val="both"/>
      </w:pPr>
      <w:r>
        <w:rPr>
          <w:spacing w:val="-3"/>
        </w:rPr>
        <w:t>额，但公司发生的外币兑换业务或涉及外币兑换的交易事项，按照实际采用的汇</w:t>
      </w:r>
    </w:p>
    <w:p>
      <w:pPr>
        <w:spacing w:after="0" w:line="240" w:lineRule="auto"/>
        <w:jc w:val="both"/>
        <w:sectPr>
          <w:pgSz w:w="11910" w:h="16840"/>
          <w:pgMar w:header="840" w:footer="1712" w:top="1160" w:bottom="1900" w:left="1660" w:right="1560"/>
        </w:sectPr>
      </w:pPr>
    </w:p>
    <w:p>
      <w:pPr>
        <w:pStyle w:val="BodyText"/>
        <w:spacing w:line="240" w:lineRule="auto" w:before="71"/>
        <w:ind w:right="0"/>
        <w:jc w:val="both"/>
      </w:pPr>
      <w:r>
        <w:rPr/>
        <w:t>率折算为人民币金额。</w:t>
      </w:r>
    </w:p>
    <w:p>
      <w:pPr>
        <w:pStyle w:val="BodyText"/>
        <w:spacing w:line="336" w:lineRule="auto" w:before="126"/>
        <w:ind w:left="617" w:right="186"/>
        <w:jc w:val="left"/>
      </w:pPr>
      <w:r>
        <w:rPr/>
        <w:t>（2）在资产负债表日对外币货币性项目和外币非货币性项目的处理方法 </w:t>
      </w:r>
      <w:r>
        <w:rPr>
          <w:spacing w:val="-3"/>
        </w:rPr>
        <w:t>外币货币性项目，采用资产负债表日即期汇率折算。因资产负债表日即期汇</w:t>
      </w:r>
    </w:p>
    <w:p>
      <w:pPr>
        <w:pStyle w:val="BodyText"/>
        <w:spacing w:line="336" w:lineRule="auto"/>
        <w:ind w:right="191"/>
        <w:jc w:val="both"/>
      </w:pPr>
      <w:r>
        <w:rPr>
          <w:spacing w:val="-3"/>
        </w:rPr>
        <w:t>率与初始确认时或者前一资产负债表日即期汇率不同而产生的汇兑差额，除了按</w:t>
      </w:r>
      <w:r>
        <w:rPr>
          <w:spacing w:val="-103"/>
        </w:rPr>
        <w:t> </w:t>
      </w:r>
      <w:r>
        <w:rPr>
          <w:spacing w:val="-103"/>
        </w:rPr>
      </w:r>
      <w:r>
        <w:rPr>
          <w:spacing w:val="-4"/>
        </w:rPr>
        <w:t>照《企业会计准则第 </w:t>
      </w:r>
      <w:r>
        <w:rPr/>
        <w:t>17</w:t>
      </w:r>
      <w:r>
        <w:rPr>
          <w:spacing w:val="-94"/>
        </w:rPr>
        <w:t> </w:t>
      </w:r>
      <w:r>
        <w:rPr>
          <w:spacing w:val="-3"/>
        </w:rPr>
        <w:t>号-借款费用》的规定，与购建或生产符合资本化条件的</w:t>
      </w:r>
      <w:r>
        <w:rPr/>
        <w:t> 资产相关的外币借款产生的汇兑差额予以资本化外，计入当期损益。</w:t>
      </w:r>
    </w:p>
    <w:p>
      <w:pPr>
        <w:pStyle w:val="BodyText"/>
        <w:spacing w:line="336" w:lineRule="auto"/>
        <w:ind w:right="87" w:firstLine="480"/>
        <w:jc w:val="left"/>
      </w:pPr>
      <w:r>
        <w:rPr/>
        <w:t>以历史成本计量的外币非货币性项目，仍采用交易发生日的即期汇率折算， 不改变其记账本位币金额。</w:t>
      </w:r>
    </w:p>
    <w:p>
      <w:pPr>
        <w:pStyle w:val="BodyText"/>
        <w:spacing w:line="336" w:lineRule="auto" w:before="29"/>
        <w:ind w:right="187" w:firstLine="480"/>
        <w:jc w:val="both"/>
      </w:pPr>
      <w:r>
        <w:rPr>
          <w:spacing w:val="4"/>
        </w:rPr>
        <w:t>以公允价值计量的外币非货币性项目，采用公允价值确定日的即期汇率折 </w:t>
      </w:r>
      <w:r>
        <w:rPr>
          <w:spacing w:val="-3"/>
        </w:rPr>
        <w:t>算，折算后记账本位币金额与原记账本位币金额的差额，作为公允价值变动（含</w:t>
      </w:r>
      <w:r>
        <w:rPr>
          <w:spacing w:val="-102"/>
        </w:rPr>
        <w:t> </w:t>
      </w:r>
      <w:r>
        <w:rPr>
          <w:spacing w:val="-102"/>
        </w:rPr>
      </w:r>
      <w:r>
        <w:rPr/>
        <w:t>汇率变动）处理，计入当期损益。</w:t>
      </w:r>
    </w:p>
    <w:p>
      <w:pPr>
        <w:pStyle w:val="BodyText"/>
        <w:spacing w:line="336" w:lineRule="auto" w:before="29"/>
        <w:ind w:right="87" w:firstLine="480"/>
        <w:jc w:val="left"/>
      </w:pPr>
      <w:r>
        <w:rPr/>
        <w:t>2006</w:t>
      </w:r>
      <w:r>
        <w:rPr>
          <w:spacing w:val="-88"/>
        </w:rPr>
        <w:t> </w:t>
      </w:r>
      <w:r>
        <w:rPr/>
        <w:t>年度本公司对涉及外币的经济业务,采用业务发生日中国人民银行公布</w:t>
      </w:r>
      <w:r>
        <w:rPr/>
        <w:t> </w:t>
      </w:r>
      <w:r>
        <w:rPr>
          <w:spacing w:val="-3"/>
        </w:rPr>
        <w:t>的市场汇价(中间价)折合为人民币记账，期末对外币账户的外币余额按期末市场</w:t>
      </w:r>
      <w:r>
        <w:rPr>
          <w:spacing w:val="-100"/>
        </w:rPr>
        <w:t> </w:t>
      </w:r>
      <w:r>
        <w:rPr>
          <w:spacing w:val="-100"/>
        </w:rPr>
      </w:r>
      <w:r>
        <w:rPr>
          <w:spacing w:val="-3"/>
        </w:rPr>
        <w:t>汇价(中间价)进行调整，按期末市场汇价(中间价)折合的人民币金额与账面人民</w:t>
      </w:r>
      <w:r>
        <w:rPr>
          <w:spacing w:val="-97"/>
        </w:rPr>
        <w:t> </w:t>
      </w:r>
      <w:r>
        <w:rPr>
          <w:spacing w:val="-97"/>
        </w:rPr>
      </w:r>
      <w:r>
        <w:rPr/>
        <w:t>币金额之间的差额,作为汇兑损益处理。其中属于与购建固定资产有关借款产生</w:t>
      </w:r>
      <w:r>
        <w:rPr>
          <w:spacing w:val="-88"/>
        </w:rPr>
        <w:t> </w:t>
      </w:r>
      <w:r>
        <w:rPr>
          <w:spacing w:val="-88"/>
        </w:rPr>
      </w:r>
      <w:r>
        <w:rPr/>
        <w:t>的汇兑损益，按照借款费用资本化的原则进行处理，属于筹建期间的汇兑损益，</w:t>
      </w:r>
      <w:r>
        <w:rPr/>
        <w:t> 计入长期待摊费用；除上述情况以外发生的汇兑损益计入当期财务费用。</w:t>
      </w:r>
    </w:p>
    <w:p>
      <w:pPr>
        <w:pStyle w:val="BodyText"/>
        <w:spacing w:line="240" w:lineRule="auto" w:before="29"/>
        <w:ind w:left="617" w:right="87"/>
        <w:jc w:val="left"/>
      </w:pPr>
      <w:r>
        <w:rPr/>
        <w:t>（3）外币财务报表的折算方法</w:t>
      </w:r>
    </w:p>
    <w:p>
      <w:pPr>
        <w:spacing w:line="384" w:lineRule="auto" w:before="161"/>
        <w:ind w:left="557" w:right="87" w:firstLine="420"/>
        <w:jc w:val="left"/>
        <w:rPr>
          <w:rFonts w:ascii="宋体" w:hAnsi="宋体" w:cs="宋体" w:eastAsia="宋体" w:hint="default"/>
          <w:sz w:val="21"/>
          <w:szCs w:val="21"/>
        </w:rPr>
      </w:pPr>
      <w:r>
        <w:rPr>
          <w:rFonts w:ascii="宋体" w:hAnsi="宋体" w:cs="宋体" w:eastAsia="宋体" w:hint="default"/>
          <w:spacing w:val="3"/>
          <w:sz w:val="21"/>
          <w:szCs w:val="21"/>
        </w:rPr>
        <w:t>本公司按照以下规定，将以外币表示的财务报表折算为人民币金额表示的财务报 </w:t>
      </w:r>
      <w:r>
        <w:rPr>
          <w:rFonts w:ascii="宋体" w:hAnsi="宋体" w:cs="宋体" w:eastAsia="宋体" w:hint="default"/>
          <w:sz w:val="21"/>
          <w:szCs w:val="21"/>
        </w:rPr>
        <w:t>表。</w:t>
      </w:r>
    </w:p>
    <w:p>
      <w:pPr>
        <w:pStyle w:val="BodyText"/>
        <w:spacing w:line="336" w:lineRule="auto" w:before="123"/>
        <w:ind w:right="87" w:firstLine="480"/>
        <w:jc w:val="left"/>
      </w:pPr>
      <w:r>
        <w:rPr>
          <w:spacing w:val="-3"/>
        </w:rPr>
        <w:t>资产负债表中的资产和负债项目，采用资产负债表日的即期汇率折算；所有</w:t>
      </w:r>
      <w:r>
        <w:rPr/>
        <w:t> 者权益类项目除“未分配利润”项目外，其它项目采用发生时的即期汇率折算。</w:t>
      </w:r>
    </w:p>
    <w:p>
      <w:pPr>
        <w:pStyle w:val="BodyText"/>
        <w:spacing w:line="336" w:lineRule="auto"/>
        <w:ind w:left="617" w:right="186"/>
        <w:jc w:val="left"/>
      </w:pPr>
      <w:r>
        <w:rPr/>
        <w:t>利润表中的收入和费用项目，采用交易发生日的即期汇率折算。 </w:t>
      </w:r>
      <w:r>
        <w:rPr>
          <w:spacing w:val="-3"/>
        </w:rPr>
        <w:t>按照上述方法折算产生的外币财务报表折算差额，在资产负债表中所有者权</w:t>
      </w:r>
    </w:p>
    <w:p>
      <w:pPr>
        <w:pStyle w:val="BodyText"/>
        <w:spacing w:line="336" w:lineRule="auto"/>
        <w:ind w:left="617" w:right="186" w:hanging="480"/>
        <w:jc w:val="left"/>
      </w:pPr>
      <w:r>
        <w:rPr/>
        <w:t>益项目下单独列示。 </w:t>
      </w:r>
      <w:r>
        <w:rPr>
          <w:spacing w:val="-3"/>
        </w:rPr>
        <w:t>以外币表示的现金流量表采用现金流量发生日的即期汇率折算。汇率变动对</w:t>
      </w:r>
    </w:p>
    <w:p>
      <w:pPr>
        <w:pStyle w:val="BodyText"/>
        <w:spacing w:line="240" w:lineRule="auto" w:before="29"/>
        <w:ind w:right="0"/>
        <w:jc w:val="both"/>
      </w:pPr>
      <w:r>
        <w:rPr/>
        <w:t>现金的影响额作为调节项目，在现金流量表中单独列报。</w:t>
      </w:r>
    </w:p>
    <w:p>
      <w:pPr>
        <w:pStyle w:val="Heading3"/>
        <w:tabs>
          <w:tab w:pos="1397" w:val="left" w:leader="none"/>
        </w:tabs>
        <w:spacing w:line="240" w:lineRule="auto" w:before="170"/>
        <w:ind w:right="87"/>
        <w:jc w:val="left"/>
        <w:rPr>
          <w:b w:val="0"/>
          <w:bCs w:val="0"/>
        </w:rPr>
      </w:pPr>
      <w:r>
        <w:rPr>
          <w:w w:val="90"/>
        </w:rPr>
        <w:t>6、</w:t>
        <w:tab/>
      </w:r>
      <w:r>
        <w:rPr/>
        <w:t>金融资产、金融负债</w:t>
      </w:r>
      <w:r>
        <w:rPr>
          <w:b w:val="0"/>
          <w:bCs w:val="0"/>
        </w:rPr>
      </w:r>
    </w:p>
    <w:p>
      <w:pPr>
        <w:pStyle w:val="BodyText"/>
        <w:spacing w:line="336" w:lineRule="auto" w:before="99"/>
        <w:ind w:left="617" w:right="186"/>
        <w:jc w:val="left"/>
      </w:pPr>
      <w:r>
        <w:rPr/>
        <w:t>（1）金融工具的确认依据 </w:t>
      </w:r>
      <w:r>
        <w:rPr>
          <w:spacing w:val="-3"/>
        </w:rPr>
        <w:t>金融工具的确认依据为：当成为金融工具合同的一方时，公司确认与之相关</w:t>
      </w:r>
    </w:p>
    <w:p>
      <w:pPr>
        <w:spacing w:after="0" w:line="336" w:lineRule="auto"/>
        <w:jc w:val="left"/>
        <w:sectPr>
          <w:pgSz w:w="11910" w:h="16840"/>
          <w:pgMar w:header="840" w:footer="1712" w:top="1160" w:bottom="1900" w:left="1660" w:right="1600"/>
        </w:sectPr>
      </w:pPr>
    </w:p>
    <w:p>
      <w:pPr>
        <w:pStyle w:val="BodyText"/>
        <w:spacing w:line="240" w:lineRule="auto" w:before="71"/>
        <w:ind w:right="0"/>
        <w:jc w:val="both"/>
      </w:pPr>
      <w:r>
        <w:rPr/>
        <w:t>的金融资产或金融负债。</w:t>
      </w:r>
    </w:p>
    <w:p>
      <w:pPr>
        <w:pStyle w:val="BodyText"/>
        <w:spacing w:line="336" w:lineRule="auto" w:before="126"/>
        <w:ind w:left="617" w:right="186"/>
        <w:jc w:val="left"/>
      </w:pPr>
      <w:r>
        <w:rPr/>
        <w:t>（2）金融资产和金融负债的分类 </w:t>
      </w:r>
      <w:r>
        <w:rPr>
          <w:spacing w:val="-3"/>
        </w:rPr>
        <w:t>按照投资目的和经济实质本公司将拥有的金融资产划分为四类：①以公允价</w:t>
      </w:r>
    </w:p>
    <w:p>
      <w:pPr>
        <w:pStyle w:val="BodyText"/>
        <w:spacing w:line="336" w:lineRule="auto"/>
        <w:ind w:right="192"/>
        <w:jc w:val="both"/>
      </w:pPr>
      <w:r>
        <w:rPr>
          <w:spacing w:val="-3"/>
        </w:rPr>
        <w:t>值计量且其变动计入当期损益的金融资产，包括交易性金融资产和指定为以公允</w:t>
      </w:r>
      <w:r>
        <w:rPr>
          <w:spacing w:val="-103"/>
        </w:rPr>
        <w:t> </w:t>
      </w:r>
      <w:r>
        <w:rPr>
          <w:spacing w:val="-103"/>
        </w:rPr>
      </w:r>
      <w:r>
        <w:rPr>
          <w:spacing w:val="-3"/>
        </w:rPr>
        <w:t>价值计量且其变动计入当期损益的金融资产；②持有至到期投资；③贷款和应收</w:t>
      </w:r>
      <w:r>
        <w:rPr>
          <w:spacing w:val="-105"/>
        </w:rPr>
        <w:t> </w:t>
      </w:r>
      <w:r>
        <w:rPr>
          <w:spacing w:val="-105"/>
        </w:rPr>
      </w:r>
      <w:r>
        <w:rPr/>
        <w:t>款项；④可供出售金融资产。</w:t>
      </w:r>
    </w:p>
    <w:p>
      <w:pPr>
        <w:pStyle w:val="BodyText"/>
        <w:spacing w:line="336" w:lineRule="auto"/>
        <w:ind w:right="192" w:firstLine="480"/>
        <w:jc w:val="both"/>
      </w:pPr>
      <w:r>
        <w:rPr>
          <w:spacing w:val="-3"/>
        </w:rPr>
        <w:t>按照经济实质将承担的金融负债划分为两类：①以公允价值计量且其变动计</w:t>
      </w:r>
      <w:r>
        <w:rPr/>
        <w:t> </w:t>
      </w:r>
      <w:r>
        <w:rPr>
          <w:spacing w:val="-3"/>
        </w:rPr>
        <w:t>入当期损益的金融负债，包括交易性金融负债和指定为以公允价值计量且其变动</w:t>
      </w:r>
      <w:r>
        <w:rPr>
          <w:spacing w:val="-103"/>
        </w:rPr>
        <w:t> </w:t>
      </w:r>
      <w:r>
        <w:rPr>
          <w:spacing w:val="-103"/>
        </w:rPr>
      </w:r>
      <w:r>
        <w:rPr/>
        <w:t>计入当期损益的金融负债；②其它金融负债。</w:t>
      </w:r>
    </w:p>
    <w:p>
      <w:pPr>
        <w:pStyle w:val="BodyText"/>
        <w:spacing w:line="336" w:lineRule="auto"/>
        <w:ind w:left="617" w:right="186"/>
        <w:jc w:val="left"/>
      </w:pPr>
      <w:r>
        <w:rPr/>
        <w:t>（3）金融资产和金融负债的计量 </w:t>
      </w:r>
      <w:r>
        <w:rPr>
          <w:spacing w:val="-3"/>
        </w:rPr>
        <w:t>本公司初始确认金融资产或金融负债，按照公允价值计量。对于以公允价值</w:t>
      </w:r>
    </w:p>
    <w:p>
      <w:pPr>
        <w:pStyle w:val="BodyText"/>
        <w:spacing w:line="336" w:lineRule="auto" w:before="29"/>
        <w:ind w:right="104"/>
        <w:jc w:val="both"/>
      </w:pPr>
      <w:r>
        <w:rPr>
          <w:spacing w:val="-3"/>
        </w:rPr>
        <w:t>计量且其变动计入当期损益的金融资产或金融负债，相关交易费用直接计入当期</w:t>
      </w:r>
      <w:r>
        <w:rPr>
          <w:spacing w:val="-103"/>
        </w:rPr>
        <w:t> </w:t>
      </w:r>
      <w:r>
        <w:rPr>
          <w:spacing w:val="-103"/>
        </w:rPr>
      </w:r>
      <w:r>
        <w:rPr/>
        <w:t>损益；对于其它类别的金融资产或金融负债，相关交易费用计入初始确认金额。</w:t>
      </w:r>
    </w:p>
    <w:p>
      <w:pPr>
        <w:pStyle w:val="BodyText"/>
        <w:spacing w:line="240" w:lineRule="auto"/>
        <w:ind w:left="617" w:right="87"/>
        <w:jc w:val="left"/>
      </w:pPr>
      <w:r>
        <w:rPr/>
        <w:t>本公司对金融资产和金融负债的后续计量主要方法</w:t>
      </w:r>
    </w:p>
    <w:p>
      <w:pPr>
        <w:pStyle w:val="BodyText"/>
        <w:spacing w:line="336" w:lineRule="auto" w:before="125"/>
        <w:ind w:right="192" w:firstLine="480"/>
        <w:jc w:val="both"/>
      </w:pPr>
      <w:r>
        <w:rPr>
          <w:spacing w:val="-3"/>
        </w:rPr>
        <w:t>①以公允价值计量且其变动计入当期损益的金融资产和金融负债，按照公允</w:t>
      </w:r>
      <w:r>
        <w:rPr/>
        <w:t> 价值进行后续计量，公允价值变动计入当期损益。</w:t>
      </w:r>
    </w:p>
    <w:p>
      <w:pPr>
        <w:pStyle w:val="BodyText"/>
        <w:spacing w:line="240" w:lineRule="auto"/>
        <w:ind w:left="617" w:right="87"/>
        <w:jc w:val="left"/>
      </w:pPr>
      <w:r>
        <w:rPr/>
        <w:t>②持有至到期投资和应收款项，采用实际利率法，按摊余成本计量。</w:t>
      </w:r>
    </w:p>
    <w:p>
      <w:pPr>
        <w:pStyle w:val="BodyText"/>
        <w:spacing w:line="336" w:lineRule="auto" w:before="125"/>
        <w:ind w:right="191" w:firstLine="480"/>
        <w:jc w:val="both"/>
      </w:pPr>
      <w:r>
        <w:rPr>
          <w:spacing w:val="-3"/>
        </w:rPr>
        <w:t>③可供出售金融资产按照公允价值进行后续计量，公允价值变动形成的利得</w:t>
      </w:r>
      <w:r>
        <w:rPr/>
        <w:t> </w:t>
      </w:r>
      <w:r>
        <w:rPr>
          <w:spacing w:val="-3"/>
        </w:rPr>
        <w:t>或损失，除减值损失和外币货币性金融资产形成的汇兑损益外，直接计入所有者</w:t>
      </w:r>
      <w:r>
        <w:rPr>
          <w:spacing w:val="-105"/>
        </w:rPr>
        <w:t> </w:t>
      </w:r>
      <w:r>
        <w:rPr>
          <w:spacing w:val="-105"/>
        </w:rPr>
      </w:r>
      <w:r>
        <w:rPr>
          <w:spacing w:val="-3"/>
        </w:rPr>
        <w:t>权益，在该金融资产终止确认时转出，计入当期损益。可供出售外币货币性金融</w:t>
      </w:r>
      <w:r>
        <w:rPr>
          <w:spacing w:val="-102"/>
        </w:rPr>
        <w:t> </w:t>
      </w:r>
      <w:r>
        <w:rPr>
          <w:spacing w:val="-102"/>
        </w:rPr>
      </w:r>
      <w:r>
        <w:rPr>
          <w:spacing w:val="-3"/>
        </w:rPr>
        <w:t>资产形成的汇兑损益，计入当期损益。采用实际利率法计算的可供出售金融资产</w:t>
      </w:r>
      <w:r>
        <w:rPr>
          <w:spacing w:val="-105"/>
        </w:rPr>
        <w:t> </w:t>
      </w:r>
      <w:r>
        <w:rPr>
          <w:spacing w:val="-105"/>
        </w:rPr>
      </w:r>
      <w:r>
        <w:rPr>
          <w:spacing w:val="-3"/>
        </w:rPr>
        <w:t>的利息，计入当期损益；可供出售权益工具投资的现金股利，在被投资单位宣告</w:t>
      </w:r>
      <w:r>
        <w:rPr>
          <w:spacing w:val="-102"/>
        </w:rPr>
        <w:t> </w:t>
      </w:r>
      <w:r>
        <w:rPr>
          <w:spacing w:val="-102"/>
        </w:rPr>
      </w:r>
      <w:r>
        <w:rPr/>
        <w:t>发放股利时计入当期损益。</w:t>
      </w:r>
    </w:p>
    <w:p>
      <w:pPr>
        <w:pStyle w:val="BodyText"/>
        <w:spacing w:line="336" w:lineRule="auto" w:before="29"/>
        <w:ind w:right="187" w:firstLine="480"/>
        <w:jc w:val="both"/>
      </w:pPr>
      <w:r>
        <w:rPr>
          <w:spacing w:val="-3"/>
        </w:rPr>
        <w:t>④在活跃市场中没有报价且其公允价值不能可靠计量的权益工具投资，以及</w:t>
      </w:r>
      <w:r>
        <w:rPr/>
        <w:t> </w:t>
      </w:r>
      <w:r>
        <w:rPr>
          <w:spacing w:val="3"/>
        </w:rPr>
        <w:t>与该权益工具挂钩并须通过交付该权益工具结算的衍生金融资产，按照成本计</w:t>
      </w:r>
      <w:r>
        <w:rPr>
          <w:spacing w:val="-88"/>
        </w:rPr>
        <w:t> </w:t>
      </w:r>
      <w:r>
        <w:rPr>
          <w:spacing w:val="-88"/>
        </w:rPr>
      </w:r>
      <w:r>
        <w:rPr/>
        <w:t>量。</w:t>
      </w:r>
    </w:p>
    <w:p>
      <w:pPr>
        <w:pStyle w:val="BodyText"/>
        <w:spacing w:line="336" w:lineRule="auto" w:before="29"/>
        <w:ind w:left="617" w:right="189"/>
        <w:jc w:val="left"/>
      </w:pPr>
      <w:r>
        <w:rPr/>
        <w:t>⑤其它金融负债按摊余成本进行后续计量。但是下列情况除外： </w:t>
      </w:r>
      <w:r>
        <w:rPr>
          <w:spacing w:val="-3"/>
        </w:rPr>
        <w:t>A.与在活跃市场中没有报价，公允价值不能可靠计量的权益工具挂钩并须通</w:t>
      </w:r>
    </w:p>
    <w:p>
      <w:pPr>
        <w:pStyle w:val="BodyText"/>
        <w:spacing w:line="336" w:lineRule="auto"/>
        <w:ind w:left="617" w:right="87" w:hanging="480"/>
        <w:jc w:val="left"/>
      </w:pPr>
      <w:r>
        <w:rPr/>
        <w:t>过交付该权益工具结算的衍生金融负债，按照成本计量。 </w:t>
      </w:r>
      <w:r>
        <w:rPr>
          <w:spacing w:val="3"/>
        </w:rPr>
        <w:t>B.不属于指定为以公允价值计量且其变动计入当期损益的金融负债的财务</w:t>
      </w:r>
      <w:r>
        <w:rPr/>
      </w:r>
    </w:p>
    <w:p>
      <w:pPr>
        <w:pStyle w:val="BodyText"/>
        <w:spacing w:line="240" w:lineRule="auto"/>
        <w:ind w:right="0"/>
        <w:jc w:val="both"/>
      </w:pPr>
      <w:r>
        <w:rPr>
          <w:spacing w:val="-3"/>
        </w:rPr>
        <w:t>担保合同，或没有指定为以公允价值计量且其变动计入当期损益并将以低于市场</w:t>
      </w:r>
    </w:p>
    <w:p>
      <w:pPr>
        <w:spacing w:after="0" w:line="240" w:lineRule="auto"/>
        <w:jc w:val="both"/>
        <w:sectPr>
          <w:pgSz w:w="11910" w:h="16840"/>
          <w:pgMar w:header="840" w:footer="1712" w:top="1160" w:bottom="1900" w:left="1660" w:right="1600"/>
        </w:sectPr>
      </w:pPr>
    </w:p>
    <w:p>
      <w:pPr>
        <w:pStyle w:val="BodyText"/>
        <w:spacing w:line="336" w:lineRule="auto" w:before="71"/>
        <w:ind w:right="232"/>
        <w:jc w:val="both"/>
      </w:pPr>
      <w:r>
        <w:rPr>
          <w:spacing w:val="-3"/>
        </w:rPr>
        <w:t>利率贷款的贷款承诺，在初始确认后按照下列两项金额之中的较高者进行后续计</w:t>
      </w:r>
      <w:r>
        <w:rPr>
          <w:spacing w:val="-103"/>
        </w:rPr>
        <w:t> </w:t>
      </w:r>
      <w:r>
        <w:rPr>
          <w:spacing w:val="-103"/>
        </w:rPr>
      </w:r>
      <w:r>
        <w:rPr/>
        <w:t>量：</w:t>
      </w:r>
    </w:p>
    <w:p>
      <w:pPr>
        <w:pStyle w:val="BodyText"/>
        <w:spacing w:line="240" w:lineRule="auto" w:before="29"/>
        <w:ind w:left="617" w:right="227"/>
        <w:jc w:val="left"/>
      </w:pPr>
      <w:r>
        <w:rPr/>
        <w:t>a.《企业会计准则第</w:t>
      </w:r>
      <w:r>
        <w:rPr>
          <w:spacing w:val="-60"/>
        </w:rPr>
        <w:t> </w:t>
      </w:r>
      <w:r>
        <w:rPr/>
        <w:t>13</w:t>
      </w:r>
      <w:r>
        <w:rPr>
          <w:spacing w:val="-60"/>
        </w:rPr>
        <w:t> </w:t>
      </w:r>
      <w:r>
        <w:rPr/>
        <w:t>号-或有事项》确定的金额；</w:t>
      </w:r>
    </w:p>
    <w:p>
      <w:pPr>
        <w:pStyle w:val="BodyText"/>
        <w:spacing w:line="336" w:lineRule="auto" w:before="126"/>
        <w:ind w:right="219" w:firstLine="480"/>
        <w:jc w:val="left"/>
      </w:pPr>
      <w:r>
        <w:rPr>
          <w:spacing w:val="-3"/>
        </w:rPr>
        <w:t>b.初始确认金额扣除按照《企业会计准则第</w:t>
      </w:r>
      <w:r>
        <w:rPr>
          <w:spacing w:val="-50"/>
        </w:rPr>
        <w:t> </w:t>
      </w:r>
      <w:r>
        <w:rPr/>
        <w:t>14</w:t>
      </w:r>
      <w:r>
        <w:rPr>
          <w:spacing w:val="-50"/>
        </w:rPr>
        <w:t> </w:t>
      </w:r>
      <w:r>
        <w:rPr>
          <w:spacing w:val="-4"/>
        </w:rPr>
        <w:t>号-收入》的原则确定的累计</w:t>
      </w:r>
      <w:r>
        <w:rPr/>
        <w:t> 摊销额后的余额。</w:t>
      </w:r>
    </w:p>
    <w:p>
      <w:pPr>
        <w:pStyle w:val="BodyText"/>
        <w:spacing w:line="240" w:lineRule="auto" w:before="29"/>
        <w:ind w:left="617" w:right="227"/>
        <w:jc w:val="left"/>
      </w:pPr>
      <w:r>
        <w:rPr/>
        <w:t>（4）主要的金融资产公允价值和主要的金融负债公允价值的确定方法</w:t>
      </w:r>
    </w:p>
    <w:p>
      <w:pPr>
        <w:pStyle w:val="BodyText"/>
        <w:spacing w:line="336" w:lineRule="auto" w:before="126"/>
        <w:ind w:right="367" w:firstLine="480"/>
        <w:jc w:val="left"/>
      </w:pPr>
      <w:r>
        <w:rPr/>
        <w:t>①存在活跃市场的金融资产或金融负债，以活跃市场中的报价确定公允价 值。报价按照以下原则确定：</w:t>
      </w:r>
    </w:p>
    <w:p>
      <w:pPr>
        <w:pStyle w:val="BodyText"/>
        <w:spacing w:line="336" w:lineRule="auto" w:before="29"/>
        <w:ind w:right="233" w:firstLine="480"/>
        <w:jc w:val="both"/>
      </w:pPr>
      <w:r>
        <w:rPr>
          <w:spacing w:val="-3"/>
        </w:rPr>
        <w:t>A.在活跃市场上，公司已持有的金融资产或拟承担的金融负债的报价，为市</w:t>
      </w:r>
      <w:r>
        <w:rPr/>
        <w:t> </w:t>
      </w:r>
      <w:r>
        <w:rPr>
          <w:spacing w:val="-3"/>
        </w:rPr>
        <w:t>场中的现行出价；拟购入的金融资产或已承担的金融负债的报价，为市场中的现</w:t>
      </w:r>
      <w:r>
        <w:rPr>
          <w:spacing w:val="-105"/>
        </w:rPr>
        <w:t> </w:t>
      </w:r>
      <w:r>
        <w:rPr>
          <w:spacing w:val="-105"/>
        </w:rPr>
      </w:r>
      <w:r>
        <w:rPr/>
        <w:t>行要价；</w:t>
      </w:r>
    </w:p>
    <w:p>
      <w:pPr>
        <w:pStyle w:val="BodyText"/>
        <w:spacing w:line="336" w:lineRule="auto" w:before="29"/>
        <w:ind w:right="227" w:firstLine="480"/>
        <w:jc w:val="both"/>
      </w:pPr>
      <w:r>
        <w:rPr>
          <w:spacing w:val="-3"/>
        </w:rPr>
        <w:t>B.金融资产和金融负债没有现行出价或要价，采用最近交易的市场报价或经</w:t>
      </w:r>
      <w:r>
        <w:rPr/>
        <w:t> </w:t>
      </w:r>
      <w:r>
        <w:rPr>
          <w:spacing w:val="3"/>
        </w:rPr>
        <w:t>调整的最近交易的市场报价，除非存在明确的证据表明该市场报价不是公允价</w:t>
      </w:r>
      <w:r>
        <w:rPr>
          <w:spacing w:val="-88"/>
        </w:rPr>
        <w:t> </w:t>
      </w:r>
      <w:r>
        <w:rPr>
          <w:spacing w:val="-88"/>
        </w:rPr>
      </w:r>
      <w:r>
        <w:rPr/>
        <w:t>值。</w:t>
      </w:r>
    </w:p>
    <w:p>
      <w:pPr>
        <w:pStyle w:val="BodyText"/>
        <w:spacing w:line="336" w:lineRule="auto" w:before="29"/>
        <w:ind w:right="226" w:firstLine="480"/>
        <w:jc w:val="left"/>
      </w:pPr>
      <w:r>
        <w:rPr>
          <w:spacing w:val="-3"/>
        </w:rPr>
        <w:t>②金融资产或金融负债不存在活跃市场的，公司采用估值技术确定其公允价</w:t>
      </w:r>
      <w:r>
        <w:rPr/>
        <w:t> 值。</w:t>
      </w:r>
    </w:p>
    <w:p>
      <w:pPr>
        <w:pStyle w:val="BodyText"/>
        <w:spacing w:line="336" w:lineRule="auto"/>
        <w:ind w:left="617" w:right="96"/>
        <w:jc w:val="left"/>
      </w:pPr>
      <w:r>
        <w:rPr/>
        <w:t>（5）金融资产转移的确认和计量 </w:t>
      </w:r>
      <w:r>
        <w:rPr>
          <w:spacing w:val="4"/>
        </w:rPr>
        <w:t>金融资产转移是指公司将金融资产让与或交付给该金融资产发行方以外的</w:t>
      </w:r>
      <w:r>
        <w:rPr/>
      </w:r>
    </w:p>
    <w:p>
      <w:pPr>
        <w:pStyle w:val="BodyText"/>
        <w:spacing w:line="336" w:lineRule="auto"/>
        <w:ind w:right="232"/>
        <w:jc w:val="both"/>
      </w:pPr>
      <w:r>
        <w:rPr>
          <w:spacing w:val="-3"/>
        </w:rPr>
        <w:t>另一方。转移金融资产分为金融资产整体转移和部分转移。金融资产转移包括两</w:t>
      </w:r>
      <w:r>
        <w:rPr>
          <w:spacing w:val="-105"/>
        </w:rPr>
        <w:t> </w:t>
      </w:r>
      <w:r>
        <w:rPr>
          <w:spacing w:val="-105"/>
        </w:rPr>
      </w:r>
      <w:r>
        <w:rPr>
          <w:spacing w:val="-3"/>
        </w:rPr>
        <w:t>种情况：将收取金融资产现金流量的权利转移给另一方或将金融资产转移给另一</w:t>
      </w:r>
      <w:r>
        <w:rPr>
          <w:spacing w:val="-103"/>
        </w:rPr>
        <w:t> </w:t>
      </w:r>
      <w:r>
        <w:rPr>
          <w:spacing w:val="-103"/>
        </w:rPr>
      </w:r>
      <w:r>
        <w:rPr>
          <w:spacing w:val="-3"/>
        </w:rPr>
        <w:t>方，但保留收取金融资产现金流量的权利，并承担将收取的现金流量支付给最终</w:t>
      </w:r>
      <w:r>
        <w:rPr>
          <w:spacing w:val="-105"/>
        </w:rPr>
        <w:t> </w:t>
      </w:r>
      <w:r>
        <w:rPr>
          <w:spacing w:val="-105"/>
        </w:rPr>
      </w:r>
      <w:r>
        <w:rPr/>
        <w:t>收款方的义务。</w:t>
      </w:r>
    </w:p>
    <w:p>
      <w:pPr>
        <w:pStyle w:val="BodyText"/>
        <w:spacing w:line="336" w:lineRule="auto"/>
        <w:ind w:right="127" w:firstLine="480"/>
        <w:jc w:val="left"/>
      </w:pPr>
      <w:r>
        <w:rPr/>
        <w:t>已将整体或部分金融资产所有权上几乎所有的风险和报酬转移给转入方时， </w:t>
      </w:r>
      <w:r>
        <w:rPr>
          <w:spacing w:val="-3"/>
        </w:rPr>
        <w:t>终止确认该整体或部分金融资产，收到的对价与所转移金融资产账面价值的差额</w:t>
      </w:r>
      <w:r>
        <w:rPr>
          <w:spacing w:val="-103"/>
        </w:rPr>
        <w:t> </w:t>
      </w:r>
      <w:r>
        <w:rPr>
          <w:spacing w:val="-103"/>
        </w:rPr>
      </w:r>
      <w:r>
        <w:rPr>
          <w:spacing w:val="-3"/>
        </w:rPr>
        <w:t>确认为当期损益，同时将原在所有者权益中确认的金融资产累计利得或损失转入</w:t>
      </w:r>
      <w:r>
        <w:rPr>
          <w:spacing w:val="-103"/>
        </w:rPr>
        <w:t> </w:t>
      </w:r>
      <w:r>
        <w:rPr>
          <w:spacing w:val="-103"/>
        </w:rPr>
      </w:r>
      <w:r>
        <w:rPr>
          <w:spacing w:val="-3"/>
        </w:rPr>
        <w:t>当期损益；公司保留了所有权上几乎所有的风险和报酬时，继续确认该整体或部</w:t>
      </w:r>
      <w:r>
        <w:rPr>
          <w:spacing w:val="-105"/>
        </w:rPr>
        <w:t> </w:t>
      </w:r>
      <w:r>
        <w:rPr>
          <w:spacing w:val="-105"/>
        </w:rPr>
      </w:r>
      <w:r>
        <w:rPr/>
        <w:t>分金融资产，收到的对价确认为金融负债。</w:t>
      </w:r>
    </w:p>
    <w:p>
      <w:pPr>
        <w:pStyle w:val="BodyText"/>
        <w:spacing w:line="336" w:lineRule="auto"/>
        <w:ind w:right="113" w:firstLine="480"/>
        <w:jc w:val="both"/>
      </w:pPr>
      <w:r>
        <w:rPr>
          <w:spacing w:val="-3"/>
        </w:rPr>
        <w:t>对于既没有转移也没有保留金融资产所有权上几乎所有的风险和报酬，但保</w:t>
      </w:r>
      <w:r>
        <w:rPr/>
        <w:t> </w:t>
      </w:r>
      <w:r>
        <w:rPr>
          <w:spacing w:val="-3"/>
        </w:rPr>
        <w:t>留了对该金融资产控制的，按照其继续涉入所转移金融资产的程度确认有关金融</w:t>
      </w:r>
      <w:r>
        <w:rPr>
          <w:spacing w:val="-103"/>
        </w:rPr>
        <w:t> </w:t>
      </w:r>
      <w:r>
        <w:rPr>
          <w:spacing w:val="-103"/>
        </w:rPr>
      </w:r>
      <w:r>
        <w:rPr>
          <w:spacing w:val="-6"/>
        </w:rPr>
        <w:t>资产，并相应确认有关负债；放弃了对该金融资产控制的按终止确认的原则处理。</w:t>
      </w:r>
    </w:p>
    <w:p>
      <w:pPr>
        <w:pStyle w:val="BodyText"/>
        <w:spacing w:line="240" w:lineRule="auto"/>
        <w:ind w:left="617" w:right="227"/>
        <w:jc w:val="left"/>
      </w:pPr>
      <w:r>
        <w:rPr/>
        <w:t>（6）金融资产减值测试方法和减值准备计提方法</w:t>
      </w:r>
    </w:p>
    <w:p>
      <w:pPr>
        <w:spacing w:after="0" w:line="240" w:lineRule="auto"/>
        <w:jc w:val="left"/>
        <w:sectPr>
          <w:pgSz w:w="11910" w:h="16840"/>
          <w:pgMar w:header="840" w:footer="1712" w:top="1160" w:bottom="1900" w:left="1660" w:right="1560"/>
        </w:sectPr>
      </w:pPr>
    </w:p>
    <w:p>
      <w:pPr>
        <w:pStyle w:val="BodyText"/>
        <w:spacing w:line="336" w:lineRule="auto" w:before="71"/>
        <w:ind w:left="617" w:right="0"/>
        <w:jc w:val="left"/>
      </w:pPr>
      <w:r>
        <w:rPr/>
        <w:t>①金融资产计提减值的范围及减值的客观证据 </w:t>
      </w:r>
      <w:r>
        <w:rPr>
          <w:spacing w:val="4"/>
        </w:rPr>
        <w:t>本公司在资产负债表日对以公允价值计量且其变动计入当期损益的金融资</w:t>
      </w:r>
      <w:r>
        <w:rPr/>
      </w:r>
    </w:p>
    <w:p>
      <w:pPr>
        <w:pStyle w:val="BodyText"/>
        <w:spacing w:line="336" w:lineRule="auto" w:before="29"/>
        <w:ind w:right="0"/>
        <w:jc w:val="left"/>
      </w:pPr>
      <w:r>
        <w:rPr>
          <w:spacing w:val="3"/>
        </w:rPr>
        <w:t>产以外的金融资产的账面价值进行检查，有客观证据表明该金融资产发生减值</w:t>
      </w:r>
      <w:r>
        <w:rPr>
          <w:spacing w:val="-88"/>
        </w:rPr>
        <w:t> </w:t>
      </w:r>
      <w:r>
        <w:rPr>
          <w:spacing w:val="-88"/>
        </w:rPr>
      </w:r>
      <w:r>
        <w:rPr/>
        <w:t>的，计提减值准备。金融资产减值的客观证据主要包括：</w:t>
      </w:r>
    </w:p>
    <w:p>
      <w:pPr>
        <w:pStyle w:val="BodyText"/>
        <w:spacing w:line="336" w:lineRule="auto"/>
        <w:ind w:left="617" w:right="0"/>
        <w:jc w:val="left"/>
      </w:pPr>
      <w:r>
        <w:rPr/>
        <w:t>A.发行方或债务人发生严重财务困难； B.债务人违反了合同条款，如偿付利息或本金发生违约或逾期等； </w:t>
      </w:r>
      <w:r>
        <w:rPr>
          <w:spacing w:val="3"/>
        </w:rPr>
        <w:t>C.本公司出于经济或法律等方面因素的考虑，对发生困难的债务人作出让</w:t>
      </w:r>
      <w:r>
        <w:rPr/>
      </w:r>
    </w:p>
    <w:p>
      <w:pPr>
        <w:pStyle w:val="BodyText"/>
        <w:spacing w:line="240" w:lineRule="auto"/>
        <w:ind w:right="0"/>
        <w:jc w:val="left"/>
      </w:pPr>
      <w:r>
        <w:rPr/>
        <w:t>步；</w:t>
      </w:r>
    </w:p>
    <w:p>
      <w:pPr>
        <w:pStyle w:val="BodyText"/>
        <w:spacing w:line="336" w:lineRule="auto" w:before="125"/>
        <w:ind w:left="617" w:right="149"/>
        <w:jc w:val="left"/>
      </w:pPr>
      <w:r>
        <w:rPr/>
        <w:t>D.债务人持续经营出现不确定性而很可能倒闭或进行其它财务重组； </w:t>
      </w:r>
      <w:r>
        <w:rPr>
          <w:spacing w:val="-3"/>
        </w:rPr>
        <w:t>E.因发行方发生重大财务困难，本公司持有的金融资产无法在活跃市场继续</w:t>
      </w:r>
    </w:p>
    <w:p>
      <w:pPr>
        <w:pStyle w:val="BodyText"/>
        <w:spacing w:line="240" w:lineRule="auto"/>
        <w:ind w:right="0"/>
        <w:jc w:val="left"/>
      </w:pPr>
      <w:r>
        <w:rPr/>
        <w:t>交易；</w:t>
      </w:r>
    </w:p>
    <w:p>
      <w:pPr>
        <w:pStyle w:val="BodyText"/>
        <w:spacing w:line="336" w:lineRule="auto" w:before="125"/>
        <w:ind w:right="152" w:firstLine="480"/>
        <w:jc w:val="both"/>
      </w:pPr>
      <w:r>
        <w:rPr>
          <w:spacing w:val="-3"/>
        </w:rPr>
        <w:t>F.债务人经营所处的技术、市场、经济和法律环境等发生重大不利变化，使</w:t>
      </w:r>
      <w:r>
        <w:rPr/>
        <w:t> 本公司可能无法收回投资成本；</w:t>
      </w:r>
    </w:p>
    <w:p>
      <w:pPr>
        <w:pStyle w:val="BodyText"/>
        <w:spacing w:line="336" w:lineRule="auto"/>
        <w:ind w:left="617" w:right="149"/>
        <w:jc w:val="left"/>
      </w:pPr>
      <w:r>
        <w:rPr/>
        <w:t>G.权益工具投资的公允价值发生严重或非暂时性下跌； </w:t>
      </w:r>
      <w:r>
        <w:rPr>
          <w:spacing w:val="-3"/>
        </w:rPr>
        <w:t>H.虽然无法辨认金融资产组合中的某项资产的现金流量是否已经减少，但本</w:t>
      </w:r>
    </w:p>
    <w:p>
      <w:pPr>
        <w:pStyle w:val="BodyText"/>
        <w:spacing w:line="336" w:lineRule="auto"/>
        <w:ind w:right="0"/>
        <w:jc w:val="left"/>
      </w:pPr>
      <w:r>
        <w:rPr>
          <w:spacing w:val="-3"/>
        </w:rPr>
        <w:t>公司根据其公开的资料对其进行总体评价后发现，该组金融资产自初始确认以来</w:t>
      </w:r>
      <w:r>
        <w:rPr>
          <w:spacing w:val="-103"/>
        </w:rPr>
        <w:t> </w:t>
      </w:r>
      <w:r>
        <w:rPr>
          <w:spacing w:val="-103"/>
        </w:rPr>
      </w:r>
      <w:r>
        <w:rPr/>
        <w:t>的预计未来现金流量确已减少且可计量；</w:t>
      </w:r>
    </w:p>
    <w:p>
      <w:pPr>
        <w:pStyle w:val="BodyText"/>
        <w:spacing w:line="240" w:lineRule="auto" w:before="29"/>
        <w:ind w:left="617" w:right="0"/>
        <w:jc w:val="left"/>
      </w:pPr>
      <w:r>
        <w:rPr/>
        <w:t>I.其它表明金融资产发生减值的客观证据。</w:t>
      </w:r>
    </w:p>
    <w:p>
      <w:pPr>
        <w:pStyle w:val="BodyText"/>
        <w:spacing w:line="336" w:lineRule="auto" w:before="126"/>
        <w:ind w:left="617" w:right="3167"/>
        <w:jc w:val="left"/>
      </w:pPr>
      <w:r>
        <w:rPr/>
        <w:t>②金融资产减值测试方法及减值准备计提方法 A.持有至到期投资</w:t>
      </w:r>
    </w:p>
    <w:p>
      <w:pPr>
        <w:pStyle w:val="BodyText"/>
        <w:spacing w:line="336" w:lineRule="auto" w:before="29"/>
        <w:ind w:right="151" w:firstLine="480"/>
        <w:jc w:val="both"/>
      </w:pPr>
      <w:r>
        <w:rPr/>
        <w:t>以摊余成本计量的持有到期投资发生减值时,将其账面价值减记至预计未来</w:t>
      </w:r>
      <w:r>
        <w:rPr>
          <w:spacing w:val="1"/>
        </w:rPr>
        <w:t> </w:t>
      </w:r>
      <w:r>
        <w:rPr>
          <w:spacing w:val="-6"/>
        </w:rPr>
        <w:t>现金流量（不包括尚未发生的未来信用损失）现值（折现利率采用原实际利率）,</w:t>
      </w:r>
      <w:r>
        <w:rPr>
          <w:spacing w:val="-112"/>
        </w:rPr>
        <w:t> </w:t>
      </w:r>
      <w:r>
        <w:rPr>
          <w:spacing w:val="-112"/>
        </w:rPr>
      </w:r>
      <w:r>
        <w:rPr>
          <w:spacing w:val="-3"/>
        </w:rPr>
        <w:t>减记的金额确认为资产减值损失,计入当期损益。计提减值准备时,对单项金额重</w:t>
      </w:r>
      <w:r>
        <w:rPr>
          <w:spacing w:val="-100"/>
        </w:rPr>
        <w:t> </w:t>
      </w:r>
      <w:r>
        <w:rPr>
          <w:spacing w:val="-100"/>
        </w:rPr>
      </w:r>
      <w:r>
        <w:rPr>
          <w:spacing w:val="-3"/>
        </w:rPr>
        <w:t>大的持有至到期投资单独进行减值测试；对单项金额不重大的持有至到期投资可</w:t>
      </w:r>
      <w:r>
        <w:rPr>
          <w:spacing w:val="-103"/>
        </w:rPr>
        <w:t> </w:t>
      </w:r>
      <w:r>
        <w:rPr>
          <w:spacing w:val="-103"/>
        </w:rPr>
      </w:r>
      <w:r>
        <w:rPr>
          <w:spacing w:val="-3"/>
        </w:rPr>
        <w:t>以单独进行减值测试，或根据客户的信用程度等实际情况，按照信用组合进行减</w:t>
      </w:r>
      <w:r>
        <w:rPr>
          <w:spacing w:val="-105"/>
        </w:rPr>
        <w:t> </w:t>
      </w:r>
      <w:r>
        <w:rPr>
          <w:spacing w:val="-105"/>
        </w:rPr>
      </w:r>
      <w:r>
        <w:rPr>
          <w:spacing w:val="-3"/>
        </w:rPr>
        <w:t>值测试；单独测试未发生减值的持有至到期投资，需要根据客户的信用程度等实</w:t>
      </w:r>
      <w:r>
        <w:rPr>
          <w:spacing w:val="-105"/>
        </w:rPr>
        <w:t> </w:t>
      </w:r>
      <w:r>
        <w:rPr>
          <w:spacing w:val="-105"/>
        </w:rPr>
      </w:r>
      <w:r>
        <w:rPr>
          <w:spacing w:val="-3"/>
        </w:rPr>
        <w:t>际情况，按照信用组合再进行测试；已单项确认减值损失的持有至到期投资，不</w:t>
      </w:r>
      <w:r>
        <w:rPr>
          <w:spacing w:val="-102"/>
        </w:rPr>
        <w:t> </w:t>
      </w:r>
      <w:r>
        <w:rPr>
          <w:spacing w:val="-102"/>
        </w:rPr>
      </w:r>
      <w:r>
        <w:rPr/>
        <w:t>再根据客户的信用程度等实际情况，按照信用组合进行减值测试。</w:t>
      </w:r>
    </w:p>
    <w:p>
      <w:pPr>
        <w:pStyle w:val="BodyText"/>
        <w:spacing w:line="336" w:lineRule="auto"/>
        <w:ind w:left="617" w:right="1607"/>
        <w:jc w:val="left"/>
      </w:pPr>
      <w:r>
        <w:rPr/>
        <w:t>B.应收款项 应收款项减值测试方法及减值准备计提方法参见附注四、7。 C.可供出售金融资产</w:t>
      </w:r>
    </w:p>
    <w:p>
      <w:pPr>
        <w:spacing w:after="0" w:line="336" w:lineRule="auto"/>
        <w:jc w:val="left"/>
        <w:sectPr>
          <w:pgSz w:w="11910" w:h="16840"/>
          <w:pgMar w:header="840" w:footer="1712" w:top="1160" w:bottom="1900" w:left="1660" w:right="1640"/>
        </w:sectPr>
      </w:pPr>
    </w:p>
    <w:p>
      <w:pPr>
        <w:pStyle w:val="BodyText"/>
        <w:spacing w:line="336" w:lineRule="auto" w:before="71"/>
        <w:ind w:right="145" w:firstLine="480"/>
        <w:jc w:val="both"/>
      </w:pPr>
      <w:r>
        <w:rPr/>
        <w:t>可供出售金融资产的公允价值发生较大幅度下降,或在综合考虑各种相关因</w:t>
      </w:r>
      <w:r>
        <w:rPr>
          <w:spacing w:val="1"/>
        </w:rPr>
        <w:t> </w:t>
      </w:r>
      <w:r>
        <w:rPr>
          <w:spacing w:val="3"/>
        </w:rPr>
        <w:t>素后,预期这种下降趋势属于非暂时性的,则按其公允价值低于其账面价值的差</w:t>
      </w:r>
      <w:r>
        <w:rPr>
          <w:spacing w:val="-87"/>
        </w:rPr>
        <w:t> </w:t>
      </w:r>
      <w:r>
        <w:rPr>
          <w:spacing w:val="-87"/>
        </w:rPr>
      </w:r>
      <w:r>
        <w:rPr>
          <w:spacing w:val="-3"/>
        </w:rPr>
        <w:t>额,确认减值损失,计提减值准备。在确认减值损失时，将原直接计入所有者权益</w:t>
      </w:r>
      <w:r>
        <w:rPr>
          <w:spacing w:val="-102"/>
        </w:rPr>
        <w:t> </w:t>
      </w:r>
      <w:r>
        <w:rPr>
          <w:spacing w:val="-102"/>
        </w:rPr>
      </w:r>
      <w:r>
        <w:rPr/>
        <w:t>的公允价值下降形成的累计损失一并转出，计入减值损失。</w:t>
      </w:r>
    </w:p>
    <w:p>
      <w:pPr>
        <w:pStyle w:val="BodyText"/>
        <w:spacing w:line="336" w:lineRule="auto"/>
        <w:ind w:left="617" w:right="146"/>
        <w:jc w:val="left"/>
      </w:pPr>
      <w:r>
        <w:rPr/>
        <w:t>D.其它 </w:t>
      </w:r>
      <w:r>
        <w:rPr>
          <w:spacing w:val="-3"/>
        </w:rPr>
        <w:t>在活跃市场中没有报价且其公允价值不能可靠计量的权益工具投资，或与该</w:t>
      </w:r>
    </w:p>
    <w:p>
      <w:pPr>
        <w:pStyle w:val="BodyText"/>
        <w:spacing w:line="336" w:lineRule="auto"/>
        <w:ind w:right="152"/>
        <w:jc w:val="both"/>
      </w:pPr>
      <w:r>
        <w:rPr>
          <w:spacing w:val="-3"/>
        </w:rPr>
        <w:t>权益工具挂钩并须通过交付该权益工具结算的衍生金融资产发生减值时，将该权</w:t>
      </w:r>
      <w:r>
        <w:rPr>
          <w:spacing w:val="-103"/>
        </w:rPr>
        <w:t> </w:t>
      </w:r>
      <w:r>
        <w:rPr>
          <w:spacing w:val="-103"/>
        </w:rPr>
      </w:r>
      <w:r>
        <w:rPr>
          <w:spacing w:val="-3"/>
        </w:rPr>
        <w:t>益工具投资或衍生金融资产的账面价值，与按照类似金融资产当时市场收益率对</w:t>
      </w:r>
      <w:r>
        <w:rPr>
          <w:spacing w:val="-103"/>
        </w:rPr>
        <w:t> </w:t>
      </w:r>
      <w:r>
        <w:rPr>
          <w:spacing w:val="-103"/>
        </w:rPr>
      </w:r>
      <w:r>
        <w:rPr/>
        <w:t>未来现金流量折现确定的现值之间的差额，确认为减值损失，计入当期损益。</w:t>
      </w:r>
    </w:p>
    <w:p>
      <w:pPr>
        <w:pStyle w:val="Heading3"/>
        <w:tabs>
          <w:tab w:pos="1397" w:val="left" w:leader="none"/>
        </w:tabs>
        <w:spacing w:line="240" w:lineRule="auto" w:before="74"/>
        <w:ind w:right="0"/>
        <w:jc w:val="left"/>
        <w:rPr>
          <w:b w:val="0"/>
          <w:bCs w:val="0"/>
        </w:rPr>
      </w:pPr>
      <w:r>
        <w:rPr>
          <w:w w:val="90"/>
        </w:rPr>
        <w:t>7、</w:t>
        <w:tab/>
      </w:r>
      <w:r>
        <w:rPr/>
        <w:t>应收款项</w:t>
      </w:r>
      <w:r>
        <w:rPr>
          <w:b w:val="0"/>
          <w:bCs w:val="0"/>
        </w:rPr>
      </w:r>
    </w:p>
    <w:p>
      <w:pPr>
        <w:pStyle w:val="BodyText"/>
        <w:spacing w:line="336" w:lineRule="auto" w:before="99"/>
        <w:ind w:left="617" w:right="146"/>
        <w:jc w:val="left"/>
      </w:pPr>
      <w:r>
        <w:rPr/>
        <w:t>（1）坏账准备的确认标准 </w:t>
      </w:r>
      <w:r>
        <w:rPr>
          <w:spacing w:val="-3"/>
        </w:rPr>
        <w:t>本公司在资产负债表日对应收款项账面价值进行检查，对存在下列客观证据</w:t>
      </w:r>
    </w:p>
    <w:p>
      <w:pPr>
        <w:pStyle w:val="BodyText"/>
        <w:spacing w:line="240" w:lineRule="auto"/>
        <w:ind w:right="0"/>
        <w:jc w:val="both"/>
      </w:pPr>
      <w:r>
        <w:rPr/>
        <w:t>表明应收款项发生减值的，计提减值准备。</w:t>
      </w:r>
    </w:p>
    <w:p>
      <w:pPr>
        <w:pStyle w:val="BodyText"/>
        <w:spacing w:line="240" w:lineRule="auto" w:before="126"/>
        <w:ind w:left="617" w:right="0"/>
        <w:jc w:val="left"/>
      </w:pPr>
      <w:r>
        <w:rPr/>
        <w:t>①债务人发生严重的财务困难；</w:t>
      </w:r>
    </w:p>
    <w:p>
      <w:pPr>
        <w:pStyle w:val="BodyText"/>
        <w:spacing w:line="240" w:lineRule="auto" w:before="125"/>
        <w:ind w:left="617" w:right="0"/>
        <w:jc w:val="left"/>
      </w:pPr>
      <w:r>
        <w:rPr/>
        <w:t>②债务人违反合同条款（如偿付利息或本金发生违约或逾期等</w:t>
      </w:r>
      <w:r>
        <w:rPr>
          <w:spacing w:val="-120"/>
        </w:rPr>
        <w:t>）</w:t>
      </w:r>
      <w:r>
        <w:rPr/>
        <w:t>；</w:t>
      </w:r>
    </w:p>
    <w:p>
      <w:pPr>
        <w:pStyle w:val="BodyText"/>
        <w:spacing w:line="240" w:lineRule="auto" w:before="126"/>
        <w:ind w:left="617" w:right="0"/>
        <w:jc w:val="left"/>
      </w:pPr>
      <w:r>
        <w:rPr/>
        <w:t>③债务人很可能倒闭或进行其它财务重组；</w:t>
      </w:r>
    </w:p>
    <w:p>
      <w:pPr>
        <w:pStyle w:val="BodyText"/>
        <w:spacing w:line="240" w:lineRule="auto" w:before="126"/>
        <w:ind w:left="617" w:right="0"/>
        <w:jc w:val="left"/>
      </w:pPr>
      <w:r>
        <w:rPr/>
        <w:t>④其它表明应收款项发生减值的客观依据 。</w:t>
      </w:r>
    </w:p>
    <w:p>
      <w:pPr>
        <w:pStyle w:val="BodyText"/>
        <w:spacing w:line="336" w:lineRule="auto" w:before="125"/>
        <w:ind w:left="617" w:right="4127"/>
        <w:jc w:val="left"/>
      </w:pPr>
      <w:r>
        <w:rPr/>
        <w:t>（2）坏账的核算方法 本公司发生的坏账采用备抵法核算。</w:t>
      </w:r>
    </w:p>
    <w:p>
      <w:pPr>
        <w:pStyle w:val="BodyText"/>
        <w:spacing w:line="240" w:lineRule="auto"/>
        <w:ind w:left="617" w:right="0"/>
        <w:jc w:val="left"/>
      </w:pPr>
      <w:r>
        <w:rPr/>
        <w:t>（3）坏账准备的计提方法</w:t>
      </w:r>
    </w:p>
    <w:p>
      <w:pPr>
        <w:pStyle w:val="BodyText"/>
        <w:spacing w:line="336" w:lineRule="auto" w:before="125"/>
        <w:ind w:right="145" w:firstLine="480"/>
        <w:jc w:val="both"/>
      </w:pPr>
      <w:r>
        <w:rPr/>
        <w:t>在资产负债表日，公司对单项金额大于 50</w:t>
      </w:r>
      <w:r>
        <w:rPr>
          <w:spacing w:val="-90"/>
        </w:rPr>
        <w:t> </w:t>
      </w:r>
      <w:r>
        <w:rPr/>
        <w:t>万元的应收款项，单独进行减值</w:t>
      </w:r>
      <w:r>
        <w:rPr/>
        <w:t> </w:t>
      </w:r>
      <w:r>
        <w:rPr>
          <w:spacing w:val="3"/>
        </w:rPr>
        <w:t>测试,有客观证据表明其发生了减值的,根据其未来现金流量现值低于其账面价</w:t>
      </w:r>
      <w:r>
        <w:rPr>
          <w:spacing w:val="-87"/>
        </w:rPr>
        <w:t> </w:t>
      </w:r>
      <w:r>
        <w:rPr>
          <w:spacing w:val="-87"/>
        </w:rPr>
      </w:r>
      <w:r>
        <w:rPr>
          <w:spacing w:val="-3"/>
        </w:rPr>
        <w:t>值的差额,确认减值损失,计提坏账准备。当出项下列情况之一时，本公司对相关</w:t>
      </w:r>
      <w:r>
        <w:rPr>
          <w:spacing w:val="-102"/>
        </w:rPr>
        <w:t> </w:t>
      </w:r>
      <w:r>
        <w:rPr>
          <w:spacing w:val="-102"/>
        </w:rPr>
      </w:r>
      <w:r>
        <w:rPr>
          <w:spacing w:val="-3"/>
        </w:rPr>
        <w:t>的应收款项全额计提坏账准备：债务单位撤销或破产；债务单位资不抵债或现金</w:t>
      </w:r>
      <w:r>
        <w:rPr>
          <w:spacing w:val="-105"/>
        </w:rPr>
        <w:t> </w:t>
      </w:r>
      <w:r>
        <w:rPr>
          <w:spacing w:val="-105"/>
        </w:rPr>
      </w:r>
      <w:r>
        <w:rPr>
          <w:spacing w:val="-3"/>
        </w:rPr>
        <w:t>流严重不足；债务单位发生严重自然灾害导致停产。对合并范围内的子公司应收</w:t>
      </w:r>
      <w:r>
        <w:rPr>
          <w:spacing w:val="-105"/>
        </w:rPr>
        <w:t> </w:t>
      </w:r>
      <w:r>
        <w:rPr>
          <w:spacing w:val="-105"/>
        </w:rPr>
      </w:r>
      <w:r>
        <w:rPr>
          <w:spacing w:val="-3"/>
        </w:rPr>
        <w:t>款项，不计提坏账准备。对单项金额不重大的应收款项及经单独测试后未发生减</w:t>
      </w:r>
      <w:r>
        <w:rPr>
          <w:spacing w:val="-105"/>
        </w:rPr>
        <w:t> </w:t>
      </w:r>
      <w:r>
        <w:rPr>
          <w:spacing w:val="-105"/>
        </w:rPr>
      </w:r>
      <w:r>
        <w:rPr>
          <w:spacing w:val="3"/>
        </w:rPr>
        <w:t>值的应收款项,按账龄划分为若干组合,根据应收款项组合余额的一定比例计算</w:t>
      </w:r>
      <w:r>
        <w:rPr>
          <w:spacing w:val="-87"/>
        </w:rPr>
        <w:t> </w:t>
      </w:r>
      <w:r>
        <w:rPr>
          <w:spacing w:val="-87"/>
        </w:rPr>
      </w:r>
      <w:r>
        <w:rPr/>
        <w:t>确定减值损失,计提坏账准备。坏账准备计提比例一般为：</w:t>
      </w:r>
    </w:p>
    <w:p>
      <w:pPr>
        <w:spacing w:after="0" w:line="336" w:lineRule="auto"/>
        <w:jc w:val="both"/>
        <w:sectPr>
          <w:pgSz w:w="11910" w:h="16840"/>
          <w:pgMar w:header="840" w:footer="1712" w:top="1160" w:bottom="1900" w:left="1660" w:right="1640"/>
        </w:sectPr>
      </w:pPr>
    </w:p>
    <w:p>
      <w:pPr>
        <w:spacing w:line="240" w:lineRule="auto" w:before="3"/>
        <w:rPr>
          <w:rFonts w:ascii="宋体" w:hAnsi="宋体" w:cs="宋体" w:eastAsia="宋体" w:hint="default"/>
          <w:sz w:val="5"/>
          <w:szCs w:val="5"/>
        </w:rPr>
      </w:pPr>
      <w:r>
        <w:rPr/>
        <w:pict>
          <v:group style="position:absolute;margin-left:88.019981pt;margin-top:41.999668pt;width:419.35pt;height:16.4pt;mso-position-horizontal-relative:page;mso-position-vertical-relative:page;z-index:-594424"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p>
    <w:tbl>
      <w:tblPr>
        <w:tblW w:w="0" w:type="auto"/>
        <w:jc w:val="left"/>
        <w:tblInd w:w="151" w:type="dxa"/>
        <w:tblLayout w:type="fixed"/>
        <w:tblCellMar>
          <w:top w:w="0" w:type="dxa"/>
          <w:left w:w="0" w:type="dxa"/>
          <w:bottom w:w="0" w:type="dxa"/>
          <w:right w:w="0" w:type="dxa"/>
        </w:tblCellMar>
        <w:tblLook w:val="01E0"/>
      </w:tblPr>
      <w:tblGrid>
        <w:gridCol w:w="2910"/>
        <w:gridCol w:w="3872"/>
        <w:gridCol w:w="2090"/>
      </w:tblGrid>
      <w:tr>
        <w:trPr>
          <w:trHeight w:val="375" w:hRule="exact"/>
        </w:trPr>
        <w:tc>
          <w:tcPr>
            <w:tcW w:w="2910" w:type="dxa"/>
            <w:tcBorders>
              <w:top w:val="nil" w:sz="6" w:space="0" w:color="auto"/>
              <w:left w:val="nil" w:sz="6" w:space="0" w:color="auto"/>
              <w:bottom w:val="single" w:sz="6" w:space="0" w:color="000000"/>
              <w:right w:val="nil" w:sz="6" w:space="0" w:color="auto"/>
            </w:tcBorders>
          </w:tcPr>
          <w:p>
            <w:pPr>
              <w:pStyle w:val="TableParagraph"/>
              <w:tabs>
                <w:tab w:pos="496" w:val="left" w:leader="none"/>
              </w:tabs>
              <w:spacing w:line="240" w:lineRule="auto" w:before="27"/>
              <w:ind w:left="15" w:right="0"/>
              <w:jc w:val="center"/>
              <w:rPr>
                <w:rFonts w:ascii="宋体" w:hAnsi="宋体" w:cs="宋体" w:eastAsia="宋体" w:hint="default"/>
                <w:sz w:val="24"/>
                <w:szCs w:val="24"/>
              </w:rPr>
            </w:pPr>
            <w:r>
              <w:rPr>
                <w:rFonts w:ascii="宋体" w:hAnsi="宋体" w:cs="宋体" w:eastAsia="宋体" w:hint="default"/>
                <w:sz w:val="24"/>
                <w:szCs w:val="24"/>
              </w:rPr>
              <w:t>账</w:t>
              <w:tab/>
              <w:t>龄</w:t>
            </w:r>
          </w:p>
        </w:tc>
        <w:tc>
          <w:tcPr>
            <w:tcW w:w="3872"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left="27" w:right="0"/>
              <w:jc w:val="center"/>
              <w:rPr>
                <w:rFonts w:ascii="宋体" w:hAnsi="宋体" w:cs="宋体" w:eastAsia="宋体" w:hint="default"/>
                <w:sz w:val="24"/>
                <w:szCs w:val="24"/>
              </w:rPr>
            </w:pPr>
            <w:r>
              <w:rPr>
                <w:rFonts w:ascii="宋体" w:hAnsi="宋体" w:cs="宋体" w:eastAsia="宋体" w:hint="default"/>
                <w:sz w:val="24"/>
                <w:szCs w:val="24"/>
              </w:rPr>
              <w:t>计提比例</w:t>
            </w:r>
          </w:p>
        </w:tc>
      </w:tr>
      <w:tr>
        <w:trPr>
          <w:trHeight w:val="401" w:hRule="exact"/>
        </w:trPr>
        <w:tc>
          <w:tcPr>
            <w:tcW w:w="2910"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left="42" w:right="0"/>
              <w:jc w:val="left"/>
              <w:rPr>
                <w:rFonts w:ascii="宋体" w:hAnsi="宋体" w:cs="宋体" w:eastAsia="宋体" w:hint="default"/>
                <w:sz w:val="24"/>
                <w:szCs w:val="24"/>
              </w:rPr>
            </w:pPr>
            <w:r>
              <w:rPr>
                <w:rFonts w:ascii="宋体" w:hAnsi="宋体" w:cs="宋体" w:eastAsia="宋体" w:hint="default"/>
                <w:spacing w:val="-3"/>
                <w:sz w:val="24"/>
                <w:szCs w:val="24"/>
              </w:rPr>
              <w:t>1年以内(含1年,下同)</w:t>
            </w:r>
            <w:r>
              <w:rPr>
                <w:rFonts w:ascii="宋体" w:hAnsi="宋体" w:cs="宋体" w:eastAsia="宋体" w:hint="default"/>
                <w:sz w:val="24"/>
                <w:szCs w:val="24"/>
              </w:rPr>
            </w:r>
          </w:p>
        </w:tc>
        <w:tc>
          <w:tcPr>
            <w:tcW w:w="3872" w:type="dxa"/>
            <w:tcBorders>
              <w:top w:val="nil" w:sz="6" w:space="0" w:color="auto"/>
              <w:left w:val="nil" w:sz="6" w:space="0" w:color="auto"/>
              <w:bottom w:val="nil" w:sz="6" w:space="0" w:color="auto"/>
              <w:right w:val="nil" w:sz="6" w:space="0" w:color="auto"/>
            </w:tcBorders>
          </w:tcPr>
          <w:p>
            <w:pPr/>
          </w:p>
        </w:tc>
        <w:tc>
          <w:tcPr>
            <w:tcW w:w="2090"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left="22" w:right="0"/>
              <w:jc w:val="center"/>
              <w:rPr>
                <w:rFonts w:ascii="Times New Roman" w:hAnsi="Times New Roman" w:cs="Times New Roman" w:eastAsia="Times New Roman" w:hint="default"/>
                <w:sz w:val="24"/>
                <w:szCs w:val="24"/>
              </w:rPr>
            </w:pPr>
            <w:r>
              <w:rPr>
                <w:rFonts w:ascii="Times New Roman"/>
                <w:spacing w:val="-8"/>
                <w:sz w:val="24"/>
              </w:rPr>
              <w:t>5%</w:t>
            </w:r>
            <w:r>
              <w:rPr>
                <w:rFonts w:ascii="Times New Roman"/>
                <w:sz w:val="24"/>
              </w:rPr>
            </w:r>
          </w:p>
        </w:tc>
      </w:tr>
      <w:tr>
        <w:trPr>
          <w:trHeight w:val="369"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301" w:lineRule="exact"/>
              <w:ind w:left="42" w:right="0"/>
              <w:jc w:val="left"/>
              <w:rPr>
                <w:rFonts w:ascii="宋体" w:hAnsi="宋体" w:cs="宋体" w:eastAsia="宋体" w:hint="default"/>
                <w:sz w:val="24"/>
                <w:szCs w:val="24"/>
              </w:rPr>
            </w:pPr>
            <w:r>
              <w:rPr>
                <w:rFonts w:ascii="宋体" w:hAnsi="宋体" w:cs="宋体" w:eastAsia="宋体" w:hint="default"/>
                <w:spacing w:val="-5"/>
                <w:sz w:val="24"/>
                <w:szCs w:val="24"/>
              </w:rPr>
              <w:t>1-2年</w:t>
            </w:r>
            <w:r>
              <w:rPr>
                <w:rFonts w:ascii="宋体" w:hAnsi="宋体" w:cs="宋体" w:eastAsia="宋体" w:hint="default"/>
                <w:sz w:val="24"/>
                <w:szCs w:val="24"/>
              </w:rPr>
            </w:r>
          </w:p>
        </w:tc>
        <w:tc>
          <w:tcPr>
            <w:tcW w:w="3872"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7" w:right="0"/>
              <w:jc w:val="center"/>
              <w:rPr>
                <w:rFonts w:ascii="Times New Roman" w:hAnsi="Times New Roman" w:cs="Times New Roman" w:eastAsia="Times New Roman" w:hint="default"/>
                <w:sz w:val="24"/>
                <w:szCs w:val="24"/>
              </w:rPr>
            </w:pPr>
            <w:r>
              <w:rPr>
                <w:rFonts w:ascii="Times New Roman"/>
                <w:sz w:val="24"/>
              </w:rPr>
              <w:t>10%</w:t>
            </w:r>
          </w:p>
        </w:tc>
      </w:tr>
      <w:tr>
        <w:trPr>
          <w:trHeight w:val="369"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302" w:lineRule="exact"/>
              <w:ind w:left="42" w:right="0"/>
              <w:jc w:val="left"/>
              <w:rPr>
                <w:rFonts w:ascii="宋体" w:hAnsi="宋体" w:cs="宋体" w:eastAsia="宋体" w:hint="default"/>
                <w:sz w:val="24"/>
                <w:szCs w:val="24"/>
              </w:rPr>
            </w:pPr>
            <w:r>
              <w:rPr>
                <w:rFonts w:ascii="宋体" w:hAnsi="宋体" w:cs="宋体" w:eastAsia="宋体" w:hint="default"/>
                <w:spacing w:val="-5"/>
                <w:sz w:val="24"/>
                <w:szCs w:val="24"/>
              </w:rPr>
              <w:t>2-3年</w:t>
            </w:r>
            <w:r>
              <w:rPr>
                <w:rFonts w:ascii="宋体" w:hAnsi="宋体" w:cs="宋体" w:eastAsia="宋体" w:hint="default"/>
                <w:sz w:val="24"/>
                <w:szCs w:val="24"/>
              </w:rPr>
            </w:r>
          </w:p>
        </w:tc>
        <w:tc>
          <w:tcPr>
            <w:tcW w:w="3872"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7" w:right="0"/>
              <w:jc w:val="center"/>
              <w:rPr>
                <w:rFonts w:ascii="Times New Roman" w:hAnsi="Times New Roman" w:cs="Times New Roman" w:eastAsia="Times New Roman" w:hint="default"/>
                <w:sz w:val="24"/>
                <w:szCs w:val="24"/>
              </w:rPr>
            </w:pPr>
            <w:r>
              <w:rPr>
                <w:rFonts w:ascii="Times New Roman"/>
                <w:sz w:val="24"/>
              </w:rPr>
              <w:t>20%</w:t>
            </w:r>
          </w:p>
        </w:tc>
      </w:tr>
      <w:tr>
        <w:trPr>
          <w:trHeight w:val="408"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301" w:lineRule="exact"/>
              <w:ind w:left="42" w:right="0"/>
              <w:jc w:val="left"/>
              <w:rPr>
                <w:rFonts w:ascii="宋体" w:hAnsi="宋体" w:cs="宋体" w:eastAsia="宋体" w:hint="default"/>
                <w:sz w:val="24"/>
                <w:szCs w:val="24"/>
              </w:rPr>
            </w:pPr>
            <w:r>
              <w:rPr>
                <w:rFonts w:ascii="宋体" w:hAnsi="宋体" w:cs="宋体" w:eastAsia="宋体" w:hint="default"/>
                <w:spacing w:val="-3"/>
                <w:sz w:val="24"/>
                <w:szCs w:val="24"/>
              </w:rPr>
              <w:t>3年以上</w:t>
            </w:r>
          </w:p>
        </w:tc>
        <w:tc>
          <w:tcPr>
            <w:tcW w:w="3872"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7" w:right="0"/>
              <w:jc w:val="center"/>
              <w:rPr>
                <w:rFonts w:ascii="Times New Roman" w:hAnsi="Times New Roman" w:cs="Times New Roman" w:eastAsia="Times New Roman" w:hint="default"/>
                <w:sz w:val="24"/>
                <w:szCs w:val="24"/>
              </w:rPr>
            </w:pPr>
            <w:r>
              <w:rPr>
                <w:rFonts w:ascii="Times New Roman"/>
                <w:sz w:val="24"/>
              </w:rPr>
              <w:t>50%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Heading3"/>
        <w:tabs>
          <w:tab w:pos="1397" w:val="left" w:leader="none"/>
        </w:tabs>
        <w:spacing w:line="363" w:lineRule="exact"/>
        <w:ind w:right="0"/>
        <w:jc w:val="left"/>
        <w:rPr>
          <w:b w:val="0"/>
          <w:bCs w:val="0"/>
        </w:rPr>
      </w:pPr>
      <w:r>
        <w:rPr>
          <w:w w:val="90"/>
        </w:rPr>
        <w:t>8、</w:t>
        <w:tab/>
      </w:r>
      <w:r>
        <w:rPr/>
        <w:t>存货</w:t>
      </w:r>
      <w:r>
        <w:rPr>
          <w:b w:val="0"/>
          <w:bCs w:val="0"/>
        </w:rPr>
      </w:r>
    </w:p>
    <w:p>
      <w:pPr>
        <w:pStyle w:val="BodyText"/>
        <w:spacing w:line="308" w:lineRule="exact" w:before="0"/>
        <w:ind w:left="617" w:right="0"/>
        <w:jc w:val="left"/>
      </w:pPr>
      <w:r>
        <w:rPr/>
        <w:t>（1）存货分类</w:t>
      </w:r>
    </w:p>
    <w:p>
      <w:pPr>
        <w:spacing w:before="157"/>
        <w:ind w:left="977" w:right="0" w:firstLine="0"/>
        <w:jc w:val="left"/>
        <w:rPr>
          <w:rFonts w:ascii="宋体" w:hAnsi="宋体" w:cs="宋体" w:eastAsia="宋体" w:hint="default"/>
          <w:sz w:val="21"/>
          <w:szCs w:val="21"/>
        </w:rPr>
      </w:pPr>
      <w:r>
        <w:rPr>
          <w:rFonts w:ascii="宋体" w:hAnsi="宋体" w:cs="宋体" w:eastAsia="宋体" w:hint="default"/>
          <w:sz w:val="21"/>
          <w:szCs w:val="21"/>
        </w:rPr>
        <w:t>本公司存货主要包括原材料、辅助材料、低值易耗品、在产品、库存商品等。</w:t>
      </w:r>
    </w:p>
    <w:p>
      <w:pPr>
        <w:spacing w:line="355" w:lineRule="auto" w:before="134"/>
        <w:ind w:left="977" w:right="0" w:hanging="420"/>
        <w:jc w:val="left"/>
        <w:rPr>
          <w:rFonts w:ascii="宋体" w:hAnsi="宋体" w:cs="宋体" w:eastAsia="宋体" w:hint="default"/>
          <w:sz w:val="21"/>
          <w:szCs w:val="21"/>
        </w:rPr>
      </w:pPr>
      <w:r>
        <w:rPr>
          <w:rFonts w:ascii="宋体" w:hAnsi="宋体" w:cs="宋体" w:eastAsia="宋体" w:hint="default"/>
          <w:sz w:val="21"/>
          <w:szCs w:val="21"/>
        </w:rPr>
        <w:t>（2）存货取得和发出的计价方法</w:t>
      </w:r>
      <w:r>
        <w:rPr>
          <w:rFonts w:ascii="宋体" w:hAnsi="宋体" w:cs="宋体" w:eastAsia="宋体" w:hint="default"/>
          <w:spacing w:val="-1"/>
          <w:sz w:val="21"/>
          <w:szCs w:val="21"/>
        </w:rPr>
        <w:t> </w:t>
      </w:r>
      <w:r>
        <w:rPr>
          <w:rFonts w:ascii="宋体" w:hAnsi="宋体" w:cs="宋体" w:eastAsia="宋体" w:hint="default"/>
          <w:spacing w:val="-3"/>
          <w:sz w:val="21"/>
          <w:szCs w:val="21"/>
        </w:rPr>
        <w:t>存货在取得时按实际成本计价，存货成本包括采购成本、加工成本和其它成本。领</w:t>
      </w:r>
    </w:p>
    <w:p>
      <w:pPr>
        <w:spacing w:line="357" w:lineRule="auto" w:before="32"/>
        <w:ind w:left="557" w:right="693" w:firstLine="0"/>
        <w:jc w:val="both"/>
        <w:rPr>
          <w:rFonts w:ascii="宋体" w:hAnsi="宋体" w:cs="宋体" w:eastAsia="宋体" w:hint="default"/>
          <w:sz w:val="21"/>
          <w:szCs w:val="21"/>
        </w:rPr>
      </w:pPr>
      <w:r>
        <w:rPr>
          <w:rFonts w:ascii="宋体" w:hAnsi="宋体" w:cs="宋体" w:eastAsia="宋体" w:hint="default"/>
          <w:spacing w:val="-3"/>
          <w:sz w:val="21"/>
          <w:szCs w:val="21"/>
        </w:rPr>
        <w:t>用和发出时按加权平均法计价；原材料和辅助材料以计划成本核算，对原材料和辅助材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料的计划成本和实际成本之间的差异，通过成本差异科目核算，并按期结转发出存货应</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负担的成本差异，将计划成本调整为实际成本。</w:t>
      </w:r>
    </w:p>
    <w:p>
      <w:pPr>
        <w:pStyle w:val="BodyText"/>
        <w:spacing w:line="240" w:lineRule="auto" w:before="26"/>
        <w:ind w:left="676" w:right="0"/>
        <w:jc w:val="left"/>
      </w:pPr>
      <w:r>
        <w:rPr/>
        <w:t>（3）低值易耗品的摊销方法低值易耗品于领用时按五五摊销法摊销。</w:t>
      </w:r>
    </w:p>
    <w:p>
      <w:pPr>
        <w:pStyle w:val="BodyText"/>
        <w:spacing w:line="240" w:lineRule="auto" w:before="152"/>
        <w:ind w:left="617" w:right="0"/>
        <w:jc w:val="left"/>
      </w:pPr>
      <w:r>
        <w:rPr/>
        <w:t>（4）存货的盘存制度为永续盘存制。</w:t>
      </w:r>
    </w:p>
    <w:p>
      <w:pPr>
        <w:pStyle w:val="BodyText"/>
        <w:spacing w:line="357" w:lineRule="auto" w:before="152"/>
        <w:ind w:left="617" w:right="0"/>
        <w:jc w:val="left"/>
      </w:pPr>
      <w:r>
        <w:rPr/>
        <w:t>（5）存货跌价准备的确认标准及计提方法</w:t>
      </w:r>
      <w:r>
        <w:rPr>
          <w:spacing w:val="-2"/>
          <w:w w:val="100"/>
        </w:rPr>
        <w:t> </w:t>
      </w:r>
      <w:r>
        <w:rPr>
          <w:spacing w:val="-5"/>
        </w:rPr>
        <w:t>资产负债表日，本公司存货按照成本与可变现净值孰低计量。公司在对存货</w:t>
      </w:r>
      <w:r>
        <w:rPr/>
      </w:r>
    </w:p>
    <w:p>
      <w:pPr>
        <w:pStyle w:val="BodyText"/>
        <w:spacing w:line="357" w:lineRule="auto" w:before="35"/>
        <w:ind w:right="690"/>
        <w:jc w:val="both"/>
      </w:pPr>
      <w:r>
        <w:rPr>
          <w:spacing w:val="-5"/>
        </w:rPr>
        <w:t>进行全面盘点的基础上，对于存货因已霉烂变质、市场价格持续下跌且在可预见</w:t>
      </w:r>
      <w:r>
        <w:rPr>
          <w:spacing w:val="-64"/>
        </w:rPr>
        <w:t> </w:t>
      </w:r>
      <w:r>
        <w:rPr>
          <w:spacing w:val="-64"/>
        </w:rPr>
      </w:r>
      <w:r>
        <w:rPr>
          <w:spacing w:val="-5"/>
        </w:rPr>
        <w:t>的未来无回升的希望、全部或部分陈旧过时，产品更新换代等原因，使存货成本</w:t>
      </w:r>
      <w:r>
        <w:rPr>
          <w:spacing w:val="-60"/>
        </w:rPr>
        <w:t> </w:t>
      </w:r>
      <w:r>
        <w:rPr>
          <w:spacing w:val="-60"/>
        </w:rPr>
      </w:r>
      <w:r>
        <w:rPr>
          <w:spacing w:val="-5"/>
        </w:rPr>
        <w:t>高于其可变现净值的，计提存货跌价准备，并计入当期损益。本公司按照单个存</w:t>
      </w:r>
      <w:r>
        <w:rPr>
          <w:spacing w:val="-60"/>
        </w:rPr>
        <w:t> </w:t>
      </w:r>
      <w:r>
        <w:rPr>
          <w:spacing w:val="-60"/>
        </w:rPr>
      </w:r>
      <w:r>
        <w:rPr>
          <w:spacing w:val="-2"/>
        </w:rPr>
        <w:t>货项目计提存货跌价准备。</w:t>
      </w:r>
      <w:r>
        <w:rPr/>
      </w:r>
    </w:p>
    <w:p>
      <w:pPr>
        <w:pStyle w:val="BodyText"/>
        <w:spacing w:line="336" w:lineRule="auto" w:before="145"/>
        <w:ind w:right="692" w:firstLine="480"/>
        <w:jc w:val="both"/>
      </w:pPr>
      <w:r>
        <w:rPr>
          <w:spacing w:val="-5"/>
        </w:rPr>
        <w:t>可变现净值为存货的预计售价减去至完工时估计将要发生的成本、估计的销</w:t>
      </w:r>
      <w:r>
        <w:rPr>
          <w:spacing w:val="-2"/>
          <w:w w:val="100"/>
        </w:rPr>
        <w:t> </w:t>
      </w:r>
      <w:r>
        <w:rPr>
          <w:spacing w:val="-5"/>
        </w:rPr>
        <w:t>售费用及相关税费后的金额。其中：商品存货的可变现净值为估计售价减去估计</w:t>
      </w:r>
      <w:r>
        <w:rPr>
          <w:spacing w:val="-64"/>
        </w:rPr>
        <w:t> </w:t>
      </w:r>
      <w:r>
        <w:rPr>
          <w:spacing w:val="-64"/>
        </w:rPr>
      </w:r>
      <w:r>
        <w:rPr>
          <w:spacing w:val="-5"/>
        </w:rPr>
        <w:t>的销售费用以及相关税费后的金额；材料存货的可变现净值为产成品估计售价减</w:t>
      </w:r>
      <w:r>
        <w:rPr>
          <w:spacing w:val="-63"/>
        </w:rPr>
        <w:t> </w:t>
      </w:r>
      <w:r>
        <w:rPr>
          <w:spacing w:val="-63"/>
        </w:rPr>
      </w:r>
      <w:r>
        <w:rPr>
          <w:spacing w:val="-5"/>
        </w:rPr>
        <w:t>去至完工时估计将要发生的成本、估计的销售费用以及相关税费后的金额；为执</w:t>
      </w:r>
      <w:r>
        <w:rPr>
          <w:spacing w:val="-64"/>
        </w:rPr>
        <w:t> </w:t>
      </w:r>
      <w:r>
        <w:rPr>
          <w:spacing w:val="-64"/>
        </w:rPr>
      </w:r>
      <w:r>
        <w:rPr>
          <w:spacing w:val="-5"/>
        </w:rPr>
        <w:t>行销售合同或劳务合同而持有的存货，可变现净值以合同价格为基础计算。公司</w:t>
      </w:r>
      <w:r>
        <w:rPr>
          <w:spacing w:val="-64"/>
        </w:rPr>
        <w:t> </w:t>
      </w:r>
      <w:r>
        <w:rPr>
          <w:spacing w:val="-64"/>
        </w:rPr>
      </w:r>
      <w:r>
        <w:rPr>
          <w:spacing w:val="-5"/>
        </w:rPr>
        <w:t>持有的存货数量多于销售合同订购数量的，超过部分的存货的可变现净值以一般</w:t>
      </w:r>
      <w:r>
        <w:rPr>
          <w:spacing w:val="-63"/>
        </w:rPr>
        <w:t> </w:t>
      </w:r>
      <w:r>
        <w:rPr>
          <w:spacing w:val="-63"/>
        </w:rPr>
      </w:r>
      <w:r>
        <w:rPr/>
        <w:t>销售价格为基础计算。</w:t>
      </w:r>
    </w:p>
    <w:p>
      <w:pPr>
        <w:pStyle w:val="BodyText"/>
        <w:spacing w:line="336" w:lineRule="auto"/>
        <w:ind w:right="0" w:firstLine="480"/>
        <w:jc w:val="left"/>
      </w:pPr>
      <w:r>
        <w:rPr>
          <w:spacing w:val="-5"/>
        </w:rPr>
        <w:t>本公司于资产负债表日确定存货的可变现净值。以前减记存货价值的影响因</w:t>
      </w:r>
      <w:r>
        <w:rPr>
          <w:spacing w:val="-2"/>
          <w:w w:val="100"/>
        </w:rPr>
        <w:t> </w:t>
      </w:r>
      <w:r>
        <w:rPr>
          <w:spacing w:val="-8"/>
          <w:w w:val="100"/>
        </w:rPr>
        <w:t>素已经消失的，减记的金额予以恢复，并在原已计提的存货跌价准备金额内转回，</w:t>
      </w:r>
      <w:r>
        <w:rPr>
          <w:w w:val="100"/>
        </w:rPr>
      </w:r>
    </w:p>
    <w:p>
      <w:pPr>
        <w:spacing w:after="0" w:line="336" w:lineRule="auto"/>
        <w:jc w:val="left"/>
        <w:sectPr>
          <w:headerReference w:type="default" r:id="rId42"/>
          <w:pgSz w:w="11910" w:h="16840"/>
          <w:pgMar w:header="915" w:footer="1712" w:top="1100" w:bottom="1900" w:left="1660" w:right="1100"/>
        </w:sectPr>
      </w:pPr>
    </w:p>
    <w:p>
      <w:pPr>
        <w:pStyle w:val="BodyText"/>
        <w:spacing w:line="240" w:lineRule="auto" w:before="123"/>
        <w:ind w:right="0"/>
        <w:jc w:val="both"/>
      </w:pPr>
      <w:r>
        <w:rPr/>
        <w:pict>
          <v:group style="position:absolute;margin-left:88.019981pt;margin-top:41.999668pt;width:419.35pt;height:16.4pt;mso-position-horizontal-relative:page;mso-position-vertical-relative:page;z-index:236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spacing w:val="-2"/>
        </w:rPr>
        <w:t>转回的金额计入当期损益。</w:t>
      </w:r>
      <w:r>
        <w:rPr/>
      </w:r>
    </w:p>
    <w:p>
      <w:pPr>
        <w:tabs>
          <w:tab w:pos="1397" w:val="left" w:leader="none"/>
        </w:tabs>
        <w:spacing w:line="295" w:lineRule="auto" w:before="170"/>
        <w:ind w:left="617" w:right="192" w:firstLine="2"/>
        <w:jc w:val="left"/>
        <w:rPr>
          <w:rFonts w:ascii="宋体" w:hAnsi="宋体" w:cs="宋体" w:eastAsia="宋体" w:hint="default"/>
          <w:sz w:val="24"/>
          <w:szCs w:val="24"/>
        </w:rPr>
      </w:pPr>
      <w:r>
        <w:rPr>
          <w:rFonts w:ascii="Microsoft JhengHei" w:hAnsi="Microsoft JhengHei" w:cs="Microsoft JhengHei" w:eastAsia="Microsoft JhengHei" w:hint="default"/>
          <w:b/>
          <w:bCs/>
          <w:w w:val="90"/>
          <w:sz w:val="24"/>
          <w:szCs w:val="24"/>
        </w:rPr>
        <w:t>9、</w:t>
        <w:tab/>
      </w:r>
      <w:r>
        <w:rPr>
          <w:rFonts w:ascii="Microsoft JhengHei" w:hAnsi="Microsoft JhengHei" w:cs="Microsoft JhengHei" w:eastAsia="Microsoft JhengHei" w:hint="default"/>
          <w:b/>
          <w:bCs/>
          <w:sz w:val="24"/>
          <w:szCs w:val="24"/>
        </w:rPr>
        <w:t>长期股权投资</w:t>
      </w:r>
      <w:r>
        <w:rPr>
          <w:rFonts w:ascii="Microsoft JhengHei" w:hAnsi="Microsoft JhengHei" w:cs="Microsoft JhengHei" w:eastAsia="Microsoft JhengHei" w:hint="default"/>
          <w:b/>
          <w:bCs/>
          <w:spacing w:val="-1"/>
          <w:w w:val="100"/>
          <w:sz w:val="24"/>
          <w:szCs w:val="24"/>
        </w:rPr>
        <w:t> </w:t>
      </w:r>
      <w:r>
        <w:rPr>
          <w:rFonts w:ascii="宋体" w:hAnsi="宋体" w:cs="宋体" w:eastAsia="宋体" w:hint="default"/>
          <w:spacing w:val="-5"/>
          <w:sz w:val="24"/>
          <w:szCs w:val="24"/>
        </w:rPr>
        <w:t>长期股权投资主要包括本公司持有的能够对被投资单位实施控制、共同控制</w:t>
      </w:r>
      <w:r>
        <w:rPr>
          <w:rFonts w:ascii="宋体" w:hAnsi="宋体" w:cs="宋体" w:eastAsia="宋体" w:hint="default"/>
          <w:sz w:val="24"/>
          <w:szCs w:val="24"/>
        </w:rPr>
      </w:r>
    </w:p>
    <w:p>
      <w:pPr>
        <w:pStyle w:val="BodyText"/>
        <w:spacing w:line="336" w:lineRule="auto" w:before="71"/>
        <w:ind w:right="193"/>
        <w:jc w:val="both"/>
      </w:pPr>
      <w:r>
        <w:rPr>
          <w:spacing w:val="-5"/>
        </w:rPr>
        <w:t>或重大影响的权益性投资，或者对被投资单位不具有共同控制或重大影响，并且</w:t>
      </w:r>
      <w:r>
        <w:rPr>
          <w:spacing w:val="-64"/>
        </w:rPr>
        <w:t> </w:t>
      </w:r>
      <w:r>
        <w:rPr>
          <w:spacing w:val="-64"/>
        </w:rPr>
      </w:r>
      <w:r>
        <w:rPr/>
        <w:t>在活跃市场中没有报价、公允价值不能可靠计量的权益性投资。</w:t>
      </w:r>
    </w:p>
    <w:p>
      <w:pPr>
        <w:pStyle w:val="BodyText"/>
        <w:spacing w:line="240" w:lineRule="auto" w:before="29"/>
        <w:ind w:left="617" w:right="87"/>
        <w:jc w:val="left"/>
      </w:pPr>
      <w:r>
        <w:rPr/>
        <w:t>（1）共同控制、重大影响的确定依据</w:t>
      </w:r>
    </w:p>
    <w:p>
      <w:pPr>
        <w:pStyle w:val="BodyText"/>
        <w:spacing w:line="336" w:lineRule="auto" w:before="126"/>
        <w:ind w:right="192" w:firstLine="480"/>
        <w:jc w:val="both"/>
      </w:pPr>
      <w:r>
        <w:rPr>
          <w:spacing w:val="-5"/>
        </w:rPr>
        <w:t>①共同控制是指按合同约定对某项经济活动所共有的控制。共同控制的确定</w:t>
      </w:r>
      <w:r>
        <w:rPr>
          <w:spacing w:val="-2"/>
          <w:w w:val="100"/>
        </w:rPr>
        <w:t> </w:t>
      </w:r>
      <w:r>
        <w:rPr>
          <w:spacing w:val="-5"/>
        </w:rPr>
        <w:t>依据主要包括：任何一个合营方均不能单独控制合营企业的生产经营活动；涉及</w:t>
      </w:r>
      <w:r>
        <w:rPr>
          <w:spacing w:val="-64"/>
        </w:rPr>
        <w:t> </w:t>
      </w:r>
      <w:r>
        <w:rPr>
          <w:spacing w:val="-64"/>
        </w:rPr>
      </w:r>
      <w:r>
        <w:rPr/>
        <w:t>合营企业基本经营活动的决策需要各合营方一致同意等。</w:t>
      </w:r>
    </w:p>
    <w:p>
      <w:pPr>
        <w:pStyle w:val="BodyText"/>
        <w:spacing w:line="336" w:lineRule="auto"/>
        <w:ind w:right="87" w:firstLine="480"/>
        <w:jc w:val="left"/>
      </w:pPr>
      <w:r>
        <w:rPr>
          <w:spacing w:val="-5"/>
        </w:rPr>
        <w:t>②重大影响是指对一个企业的财务和经营政策有参与决策的权力，但并不能</w:t>
      </w:r>
      <w:r>
        <w:rPr>
          <w:spacing w:val="-2"/>
          <w:w w:val="100"/>
        </w:rPr>
        <w:t> </w:t>
      </w:r>
      <w:r>
        <w:rPr>
          <w:spacing w:val="-2"/>
        </w:rPr>
        <w:t>控制或与其他方一起共同控制这些政策的制定。重大影响的确定依据主要包括：</w:t>
      </w:r>
      <w:r>
        <w:rPr>
          <w:spacing w:val="-81"/>
        </w:rPr>
        <w:t> </w:t>
      </w:r>
      <w:r>
        <w:rPr/>
        <w:t>当本公司直接或通过子公司间接拥有被投资单位</w:t>
      </w:r>
      <w:r>
        <w:rPr>
          <w:spacing w:val="-54"/>
        </w:rPr>
        <w:t> </w:t>
      </w:r>
      <w:r>
        <w:rPr/>
        <w:t>20％（含）以上但低于</w:t>
      </w:r>
      <w:r>
        <w:rPr>
          <w:spacing w:val="-54"/>
        </w:rPr>
        <w:t> </w:t>
      </w:r>
      <w:r>
        <w:rPr/>
        <w:t>50％的</w:t>
      </w:r>
      <w:r>
        <w:rPr>
          <w:spacing w:val="-2"/>
          <w:w w:val="100"/>
        </w:rPr>
        <w:t> </w:t>
      </w:r>
      <w:r>
        <w:rPr>
          <w:spacing w:val="-5"/>
        </w:rPr>
        <w:t>表决权股份时，除非有明确证据表明该种情况下不能参与被投资单位的生产经营</w:t>
      </w:r>
      <w:r>
        <w:rPr>
          <w:spacing w:val="-63"/>
        </w:rPr>
        <w:t> </w:t>
      </w:r>
      <w:r>
        <w:rPr>
          <w:spacing w:val="-63"/>
        </w:rPr>
      </w:r>
      <w:r>
        <w:rPr>
          <w:spacing w:val="-5"/>
        </w:rPr>
        <w:t>决策，不形成重大影响外，均确定对被投资单位具有重大影响；本公司拥有被投</w:t>
      </w:r>
      <w:r>
        <w:rPr>
          <w:spacing w:val="-60"/>
        </w:rPr>
        <w:t> </w:t>
      </w:r>
      <w:r>
        <w:rPr>
          <w:spacing w:val="-60"/>
        </w:rPr>
      </w:r>
      <w:r>
        <w:rPr/>
        <w:t>资单位</w:t>
      </w:r>
      <w:r>
        <w:rPr>
          <w:spacing w:val="1"/>
        </w:rPr>
        <w:t> </w:t>
      </w:r>
      <w:r>
        <w:rPr/>
        <w:t>20％（不含）以下的表决权股份，一般不认为对被投资单位具有重大影</w:t>
      </w:r>
      <w:r>
        <w:rPr>
          <w:spacing w:val="-1"/>
          <w:w w:val="100"/>
        </w:rPr>
        <w:t> </w:t>
      </w:r>
      <w:r>
        <w:rPr/>
        <w:t>响。但符合下列情况的，也确定为对被投资单位具有重大影响：</w:t>
      </w:r>
    </w:p>
    <w:p>
      <w:pPr>
        <w:pStyle w:val="BodyText"/>
        <w:spacing w:line="336" w:lineRule="auto"/>
        <w:ind w:left="617" w:right="847"/>
        <w:jc w:val="left"/>
      </w:pPr>
      <w:r>
        <w:rPr>
          <w:spacing w:val="-2"/>
        </w:rPr>
        <w:t>A.在被投资单位的董事会或类似的权力机构中派有代表；</w:t>
      </w:r>
      <w:r>
        <w:rPr>
          <w:spacing w:val="-92"/>
        </w:rPr>
        <w:t> </w:t>
      </w:r>
      <w:r>
        <w:rPr/>
        <w:t>B.参与被投资单位的政策制定过程；</w:t>
      </w:r>
      <w:r>
        <w:rPr>
          <w:spacing w:val="-2"/>
          <w:w w:val="100"/>
        </w:rPr>
        <w:t> </w:t>
      </w:r>
      <w:r>
        <w:rPr/>
        <w:t>C.与被投资单位之间发生重要交易；</w:t>
      </w:r>
      <w:r>
        <w:rPr>
          <w:spacing w:val="-2"/>
          <w:w w:val="100"/>
        </w:rPr>
        <w:t> </w:t>
      </w:r>
      <w:r>
        <w:rPr/>
        <w:t>D.向被投资单位派出管理人员；</w:t>
      </w:r>
      <w:r>
        <w:rPr>
          <w:spacing w:val="-2"/>
          <w:w w:val="100"/>
        </w:rPr>
        <w:t> </w:t>
      </w:r>
      <w:r>
        <w:rPr/>
        <w:t>E.向被投资单位提供关键技术数据。</w:t>
      </w:r>
    </w:p>
    <w:p>
      <w:pPr>
        <w:pStyle w:val="BodyText"/>
        <w:spacing w:line="336" w:lineRule="auto"/>
        <w:ind w:left="617" w:right="87"/>
        <w:jc w:val="left"/>
      </w:pPr>
      <w:r>
        <w:rPr/>
        <w:t>（2）长期股权投资的初始计量</w:t>
      </w:r>
      <w:r>
        <w:rPr>
          <w:spacing w:val="-2"/>
          <w:w w:val="100"/>
        </w:rPr>
        <w:t> </w:t>
      </w:r>
      <w:r>
        <w:rPr/>
        <w:t>本公司合并形成的长期股权投资，按照下列规定确定其初始投资成本：</w:t>
      </w:r>
      <w:r>
        <w:rPr>
          <w:spacing w:val="-2"/>
          <w:w w:val="100"/>
        </w:rPr>
        <w:t> </w:t>
      </w:r>
      <w:r>
        <w:rPr>
          <w:spacing w:val="-5"/>
        </w:rPr>
        <w:t>本公司同一控制下的企业合并，以支付现金、转让非现金资产或承担债务方</w:t>
      </w:r>
      <w:r>
        <w:rPr/>
      </w:r>
    </w:p>
    <w:p>
      <w:pPr>
        <w:pStyle w:val="BodyText"/>
        <w:spacing w:line="336" w:lineRule="auto"/>
        <w:ind w:right="191"/>
        <w:jc w:val="both"/>
      </w:pPr>
      <w:r>
        <w:rPr>
          <w:spacing w:val="-5"/>
        </w:rPr>
        <w:t>式作为合并对价的，在合并日按照取得被合并方所有者权益账面价值的份额作为</w:t>
      </w:r>
      <w:r>
        <w:rPr>
          <w:spacing w:val="-63"/>
        </w:rPr>
        <w:t> </w:t>
      </w:r>
      <w:r>
        <w:rPr>
          <w:spacing w:val="-63"/>
        </w:rPr>
      </w:r>
      <w:r>
        <w:rPr>
          <w:spacing w:val="-5"/>
        </w:rPr>
        <w:t>长期股权投资的初始投资成本。长期股权投资初始投资成本与支付的现金、转让</w:t>
      </w:r>
      <w:r>
        <w:rPr>
          <w:spacing w:val="-64"/>
        </w:rPr>
        <w:t> </w:t>
      </w:r>
      <w:r>
        <w:rPr>
          <w:spacing w:val="-64"/>
        </w:rPr>
      </w:r>
      <w:r>
        <w:rPr>
          <w:spacing w:val="-5"/>
        </w:rPr>
        <w:t>的非现金资产以及所承担债务账面价值之间的差额，调整资本公积；资本公积不</w:t>
      </w:r>
      <w:r>
        <w:rPr>
          <w:spacing w:val="-64"/>
        </w:rPr>
        <w:t> </w:t>
      </w:r>
      <w:r>
        <w:rPr>
          <w:spacing w:val="-64"/>
        </w:rPr>
      </w:r>
      <w:r>
        <w:rPr>
          <w:spacing w:val="-5"/>
        </w:rPr>
        <w:t>足冲减的，调整留存收益。以发行权益性证券作为合并对价的，在合并日按照取</w:t>
      </w:r>
      <w:r>
        <w:rPr>
          <w:spacing w:val="-60"/>
        </w:rPr>
        <w:t> </w:t>
      </w:r>
      <w:r>
        <w:rPr>
          <w:spacing w:val="-60"/>
        </w:rPr>
      </w:r>
      <w:r>
        <w:rPr>
          <w:spacing w:val="-5"/>
        </w:rPr>
        <w:t>得被合并方所有者权益账面价值的份额作为长期股权投资的初始投资成本。按照</w:t>
      </w:r>
      <w:r>
        <w:rPr>
          <w:spacing w:val="-63"/>
        </w:rPr>
        <w:t> </w:t>
      </w:r>
      <w:r>
        <w:rPr>
          <w:spacing w:val="-63"/>
        </w:rPr>
      </w:r>
      <w:r>
        <w:rPr>
          <w:spacing w:val="-5"/>
        </w:rPr>
        <w:t>发行股份的面值总额作为股本，长期股权投资初始投资成本与所发行股份面值总</w:t>
      </w:r>
      <w:r>
        <w:rPr/>
      </w:r>
    </w:p>
    <w:p>
      <w:pPr>
        <w:pStyle w:val="BodyText"/>
        <w:spacing w:line="240" w:lineRule="auto"/>
        <w:ind w:right="0"/>
        <w:jc w:val="both"/>
      </w:pPr>
      <w:r>
        <w:rPr/>
        <w:t>额之间的差额，调整资本公积；资本公积不足冲减的，调整留存收益。</w:t>
      </w:r>
    </w:p>
    <w:p>
      <w:pPr>
        <w:spacing w:after="0" w:line="240" w:lineRule="auto"/>
        <w:jc w:val="both"/>
        <w:sectPr>
          <w:pgSz w:w="11910" w:h="16840"/>
          <w:pgMar w:header="915" w:footer="1712" w:top="1100" w:bottom="1900" w:left="1660" w:right="1600"/>
        </w:sectPr>
      </w:pPr>
    </w:p>
    <w:p>
      <w:pPr>
        <w:spacing w:line="384" w:lineRule="auto" w:before="106"/>
        <w:ind w:left="137" w:right="87" w:firstLine="630"/>
        <w:jc w:val="left"/>
        <w:rPr>
          <w:rFonts w:ascii="宋体" w:hAnsi="宋体" w:cs="宋体" w:eastAsia="宋体" w:hint="default"/>
          <w:sz w:val="21"/>
          <w:szCs w:val="21"/>
        </w:rPr>
      </w:pPr>
      <w:r>
        <w:rPr>
          <w:rFonts w:ascii="宋体" w:hAnsi="宋体" w:cs="宋体" w:eastAsia="宋体" w:hint="default"/>
          <w:sz w:val="21"/>
          <w:szCs w:val="21"/>
        </w:rPr>
        <w:t>本公司非同一控制下的企业合并，在购买日按照《企业会计准则第</w:t>
      </w:r>
      <w:r>
        <w:rPr>
          <w:rFonts w:ascii="宋体" w:hAnsi="宋体" w:cs="宋体" w:eastAsia="宋体" w:hint="default"/>
          <w:spacing w:val="-66"/>
          <w:sz w:val="21"/>
          <w:szCs w:val="21"/>
        </w:rPr>
        <w:t> </w:t>
      </w:r>
      <w:r>
        <w:rPr>
          <w:rFonts w:ascii="宋体" w:hAnsi="宋体" w:cs="宋体" w:eastAsia="宋体" w:hint="default"/>
          <w:sz w:val="21"/>
          <w:szCs w:val="21"/>
        </w:rPr>
        <w:t>20</w:t>
      </w:r>
      <w:r>
        <w:rPr>
          <w:rFonts w:ascii="宋体" w:hAnsi="宋体" w:cs="宋体" w:eastAsia="宋体" w:hint="default"/>
          <w:spacing w:val="-66"/>
          <w:sz w:val="21"/>
          <w:szCs w:val="21"/>
        </w:rPr>
        <w:t> </w:t>
      </w:r>
      <w:r>
        <w:rPr>
          <w:rFonts w:ascii="宋体" w:hAnsi="宋体" w:cs="宋体" w:eastAsia="宋体" w:hint="default"/>
          <w:sz w:val="21"/>
          <w:szCs w:val="21"/>
        </w:rPr>
        <w:t>号-企业合并》</w:t>
      </w:r>
      <w:r>
        <w:rPr>
          <w:rFonts w:ascii="宋体" w:hAnsi="宋体" w:cs="宋体" w:eastAsia="宋体" w:hint="default"/>
          <w:spacing w:val="-1"/>
          <w:sz w:val="21"/>
          <w:szCs w:val="21"/>
        </w:rPr>
        <w:t> </w:t>
      </w:r>
      <w:r>
        <w:rPr>
          <w:rFonts w:ascii="宋体" w:hAnsi="宋体" w:cs="宋体" w:eastAsia="宋体" w:hint="default"/>
          <w:spacing w:val="-7"/>
          <w:sz w:val="21"/>
          <w:szCs w:val="21"/>
        </w:rPr>
        <w:t>确定的合并成本作为长期股权投资的初始投资成本，相关披露见附注六、1、（2）。</w:t>
      </w:r>
    </w:p>
    <w:p>
      <w:pPr>
        <w:pStyle w:val="BodyText"/>
        <w:spacing w:line="336" w:lineRule="auto" w:before="123"/>
        <w:ind w:right="190" w:firstLine="540"/>
        <w:jc w:val="both"/>
      </w:pPr>
      <w:r>
        <w:rPr/>
        <w:t>除本公司合并形成的长期股权投资以外，其它方式取得的长期股权投资，</w:t>
      </w:r>
      <w:r>
        <w:rPr>
          <w:spacing w:val="1"/>
          <w:w w:val="100"/>
        </w:rPr>
        <w:t> </w:t>
      </w:r>
      <w:r>
        <w:rPr/>
        <w:t>按照下列规定确定其初始投资成本：</w:t>
      </w:r>
    </w:p>
    <w:p>
      <w:pPr>
        <w:pStyle w:val="BodyText"/>
        <w:spacing w:line="336" w:lineRule="auto"/>
        <w:ind w:right="192" w:firstLine="480"/>
        <w:jc w:val="both"/>
      </w:pPr>
      <w:r>
        <w:rPr>
          <w:spacing w:val="-5"/>
        </w:rPr>
        <w:t>①以支付现金取得的长期股权投资，按照实际支付的购买价款作为初始投资</w:t>
      </w:r>
      <w:r>
        <w:rPr>
          <w:spacing w:val="-2"/>
          <w:w w:val="100"/>
        </w:rPr>
        <w:t> </w:t>
      </w:r>
      <w:r>
        <w:rPr>
          <w:spacing w:val="-5"/>
        </w:rPr>
        <w:t>成本。初始投资成本包括与取得长期股权投资直接相关的费用、税金及其它必要</w:t>
      </w:r>
      <w:r>
        <w:rPr>
          <w:spacing w:val="-64"/>
        </w:rPr>
        <w:t> </w:t>
      </w:r>
      <w:r>
        <w:rPr>
          <w:spacing w:val="-64"/>
        </w:rPr>
      </w:r>
      <w:r>
        <w:rPr>
          <w:spacing w:val="-2"/>
        </w:rPr>
        <w:t>支出；</w:t>
      </w:r>
      <w:r>
        <w:rPr/>
      </w:r>
    </w:p>
    <w:p>
      <w:pPr>
        <w:pStyle w:val="BodyText"/>
        <w:spacing w:line="336" w:lineRule="auto"/>
        <w:ind w:right="192" w:firstLine="480"/>
        <w:jc w:val="both"/>
      </w:pPr>
      <w:r>
        <w:rPr>
          <w:spacing w:val="-5"/>
        </w:rPr>
        <w:t>②以发行权益性证券取得的长期股权投资，按照发行权益性证券的公允价值</w:t>
      </w:r>
      <w:r>
        <w:rPr>
          <w:spacing w:val="-2"/>
          <w:w w:val="100"/>
        </w:rPr>
        <w:t> </w:t>
      </w:r>
      <w:r>
        <w:rPr/>
        <w:t>作为初始投资成本；</w:t>
      </w:r>
    </w:p>
    <w:p>
      <w:pPr>
        <w:pStyle w:val="BodyText"/>
        <w:spacing w:line="336" w:lineRule="auto"/>
        <w:ind w:right="192" w:firstLine="480"/>
        <w:jc w:val="both"/>
      </w:pPr>
      <w:r>
        <w:rPr>
          <w:spacing w:val="-5"/>
        </w:rPr>
        <w:t>③投资者投入的长期股权投资，按照投资合同或协议约定的价值作为初始投</w:t>
      </w:r>
      <w:r>
        <w:rPr>
          <w:spacing w:val="-2"/>
          <w:w w:val="100"/>
        </w:rPr>
        <w:t> </w:t>
      </w:r>
      <w:r>
        <w:rPr/>
        <w:t>资成本，但合同或协议约定价值不公允的除外；</w:t>
      </w:r>
    </w:p>
    <w:p>
      <w:pPr>
        <w:pStyle w:val="BodyText"/>
        <w:spacing w:line="336" w:lineRule="auto" w:before="29"/>
        <w:ind w:right="193" w:firstLine="480"/>
        <w:jc w:val="both"/>
      </w:pPr>
      <w:r>
        <w:rPr>
          <w:spacing w:val="-5"/>
        </w:rPr>
        <w:t>④通过非货币性资产交换取得的长期股权投资，其初始投资成本按照《企业</w:t>
      </w:r>
      <w:r>
        <w:rPr>
          <w:spacing w:val="-2"/>
          <w:w w:val="100"/>
        </w:rPr>
        <w:t> </w:t>
      </w:r>
      <w:r>
        <w:rPr/>
        <w:t>会计准则第</w:t>
      </w:r>
      <w:r>
        <w:rPr>
          <w:spacing w:val="-75"/>
        </w:rPr>
        <w:t> </w:t>
      </w:r>
      <w:r>
        <w:rPr/>
        <w:t>7</w:t>
      </w:r>
      <w:r>
        <w:rPr>
          <w:spacing w:val="-75"/>
        </w:rPr>
        <w:t> </w:t>
      </w:r>
      <w:r>
        <w:rPr/>
        <w:t>号-非货币性资产交换》确定，相关披露见附注四、23。</w:t>
      </w:r>
    </w:p>
    <w:p>
      <w:pPr>
        <w:pStyle w:val="BodyText"/>
        <w:spacing w:line="336" w:lineRule="auto"/>
        <w:ind w:right="193" w:firstLine="480"/>
        <w:jc w:val="both"/>
      </w:pPr>
      <w:r>
        <w:rPr>
          <w:spacing w:val="-5"/>
        </w:rPr>
        <w:t>⑤通过债务重组取得的长期股权投资，其初始投资成本按照《企业会计准则</w:t>
      </w:r>
      <w:r>
        <w:rPr>
          <w:spacing w:val="-2"/>
          <w:w w:val="100"/>
        </w:rPr>
        <w:t> </w:t>
      </w:r>
      <w:r>
        <w:rPr/>
        <w:t>第</w:t>
      </w:r>
      <w:r>
        <w:rPr>
          <w:spacing w:val="-62"/>
        </w:rPr>
        <w:t> </w:t>
      </w:r>
      <w:r>
        <w:rPr/>
        <w:t>12</w:t>
      </w:r>
      <w:r>
        <w:rPr>
          <w:spacing w:val="-61"/>
        </w:rPr>
        <w:t> </w:t>
      </w:r>
      <w:r>
        <w:rPr/>
        <w:t>号-债务重组》确定，相关披露见附注四、24。</w:t>
      </w:r>
    </w:p>
    <w:p>
      <w:pPr>
        <w:spacing w:before="65"/>
        <w:ind w:left="137" w:right="87" w:firstLine="0"/>
        <w:jc w:val="left"/>
        <w:rPr>
          <w:rFonts w:ascii="宋体" w:hAnsi="宋体" w:cs="宋体" w:eastAsia="宋体" w:hint="default"/>
          <w:sz w:val="21"/>
          <w:szCs w:val="21"/>
        </w:rPr>
      </w:pPr>
      <w:r>
        <w:rPr>
          <w:rFonts w:ascii="宋体" w:hAnsi="宋体" w:cs="宋体" w:eastAsia="宋体" w:hint="default"/>
          <w:sz w:val="21"/>
          <w:szCs w:val="21"/>
        </w:rPr>
        <w:t>（3）长期股权投资的后续计量及投资收益确认方法</w:t>
      </w:r>
    </w:p>
    <w:p>
      <w:pPr>
        <w:spacing w:line="240" w:lineRule="auto" w:before="11"/>
        <w:rPr>
          <w:rFonts w:ascii="宋体" w:hAnsi="宋体" w:cs="宋体" w:eastAsia="宋体" w:hint="default"/>
          <w:sz w:val="21"/>
          <w:szCs w:val="21"/>
        </w:rPr>
      </w:pPr>
    </w:p>
    <w:p>
      <w:pPr>
        <w:spacing w:line="384" w:lineRule="auto" w:before="0"/>
        <w:ind w:left="557" w:right="191" w:firstLine="420"/>
        <w:jc w:val="both"/>
        <w:rPr>
          <w:rFonts w:ascii="宋体" w:hAnsi="宋体" w:cs="宋体" w:eastAsia="宋体" w:hint="default"/>
          <w:sz w:val="21"/>
          <w:szCs w:val="21"/>
        </w:rPr>
      </w:pPr>
      <w:r>
        <w:rPr>
          <w:rFonts w:ascii="宋体" w:hAnsi="宋体" w:cs="宋体" w:eastAsia="宋体" w:hint="default"/>
          <w:spacing w:val="-3"/>
          <w:sz w:val="21"/>
          <w:szCs w:val="21"/>
        </w:rPr>
        <w:t>①本公司采用成本法核算的长期股权投资包括：能够对被投资单位实施控制的长期</w:t>
      </w:r>
      <w:r>
        <w:rPr>
          <w:rFonts w:ascii="宋体" w:hAnsi="宋体" w:cs="宋体" w:eastAsia="宋体" w:hint="default"/>
          <w:sz w:val="21"/>
          <w:szCs w:val="21"/>
        </w:rPr>
        <w:t> </w:t>
      </w:r>
      <w:r>
        <w:rPr>
          <w:rFonts w:ascii="宋体" w:hAnsi="宋体" w:cs="宋体" w:eastAsia="宋体" w:hint="default"/>
          <w:spacing w:val="-3"/>
          <w:sz w:val="21"/>
          <w:szCs w:val="21"/>
        </w:rPr>
        <w:t>股权投资；对被投资单位不具有共同控制或重大影响，并且在活跃市场中没有报价、公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允价值不能可靠计量的长期股权投资。</w:t>
      </w:r>
    </w:p>
    <w:p>
      <w:pPr>
        <w:pStyle w:val="BodyText"/>
        <w:spacing w:line="336" w:lineRule="auto" w:before="124"/>
        <w:ind w:right="192" w:firstLine="480"/>
        <w:jc w:val="both"/>
      </w:pPr>
      <w:r>
        <w:rPr>
          <w:spacing w:val="-5"/>
        </w:rPr>
        <w:t>采用成本法核算的长期股权投资按照初始投资成本计价。追加或收回投资调</w:t>
      </w:r>
      <w:r>
        <w:rPr>
          <w:spacing w:val="-2"/>
          <w:w w:val="100"/>
        </w:rPr>
        <w:t> </w:t>
      </w:r>
      <w:r>
        <w:rPr>
          <w:spacing w:val="-5"/>
        </w:rPr>
        <w:t>整长期股权投资的成本。被投资单位宣告分派的现金股利或利润，确认为当期投</w:t>
      </w:r>
      <w:r>
        <w:rPr>
          <w:spacing w:val="-64"/>
        </w:rPr>
        <w:t> </w:t>
      </w:r>
      <w:r>
        <w:rPr>
          <w:spacing w:val="-64"/>
        </w:rPr>
      </w:r>
      <w:r>
        <w:rPr>
          <w:spacing w:val="-5"/>
        </w:rPr>
        <w:t>资收益。本公司确认投资收益，仅限于被投资单位接受投资后产生的累积净利润</w:t>
      </w:r>
      <w:r>
        <w:rPr>
          <w:spacing w:val="-64"/>
        </w:rPr>
        <w:t> </w:t>
      </w:r>
      <w:r>
        <w:rPr>
          <w:spacing w:val="-64"/>
        </w:rPr>
      </w:r>
      <w:r>
        <w:rPr>
          <w:spacing w:val="-5"/>
        </w:rPr>
        <w:t>的分配额，所获得的利润或现金股利超过上述数额的部分作为初始投资成本的收</w:t>
      </w:r>
      <w:r>
        <w:rPr>
          <w:spacing w:val="-63"/>
        </w:rPr>
        <w:t> </w:t>
      </w:r>
      <w:r>
        <w:rPr>
          <w:spacing w:val="-63"/>
        </w:rPr>
      </w:r>
      <w:r>
        <w:rPr/>
        <w:t>回。</w:t>
      </w:r>
    </w:p>
    <w:p>
      <w:pPr>
        <w:pStyle w:val="BodyText"/>
        <w:spacing w:line="240" w:lineRule="auto"/>
        <w:ind w:left="617" w:right="87"/>
        <w:jc w:val="left"/>
      </w:pPr>
      <w:r>
        <w:rPr>
          <w:spacing w:val="-2"/>
        </w:rPr>
        <w:t>2006</w:t>
      </w:r>
      <w:r>
        <w:rPr>
          <w:spacing w:val="-26"/>
        </w:rPr>
        <w:t> </w:t>
      </w:r>
      <w:r>
        <w:rPr>
          <w:spacing w:val="-2"/>
        </w:rPr>
        <w:t>年度本公司对非同一控制下的对子公司投资采用权益法核算。</w:t>
      </w:r>
      <w:r>
        <w:rPr/>
      </w:r>
    </w:p>
    <w:p>
      <w:pPr>
        <w:pStyle w:val="BodyText"/>
        <w:spacing w:line="336" w:lineRule="auto" w:before="126"/>
        <w:ind w:right="87" w:firstLine="480"/>
        <w:jc w:val="left"/>
      </w:pPr>
      <w:r>
        <w:rPr/>
        <w:t>②本公司采用权益法核算的长期股权投资包括对被投资单位具有共同控制</w:t>
      </w:r>
      <w:r>
        <w:rPr>
          <w:spacing w:val="3"/>
          <w:w w:val="100"/>
        </w:rPr>
        <w:t> </w:t>
      </w:r>
      <w:r>
        <w:rPr>
          <w:spacing w:val="-5"/>
        </w:rPr>
        <w:t>或重大影响的长期股权投资。长期股权投资的初始投资成本大于投资时应享有被</w:t>
      </w:r>
      <w:r>
        <w:rPr>
          <w:spacing w:val="-63"/>
        </w:rPr>
        <w:t> </w:t>
      </w:r>
      <w:r>
        <w:rPr>
          <w:spacing w:val="-63"/>
        </w:rPr>
      </w:r>
      <w:r>
        <w:rPr>
          <w:spacing w:val="-2"/>
        </w:rPr>
        <w:t>投资单位可辨认净资产公允价值份额的，不调整长期股权投资的初始投资成本；</w:t>
      </w:r>
      <w:r>
        <w:rPr>
          <w:spacing w:val="-81"/>
        </w:rPr>
        <w:t> </w:t>
      </w:r>
      <w:r>
        <w:rPr/>
        <w:t>长期股权投资的初始投资成本小于投资时应享有被投资单位可辨认净资产公允</w:t>
      </w:r>
      <w:r>
        <w:rPr>
          <w:spacing w:val="19"/>
        </w:rPr>
        <w:t> </w:t>
      </w:r>
      <w:r>
        <w:rPr>
          <w:spacing w:val="19"/>
        </w:rPr>
      </w:r>
      <w:r>
        <w:rPr>
          <w:spacing w:val="-5"/>
        </w:rPr>
        <w:t>价值份额的，其差额计入当期损益，同时调整长期股权投资的成本。被投资单位</w:t>
      </w:r>
      <w:r>
        <w:rPr/>
      </w:r>
    </w:p>
    <w:p>
      <w:pPr>
        <w:spacing w:after="0" w:line="336" w:lineRule="auto"/>
        <w:jc w:val="left"/>
        <w:sectPr>
          <w:headerReference w:type="default" r:id="rId43"/>
          <w:pgSz w:w="11910" w:h="16840"/>
          <w:pgMar w:header="840" w:footer="1712" w:top="1160" w:bottom="1900" w:left="1660" w:right="1600"/>
        </w:sectPr>
      </w:pPr>
    </w:p>
    <w:p>
      <w:pPr>
        <w:pStyle w:val="BodyText"/>
        <w:spacing w:line="336" w:lineRule="auto" w:before="71"/>
        <w:ind w:right="0"/>
        <w:jc w:val="left"/>
      </w:pPr>
      <w:r>
        <w:rPr>
          <w:spacing w:val="-5"/>
        </w:rPr>
        <w:t>可辨认净资产的公允价值，比照《企业会计准则第</w:t>
      </w:r>
      <w:r>
        <w:rPr>
          <w:spacing w:val="-41"/>
        </w:rPr>
        <w:t> </w:t>
      </w:r>
      <w:r>
        <w:rPr/>
        <w:t>20</w:t>
      </w:r>
      <w:r>
        <w:rPr>
          <w:spacing w:val="-40"/>
        </w:rPr>
        <w:t> </w:t>
      </w:r>
      <w:r>
        <w:rPr>
          <w:spacing w:val="-5"/>
        </w:rPr>
        <w:t>号-企业合并》的有关规定</w:t>
      </w:r>
      <w:r>
        <w:rPr>
          <w:spacing w:val="-107"/>
        </w:rPr>
        <w:t> </w:t>
      </w:r>
      <w:r>
        <w:rPr>
          <w:spacing w:val="-107"/>
        </w:rPr>
      </w:r>
      <w:r>
        <w:rPr>
          <w:spacing w:val="-16"/>
          <w:w w:val="100"/>
        </w:rPr>
        <w:t>确定，相关披露见附注六、1、（3）。</w:t>
      </w:r>
    </w:p>
    <w:p>
      <w:pPr>
        <w:pStyle w:val="BodyText"/>
        <w:spacing w:line="336" w:lineRule="auto" w:before="29"/>
        <w:ind w:right="151" w:firstLine="480"/>
        <w:jc w:val="left"/>
      </w:pPr>
      <w:r>
        <w:rPr/>
        <w:t>2006</w:t>
      </w:r>
      <w:r>
        <w:rPr>
          <w:spacing w:val="-71"/>
        </w:rPr>
        <w:t> </w:t>
      </w:r>
      <w:r>
        <w:rPr/>
        <w:t>年度长期股权投资（不含同一控制下的对子公司投资）采用权益法核</w:t>
      </w:r>
      <w:r>
        <w:rPr>
          <w:spacing w:val="-2"/>
          <w:w w:val="100"/>
        </w:rPr>
        <w:t> </w:t>
      </w:r>
      <w:r>
        <w:rPr>
          <w:spacing w:val="-5"/>
        </w:rPr>
        <w:t>算时，长期股权投资的初始投资成本与应享有被投资单位所有者权益份额之间的</w:t>
      </w:r>
      <w:r>
        <w:rPr>
          <w:spacing w:val="-63"/>
        </w:rPr>
        <w:t> </w:t>
      </w:r>
      <w:r>
        <w:rPr>
          <w:spacing w:val="-63"/>
        </w:rPr>
      </w:r>
      <w:r>
        <w:rPr>
          <w:spacing w:val="-5"/>
        </w:rPr>
        <w:t>差额，作为股权投资差额，分别情况进行会计处理：初始投资成本大于应享有被</w:t>
      </w:r>
      <w:r>
        <w:rPr>
          <w:spacing w:val="-60"/>
        </w:rPr>
        <w:t> </w:t>
      </w:r>
      <w:r>
        <w:rPr>
          <w:spacing w:val="-60"/>
        </w:rPr>
      </w:r>
      <w:r>
        <w:rPr>
          <w:spacing w:val="-5"/>
        </w:rPr>
        <w:t>投资单位所有者权益份额之间的差额，分十年平均摊销计入各摊销期的损益；初</w:t>
      </w:r>
      <w:r>
        <w:rPr>
          <w:spacing w:val="-62"/>
        </w:rPr>
        <w:t> </w:t>
      </w:r>
      <w:r>
        <w:rPr>
          <w:spacing w:val="-62"/>
        </w:rPr>
      </w:r>
      <w:r>
        <w:rPr/>
        <w:t>始投资成本小于应享有被投资单位所有者权益份额之间的差额，按</w:t>
      </w:r>
      <w:r>
        <w:rPr>
          <w:spacing w:val="-71"/>
        </w:rPr>
        <w:t> </w:t>
      </w:r>
      <w:r>
        <w:rPr/>
        <w:t>10</w:t>
      </w:r>
      <w:r>
        <w:rPr>
          <w:spacing w:val="-70"/>
        </w:rPr>
        <w:t> </w:t>
      </w:r>
      <w:r>
        <w:rPr/>
        <w:t>年计入各</w:t>
      </w:r>
      <w:r>
        <w:rPr>
          <w:spacing w:val="-2"/>
          <w:w w:val="100"/>
        </w:rPr>
        <w:t> </w:t>
      </w:r>
      <w:r>
        <w:rPr>
          <w:spacing w:val="-5"/>
        </w:rPr>
        <w:t>摊销期的损益。自财政部《关于执行〈企业会计制度〉和相关会计准则有关问题</w:t>
      </w:r>
      <w:r>
        <w:rPr>
          <w:spacing w:val="-60"/>
        </w:rPr>
        <w:t> </w:t>
      </w:r>
      <w:r>
        <w:rPr>
          <w:spacing w:val="-60"/>
        </w:rPr>
      </w:r>
      <w:r>
        <w:rPr>
          <w:spacing w:val="-16"/>
          <w:w w:val="100"/>
        </w:rPr>
        <w:t>解答（二）》（财会[2003]10</w:t>
      </w:r>
      <w:r>
        <w:rPr>
          <w:spacing w:val="-58"/>
          <w:w w:val="100"/>
        </w:rPr>
        <w:t> </w:t>
      </w:r>
      <w:r>
        <w:rPr>
          <w:spacing w:val="-1"/>
          <w:w w:val="100"/>
        </w:rPr>
        <w:t>号）发布之后发生的初始投资成本小于应享有被投</w:t>
      </w:r>
      <w:r>
        <w:rPr>
          <w:spacing w:val="-114"/>
          <w:w w:val="100"/>
        </w:rPr>
        <w:t> </w:t>
      </w:r>
      <w:r>
        <w:rPr>
          <w:spacing w:val="-114"/>
          <w:w w:val="100"/>
        </w:rPr>
      </w:r>
      <w:r>
        <w:rPr/>
        <w:t>资单位所有者权益份额之间的差额，记入“资本公积-股权投资准备”科目。</w:t>
      </w:r>
    </w:p>
    <w:p>
      <w:pPr>
        <w:pStyle w:val="BodyText"/>
        <w:spacing w:line="336" w:lineRule="auto"/>
        <w:ind w:right="150" w:firstLine="540"/>
        <w:jc w:val="both"/>
      </w:pPr>
      <w:r>
        <w:rPr/>
        <w:t>本公司取得长期股权投资后，按照应享有或应分担的被投资单位实现的净</w:t>
      </w:r>
      <w:r>
        <w:rPr>
          <w:spacing w:val="1"/>
          <w:w w:val="100"/>
        </w:rPr>
        <w:t> </w:t>
      </w:r>
      <w:r>
        <w:rPr>
          <w:spacing w:val="-5"/>
        </w:rPr>
        <w:t>损益的份额，确认投资损益并调整长期股权投资的账面价值。本公司按照被投资</w:t>
      </w:r>
      <w:r>
        <w:rPr>
          <w:spacing w:val="-64"/>
        </w:rPr>
        <w:t> </w:t>
      </w:r>
      <w:r>
        <w:rPr>
          <w:spacing w:val="-64"/>
        </w:rPr>
      </w:r>
      <w:r>
        <w:rPr>
          <w:spacing w:val="-5"/>
        </w:rPr>
        <w:t>单位宣告分派的利润或现金股利计算应分得的部分，相应减少长期股权投资的账</w:t>
      </w:r>
      <w:r>
        <w:rPr>
          <w:spacing w:val="-63"/>
        </w:rPr>
        <w:t> </w:t>
      </w:r>
      <w:r>
        <w:rPr>
          <w:spacing w:val="-63"/>
        </w:rPr>
      </w:r>
      <w:r>
        <w:rPr/>
        <w:t>面价值。</w:t>
      </w:r>
    </w:p>
    <w:p>
      <w:pPr>
        <w:pStyle w:val="BodyText"/>
        <w:spacing w:line="336" w:lineRule="auto" w:before="29"/>
        <w:ind w:right="150" w:firstLine="540"/>
        <w:jc w:val="both"/>
      </w:pPr>
      <w:r>
        <w:rPr/>
        <w:t>本公司确认被投资单位发生的净亏损，以长期股权投资的账面价值以及其</w:t>
      </w:r>
      <w:r>
        <w:rPr>
          <w:spacing w:val="1"/>
          <w:w w:val="100"/>
        </w:rPr>
        <w:t> </w:t>
      </w:r>
      <w:r>
        <w:rPr>
          <w:spacing w:val="-5"/>
        </w:rPr>
        <w:t>它实质上构成对被投资单位净投资的长期权益减记至零为限，本公司负有承担额</w:t>
      </w:r>
      <w:r>
        <w:rPr>
          <w:spacing w:val="-63"/>
        </w:rPr>
        <w:t> </w:t>
      </w:r>
      <w:r>
        <w:rPr>
          <w:spacing w:val="-63"/>
        </w:rPr>
      </w:r>
      <w:r>
        <w:rPr>
          <w:spacing w:val="-5"/>
        </w:rPr>
        <w:t>外损失义务的除外。被投资单位以后实现净利润的，本公司在其收益分享额弥补</w:t>
      </w:r>
      <w:r>
        <w:rPr>
          <w:spacing w:val="-64"/>
        </w:rPr>
        <w:t> </w:t>
      </w:r>
      <w:r>
        <w:rPr>
          <w:spacing w:val="-64"/>
        </w:rPr>
      </w:r>
      <w:r>
        <w:rPr/>
        <w:t>未确认的亏损分担额后，恢复确认收益分享额。</w:t>
      </w:r>
    </w:p>
    <w:p>
      <w:pPr>
        <w:pStyle w:val="BodyText"/>
        <w:spacing w:line="336" w:lineRule="auto"/>
        <w:ind w:right="151" w:firstLine="540"/>
        <w:jc w:val="both"/>
      </w:pPr>
      <w:r>
        <w:rPr/>
        <w:t>2006</w:t>
      </w:r>
      <w:r>
        <w:rPr>
          <w:spacing w:val="-50"/>
        </w:rPr>
        <w:t> </w:t>
      </w:r>
      <w:r>
        <w:rPr/>
        <w:t>年度本公司确认被投资单位发生的净亏损，以长期股权投资的账面价</w:t>
      </w:r>
      <w:r>
        <w:rPr>
          <w:spacing w:val="-2"/>
          <w:w w:val="100"/>
        </w:rPr>
        <w:t> </w:t>
      </w:r>
      <w:r>
        <w:rPr/>
        <w:t>值减记至零为限。</w:t>
      </w:r>
    </w:p>
    <w:p>
      <w:pPr>
        <w:pStyle w:val="BodyText"/>
        <w:spacing w:line="336" w:lineRule="auto" w:before="29"/>
        <w:ind w:right="147" w:firstLine="540"/>
        <w:jc w:val="both"/>
      </w:pPr>
      <w:r>
        <w:rPr/>
        <w:t>本公司在确认应享有被投资单位净损益的份额时，以取得投资时被投资单</w:t>
      </w:r>
      <w:r>
        <w:rPr>
          <w:spacing w:val="1"/>
          <w:w w:val="100"/>
        </w:rPr>
        <w:t> </w:t>
      </w:r>
      <w:r>
        <w:rPr/>
        <w:t>位各项可辨认资产等的公允价值为基础，对被投资单位的净利润进行调整后确</w:t>
      </w:r>
      <w:r>
        <w:rPr>
          <w:spacing w:val="19"/>
        </w:rPr>
        <w:t> </w:t>
      </w:r>
      <w:r>
        <w:rPr>
          <w:spacing w:val="19"/>
        </w:rPr>
      </w:r>
      <w:r>
        <w:rPr>
          <w:spacing w:val="-5"/>
        </w:rPr>
        <w:t>认。若符合下列条件，本公司以被投资单位的账面净利润为基础，计算确认投资</w:t>
      </w:r>
      <w:r>
        <w:rPr>
          <w:spacing w:val="-60"/>
        </w:rPr>
        <w:t> </w:t>
      </w:r>
      <w:r>
        <w:rPr>
          <w:spacing w:val="-60"/>
        </w:rPr>
      </w:r>
      <w:r>
        <w:rPr>
          <w:spacing w:val="-2"/>
        </w:rPr>
        <w:t>收益：</w:t>
      </w:r>
      <w:r>
        <w:rPr/>
      </w:r>
    </w:p>
    <w:p>
      <w:pPr>
        <w:pStyle w:val="BodyText"/>
        <w:spacing w:line="240" w:lineRule="auto"/>
        <w:ind w:left="677" w:right="0"/>
        <w:jc w:val="left"/>
      </w:pPr>
      <w:r>
        <w:rPr/>
        <w:t>A.本公司无法合理确定取得投资时被投资单位各项可辨认资产等的公允价</w:t>
      </w:r>
    </w:p>
    <w:p>
      <w:pPr>
        <w:pStyle w:val="BodyText"/>
        <w:spacing w:line="240" w:lineRule="auto" w:before="126"/>
        <w:ind w:right="0"/>
        <w:jc w:val="left"/>
      </w:pPr>
      <w:r>
        <w:rPr/>
        <w:t>值。</w:t>
      </w:r>
    </w:p>
    <w:p>
      <w:pPr>
        <w:pStyle w:val="BodyText"/>
        <w:spacing w:line="240" w:lineRule="auto" w:before="125"/>
        <w:ind w:left="677" w:right="0"/>
        <w:jc w:val="left"/>
      </w:pPr>
      <w:r>
        <w:rPr/>
        <w:t>B.投资时被投资单位可辨认资产的公允价值与其账面价值相比，两者之间</w:t>
      </w:r>
    </w:p>
    <w:p>
      <w:pPr>
        <w:pStyle w:val="BodyText"/>
        <w:spacing w:line="336" w:lineRule="auto" w:before="126"/>
        <w:ind w:left="677" w:right="0" w:hanging="540"/>
        <w:jc w:val="left"/>
      </w:pPr>
      <w:r>
        <w:rPr/>
        <w:t>的差额不具有重要性的。</w:t>
      </w:r>
      <w:r>
        <w:rPr>
          <w:spacing w:val="-2"/>
          <w:w w:val="100"/>
        </w:rPr>
        <w:t> </w:t>
      </w:r>
      <w:r>
        <w:rPr/>
        <w:t>C.其它原因导致无法取得被投资单位的有关数据，不能按照规定对被投资</w:t>
      </w:r>
    </w:p>
    <w:p>
      <w:pPr>
        <w:pStyle w:val="BodyText"/>
        <w:spacing w:line="336" w:lineRule="auto" w:before="29"/>
        <w:ind w:left="677" w:right="0" w:hanging="540"/>
        <w:jc w:val="left"/>
      </w:pPr>
      <w:r>
        <w:rPr>
          <w:spacing w:val="-2"/>
        </w:rPr>
        <w:t>单位的净损益进行调整的。</w:t>
      </w:r>
      <w:r>
        <w:rPr>
          <w:spacing w:val="-107"/>
        </w:rPr>
        <w:t> </w:t>
      </w:r>
      <w:r>
        <w:rPr/>
        <w:t>被投资单位采用的会计政策及会计期间与本公司不一致的，按照本公司的</w:t>
      </w:r>
    </w:p>
    <w:p>
      <w:pPr>
        <w:spacing w:after="0" w:line="336" w:lineRule="auto"/>
        <w:jc w:val="left"/>
        <w:sectPr>
          <w:pgSz w:w="11910" w:h="16840"/>
          <w:pgMar w:header="840" w:footer="1712" w:top="1160" w:bottom="1900" w:left="1660" w:right="1640"/>
        </w:sectPr>
      </w:pPr>
    </w:p>
    <w:p>
      <w:pPr>
        <w:pStyle w:val="BodyText"/>
        <w:spacing w:line="336" w:lineRule="auto" w:before="71"/>
        <w:ind w:right="87"/>
        <w:jc w:val="left"/>
      </w:pPr>
      <w:r>
        <w:rPr>
          <w:spacing w:val="-2"/>
        </w:rPr>
        <w:t>会计政策及会计期间对被投资单位的财务报表进行调整，并据以确认投资损益。</w:t>
      </w:r>
      <w:r>
        <w:rPr>
          <w:spacing w:val="-81"/>
        </w:rPr>
        <w:t> </w:t>
      </w:r>
      <w:r>
        <w:rPr>
          <w:spacing w:val="-5"/>
        </w:rPr>
        <w:t>本公司对于被投资单位除净损益以外所有者权益的其它变动，调整长期股权投资</w:t>
      </w:r>
      <w:r>
        <w:rPr>
          <w:spacing w:val="-63"/>
        </w:rPr>
        <w:t> </w:t>
      </w:r>
      <w:r>
        <w:rPr>
          <w:spacing w:val="-63"/>
        </w:rPr>
      </w:r>
      <w:r>
        <w:rPr>
          <w:spacing w:val="-5"/>
        </w:rPr>
        <w:t>的账面价值并计入所有者权益，处置该项投资时将原计入所有者权益的部分按相</w:t>
      </w:r>
      <w:r>
        <w:rPr>
          <w:spacing w:val="-63"/>
        </w:rPr>
        <w:t> </w:t>
      </w:r>
      <w:r>
        <w:rPr>
          <w:spacing w:val="-63"/>
        </w:rPr>
      </w:r>
      <w:r>
        <w:rPr/>
        <w:t>应比例转入当期损益。</w:t>
      </w:r>
    </w:p>
    <w:p>
      <w:pPr>
        <w:pStyle w:val="BodyText"/>
        <w:spacing w:line="240" w:lineRule="auto"/>
        <w:ind w:left="677" w:right="87"/>
        <w:jc w:val="left"/>
      </w:pPr>
      <w:r>
        <w:rPr>
          <w:spacing w:val="-2"/>
        </w:rPr>
        <w:t>2006</w:t>
      </w:r>
      <w:r>
        <w:rPr>
          <w:spacing w:val="-23"/>
        </w:rPr>
        <w:t> </w:t>
      </w:r>
      <w:r>
        <w:rPr>
          <w:spacing w:val="-2"/>
        </w:rPr>
        <w:t>年度本公司以被投资单位的账面净利润为基础，计算确认投资收益。</w:t>
      </w:r>
      <w:r>
        <w:rPr/>
      </w:r>
    </w:p>
    <w:p>
      <w:pPr>
        <w:tabs>
          <w:tab w:pos="1397" w:val="left" w:leader="none"/>
        </w:tabs>
        <w:spacing w:line="297" w:lineRule="auto" w:before="168"/>
        <w:ind w:left="617" w:right="192" w:firstLine="2"/>
        <w:jc w:val="left"/>
        <w:rPr>
          <w:rFonts w:ascii="宋体" w:hAnsi="宋体" w:cs="宋体" w:eastAsia="宋体" w:hint="default"/>
          <w:sz w:val="24"/>
          <w:szCs w:val="24"/>
        </w:rPr>
      </w:pPr>
      <w:r>
        <w:rPr>
          <w:rFonts w:ascii="Microsoft JhengHei" w:hAnsi="Microsoft JhengHei" w:cs="Microsoft JhengHei" w:eastAsia="Microsoft JhengHei" w:hint="default"/>
          <w:b/>
          <w:bCs/>
          <w:w w:val="90"/>
          <w:sz w:val="24"/>
          <w:szCs w:val="24"/>
        </w:rPr>
        <w:t>10、</w:t>
        <w:tab/>
      </w:r>
      <w:r>
        <w:rPr>
          <w:rFonts w:ascii="Microsoft JhengHei" w:hAnsi="Microsoft JhengHei" w:cs="Microsoft JhengHei" w:eastAsia="Microsoft JhengHei" w:hint="default"/>
          <w:b/>
          <w:bCs/>
          <w:sz w:val="24"/>
          <w:szCs w:val="24"/>
        </w:rPr>
        <w:t>投资性房地产核算方法</w:t>
      </w:r>
      <w:r>
        <w:rPr>
          <w:rFonts w:ascii="Microsoft JhengHei" w:hAnsi="Microsoft JhengHei" w:cs="Microsoft JhengHei" w:eastAsia="Microsoft JhengHei" w:hint="default"/>
          <w:b/>
          <w:bCs/>
          <w:spacing w:val="-1"/>
          <w:w w:val="100"/>
          <w:sz w:val="24"/>
          <w:szCs w:val="24"/>
        </w:rPr>
        <w:t> </w:t>
      </w:r>
      <w:r>
        <w:rPr>
          <w:rFonts w:ascii="宋体" w:hAnsi="宋体" w:cs="宋体" w:eastAsia="宋体" w:hint="default"/>
          <w:spacing w:val="-5"/>
          <w:sz w:val="24"/>
          <w:szCs w:val="24"/>
        </w:rPr>
        <w:t>投资性房地产是指为赚取租金或资本增值，或两者兼有而持有的房地产。本</w:t>
      </w:r>
    </w:p>
    <w:p>
      <w:pPr>
        <w:pStyle w:val="BodyText"/>
        <w:spacing w:line="336" w:lineRule="auto" w:before="68"/>
        <w:ind w:right="87"/>
        <w:jc w:val="left"/>
      </w:pPr>
      <w:r>
        <w:rPr>
          <w:spacing w:val="-5"/>
        </w:rPr>
        <w:t>公司投资性房地产包括已出租的土地使用权、持有并准备增值后转让的土地使用</w:t>
      </w:r>
      <w:r>
        <w:rPr>
          <w:spacing w:val="-63"/>
        </w:rPr>
        <w:t> </w:t>
      </w:r>
      <w:r>
        <w:rPr>
          <w:spacing w:val="-63"/>
        </w:rPr>
      </w:r>
      <w:r>
        <w:rPr/>
        <w:t>权和已出租的建筑物。</w:t>
      </w:r>
    </w:p>
    <w:p>
      <w:pPr>
        <w:pStyle w:val="BodyText"/>
        <w:spacing w:line="336" w:lineRule="auto"/>
        <w:ind w:left="617" w:right="2605"/>
        <w:jc w:val="left"/>
      </w:pPr>
      <w:r>
        <w:rPr>
          <w:spacing w:val="-2"/>
        </w:rPr>
        <w:t>（1）投资性房地产的确认</w:t>
      </w:r>
      <w:r>
        <w:rPr>
          <w:spacing w:val="-107"/>
        </w:rPr>
        <w:t> </w:t>
      </w:r>
      <w:r>
        <w:rPr>
          <w:spacing w:val="-2"/>
        </w:rPr>
        <w:t>投资性房地产同时满足下列条件，才能确认：</w:t>
      </w:r>
      <w:r>
        <w:rPr/>
      </w:r>
    </w:p>
    <w:p>
      <w:pPr>
        <w:pStyle w:val="BodyText"/>
        <w:spacing w:line="240" w:lineRule="auto" w:before="29"/>
        <w:ind w:left="617" w:right="87"/>
        <w:jc w:val="left"/>
      </w:pPr>
      <w:r>
        <w:rPr/>
        <w:t>①与投资性房地产有关的经济利益很可能流入企业；</w:t>
      </w:r>
    </w:p>
    <w:p>
      <w:pPr>
        <w:pStyle w:val="BodyText"/>
        <w:spacing w:line="240" w:lineRule="auto" w:before="126"/>
        <w:ind w:left="617" w:right="87"/>
        <w:jc w:val="left"/>
      </w:pPr>
      <w:r>
        <w:rPr/>
        <w:t>②该投资性房地产的成本能够可靠计量。</w:t>
      </w:r>
    </w:p>
    <w:p>
      <w:pPr>
        <w:pStyle w:val="BodyText"/>
        <w:spacing w:line="240" w:lineRule="auto" w:before="126"/>
        <w:ind w:left="617" w:right="87"/>
        <w:jc w:val="left"/>
      </w:pPr>
      <w:r>
        <w:rPr/>
        <w:t>（2）投资性房地产初始计量</w:t>
      </w:r>
    </w:p>
    <w:p>
      <w:pPr>
        <w:pStyle w:val="BodyText"/>
        <w:spacing w:line="336" w:lineRule="auto" w:before="125"/>
        <w:ind w:right="87" w:firstLine="480"/>
        <w:jc w:val="left"/>
      </w:pPr>
      <w:r>
        <w:rPr>
          <w:spacing w:val="-5"/>
        </w:rPr>
        <w:t>①外购投资性房地产的成本，包括购买价款、相关税费和可直接归属于该资</w:t>
      </w:r>
      <w:r>
        <w:rPr>
          <w:spacing w:val="-2"/>
          <w:w w:val="100"/>
        </w:rPr>
        <w:t> </w:t>
      </w:r>
      <w:r>
        <w:rPr/>
        <w:t>产的其它支出。</w:t>
      </w:r>
    </w:p>
    <w:p>
      <w:pPr>
        <w:pStyle w:val="BodyText"/>
        <w:spacing w:line="336" w:lineRule="auto"/>
        <w:ind w:right="87" w:firstLine="480"/>
        <w:jc w:val="left"/>
      </w:pPr>
      <w:r>
        <w:rPr>
          <w:spacing w:val="-5"/>
        </w:rPr>
        <w:t>②自行建造投资性房地产的成本，由建造该项资产达到预定可使用状态前所</w:t>
      </w:r>
      <w:r>
        <w:rPr>
          <w:spacing w:val="-2"/>
          <w:w w:val="100"/>
        </w:rPr>
        <w:t> </w:t>
      </w:r>
      <w:r>
        <w:rPr/>
        <w:t>发生的必要支出构成。</w:t>
      </w:r>
    </w:p>
    <w:p>
      <w:pPr>
        <w:pStyle w:val="BodyText"/>
        <w:spacing w:line="240" w:lineRule="auto"/>
        <w:ind w:left="617" w:right="87"/>
        <w:jc w:val="left"/>
      </w:pPr>
      <w:r>
        <w:rPr/>
        <w:t>③以其它方式取得的投资性房地产的成本,按照相关会计准则的规定确定。</w:t>
      </w:r>
    </w:p>
    <w:p>
      <w:pPr>
        <w:pStyle w:val="BodyText"/>
        <w:spacing w:line="336" w:lineRule="auto" w:before="126"/>
        <w:ind w:right="87" w:firstLine="480"/>
        <w:jc w:val="left"/>
      </w:pPr>
      <w:r>
        <w:rPr/>
        <w:t>④与投资性房地产有关的后续支出,满足投资性房地产确认条件的,计入投</w:t>
      </w:r>
      <w:r>
        <w:rPr>
          <w:spacing w:val="3"/>
          <w:w w:val="100"/>
        </w:rPr>
        <w:t> </w:t>
      </w:r>
      <w:r>
        <w:rPr/>
        <w:t>资性房地产成本;不满足确认条件的,在发生时计入当期损益。</w:t>
      </w:r>
    </w:p>
    <w:p>
      <w:pPr>
        <w:pStyle w:val="BodyText"/>
        <w:spacing w:line="336" w:lineRule="auto"/>
        <w:ind w:left="617" w:right="87"/>
        <w:jc w:val="left"/>
      </w:pPr>
      <w:r>
        <w:rPr/>
        <w:t>（3）投资性房地产的后续计量</w:t>
      </w:r>
      <w:r>
        <w:rPr>
          <w:spacing w:val="-2"/>
          <w:w w:val="100"/>
        </w:rPr>
        <w:t> </w:t>
      </w:r>
      <w:r>
        <w:rPr/>
        <w:t>本公司在资产负债表日采用成本模式对投资性房地产进行后续计量。根据</w:t>
      </w:r>
    </w:p>
    <w:p>
      <w:pPr>
        <w:pStyle w:val="BodyText"/>
        <w:spacing w:line="336" w:lineRule="auto" w:before="29"/>
        <w:ind w:right="192"/>
        <w:jc w:val="both"/>
      </w:pPr>
      <w:r>
        <w:rPr/>
        <w:t>《企业会计准则第</w:t>
      </w:r>
      <w:r>
        <w:rPr>
          <w:spacing w:val="-55"/>
        </w:rPr>
        <w:t> </w:t>
      </w:r>
      <w:r>
        <w:rPr/>
        <w:t>4</w:t>
      </w:r>
      <w:r>
        <w:rPr>
          <w:spacing w:val="-53"/>
        </w:rPr>
        <w:t> </w:t>
      </w:r>
      <w:r>
        <w:rPr>
          <w:spacing w:val="-6"/>
        </w:rPr>
        <w:t>号-固定资产》和《企业会计准则第</w:t>
      </w:r>
      <w:r>
        <w:rPr>
          <w:spacing w:val="-55"/>
        </w:rPr>
        <w:t> </w:t>
      </w:r>
      <w:r>
        <w:rPr/>
        <w:t>6</w:t>
      </w:r>
      <w:r>
        <w:rPr>
          <w:spacing w:val="-53"/>
        </w:rPr>
        <w:t> </w:t>
      </w:r>
      <w:r>
        <w:rPr>
          <w:spacing w:val="-5"/>
        </w:rPr>
        <w:t>号-无形资产》的有关</w:t>
      </w:r>
      <w:r>
        <w:rPr>
          <w:spacing w:val="-116"/>
        </w:rPr>
        <w:t> </w:t>
      </w:r>
      <w:r>
        <w:rPr>
          <w:spacing w:val="-116"/>
        </w:rPr>
      </w:r>
      <w:r>
        <w:rPr>
          <w:spacing w:val="-5"/>
        </w:rPr>
        <w:t>规定，对投资性房地产在预计可使用年限内按年限平均法摊销或计提折旧，相关</w:t>
      </w:r>
      <w:r>
        <w:rPr>
          <w:spacing w:val="-64"/>
        </w:rPr>
        <w:t> </w:t>
      </w:r>
      <w:r>
        <w:rPr>
          <w:spacing w:val="-64"/>
        </w:rPr>
      </w:r>
      <w:r>
        <w:rPr/>
        <w:t>披露分别见附注四、11</w:t>
      </w:r>
      <w:r>
        <w:rPr>
          <w:spacing w:val="-60"/>
        </w:rPr>
        <w:t> </w:t>
      </w:r>
      <w:r>
        <w:rPr/>
        <w:t>和附注四、13。</w:t>
      </w:r>
    </w:p>
    <w:p>
      <w:pPr>
        <w:pStyle w:val="BodyText"/>
        <w:spacing w:line="336" w:lineRule="auto" w:before="29"/>
        <w:ind w:left="617" w:right="87"/>
        <w:jc w:val="left"/>
      </w:pPr>
      <w:r>
        <w:rPr>
          <w:spacing w:val="-2"/>
        </w:rPr>
        <w:t>（4）投资性房地产的转换</w:t>
      </w:r>
      <w:r>
        <w:rPr>
          <w:spacing w:val="-107"/>
        </w:rPr>
        <w:t> </w:t>
      </w:r>
      <w:r>
        <w:rPr>
          <w:spacing w:val="-5"/>
        </w:rPr>
        <w:t>本公司有确凿证据表明房地产用途发生改变，将投资性房地产转换为其它资</w:t>
      </w:r>
      <w:r>
        <w:rPr/>
      </w:r>
    </w:p>
    <w:p>
      <w:pPr>
        <w:pStyle w:val="BodyText"/>
        <w:spacing w:line="336" w:lineRule="auto"/>
        <w:ind w:right="87"/>
        <w:jc w:val="left"/>
      </w:pPr>
      <w:r>
        <w:rPr>
          <w:spacing w:val="-5"/>
        </w:rPr>
        <w:t>产，或将其它资产转换为投资性房地产，将房地产转换前的账面价值作为转换后</w:t>
      </w:r>
      <w:r>
        <w:rPr>
          <w:spacing w:val="-64"/>
        </w:rPr>
        <w:t> </w:t>
      </w:r>
      <w:r>
        <w:rPr>
          <w:spacing w:val="-64"/>
        </w:rPr>
      </w:r>
      <w:r>
        <w:rPr>
          <w:spacing w:val="-2"/>
        </w:rPr>
        <w:t>的入账价值。</w:t>
      </w:r>
      <w:r>
        <w:rPr/>
      </w:r>
    </w:p>
    <w:p>
      <w:pPr>
        <w:pStyle w:val="BodyText"/>
        <w:spacing w:line="240" w:lineRule="auto"/>
        <w:ind w:left="617" w:right="87"/>
        <w:jc w:val="left"/>
      </w:pPr>
      <w:r>
        <w:rPr/>
        <w:t>（5）投资性房地产减值准备</w:t>
      </w:r>
    </w:p>
    <w:p>
      <w:pPr>
        <w:spacing w:after="0" w:line="240" w:lineRule="auto"/>
        <w:jc w:val="left"/>
        <w:sectPr>
          <w:pgSz w:w="11910" w:h="16840"/>
          <w:pgMar w:header="840" w:footer="1712" w:top="1160" w:bottom="1900" w:left="1660" w:right="1600"/>
        </w:sectPr>
      </w:pPr>
    </w:p>
    <w:p>
      <w:pPr>
        <w:pStyle w:val="BodyText"/>
        <w:spacing w:line="336" w:lineRule="auto" w:before="71"/>
        <w:ind w:right="227" w:firstLine="480"/>
        <w:jc w:val="left"/>
      </w:pPr>
      <w:r>
        <w:rPr>
          <w:spacing w:val="-5"/>
        </w:rPr>
        <w:t>采用成本模式进行后续计量的投资性房地产，其减值准备的计提依据和方法</w:t>
      </w:r>
      <w:r>
        <w:rPr>
          <w:spacing w:val="-2"/>
          <w:w w:val="100"/>
        </w:rPr>
        <w:t> </w:t>
      </w:r>
      <w:r>
        <w:rPr/>
        <w:t>见附注四、16。</w:t>
      </w:r>
    </w:p>
    <w:p>
      <w:pPr>
        <w:pStyle w:val="Heading3"/>
        <w:tabs>
          <w:tab w:pos="1397" w:val="left" w:leader="none"/>
        </w:tabs>
        <w:spacing w:line="240" w:lineRule="auto" w:before="72"/>
        <w:ind w:right="227"/>
        <w:jc w:val="left"/>
        <w:rPr>
          <w:b w:val="0"/>
          <w:bCs w:val="0"/>
        </w:rPr>
      </w:pPr>
      <w:r>
        <w:rPr>
          <w:w w:val="90"/>
        </w:rPr>
        <w:t>11、</w:t>
        <w:tab/>
      </w:r>
      <w:r>
        <w:rPr/>
        <w:t>固定资产</w:t>
      </w:r>
      <w:r>
        <w:rPr>
          <w:b w:val="0"/>
          <w:bCs w:val="0"/>
        </w:rPr>
      </w:r>
    </w:p>
    <w:p>
      <w:pPr>
        <w:pStyle w:val="BodyText"/>
        <w:spacing w:line="336" w:lineRule="auto" w:before="99"/>
        <w:ind w:left="617" w:right="227"/>
        <w:jc w:val="left"/>
      </w:pPr>
      <w:r>
        <w:rPr>
          <w:spacing w:val="-2"/>
        </w:rPr>
        <w:t>（1）固定资产的确认标准</w:t>
      </w:r>
      <w:r>
        <w:rPr>
          <w:spacing w:val="-107"/>
        </w:rPr>
        <w:t> </w:t>
      </w:r>
      <w:r>
        <w:rPr>
          <w:spacing w:val="-5"/>
        </w:rPr>
        <w:t>本公司固定资产指为生产商品、提供劳务、出租或经营管理而持有的、使用</w:t>
      </w:r>
      <w:r>
        <w:rPr/>
      </w:r>
    </w:p>
    <w:p>
      <w:pPr>
        <w:pStyle w:val="BodyText"/>
        <w:spacing w:line="240" w:lineRule="auto" w:before="29"/>
        <w:ind w:right="96"/>
        <w:jc w:val="left"/>
      </w:pPr>
      <w:r>
        <w:rPr/>
        <w:t>寿命超过一个会计年度的有形资产。在同时满足下列条件时才能确认固定资产：</w:t>
      </w:r>
    </w:p>
    <w:p>
      <w:pPr>
        <w:pStyle w:val="BodyText"/>
        <w:spacing w:line="240" w:lineRule="auto" w:before="126"/>
        <w:ind w:left="617" w:right="227"/>
        <w:jc w:val="left"/>
      </w:pPr>
      <w:r>
        <w:rPr/>
        <w:t>①与该固定资产有关的经济利益很可能流入企业；</w:t>
      </w:r>
    </w:p>
    <w:p>
      <w:pPr>
        <w:pStyle w:val="BodyText"/>
        <w:spacing w:line="240" w:lineRule="auto" w:before="126"/>
        <w:ind w:left="617" w:right="227"/>
        <w:jc w:val="left"/>
      </w:pPr>
      <w:r>
        <w:rPr/>
        <w:t>②该固定资产的成本能够可靠地计量。</w:t>
      </w:r>
    </w:p>
    <w:p>
      <w:pPr>
        <w:pStyle w:val="BodyText"/>
        <w:spacing w:line="336" w:lineRule="auto" w:before="125"/>
        <w:ind w:left="617" w:right="2519"/>
        <w:jc w:val="left"/>
      </w:pPr>
      <w:r>
        <w:rPr>
          <w:spacing w:val="-2"/>
        </w:rPr>
        <w:t>（2）固定资产的初始计量</w:t>
      </w:r>
      <w:r>
        <w:rPr>
          <w:spacing w:val="-107"/>
        </w:rPr>
        <w:t> </w:t>
      </w:r>
      <w:r>
        <w:rPr>
          <w:spacing w:val="-2"/>
        </w:rPr>
        <w:t>固定资产按照成本进行初始计量。</w:t>
      </w:r>
      <w:r>
        <w:rPr/>
      </w:r>
    </w:p>
    <w:p>
      <w:pPr>
        <w:pStyle w:val="BodyText"/>
        <w:spacing w:line="336" w:lineRule="auto"/>
        <w:ind w:right="231" w:firstLine="480"/>
        <w:jc w:val="both"/>
      </w:pPr>
      <w:r>
        <w:rPr>
          <w:spacing w:val="-5"/>
        </w:rPr>
        <w:t>①外购固定资产的成本，包括购买价款、相关税费、使固定资产达到预定可</w:t>
      </w:r>
      <w:r>
        <w:rPr>
          <w:spacing w:val="-2"/>
          <w:w w:val="100"/>
        </w:rPr>
        <w:t> </w:t>
      </w:r>
      <w:r>
        <w:rPr>
          <w:spacing w:val="-5"/>
        </w:rPr>
        <w:t>使用状态前所发生的可归属于该项资产的运输费、装卸费、安装费和专业人员服</w:t>
      </w:r>
      <w:r>
        <w:rPr>
          <w:spacing w:val="-64"/>
        </w:rPr>
        <w:t> </w:t>
      </w:r>
      <w:r>
        <w:rPr>
          <w:spacing w:val="-64"/>
        </w:rPr>
      </w:r>
      <w:r>
        <w:rPr/>
        <w:t>务费等。</w:t>
      </w:r>
    </w:p>
    <w:p>
      <w:pPr>
        <w:pStyle w:val="BodyText"/>
        <w:spacing w:line="336" w:lineRule="auto"/>
        <w:ind w:right="96" w:firstLine="480"/>
        <w:jc w:val="left"/>
      </w:pPr>
      <w:r>
        <w:rPr>
          <w:spacing w:val="-2"/>
        </w:rPr>
        <w:t>购买固定资产的价款超过正常信用条件延期支付，实质上具有融资性质的，</w:t>
      </w:r>
      <w:r>
        <w:rPr>
          <w:spacing w:val="-2"/>
          <w:w w:val="100"/>
        </w:rPr>
        <w:t> </w:t>
      </w:r>
      <w:r>
        <w:rPr>
          <w:spacing w:val="-5"/>
        </w:rPr>
        <w:t>固定资产的成本以购买价款的现值为基础确定。实际支付的价款与购买价款的现</w:t>
      </w:r>
      <w:r>
        <w:rPr>
          <w:spacing w:val="-63"/>
        </w:rPr>
        <w:t> </w:t>
      </w:r>
      <w:r>
        <w:rPr>
          <w:spacing w:val="-63"/>
        </w:rPr>
      </w:r>
      <w:r>
        <w:rPr>
          <w:spacing w:val="-10"/>
        </w:rPr>
        <w:t>值之间的差额，除按照《企业会计准则第</w:t>
      </w:r>
      <w:r>
        <w:rPr>
          <w:spacing w:val="-39"/>
        </w:rPr>
        <w:t> </w:t>
      </w:r>
      <w:r>
        <w:rPr/>
        <w:t>17</w:t>
      </w:r>
      <w:r>
        <w:rPr>
          <w:spacing w:val="-38"/>
        </w:rPr>
        <w:t> </w:t>
      </w:r>
      <w:r>
        <w:rPr>
          <w:spacing w:val="-7"/>
        </w:rPr>
        <w:t>号-借款费用》可予以资本化的以外，</w:t>
      </w:r>
      <w:r>
        <w:rPr>
          <w:spacing w:val="-105"/>
        </w:rPr>
        <w:t> </w:t>
      </w:r>
      <w:r>
        <w:rPr>
          <w:spacing w:val="-105"/>
        </w:rPr>
      </w:r>
      <w:r>
        <w:rPr/>
        <w:t>在信用期间内计入当期损益。</w:t>
      </w:r>
    </w:p>
    <w:p>
      <w:pPr>
        <w:pStyle w:val="BodyText"/>
        <w:spacing w:line="336" w:lineRule="auto" w:before="29"/>
        <w:ind w:right="227" w:firstLine="480"/>
        <w:jc w:val="left"/>
      </w:pPr>
      <w:r>
        <w:rPr>
          <w:spacing w:val="-5"/>
        </w:rPr>
        <w:t>②自行建造固定资产的成本，由建造该项资产达到预定可使用状态前所发生</w:t>
      </w:r>
      <w:r>
        <w:rPr>
          <w:spacing w:val="-2"/>
          <w:w w:val="100"/>
        </w:rPr>
        <w:t> </w:t>
      </w:r>
      <w:r>
        <w:rPr/>
        <w:t>的必要支出构成。</w:t>
      </w:r>
    </w:p>
    <w:p>
      <w:pPr>
        <w:pStyle w:val="BodyText"/>
        <w:spacing w:line="336" w:lineRule="auto"/>
        <w:ind w:right="227" w:firstLine="480"/>
        <w:jc w:val="left"/>
      </w:pPr>
      <w:r>
        <w:rPr>
          <w:spacing w:val="-5"/>
        </w:rPr>
        <w:t>③投资者投入固定资产的成本，按照投资合同或协议约定的价值确定，但合</w:t>
      </w:r>
      <w:r>
        <w:rPr>
          <w:spacing w:val="-2"/>
          <w:w w:val="100"/>
        </w:rPr>
        <w:t> </w:t>
      </w:r>
      <w:r>
        <w:rPr/>
        <w:t>同或协议约定价值不公允的除外。</w:t>
      </w:r>
    </w:p>
    <w:p>
      <w:pPr>
        <w:pStyle w:val="BodyText"/>
        <w:spacing w:line="336" w:lineRule="auto"/>
        <w:ind w:right="231" w:firstLine="480"/>
        <w:jc w:val="both"/>
      </w:pPr>
      <w:r>
        <w:rPr>
          <w:spacing w:val="-5"/>
        </w:rPr>
        <w:t>④固定资产的更新改造等后续支出，满足固定资产确认条件的，计入固定资</w:t>
      </w:r>
      <w:r>
        <w:rPr>
          <w:spacing w:val="-2"/>
          <w:w w:val="100"/>
        </w:rPr>
        <w:t> </w:t>
      </w:r>
      <w:r>
        <w:rPr>
          <w:spacing w:val="-5"/>
        </w:rPr>
        <w:t>产成本，如有被替换的部分，应扣除其账面价值；不满足固定资产确认条件的固</w:t>
      </w:r>
      <w:r>
        <w:rPr>
          <w:spacing w:val="-60"/>
        </w:rPr>
        <w:t> </w:t>
      </w:r>
      <w:r>
        <w:rPr>
          <w:spacing w:val="-60"/>
        </w:rPr>
      </w:r>
      <w:r>
        <w:rPr>
          <w:spacing w:val="-5"/>
        </w:rPr>
        <w:t>定资产修理费用等，在发生时计入当期损益。以经营租赁方式租入的固定资产发</w:t>
      </w:r>
      <w:r>
        <w:rPr>
          <w:spacing w:val="-64"/>
        </w:rPr>
        <w:t> </w:t>
      </w:r>
      <w:r>
        <w:rPr>
          <w:spacing w:val="-64"/>
        </w:rPr>
      </w:r>
      <w:r>
        <w:rPr/>
        <w:t>生的改良支出，予以资本化，作为长期待摊费用，合理进行摊销。</w:t>
      </w:r>
    </w:p>
    <w:p>
      <w:pPr>
        <w:spacing w:line="384" w:lineRule="auto" w:before="65"/>
        <w:ind w:left="557" w:right="96" w:firstLine="420"/>
        <w:jc w:val="left"/>
        <w:rPr>
          <w:rFonts w:ascii="宋体" w:hAnsi="宋体" w:cs="宋体" w:eastAsia="宋体" w:hint="default"/>
          <w:sz w:val="21"/>
          <w:szCs w:val="21"/>
        </w:rPr>
      </w:pPr>
      <w:r>
        <w:rPr>
          <w:rFonts w:ascii="宋体" w:hAnsi="宋体" w:cs="宋体" w:eastAsia="宋体" w:hint="default"/>
          <w:spacing w:val="-3"/>
          <w:sz w:val="21"/>
          <w:szCs w:val="21"/>
        </w:rPr>
        <w:t>⑤非货币性资产交换、债务重组、企业合并和融资租赁取得的固定资产的成本，分</w:t>
      </w:r>
      <w:r>
        <w:rPr>
          <w:rFonts w:ascii="宋体" w:hAnsi="宋体" w:cs="宋体" w:eastAsia="宋体" w:hint="default"/>
          <w:sz w:val="21"/>
          <w:szCs w:val="21"/>
        </w:rPr>
        <w:t> </w:t>
      </w:r>
      <w:r>
        <w:rPr>
          <w:rFonts w:ascii="宋体" w:hAnsi="宋体" w:cs="宋体" w:eastAsia="宋体" w:hint="default"/>
          <w:spacing w:val="-10"/>
          <w:sz w:val="21"/>
          <w:szCs w:val="21"/>
        </w:rPr>
        <w:t>别按照《企业会计准则第</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pacing w:val="-17"/>
          <w:sz w:val="21"/>
          <w:szCs w:val="21"/>
        </w:rPr>
        <w:t>号-非货币性资产交换》、《企业会计准则第</w:t>
      </w:r>
      <w:r>
        <w:rPr>
          <w:rFonts w:ascii="宋体" w:hAnsi="宋体" w:cs="宋体" w:eastAsia="宋体" w:hint="default"/>
          <w:spacing w:val="-47"/>
          <w:sz w:val="21"/>
          <w:szCs w:val="21"/>
        </w:rPr>
        <w:t> </w:t>
      </w:r>
      <w:r>
        <w:rPr>
          <w:rFonts w:ascii="宋体" w:hAnsi="宋体" w:cs="宋体" w:eastAsia="宋体" w:hint="default"/>
          <w:spacing w:val="-1"/>
          <w:sz w:val="21"/>
          <w:szCs w:val="21"/>
        </w:rPr>
        <w:t>12</w:t>
      </w:r>
      <w:r>
        <w:rPr>
          <w:rFonts w:ascii="宋体" w:hAnsi="宋体" w:cs="宋体" w:eastAsia="宋体" w:hint="default"/>
          <w:spacing w:val="-47"/>
          <w:sz w:val="21"/>
          <w:szCs w:val="21"/>
        </w:rPr>
        <w:t> </w:t>
      </w:r>
      <w:r>
        <w:rPr>
          <w:rFonts w:ascii="宋体" w:hAnsi="宋体" w:cs="宋体" w:eastAsia="宋体" w:hint="default"/>
          <w:spacing w:val="-14"/>
          <w:sz w:val="21"/>
          <w:szCs w:val="21"/>
        </w:rPr>
        <w:t>号-债务重组》、</w:t>
      </w:r>
    </w:p>
    <w:p>
      <w:pPr>
        <w:spacing w:line="384" w:lineRule="auto" w:before="39"/>
        <w:ind w:left="557" w:right="96" w:firstLine="0"/>
        <w:jc w:val="left"/>
        <w:rPr>
          <w:rFonts w:ascii="宋体" w:hAnsi="宋体" w:cs="宋体" w:eastAsia="宋体" w:hint="default"/>
          <w:sz w:val="21"/>
          <w:szCs w:val="21"/>
        </w:rPr>
      </w:pPr>
      <w:r>
        <w:rPr>
          <w:rFonts w:ascii="宋体" w:hAnsi="宋体" w:cs="宋体" w:eastAsia="宋体" w:hint="default"/>
          <w:spacing w:val="-1"/>
          <w:sz w:val="21"/>
          <w:szCs w:val="21"/>
        </w:rPr>
        <w:t>《企业会计准则第</w:t>
      </w:r>
      <w:r>
        <w:rPr>
          <w:rFonts w:ascii="宋体" w:hAnsi="宋体" w:cs="宋体" w:eastAsia="宋体" w:hint="default"/>
          <w:spacing w:val="-52"/>
          <w:sz w:val="21"/>
          <w:szCs w:val="21"/>
        </w:rPr>
        <w:t> </w:t>
      </w:r>
      <w:r>
        <w:rPr>
          <w:rFonts w:ascii="宋体" w:hAnsi="宋体" w:cs="宋体" w:eastAsia="宋体" w:hint="default"/>
          <w:spacing w:val="-1"/>
          <w:sz w:val="21"/>
          <w:szCs w:val="21"/>
        </w:rPr>
        <w:t>20</w:t>
      </w:r>
      <w:r>
        <w:rPr>
          <w:rFonts w:ascii="宋体" w:hAnsi="宋体" w:cs="宋体" w:eastAsia="宋体" w:hint="default"/>
          <w:spacing w:val="-52"/>
          <w:sz w:val="21"/>
          <w:szCs w:val="21"/>
        </w:rPr>
        <w:t> </w:t>
      </w:r>
      <w:r>
        <w:rPr>
          <w:rFonts w:ascii="宋体" w:hAnsi="宋体" w:cs="宋体" w:eastAsia="宋体" w:hint="default"/>
          <w:spacing w:val="-14"/>
          <w:sz w:val="21"/>
          <w:szCs w:val="21"/>
        </w:rPr>
        <w:t>号-企业合并》、《企业会计准则第</w:t>
      </w:r>
      <w:r>
        <w:rPr>
          <w:rFonts w:ascii="宋体" w:hAnsi="宋体" w:cs="宋体" w:eastAsia="宋体" w:hint="default"/>
          <w:spacing w:val="-52"/>
          <w:sz w:val="21"/>
          <w:szCs w:val="21"/>
        </w:rPr>
        <w:t> </w:t>
      </w:r>
      <w:r>
        <w:rPr>
          <w:rFonts w:ascii="宋体" w:hAnsi="宋体" w:cs="宋体" w:eastAsia="宋体" w:hint="default"/>
          <w:spacing w:val="-1"/>
          <w:sz w:val="21"/>
          <w:szCs w:val="21"/>
        </w:rPr>
        <w:t>21</w:t>
      </w:r>
      <w:r>
        <w:rPr>
          <w:rFonts w:ascii="宋体" w:hAnsi="宋体" w:cs="宋体" w:eastAsia="宋体" w:hint="default"/>
          <w:spacing w:val="-52"/>
          <w:sz w:val="21"/>
          <w:szCs w:val="21"/>
        </w:rPr>
        <w:t> </w:t>
      </w:r>
      <w:r>
        <w:rPr>
          <w:rFonts w:ascii="宋体" w:hAnsi="宋体" w:cs="宋体" w:eastAsia="宋体" w:hint="default"/>
          <w:spacing w:val="-1"/>
          <w:sz w:val="21"/>
          <w:szCs w:val="21"/>
        </w:rPr>
        <w:t>号-租赁》的有关规定确定。</w:t>
      </w:r>
      <w:r>
        <w:rPr>
          <w:rFonts w:ascii="宋体" w:hAnsi="宋体" w:cs="宋体" w:eastAsia="宋体" w:hint="default"/>
          <w:sz w:val="21"/>
          <w:szCs w:val="21"/>
        </w:rPr>
        <w:t> 相关披露分别见附注四、23；附注四、24；附注六、1</w:t>
      </w:r>
      <w:r>
        <w:rPr>
          <w:rFonts w:ascii="宋体" w:hAnsi="宋体" w:cs="宋体" w:eastAsia="宋体" w:hint="default"/>
          <w:spacing w:val="-53"/>
          <w:sz w:val="21"/>
          <w:szCs w:val="21"/>
        </w:rPr>
        <w:t> </w:t>
      </w:r>
      <w:r>
        <w:rPr>
          <w:rFonts w:ascii="宋体" w:hAnsi="宋体" w:cs="宋体" w:eastAsia="宋体" w:hint="default"/>
          <w:sz w:val="21"/>
          <w:szCs w:val="21"/>
        </w:rPr>
        <w:t>和附注四、25。</w:t>
      </w:r>
    </w:p>
    <w:p>
      <w:pPr>
        <w:pStyle w:val="BodyText"/>
        <w:spacing w:line="240" w:lineRule="auto" w:before="123"/>
        <w:ind w:left="617" w:right="227"/>
        <w:jc w:val="left"/>
      </w:pPr>
      <w:r>
        <w:rPr/>
        <w:t>（3）固定资产的分类</w:t>
      </w:r>
    </w:p>
    <w:p>
      <w:pPr>
        <w:spacing w:after="0" w:line="240" w:lineRule="auto"/>
        <w:jc w:val="left"/>
        <w:sectPr>
          <w:pgSz w:w="11910" w:h="16840"/>
          <w:pgMar w:header="840" w:footer="1712" w:top="1160" w:bottom="1900" w:left="1660" w:right="1560"/>
        </w:sectPr>
      </w:pPr>
    </w:p>
    <w:p>
      <w:pPr>
        <w:pStyle w:val="BodyText"/>
        <w:spacing w:line="336" w:lineRule="auto" w:before="71"/>
        <w:ind w:right="652" w:firstLine="480"/>
        <w:jc w:val="both"/>
      </w:pPr>
      <w:r>
        <w:rPr/>
        <w:t>本公司固定资产分为房屋及建筑物、机器设备、运输设备</w:t>
      </w:r>
      <w:r>
        <w:rPr>
          <w:spacing w:val="3"/>
        </w:rPr>
        <w:t> </w:t>
      </w:r>
      <w:r>
        <w:rPr/>
        <w:t>、其它及办公设</w:t>
      </w:r>
      <w:r>
        <w:rPr>
          <w:spacing w:val="-1"/>
          <w:w w:val="100"/>
        </w:rPr>
        <w:t> </w:t>
      </w:r>
      <w:r>
        <w:rPr/>
        <w:t>备。</w:t>
      </w:r>
    </w:p>
    <w:p>
      <w:pPr>
        <w:pStyle w:val="BodyText"/>
        <w:spacing w:line="240" w:lineRule="auto" w:before="29"/>
        <w:ind w:left="617" w:right="0"/>
        <w:jc w:val="left"/>
      </w:pPr>
      <w:r>
        <w:rPr/>
        <w:t>（4）固定资产折旧</w:t>
      </w:r>
    </w:p>
    <w:p>
      <w:pPr>
        <w:pStyle w:val="BodyText"/>
        <w:spacing w:line="336" w:lineRule="auto" w:before="126"/>
        <w:ind w:right="653" w:firstLine="480"/>
        <w:jc w:val="both"/>
      </w:pPr>
      <w:r>
        <w:rPr/>
        <w:pict>
          <v:shape style="position:absolute;margin-left:88.610001pt;margin-top:67.990753pt;width:444.5pt;height:83.8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15"/>
                    <w:gridCol w:w="2620"/>
                    <w:gridCol w:w="2423"/>
                    <w:gridCol w:w="1732"/>
                  </w:tblGrid>
                  <w:tr>
                    <w:trPr>
                      <w:trHeight w:val="651" w:hRule="exact"/>
                    </w:trPr>
                    <w:tc>
                      <w:tcPr>
                        <w:tcW w:w="2115" w:type="dxa"/>
                        <w:tcBorders>
                          <w:top w:val="nil" w:sz="6" w:space="0" w:color="auto"/>
                          <w:left w:val="nil" w:sz="6" w:space="0" w:color="auto"/>
                          <w:bottom w:val="nil" w:sz="6" w:space="0" w:color="auto"/>
                          <w:right w:val="nil" w:sz="6" w:space="0" w:color="auto"/>
                        </w:tcBorders>
                      </w:tcPr>
                      <w:p>
                        <w:pPr>
                          <w:pStyle w:val="TableParagraph"/>
                          <w:tabs>
                            <w:tab w:pos="1846" w:val="left" w:leader="none"/>
                          </w:tabs>
                          <w:spacing w:line="240" w:lineRule="auto" w:before="8"/>
                          <w:ind w:left="35" w:right="0"/>
                          <w:jc w:val="left"/>
                          <w:rPr>
                            <w:rFonts w:ascii="宋体" w:hAnsi="宋体" w:cs="宋体" w:eastAsia="宋体" w:hint="default"/>
                            <w:sz w:val="22"/>
                            <w:szCs w:val="22"/>
                          </w:rPr>
                        </w:pPr>
                        <w:r>
                          <w:rPr>
                            <w:rFonts w:ascii="Times New Roman" w:hAnsi="Times New Roman" w:cs="Times New Roman" w:eastAsia="Times New Roman" w:hint="default"/>
                            <w:w w:val="100"/>
                            <w:sz w:val="22"/>
                            <w:szCs w:val="22"/>
                          </w:rPr>
                        </w:r>
                        <w:r>
                          <w:rPr>
                            <w:rFonts w:ascii="Times New Roman" w:hAnsi="Times New Roman" w:cs="Times New Roman" w:eastAsia="Times New Roman" w:hint="default"/>
                            <w:w w:val="100"/>
                            <w:sz w:val="22"/>
                            <w:szCs w:val="22"/>
                            <w:u w:val="single" w:color="000000"/>
                          </w:rPr>
                          <w:t> </w:t>
                        </w:r>
                        <w:r>
                          <w:rPr>
                            <w:rFonts w:ascii="Times New Roman" w:hAnsi="Times New Roman" w:cs="Times New Roman" w:eastAsia="Times New Roman" w:hint="default"/>
                            <w:sz w:val="22"/>
                            <w:szCs w:val="22"/>
                            <w:u w:val="single" w:color="000000"/>
                          </w:rPr>
                          <w:t>   </w:t>
                        </w:r>
                        <w:r>
                          <w:rPr>
                            <w:rFonts w:ascii="Times New Roman" w:hAnsi="Times New Roman" w:cs="Times New Roman" w:eastAsia="Times New Roman" w:hint="default"/>
                            <w:spacing w:val="-22"/>
                            <w:sz w:val="22"/>
                            <w:szCs w:val="22"/>
                            <w:u w:val="single" w:color="000000"/>
                          </w:rPr>
                          <w:t> </w:t>
                        </w:r>
                        <w:r>
                          <w:rPr>
                            <w:rFonts w:ascii="宋体" w:hAnsi="宋体" w:cs="宋体" w:eastAsia="宋体" w:hint="default"/>
                            <w:sz w:val="22"/>
                            <w:szCs w:val="22"/>
                            <w:u w:val="single" w:color="000000"/>
                          </w:rPr>
                          <w:t>固定资产类别</w:t>
                          <w:tab/>
                        </w:r>
                        <w:r>
                          <w:rPr>
                            <w:rFonts w:ascii="宋体" w:hAnsi="宋体" w:cs="宋体" w:eastAsia="宋体" w:hint="default"/>
                            <w:sz w:val="22"/>
                            <w:szCs w:val="22"/>
                          </w:rPr>
                        </w:r>
                      </w:p>
                      <w:p>
                        <w:pPr>
                          <w:pStyle w:val="TableParagraph"/>
                          <w:spacing w:line="240" w:lineRule="auto" w:before="3"/>
                          <w:ind w:left="75"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620" w:type="dxa"/>
                        <w:tcBorders>
                          <w:top w:val="nil" w:sz="6" w:space="0" w:color="auto"/>
                          <w:left w:val="nil" w:sz="6" w:space="0" w:color="auto"/>
                          <w:bottom w:val="nil" w:sz="6" w:space="0" w:color="auto"/>
                          <w:right w:val="nil" w:sz="6" w:space="0" w:color="auto"/>
                        </w:tcBorders>
                      </w:tcPr>
                      <w:p>
                        <w:pPr>
                          <w:pStyle w:val="TableParagraph"/>
                          <w:tabs>
                            <w:tab w:pos="278" w:val="left" w:leader="none"/>
                            <w:tab w:pos="2084" w:val="left" w:leader="none"/>
                          </w:tabs>
                          <w:spacing w:line="240" w:lineRule="auto" w:before="8"/>
                          <w:ind w:right="0"/>
                          <w:jc w:val="center"/>
                          <w:rPr>
                            <w:rFonts w:ascii="宋体" w:hAnsi="宋体" w:cs="宋体" w:eastAsia="宋体" w:hint="default"/>
                            <w:sz w:val="22"/>
                            <w:szCs w:val="22"/>
                          </w:rPr>
                        </w:pPr>
                        <w:r>
                          <w:rPr>
                            <w:rFonts w:ascii="Times New Roman" w:hAnsi="Times New Roman" w:cs="Times New Roman" w:eastAsia="Times New Roman" w:hint="default"/>
                            <w:w w:val="100"/>
                            <w:sz w:val="22"/>
                            <w:szCs w:val="22"/>
                          </w:rPr>
                        </w:r>
                        <w:r>
                          <w:rPr>
                            <w:rFonts w:ascii="Times New Roman" w:hAnsi="Times New Roman" w:cs="Times New Roman" w:eastAsia="Times New Roman" w:hint="default"/>
                            <w:w w:val="100"/>
                            <w:sz w:val="22"/>
                            <w:szCs w:val="22"/>
                            <w:u w:val="single" w:color="000000"/>
                          </w:rPr>
                          <w:t> </w:t>
                        </w:r>
                        <w:r>
                          <w:rPr>
                            <w:rFonts w:ascii="Times New Roman" w:hAnsi="Times New Roman" w:cs="Times New Roman" w:eastAsia="Times New Roman" w:hint="default"/>
                            <w:sz w:val="22"/>
                            <w:szCs w:val="22"/>
                            <w:u w:val="single" w:color="000000"/>
                          </w:rPr>
                          <w:tab/>
                        </w:r>
                        <w:r>
                          <w:rPr>
                            <w:rFonts w:ascii="宋体" w:hAnsi="宋体" w:cs="宋体" w:eastAsia="宋体" w:hint="default"/>
                            <w:sz w:val="22"/>
                            <w:szCs w:val="22"/>
                            <w:u w:val="single" w:color="000000"/>
                          </w:rPr>
                          <w:t>使用寿命（年）</w:t>
                          <w:tab/>
                        </w:r>
                        <w:r>
                          <w:rPr>
                            <w:rFonts w:ascii="宋体" w:hAnsi="宋体" w:cs="宋体" w:eastAsia="宋体" w:hint="default"/>
                            <w:sz w:val="22"/>
                            <w:szCs w:val="22"/>
                          </w:rPr>
                        </w:r>
                      </w:p>
                      <w:p>
                        <w:pPr>
                          <w:pStyle w:val="TableParagraph"/>
                          <w:spacing w:line="240" w:lineRule="auto" w:before="40"/>
                          <w:ind w:left="15" w:right="0"/>
                          <w:jc w:val="center"/>
                          <w:rPr>
                            <w:rFonts w:ascii="Times New Roman" w:hAnsi="Times New Roman" w:cs="Times New Roman" w:eastAsia="Times New Roman" w:hint="default"/>
                            <w:sz w:val="24"/>
                            <w:szCs w:val="24"/>
                          </w:rPr>
                        </w:pPr>
                        <w:r>
                          <w:rPr>
                            <w:rFonts w:ascii="Times New Roman"/>
                            <w:sz w:val="24"/>
                          </w:rPr>
                          <w:t>20</w:t>
                        </w:r>
                      </w:p>
                    </w:tc>
                    <w:tc>
                      <w:tcPr>
                        <w:tcW w:w="2423" w:type="dxa"/>
                        <w:tcBorders>
                          <w:top w:val="nil" w:sz="6" w:space="0" w:color="auto"/>
                          <w:left w:val="nil" w:sz="6" w:space="0" w:color="auto"/>
                          <w:bottom w:val="nil" w:sz="6" w:space="0" w:color="auto"/>
                          <w:right w:val="nil" w:sz="6" w:space="0" w:color="auto"/>
                        </w:tcBorders>
                      </w:tcPr>
                      <w:p>
                        <w:pPr>
                          <w:pStyle w:val="TableParagraph"/>
                          <w:tabs>
                            <w:tab w:pos="293" w:val="left" w:leader="none"/>
                            <w:tab w:pos="1889" w:val="left" w:leader="none"/>
                          </w:tabs>
                          <w:spacing w:line="240" w:lineRule="auto" w:before="8"/>
                          <w:ind w:right="0"/>
                          <w:jc w:val="center"/>
                          <w:rPr>
                            <w:rFonts w:ascii="宋体" w:hAnsi="宋体" w:cs="宋体" w:eastAsia="宋体" w:hint="default"/>
                            <w:sz w:val="22"/>
                            <w:szCs w:val="22"/>
                          </w:rPr>
                        </w:pPr>
                        <w:r>
                          <w:rPr>
                            <w:rFonts w:ascii="Times New Roman" w:hAnsi="Times New Roman" w:cs="Times New Roman" w:eastAsia="Times New Roman" w:hint="default"/>
                            <w:w w:val="100"/>
                            <w:sz w:val="22"/>
                            <w:szCs w:val="22"/>
                          </w:rPr>
                        </w:r>
                        <w:r>
                          <w:rPr>
                            <w:rFonts w:ascii="Times New Roman" w:hAnsi="Times New Roman" w:cs="Times New Roman" w:eastAsia="Times New Roman" w:hint="default"/>
                            <w:w w:val="100"/>
                            <w:sz w:val="22"/>
                            <w:szCs w:val="22"/>
                            <w:u w:val="single" w:color="000000"/>
                          </w:rPr>
                          <w:t> </w:t>
                        </w:r>
                        <w:r>
                          <w:rPr>
                            <w:rFonts w:ascii="Times New Roman" w:hAnsi="Times New Roman" w:cs="Times New Roman" w:eastAsia="Times New Roman" w:hint="default"/>
                            <w:sz w:val="22"/>
                            <w:szCs w:val="22"/>
                            <w:u w:val="single" w:color="000000"/>
                          </w:rPr>
                          <w:tab/>
                        </w:r>
                        <w:r>
                          <w:rPr>
                            <w:rFonts w:ascii="宋体" w:hAnsi="宋体" w:cs="宋体" w:eastAsia="宋体" w:hint="default"/>
                            <w:sz w:val="22"/>
                            <w:szCs w:val="22"/>
                            <w:u w:val="single" w:color="000000"/>
                          </w:rPr>
                          <w:t>预计净残值率</w:t>
                          <w:tab/>
                        </w:r>
                        <w:r>
                          <w:rPr>
                            <w:rFonts w:ascii="宋体" w:hAnsi="宋体" w:cs="宋体" w:eastAsia="宋体" w:hint="default"/>
                            <w:sz w:val="22"/>
                            <w:szCs w:val="22"/>
                          </w:rPr>
                        </w:r>
                      </w:p>
                      <w:p>
                        <w:pPr>
                          <w:pStyle w:val="TableParagraph"/>
                          <w:spacing w:line="240" w:lineRule="auto" w:before="40"/>
                          <w:ind w:left="16" w:right="0"/>
                          <w:jc w:val="center"/>
                          <w:rPr>
                            <w:rFonts w:ascii="Times New Roman" w:hAnsi="Times New Roman" w:cs="Times New Roman" w:eastAsia="Times New Roman" w:hint="default"/>
                            <w:sz w:val="24"/>
                            <w:szCs w:val="24"/>
                          </w:rPr>
                        </w:pPr>
                        <w:r>
                          <w:rPr>
                            <w:rFonts w:ascii="Times New Roman"/>
                            <w:sz w:val="24"/>
                          </w:rPr>
                          <w:t>10%</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
                          <w:ind w:left="231" w:right="0"/>
                          <w:jc w:val="center"/>
                          <w:rPr>
                            <w:rFonts w:ascii="宋体" w:hAnsi="宋体" w:cs="宋体" w:eastAsia="宋体" w:hint="default"/>
                            <w:sz w:val="22"/>
                            <w:szCs w:val="22"/>
                          </w:rPr>
                        </w:pPr>
                        <w:r>
                          <w:rPr>
                            <w:rFonts w:ascii="宋体" w:hAnsi="宋体" w:cs="宋体" w:eastAsia="宋体" w:hint="default"/>
                            <w:w w:val="100"/>
                            <w:sz w:val="22"/>
                            <w:szCs w:val="22"/>
                          </w:rPr>
                        </w:r>
                        <w:r>
                          <w:rPr>
                            <w:rFonts w:ascii="宋体" w:hAnsi="宋体" w:cs="宋体" w:eastAsia="宋体" w:hint="default"/>
                            <w:sz w:val="22"/>
                            <w:szCs w:val="22"/>
                            <w:u w:val="single" w:color="000000"/>
                          </w:rPr>
                          <w:t>年折旧率（%）</w:t>
                        </w:r>
                        <w:r>
                          <w:rPr>
                            <w:rFonts w:ascii="宋体" w:hAnsi="宋体" w:cs="宋体" w:eastAsia="宋体" w:hint="default"/>
                            <w:sz w:val="22"/>
                            <w:szCs w:val="22"/>
                          </w:rPr>
                        </w:r>
                      </w:p>
                      <w:p>
                        <w:pPr>
                          <w:pStyle w:val="TableParagraph"/>
                          <w:spacing w:line="240" w:lineRule="auto" w:before="40"/>
                          <w:ind w:left="175" w:right="0"/>
                          <w:jc w:val="center"/>
                          <w:rPr>
                            <w:rFonts w:ascii="Times New Roman" w:hAnsi="Times New Roman" w:cs="Times New Roman" w:eastAsia="Times New Roman" w:hint="default"/>
                            <w:sz w:val="24"/>
                            <w:szCs w:val="24"/>
                          </w:rPr>
                        </w:pPr>
                        <w:r>
                          <w:rPr>
                            <w:rFonts w:ascii="Times New Roman"/>
                            <w:sz w:val="24"/>
                          </w:rPr>
                          <w:t>4.50</w:t>
                        </w:r>
                      </w:p>
                    </w:tc>
                  </w:tr>
                  <w:tr>
                    <w:trPr>
                      <w:trHeight w:val="321"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83" w:lineRule="exact"/>
                          <w:ind w:left="75"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97" w:right="0"/>
                          <w:jc w:val="left"/>
                          <w:rPr>
                            <w:rFonts w:ascii="Times New Roman" w:hAnsi="Times New Roman" w:cs="Times New Roman" w:eastAsia="Times New Roman" w:hint="default"/>
                            <w:sz w:val="24"/>
                            <w:szCs w:val="24"/>
                          </w:rPr>
                        </w:pPr>
                        <w:r>
                          <w:rPr>
                            <w:rFonts w:ascii="Times New Roman"/>
                            <w:sz w:val="24"/>
                          </w:rPr>
                          <w:t>10</w:t>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center"/>
                          <w:rPr>
                            <w:rFonts w:ascii="Times New Roman" w:hAnsi="Times New Roman" w:cs="Times New Roman" w:eastAsia="Times New Roman" w:hint="default"/>
                            <w:sz w:val="24"/>
                            <w:szCs w:val="24"/>
                          </w:rPr>
                        </w:pPr>
                        <w:r>
                          <w:rPr>
                            <w:rFonts w:ascii="Times New Roman"/>
                            <w:sz w:val="24"/>
                          </w:rPr>
                          <w:t>10%</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6"/>
                          <w:jc w:val="right"/>
                          <w:rPr>
                            <w:rFonts w:ascii="Times New Roman" w:hAnsi="Times New Roman" w:cs="Times New Roman" w:eastAsia="Times New Roman" w:hint="default"/>
                            <w:sz w:val="24"/>
                            <w:szCs w:val="24"/>
                          </w:rPr>
                        </w:pPr>
                        <w:r>
                          <w:rPr>
                            <w:rFonts w:ascii="Times New Roman"/>
                            <w:spacing w:val="-1"/>
                            <w:sz w:val="24"/>
                          </w:rPr>
                          <w:t>9.00</w:t>
                        </w:r>
                        <w:r>
                          <w:rPr>
                            <w:rFonts w:ascii="Times New Roman"/>
                            <w:sz w:val="24"/>
                          </w:rPr>
                        </w:r>
                      </w:p>
                    </w:tc>
                  </w:tr>
                  <w:tr>
                    <w:trPr>
                      <w:trHeight w:val="321"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84" w:lineRule="exact"/>
                          <w:ind w:left="75"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1257" w:right="0"/>
                          <w:jc w:val="left"/>
                          <w:rPr>
                            <w:rFonts w:ascii="Times New Roman" w:hAnsi="Times New Roman" w:cs="Times New Roman" w:eastAsia="Times New Roman" w:hint="default"/>
                            <w:sz w:val="24"/>
                            <w:szCs w:val="24"/>
                          </w:rPr>
                        </w:pPr>
                        <w:r>
                          <w:rPr>
                            <w:rFonts w:ascii="Times New Roman"/>
                            <w:w w:val="99"/>
                            <w:sz w:val="24"/>
                          </w:rPr>
                          <w:t>5</w:t>
                        </w:r>
                        <w:r>
                          <w:rPr>
                            <w:rFonts w:ascii="Times New Roman"/>
                            <w:sz w:val="24"/>
                          </w:rPr>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center"/>
                          <w:rPr>
                            <w:rFonts w:ascii="Times New Roman" w:hAnsi="Times New Roman" w:cs="Times New Roman" w:eastAsia="Times New Roman" w:hint="default"/>
                            <w:sz w:val="24"/>
                            <w:szCs w:val="24"/>
                          </w:rPr>
                        </w:pPr>
                        <w:r>
                          <w:rPr>
                            <w:rFonts w:ascii="Times New Roman"/>
                            <w:sz w:val="24"/>
                          </w:rPr>
                          <w:t>10%</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09"/>
                          <w:jc w:val="right"/>
                          <w:rPr>
                            <w:rFonts w:ascii="Times New Roman" w:hAnsi="Times New Roman" w:cs="Times New Roman" w:eastAsia="Times New Roman" w:hint="default"/>
                            <w:sz w:val="24"/>
                            <w:szCs w:val="24"/>
                          </w:rPr>
                        </w:pPr>
                        <w:r>
                          <w:rPr>
                            <w:rFonts w:ascii="Times New Roman"/>
                            <w:spacing w:val="-1"/>
                            <w:w w:val="95"/>
                            <w:sz w:val="24"/>
                          </w:rPr>
                          <w:t>18.00</w:t>
                        </w:r>
                        <w:r>
                          <w:rPr>
                            <w:rFonts w:ascii="Times New Roman"/>
                            <w:sz w:val="24"/>
                          </w:rPr>
                        </w:r>
                      </w:p>
                    </w:tc>
                  </w:tr>
                  <w:tr>
                    <w:trPr>
                      <w:trHeight w:val="383"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83" w:lineRule="exact"/>
                          <w:ind w:left="75" w:right="0"/>
                          <w:jc w:val="left"/>
                          <w:rPr>
                            <w:rFonts w:ascii="宋体" w:hAnsi="宋体" w:cs="宋体" w:eastAsia="宋体" w:hint="default"/>
                            <w:sz w:val="24"/>
                            <w:szCs w:val="24"/>
                          </w:rPr>
                        </w:pPr>
                        <w:r>
                          <w:rPr>
                            <w:rFonts w:ascii="宋体" w:hAnsi="宋体" w:cs="宋体" w:eastAsia="宋体" w:hint="default"/>
                            <w:sz w:val="24"/>
                            <w:szCs w:val="24"/>
                          </w:rPr>
                          <w:t>其他及办公设备</w:t>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6"/>
                          <w:ind w:left="1257" w:right="0"/>
                          <w:jc w:val="left"/>
                          <w:rPr>
                            <w:rFonts w:ascii="Times New Roman" w:hAnsi="Times New Roman" w:cs="Times New Roman" w:eastAsia="Times New Roman" w:hint="default"/>
                            <w:sz w:val="24"/>
                            <w:szCs w:val="24"/>
                          </w:rPr>
                        </w:pPr>
                        <w:r>
                          <w:rPr>
                            <w:rFonts w:ascii="Times New Roman"/>
                            <w:w w:val="99"/>
                            <w:sz w:val="24"/>
                          </w:rPr>
                          <w:t>5</w:t>
                        </w:r>
                        <w:r>
                          <w:rPr>
                            <w:rFonts w:ascii="Times New Roman"/>
                            <w:sz w:val="24"/>
                          </w:rPr>
                        </w:r>
                      </w:p>
                    </w:tc>
                    <w:tc>
                      <w:tcPr>
                        <w:tcW w:w="24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center"/>
                          <w:rPr>
                            <w:rFonts w:ascii="Times New Roman" w:hAnsi="Times New Roman" w:cs="Times New Roman" w:eastAsia="Times New Roman" w:hint="default"/>
                            <w:sz w:val="24"/>
                            <w:szCs w:val="24"/>
                          </w:rPr>
                        </w:pPr>
                        <w:r>
                          <w:rPr>
                            <w:rFonts w:ascii="Times New Roman"/>
                            <w:sz w:val="24"/>
                          </w:rPr>
                          <w:t>10%</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09"/>
                          <w:jc w:val="right"/>
                          <w:rPr>
                            <w:rFonts w:ascii="Times New Roman" w:hAnsi="Times New Roman" w:cs="Times New Roman" w:eastAsia="Times New Roman" w:hint="default"/>
                            <w:sz w:val="24"/>
                            <w:szCs w:val="24"/>
                          </w:rPr>
                        </w:pPr>
                        <w:r>
                          <w:rPr>
                            <w:rFonts w:ascii="Times New Roman"/>
                            <w:spacing w:val="-1"/>
                            <w:w w:val="95"/>
                            <w:sz w:val="24"/>
                          </w:rPr>
                          <w:t>18.00</w:t>
                        </w:r>
                        <w:r>
                          <w:rPr>
                            <w:rFonts w:ascii="Times New Roman"/>
                            <w:sz w:val="24"/>
                          </w:rPr>
                        </w:r>
                      </w:p>
                    </w:tc>
                  </w:tr>
                </w:tbl>
                <w:p>
                  <w:pPr/>
                </w:p>
              </w:txbxContent>
            </v:textbox>
            <w10:wrap type="none"/>
          </v:shape>
        </w:pict>
      </w:r>
      <w:r>
        <w:rPr>
          <w:spacing w:val="-5"/>
        </w:rPr>
        <w:t>①折旧方法及使用寿命、预计净残值率和年折旧率的确定：固定资产折旧采</w:t>
      </w:r>
      <w:r>
        <w:rPr>
          <w:spacing w:val="-2"/>
          <w:w w:val="100"/>
        </w:rPr>
        <w:t> </w:t>
      </w:r>
      <w:r>
        <w:rPr>
          <w:spacing w:val="-5"/>
        </w:rPr>
        <w:t>用年限平均法计提折旧。按固定资产的类别、使用寿命和预计净残值率确定的年</w:t>
      </w:r>
      <w:r>
        <w:rPr>
          <w:spacing w:val="-64"/>
        </w:rPr>
        <w:t> </w:t>
      </w:r>
      <w:r>
        <w:rPr>
          <w:spacing w:val="-64"/>
        </w:rPr>
      </w:r>
      <w:r>
        <w:rPr>
          <w:spacing w:val="-2"/>
        </w:rPr>
        <w:t>折旧率如下：</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36" w:lineRule="auto" w:before="27"/>
        <w:ind w:right="0" w:firstLine="480"/>
        <w:jc w:val="left"/>
      </w:pPr>
      <w:r>
        <w:rPr>
          <w:spacing w:val="-2"/>
        </w:rPr>
        <w:t>已计提减值准备的固定资产的折旧计提方法：已计提减值准备的固定资产，</w:t>
      </w:r>
      <w:r>
        <w:rPr>
          <w:spacing w:val="-2"/>
          <w:w w:val="100"/>
        </w:rPr>
        <w:t> </w:t>
      </w:r>
      <w:r>
        <w:rPr>
          <w:spacing w:val="-5"/>
        </w:rPr>
        <w:t>按该项固定资产的原价扣除预计净残值、已提折旧及减值准备后的金额和剩余使</w:t>
      </w:r>
      <w:r>
        <w:rPr>
          <w:spacing w:val="-63"/>
        </w:rPr>
        <w:t> </w:t>
      </w:r>
      <w:r>
        <w:rPr>
          <w:spacing w:val="-63"/>
        </w:rPr>
      </w:r>
      <w:r>
        <w:rPr/>
        <w:t>用寿命，计提折旧。</w:t>
      </w:r>
    </w:p>
    <w:p>
      <w:pPr>
        <w:pStyle w:val="BodyText"/>
        <w:spacing w:line="336" w:lineRule="auto" w:before="29"/>
        <w:ind w:right="0" w:firstLine="480"/>
        <w:jc w:val="left"/>
      </w:pPr>
      <w:r>
        <w:rPr>
          <w:spacing w:val="-5"/>
        </w:rPr>
        <w:t>已达到预定可使用状态但尚未办理竣工决算的固定资产，按照估计价值确定</w:t>
      </w:r>
      <w:r>
        <w:rPr>
          <w:spacing w:val="-2"/>
          <w:w w:val="100"/>
        </w:rPr>
        <w:t> </w:t>
      </w:r>
      <w:r>
        <w:rPr>
          <w:spacing w:val="-2"/>
        </w:rPr>
        <w:t>其成本，并计提折旧；待办理竣工决算后，再按实际成本调整原来的暂估价值，</w:t>
      </w:r>
      <w:r>
        <w:rPr>
          <w:spacing w:val="-81"/>
        </w:rPr>
        <w:t> </w:t>
      </w:r>
      <w:r>
        <w:rPr/>
        <w:t>但不需要调整原已计提的折旧额。</w:t>
      </w:r>
    </w:p>
    <w:p>
      <w:pPr>
        <w:pStyle w:val="BodyText"/>
        <w:spacing w:line="336" w:lineRule="auto" w:before="29"/>
        <w:ind w:right="647" w:firstLine="480"/>
        <w:jc w:val="both"/>
      </w:pPr>
      <w:r>
        <w:rPr>
          <w:spacing w:val="-5"/>
        </w:rPr>
        <w:t>②固定资产的使用寿命、预计净残值和折旧方法进行复核：对本公司至少于</w:t>
      </w:r>
      <w:r>
        <w:rPr>
          <w:spacing w:val="-2"/>
          <w:w w:val="100"/>
        </w:rPr>
        <w:t> </w:t>
      </w:r>
      <w:r>
        <w:rPr>
          <w:spacing w:val="-5"/>
        </w:rPr>
        <w:t>每年年度终了时，对固定资产的使用寿命、预计净残值和折旧方法进行复核，如</w:t>
      </w:r>
      <w:r>
        <w:rPr>
          <w:spacing w:val="-58"/>
        </w:rPr>
        <w:t> </w:t>
      </w:r>
      <w:r>
        <w:rPr>
          <w:spacing w:val="-58"/>
        </w:rPr>
      </w:r>
      <w:r>
        <w:rPr/>
        <w:t>果发现固定资产使用寿命预计数与原先估计数有差异的，调整固定资产使用寿</w:t>
      </w:r>
      <w:r>
        <w:rPr>
          <w:spacing w:val="19"/>
        </w:rPr>
        <w:t> </w:t>
      </w:r>
      <w:r>
        <w:rPr>
          <w:spacing w:val="19"/>
        </w:rPr>
      </w:r>
      <w:r>
        <w:rPr>
          <w:spacing w:val="-5"/>
        </w:rPr>
        <w:t>命；预计净残值的预计数与原先估计数有差异的，调整预计净残值；与固定资产</w:t>
      </w:r>
      <w:r>
        <w:rPr>
          <w:spacing w:val="-60"/>
        </w:rPr>
        <w:t> </w:t>
      </w:r>
      <w:r>
        <w:rPr>
          <w:spacing w:val="-60"/>
        </w:rPr>
      </w:r>
      <w:r>
        <w:rPr>
          <w:spacing w:val="-5"/>
        </w:rPr>
        <w:t>有关的经济利益预期实现方式有重大改变的，改变固定资产折旧方法。固定资产</w:t>
      </w:r>
      <w:r>
        <w:rPr>
          <w:spacing w:val="-64"/>
        </w:rPr>
        <w:t> </w:t>
      </w:r>
      <w:r>
        <w:rPr>
          <w:spacing w:val="-64"/>
        </w:rPr>
      </w:r>
      <w:r>
        <w:rPr/>
        <w:t>使用寿命、预计净残值和折旧方法的改变作为会计估计变更处理。</w:t>
      </w:r>
    </w:p>
    <w:p>
      <w:pPr>
        <w:pStyle w:val="BodyText"/>
        <w:spacing w:line="336" w:lineRule="auto" w:before="29"/>
        <w:ind w:left="617" w:right="0"/>
        <w:jc w:val="left"/>
      </w:pPr>
      <w:r>
        <w:rPr/>
        <w:t>（5）固定资产后续支出的处理</w:t>
      </w:r>
      <w:r>
        <w:rPr>
          <w:spacing w:val="-2"/>
          <w:w w:val="100"/>
        </w:rPr>
        <w:t> </w:t>
      </w:r>
      <w:r>
        <w:rPr>
          <w:spacing w:val="-5"/>
        </w:rPr>
        <w:t>固定资产后续支出指固定资产在使用过程中发生的主要包括修理支出、更新</w:t>
      </w:r>
      <w:r>
        <w:rPr/>
      </w:r>
    </w:p>
    <w:p>
      <w:pPr>
        <w:pStyle w:val="BodyText"/>
        <w:spacing w:line="336" w:lineRule="auto"/>
        <w:ind w:right="0"/>
        <w:jc w:val="left"/>
      </w:pPr>
      <w:r>
        <w:rPr>
          <w:spacing w:val="-5"/>
        </w:rPr>
        <w:t>改造支出、修理费用、装修支出等。其会计处理方法为：固定资产的更新改造等</w:t>
      </w:r>
      <w:r>
        <w:rPr>
          <w:spacing w:val="-60"/>
        </w:rPr>
        <w:t> </w:t>
      </w:r>
      <w:r>
        <w:rPr>
          <w:spacing w:val="-60"/>
        </w:rPr>
      </w:r>
      <w:r>
        <w:rPr>
          <w:spacing w:val="-2"/>
        </w:rPr>
        <w:t>后续支出，满足固定资产确认条件的，计入固定资产成本，如有被替换的部分，</w:t>
      </w:r>
      <w:r>
        <w:rPr>
          <w:spacing w:val="-81"/>
        </w:rPr>
        <w:t> </w:t>
      </w:r>
      <w:r>
        <w:rPr>
          <w:spacing w:val="-5"/>
        </w:rPr>
        <w:t>应扣除其账面价值；不满足固定资产确认条件的固定资产修理费用等，在发生时</w:t>
      </w:r>
      <w:r>
        <w:rPr>
          <w:spacing w:val="-64"/>
        </w:rPr>
        <w:t> </w:t>
      </w:r>
      <w:r>
        <w:rPr>
          <w:spacing w:val="-64"/>
        </w:rPr>
      </w:r>
      <w:r>
        <w:rPr>
          <w:spacing w:val="-8"/>
        </w:rPr>
        <w:t>计入当期损益；固定资产装修费用，在满足固定资产确认条件时，在“固定资产”</w:t>
      </w:r>
      <w:r>
        <w:rPr>
          <w:spacing w:val="-68"/>
        </w:rPr>
        <w:t> </w:t>
      </w:r>
      <w:r>
        <w:rPr>
          <w:spacing w:val="-68"/>
        </w:rPr>
      </w:r>
      <w:r>
        <w:rPr>
          <w:spacing w:val="-5"/>
        </w:rPr>
        <w:t>内单设明细科目核算，并在两次装修期间与固定资产尚可使用年限两者中较短的</w:t>
      </w:r>
      <w:r>
        <w:rPr>
          <w:spacing w:val="-63"/>
        </w:rPr>
        <w:t> </w:t>
      </w:r>
      <w:r>
        <w:rPr>
          <w:spacing w:val="-63"/>
        </w:rPr>
      </w:r>
      <w:r>
        <w:rPr/>
        <w:t>期间内，采用年限平均法单独计提折旧。</w:t>
      </w:r>
    </w:p>
    <w:p>
      <w:pPr>
        <w:spacing w:after="0" w:line="336" w:lineRule="auto"/>
        <w:jc w:val="left"/>
        <w:sectPr>
          <w:pgSz w:w="11910" w:h="16840"/>
          <w:pgMar w:header="840" w:footer="1712" w:top="1160" w:bottom="1900" w:left="1660" w:right="1140"/>
        </w:sectPr>
      </w:pPr>
    </w:p>
    <w:p>
      <w:pPr>
        <w:pStyle w:val="BodyText"/>
        <w:spacing w:line="336" w:lineRule="auto" w:before="71"/>
        <w:ind w:right="87" w:firstLine="480"/>
        <w:jc w:val="left"/>
      </w:pPr>
      <w:r>
        <w:rPr>
          <w:spacing w:val="-5"/>
        </w:rPr>
        <w:t>以经营租赁方式租入的固定资产发生的改良支出，予以资本化，作为长期待</w:t>
      </w:r>
      <w:r>
        <w:rPr>
          <w:spacing w:val="-2"/>
          <w:w w:val="100"/>
        </w:rPr>
        <w:t> </w:t>
      </w:r>
      <w:r>
        <w:rPr/>
        <w:t>摊费用，合理进行摊销。</w:t>
      </w:r>
    </w:p>
    <w:p>
      <w:pPr>
        <w:pStyle w:val="BodyText"/>
        <w:spacing w:line="240" w:lineRule="auto" w:before="29"/>
        <w:ind w:left="617" w:right="87"/>
        <w:jc w:val="left"/>
      </w:pPr>
      <w:r>
        <w:rPr/>
        <w:t>（6）融资租入固定资产</w:t>
      </w:r>
    </w:p>
    <w:p>
      <w:pPr>
        <w:pStyle w:val="BodyText"/>
        <w:spacing w:line="336" w:lineRule="auto" w:before="126"/>
        <w:ind w:left="617" w:right="87"/>
        <w:jc w:val="left"/>
      </w:pPr>
      <w:r>
        <w:rPr/>
        <w:t>①融资租入固定资产认定依据</w:t>
      </w:r>
      <w:r>
        <w:rPr>
          <w:spacing w:val="-2"/>
          <w:w w:val="100"/>
        </w:rPr>
        <w:t> </w:t>
      </w:r>
      <w:r>
        <w:rPr>
          <w:spacing w:val="-13"/>
          <w:w w:val="100"/>
        </w:rPr>
        <w:t>本公司认定融资租赁依据见附注四、25、（2）。</w:t>
      </w:r>
    </w:p>
    <w:p>
      <w:pPr>
        <w:pStyle w:val="BodyText"/>
        <w:spacing w:line="336" w:lineRule="auto" w:before="29"/>
        <w:ind w:left="617" w:right="87"/>
        <w:jc w:val="left"/>
      </w:pPr>
      <w:r>
        <w:rPr/>
        <w:t>②融资租入的固定资产的计价方法</w:t>
      </w:r>
      <w:r>
        <w:rPr>
          <w:spacing w:val="-2"/>
          <w:w w:val="100"/>
        </w:rPr>
        <w:t> </w:t>
      </w:r>
      <w:r>
        <w:rPr>
          <w:spacing w:val="-7"/>
          <w:w w:val="100"/>
        </w:rPr>
        <w:t>融资租入的固定资产的计价方法见附注四、25、（3）</w:t>
      </w:r>
      <w:r>
        <w:rPr>
          <w:w w:val="100"/>
        </w:rPr>
      </w:r>
    </w:p>
    <w:p>
      <w:pPr>
        <w:pStyle w:val="BodyText"/>
        <w:spacing w:line="336" w:lineRule="auto"/>
        <w:ind w:left="617" w:right="87"/>
        <w:jc w:val="left"/>
      </w:pPr>
      <w:r>
        <w:rPr/>
        <w:t>③融资租入固定资产的折旧方法</w:t>
      </w:r>
      <w:r>
        <w:rPr>
          <w:spacing w:val="-2"/>
          <w:w w:val="100"/>
        </w:rPr>
        <w:t> </w:t>
      </w:r>
      <w:r>
        <w:rPr>
          <w:spacing w:val="-5"/>
        </w:rPr>
        <w:t>本公司采用与自有固定资产相一致的折旧政策计提租赁资产折旧。能够合理</w:t>
      </w:r>
      <w:r>
        <w:rPr/>
      </w:r>
    </w:p>
    <w:p>
      <w:pPr>
        <w:pStyle w:val="BodyText"/>
        <w:spacing w:line="336" w:lineRule="auto"/>
        <w:ind w:right="192"/>
        <w:jc w:val="both"/>
      </w:pPr>
      <w:r>
        <w:rPr>
          <w:spacing w:val="-5"/>
        </w:rPr>
        <w:t>确定租赁期届满时取得租赁资产所有权的，在租赁资产使用寿命内计提折旧。无</w:t>
      </w:r>
      <w:r>
        <w:rPr>
          <w:spacing w:val="-62"/>
        </w:rPr>
        <w:t> </w:t>
      </w:r>
      <w:r>
        <w:rPr>
          <w:spacing w:val="-62"/>
        </w:rPr>
      </w:r>
      <w:r>
        <w:rPr>
          <w:spacing w:val="-5"/>
        </w:rPr>
        <w:t>法合理确定租赁期届满时能够取得租赁资产所有权的，在租赁期与租赁资产使用</w:t>
      </w:r>
      <w:r>
        <w:rPr>
          <w:spacing w:val="-63"/>
        </w:rPr>
        <w:t> </w:t>
      </w:r>
      <w:r>
        <w:rPr>
          <w:spacing w:val="-63"/>
        </w:rPr>
      </w:r>
      <w:r>
        <w:rPr/>
        <w:t>寿命两者中较短的期间内计提折旧。</w:t>
      </w:r>
    </w:p>
    <w:p>
      <w:pPr>
        <w:pStyle w:val="Heading3"/>
        <w:tabs>
          <w:tab w:pos="1397" w:val="left" w:leader="none"/>
        </w:tabs>
        <w:spacing w:line="240" w:lineRule="auto" w:before="74"/>
        <w:ind w:left="619" w:right="87"/>
        <w:jc w:val="left"/>
        <w:rPr>
          <w:b w:val="0"/>
          <w:bCs w:val="0"/>
        </w:rPr>
      </w:pPr>
      <w:r>
        <w:rPr>
          <w:w w:val="90"/>
        </w:rPr>
        <w:t>12、</w:t>
        <w:tab/>
      </w:r>
      <w:r>
        <w:rPr/>
        <w:t>在建工程</w:t>
      </w:r>
      <w:r>
        <w:rPr>
          <w:b w:val="0"/>
          <w:bCs w:val="0"/>
        </w:rPr>
      </w:r>
    </w:p>
    <w:p>
      <w:pPr>
        <w:pStyle w:val="BodyText"/>
        <w:spacing w:line="336" w:lineRule="auto" w:before="99"/>
        <w:ind w:right="87" w:firstLine="480"/>
        <w:jc w:val="left"/>
      </w:pPr>
      <w:r>
        <w:rPr>
          <w:spacing w:val="-2"/>
        </w:rPr>
        <w:t>（1）本公司在建工程包括安装工程、技术改造工程、大修理工程等。在建</w:t>
      </w:r>
      <w:r>
        <w:rPr>
          <w:spacing w:val="-1"/>
          <w:w w:val="100"/>
        </w:rPr>
        <w:t> </w:t>
      </w:r>
      <w:r>
        <w:rPr/>
        <w:t>工程按实际成本计价。</w:t>
      </w:r>
    </w:p>
    <w:p>
      <w:pPr>
        <w:pStyle w:val="BodyText"/>
        <w:spacing w:line="336" w:lineRule="auto"/>
        <w:ind w:left="617" w:right="87"/>
        <w:jc w:val="left"/>
      </w:pPr>
      <w:r>
        <w:rPr/>
        <w:t>（2）在建工程结转为固定资产的时点：</w:t>
      </w:r>
      <w:r>
        <w:rPr>
          <w:spacing w:val="-2"/>
          <w:w w:val="100"/>
        </w:rPr>
        <w:t> </w:t>
      </w:r>
      <w:r>
        <w:rPr>
          <w:spacing w:val="-5"/>
        </w:rPr>
        <w:t>在建工程达到预定可使用状态时，按工程实际成本转入固定资产。对已达到</w:t>
      </w:r>
      <w:r>
        <w:rPr/>
      </w:r>
    </w:p>
    <w:p>
      <w:pPr>
        <w:pStyle w:val="BodyText"/>
        <w:spacing w:line="336" w:lineRule="auto" w:before="29"/>
        <w:ind w:right="193"/>
        <w:jc w:val="both"/>
      </w:pPr>
      <w:r>
        <w:rPr>
          <w:spacing w:val="-5"/>
        </w:rPr>
        <w:t>预定可使用状态但尚未办理竣工决算手续的固定资产，按估计价值记账，待确定</w:t>
      </w:r>
      <w:r>
        <w:rPr>
          <w:spacing w:val="-64"/>
        </w:rPr>
        <w:t> </w:t>
      </w:r>
      <w:r>
        <w:rPr>
          <w:spacing w:val="-64"/>
        </w:rPr>
      </w:r>
      <w:r>
        <w:rPr>
          <w:spacing w:val="-2"/>
        </w:rPr>
        <w:t>实际价值后，再进行调整。</w:t>
      </w:r>
      <w:r>
        <w:rPr/>
      </w:r>
    </w:p>
    <w:p>
      <w:pPr>
        <w:pStyle w:val="Heading3"/>
        <w:tabs>
          <w:tab w:pos="1397" w:val="left" w:leader="none"/>
        </w:tabs>
        <w:spacing w:line="240" w:lineRule="auto" w:before="74"/>
        <w:ind w:right="87"/>
        <w:jc w:val="left"/>
        <w:rPr>
          <w:b w:val="0"/>
          <w:bCs w:val="0"/>
        </w:rPr>
      </w:pPr>
      <w:r>
        <w:rPr>
          <w:w w:val="90"/>
        </w:rPr>
        <w:t>13、</w:t>
        <w:tab/>
      </w:r>
      <w:r>
        <w:rPr/>
        <w:t>无形资产</w:t>
      </w:r>
      <w:r>
        <w:rPr>
          <w:b w:val="0"/>
          <w:bCs w:val="0"/>
        </w:rPr>
      </w:r>
    </w:p>
    <w:p>
      <w:pPr>
        <w:pStyle w:val="BodyText"/>
        <w:spacing w:line="336" w:lineRule="auto" w:before="98"/>
        <w:ind w:left="617" w:right="87"/>
        <w:jc w:val="left"/>
      </w:pPr>
      <w:r>
        <w:rPr>
          <w:spacing w:val="-2"/>
        </w:rPr>
        <w:t>（1）无形资产的确认标准</w:t>
      </w:r>
      <w:r>
        <w:rPr>
          <w:spacing w:val="-107"/>
        </w:rPr>
        <w:t> </w:t>
      </w:r>
      <w:r>
        <w:rPr>
          <w:spacing w:val="-2"/>
        </w:rPr>
        <w:t>无形资产是指本公司拥有或者控制的没有实物形态的可辨认非货币性资产。</w:t>
      </w:r>
      <w:r>
        <w:rPr/>
      </w:r>
    </w:p>
    <w:p>
      <w:pPr>
        <w:pStyle w:val="BodyText"/>
        <w:spacing w:line="240" w:lineRule="auto"/>
        <w:ind w:right="0"/>
        <w:jc w:val="both"/>
      </w:pPr>
      <w:r>
        <w:rPr/>
        <w:t>在同时满足下列条件时才能确认无形资产：</w:t>
      </w:r>
    </w:p>
    <w:p>
      <w:pPr>
        <w:pStyle w:val="BodyText"/>
        <w:spacing w:line="240" w:lineRule="auto" w:before="125"/>
        <w:ind w:left="617" w:right="87"/>
        <w:jc w:val="left"/>
      </w:pPr>
      <w:r>
        <w:rPr/>
        <w:t>①符合无形资产的定义;</w:t>
      </w:r>
    </w:p>
    <w:p>
      <w:pPr>
        <w:pStyle w:val="BodyText"/>
        <w:spacing w:line="240" w:lineRule="auto" w:before="126"/>
        <w:ind w:left="617" w:right="87"/>
        <w:jc w:val="left"/>
      </w:pPr>
      <w:r>
        <w:rPr>
          <w:spacing w:val="-2"/>
        </w:rPr>
        <w:t>②与该资产相关的预计未来经济利益很可能流入公司;</w:t>
      </w:r>
      <w:r>
        <w:rPr/>
      </w:r>
    </w:p>
    <w:p>
      <w:pPr>
        <w:pStyle w:val="BodyText"/>
        <w:spacing w:line="240" w:lineRule="auto" w:before="126"/>
        <w:ind w:left="617" w:right="87"/>
        <w:jc w:val="left"/>
      </w:pPr>
      <w:r>
        <w:rPr/>
        <w:t>③该资产的成本能够可靠计量。</w:t>
      </w:r>
    </w:p>
    <w:p>
      <w:pPr>
        <w:pStyle w:val="BodyText"/>
        <w:spacing w:line="336" w:lineRule="auto" w:before="125"/>
        <w:ind w:left="617" w:right="87"/>
        <w:jc w:val="left"/>
      </w:pPr>
      <w:r>
        <w:rPr>
          <w:spacing w:val="-2"/>
        </w:rPr>
        <w:t>（2）无形资产的初始计量</w:t>
      </w:r>
      <w:r>
        <w:rPr>
          <w:spacing w:val="-107"/>
        </w:rPr>
        <w:t> </w:t>
      </w:r>
      <w:r>
        <w:rPr>
          <w:spacing w:val="-2"/>
        </w:rPr>
        <w:t>无形资产按照成本进行初始计量。实际成本按以下原则确定：</w:t>
      </w:r>
      <w:r>
        <w:rPr/>
      </w:r>
    </w:p>
    <w:p>
      <w:pPr>
        <w:pStyle w:val="BodyText"/>
        <w:spacing w:line="336" w:lineRule="auto"/>
        <w:ind w:right="87" w:firstLine="480"/>
        <w:jc w:val="left"/>
      </w:pPr>
      <w:r>
        <w:rPr>
          <w:spacing w:val="-5"/>
        </w:rPr>
        <w:t>①外购无形资产的成本，包括购买价款、相关税费以及直接归属于使该项资</w:t>
      </w:r>
      <w:r>
        <w:rPr>
          <w:spacing w:val="-2"/>
          <w:w w:val="100"/>
        </w:rPr>
        <w:t> </w:t>
      </w:r>
      <w:r>
        <w:rPr>
          <w:spacing w:val="-5"/>
        </w:rPr>
        <w:t>产达到预定用途所发生的其它支出。购买无形资产的价款超过正常信用条件延期</w:t>
      </w:r>
      <w:r>
        <w:rPr/>
      </w:r>
    </w:p>
    <w:p>
      <w:pPr>
        <w:spacing w:after="0" w:line="336" w:lineRule="auto"/>
        <w:jc w:val="left"/>
        <w:sectPr>
          <w:pgSz w:w="11910" w:h="16840"/>
          <w:pgMar w:header="840" w:footer="1712" w:top="1160" w:bottom="1900" w:left="1660" w:right="1600"/>
        </w:sectPr>
      </w:pPr>
    </w:p>
    <w:p>
      <w:pPr>
        <w:pStyle w:val="BodyText"/>
        <w:spacing w:line="336" w:lineRule="auto" w:before="71"/>
        <w:ind w:right="107"/>
        <w:jc w:val="left"/>
      </w:pPr>
      <w:r>
        <w:rPr>
          <w:spacing w:val="-2"/>
        </w:rPr>
        <w:t>支付，实质上具有融资性质的，无形资产的成本以购买价款的现值为基础确定。</w:t>
      </w:r>
      <w:r>
        <w:rPr>
          <w:spacing w:val="-81"/>
        </w:rPr>
        <w:t> </w:t>
      </w:r>
      <w:r>
        <w:rPr>
          <w:spacing w:val="-5"/>
        </w:rPr>
        <w:t>实际支付的价款与购买价款的现值之间的差额，除按照《企业会计准则第</w:t>
      </w:r>
      <w:r>
        <w:rPr>
          <w:spacing w:val="-52"/>
        </w:rPr>
        <w:t> </w:t>
      </w:r>
      <w:r>
        <w:rPr/>
        <w:t>17</w:t>
      </w:r>
      <w:r>
        <w:rPr>
          <w:spacing w:val="-51"/>
        </w:rPr>
        <w:t> </w:t>
      </w:r>
      <w:r>
        <w:rPr/>
        <w:t>号-</w:t>
      </w:r>
      <w:r>
        <w:rPr>
          <w:spacing w:val="-98"/>
        </w:rPr>
        <w:t> </w:t>
      </w:r>
      <w:r>
        <w:rPr>
          <w:spacing w:val="-98"/>
        </w:rPr>
      </w:r>
      <w:r>
        <w:rPr>
          <w:spacing w:val="-5"/>
          <w:w w:val="100"/>
        </w:rPr>
        <w:t>借款费用》可予以资本化的以外（相关披露见附注四、17），在信用期间内计入</w:t>
      </w:r>
      <w:r>
        <w:rPr>
          <w:spacing w:val="-96"/>
          <w:w w:val="100"/>
        </w:rPr>
        <w:t> </w:t>
      </w:r>
      <w:r>
        <w:rPr>
          <w:spacing w:val="-96"/>
          <w:w w:val="100"/>
        </w:rPr>
      </w:r>
      <w:r>
        <w:rPr/>
        <w:t>当期损益。</w:t>
      </w:r>
    </w:p>
    <w:p>
      <w:pPr>
        <w:pStyle w:val="BodyText"/>
        <w:spacing w:line="336" w:lineRule="auto"/>
        <w:ind w:right="107" w:firstLine="480"/>
        <w:jc w:val="left"/>
      </w:pPr>
      <w:r>
        <w:rPr>
          <w:spacing w:val="-5"/>
        </w:rPr>
        <w:t>②投资者投入无形资产的成本，按照投资合同或协议约定的价值确定，但合</w:t>
      </w:r>
      <w:r>
        <w:rPr>
          <w:spacing w:val="-2"/>
          <w:w w:val="100"/>
        </w:rPr>
        <w:t> </w:t>
      </w:r>
      <w:r>
        <w:rPr/>
        <w:t>同或协议约定价值不公允的除外。</w:t>
      </w:r>
    </w:p>
    <w:p>
      <w:pPr>
        <w:pStyle w:val="BodyText"/>
        <w:spacing w:line="336" w:lineRule="auto"/>
        <w:ind w:left="635" w:right="107" w:hanging="18"/>
        <w:jc w:val="left"/>
      </w:pPr>
      <w:r>
        <w:rPr/>
        <w:t>③自行开发的无形资产</w:t>
      </w:r>
      <w:r>
        <w:rPr>
          <w:spacing w:val="-2"/>
          <w:w w:val="100"/>
        </w:rPr>
        <w:t> </w:t>
      </w:r>
      <w:r>
        <w:rPr>
          <w:spacing w:val="-6"/>
        </w:rPr>
        <w:t>本公司内部研究开发项目的支出，区分研究阶段支出与开发阶段支出。内部</w:t>
      </w:r>
      <w:r>
        <w:rPr/>
      </w:r>
    </w:p>
    <w:p>
      <w:pPr>
        <w:pStyle w:val="BodyText"/>
        <w:spacing w:line="336" w:lineRule="auto" w:before="29"/>
        <w:ind w:right="107"/>
        <w:jc w:val="left"/>
      </w:pPr>
      <w:r>
        <w:rPr>
          <w:spacing w:val="-5"/>
        </w:rPr>
        <w:t>研究开发项目研究阶段的支出，于发生时计入当期损益。内部研究开发项目开发</w:t>
      </w:r>
      <w:r>
        <w:rPr>
          <w:spacing w:val="-64"/>
        </w:rPr>
        <w:t> </w:t>
      </w:r>
      <w:r>
        <w:rPr>
          <w:spacing w:val="-64"/>
        </w:rPr>
      </w:r>
      <w:r>
        <w:rPr>
          <w:spacing w:val="-2"/>
        </w:rPr>
        <w:t>阶段的支出，同时满足下列条件的，确认为无形资产：</w:t>
      </w:r>
      <w:r>
        <w:rPr/>
      </w:r>
    </w:p>
    <w:p>
      <w:pPr>
        <w:pStyle w:val="BodyText"/>
        <w:spacing w:line="336" w:lineRule="auto"/>
        <w:ind w:left="635" w:right="107"/>
        <w:jc w:val="left"/>
      </w:pPr>
      <w:r>
        <w:rPr/>
        <w:t>A.完成该无形资产以使其能够使用或出售在技术上具有可行性；</w:t>
      </w:r>
      <w:r>
        <w:rPr>
          <w:spacing w:val="-2"/>
          <w:w w:val="100"/>
        </w:rPr>
        <w:t> </w:t>
      </w:r>
      <w:r>
        <w:rPr/>
        <w:t>B.具有完成该无形资产并使用或出售的意图；</w:t>
      </w:r>
      <w:r>
        <w:rPr>
          <w:spacing w:val="-2"/>
          <w:w w:val="100"/>
        </w:rPr>
        <w:t> </w:t>
      </w:r>
      <w:r>
        <w:rPr>
          <w:spacing w:val="-6"/>
          <w:w w:val="100"/>
        </w:rPr>
        <w:t>C.无形资产产生经济利益的方式，包括能够证明运用该无形资产生产的产品</w:t>
      </w:r>
      <w:r>
        <w:rPr>
          <w:w w:val="100"/>
        </w:rPr>
      </w:r>
    </w:p>
    <w:p>
      <w:pPr>
        <w:pStyle w:val="BodyText"/>
        <w:spacing w:line="336" w:lineRule="auto"/>
        <w:ind w:left="635" w:right="107" w:hanging="498"/>
        <w:jc w:val="left"/>
      </w:pPr>
      <w:r>
        <w:rPr>
          <w:spacing w:val="-2"/>
        </w:rPr>
        <w:t>存在市场或无形资产自身存在市场，无形资产将在内部使用的，证明其有用性；</w:t>
      </w:r>
      <w:r>
        <w:rPr>
          <w:spacing w:val="-81"/>
        </w:rPr>
        <w:t> </w:t>
      </w:r>
      <w:r>
        <w:rPr>
          <w:spacing w:val="-5"/>
        </w:rPr>
        <w:t>D.有足够的技术、财务资源和其它资源支持，以完成该无形资产的开发，并</w:t>
      </w:r>
    </w:p>
    <w:p>
      <w:pPr>
        <w:pStyle w:val="BodyText"/>
        <w:spacing w:line="336" w:lineRule="auto"/>
        <w:ind w:left="617" w:right="107" w:hanging="480"/>
        <w:jc w:val="left"/>
      </w:pPr>
      <w:r>
        <w:rPr/>
        <w:t>有能力使用或出售该无形资产；</w:t>
      </w:r>
      <w:r>
        <w:rPr>
          <w:spacing w:val="-2"/>
          <w:w w:val="100"/>
        </w:rPr>
        <w:t> </w:t>
      </w:r>
      <w:r>
        <w:rPr/>
        <w:t>E.归属于该无形资产开发阶段的支出能够可靠地计量。</w:t>
      </w:r>
      <w:r>
        <w:rPr>
          <w:spacing w:val="-2"/>
          <w:w w:val="100"/>
        </w:rPr>
        <w:t> </w:t>
      </w:r>
      <w:r>
        <w:rPr>
          <w:spacing w:val="-5"/>
        </w:rPr>
        <w:t>自行开发的无形资产，其成本包括自满足无形资产确认规定后至达到预定用</w:t>
      </w:r>
      <w:r>
        <w:rPr/>
      </w:r>
    </w:p>
    <w:p>
      <w:pPr>
        <w:pStyle w:val="BodyText"/>
        <w:spacing w:line="240" w:lineRule="auto"/>
        <w:ind w:right="107"/>
        <w:jc w:val="left"/>
      </w:pPr>
      <w:r>
        <w:rPr/>
        <w:t>途前所发生的支出总额。以前期间已经费用化的支出不再调整。</w:t>
      </w:r>
    </w:p>
    <w:p>
      <w:pPr>
        <w:spacing w:line="384" w:lineRule="auto" w:before="161"/>
        <w:ind w:left="557" w:right="107" w:firstLine="420"/>
        <w:jc w:val="left"/>
        <w:rPr>
          <w:rFonts w:ascii="宋体" w:hAnsi="宋体" w:cs="宋体" w:eastAsia="宋体" w:hint="default"/>
          <w:sz w:val="21"/>
          <w:szCs w:val="21"/>
        </w:rPr>
      </w:pPr>
      <w:r>
        <w:rPr>
          <w:rFonts w:ascii="宋体" w:hAnsi="宋体" w:cs="宋体" w:eastAsia="宋体" w:hint="default"/>
          <w:spacing w:val="-3"/>
          <w:sz w:val="21"/>
          <w:szCs w:val="21"/>
        </w:rPr>
        <w:t>④非货币性资产交换、债务重组、政府补助和企业合并取得的无形资产的成本，分</w:t>
      </w:r>
      <w:r>
        <w:rPr>
          <w:rFonts w:ascii="宋体" w:hAnsi="宋体" w:cs="宋体" w:eastAsia="宋体" w:hint="default"/>
          <w:sz w:val="21"/>
          <w:szCs w:val="21"/>
        </w:rPr>
        <w:t> </w:t>
      </w:r>
      <w:r>
        <w:rPr>
          <w:rFonts w:ascii="宋体" w:hAnsi="宋体" w:cs="宋体" w:eastAsia="宋体" w:hint="default"/>
          <w:spacing w:val="-10"/>
          <w:sz w:val="21"/>
          <w:szCs w:val="21"/>
        </w:rPr>
        <w:t>别按照《企业会计准则第</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pacing w:val="-17"/>
          <w:sz w:val="21"/>
          <w:szCs w:val="21"/>
        </w:rPr>
        <w:t>号-非货币性资产交换》、《企业会计准则第</w:t>
      </w:r>
      <w:r>
        <w:rPr>
          <w:rFonts w:ascii="宋体" w:hAnsi="宋体" w:cs="宋体" w:eastAsia="宋体" w:hint="default"/>
          <w:spacing w:val="-47"/>
          <w:sz w:val="21"/>
          <w:szCs w:val="21"/>
        </w:rPr>
        <w:t> </w:t>
      </w:r>
      <w:r>
        <w:rPr>
          <w:rFonts w:ascii="宋体" w:hAnsi="宋体" w:cs="宋体" w:eastAsia="宋体" w:hint="default"/>
          <w:spacing w:val="-1"/>
          <w:sz w:val="21"/>
          <w:szCs w:val="21"/>
        </w:rPr>
        <w:t>12</w:t>
      </w:r>
      <w:r>
        <w:rPr>
          <w:rFonts w:ascii="宋体" w:hAnsi="宋体" w:cs="宋体" w:eastAsia="宋体" w:hint="default"/>
          <w:spacing w:val="-47"/>
          <w:sz w:val="21"/>
          <w:szCs w:val="21"/>
        </w:rPr>
        <w:t> </w:t>
      </w:r>
      <w:r>
        <w:rPr>
          <w:rFonts w:ascii="宋体" w:hAnsi="宋体" w:cs="宋体" w:eastAsia="宋体" w:hint="default"/>
          <w:spacing w:val="-14"/>
          <w:sz w:val="21"/>
          <w:szCs w:val="21"/>
        </w:rPr>
        <w:t>号-债务重组》、</w:t>
      </w:r>
    </w:p>
    <w:p>
      <w:pPr>
        <w:spacing w:line="384" w:lineRule="auto" w:before="39"/>
        <w:ind w:left="557" w:right="107" w:firstLine="0"/>
        <w:jc w:val="left"/>
        <w:rPr>
          <w:rFonts w:ascii="宋体" w:hAnsi="宋体" w:cs="宋体" w:eastAsia="宋体" w:hint="default"/>
          <w:sz w:val="21"/>
          <w:szCs w:val="21"/>
        </w:rPr>
      </w:pPr>
      <w:r>
        <w:rPr>
          <w:rFonts w:ascii="宋体" w:hAnsi="宋体" w:cs="宋体" w:eastAsia="宋体" w:hint="default"/>
          <w:spacing w:val="-1"/>
          <w:sz w:val="21"/>
          <w:szCs w:val="21"/>
        </w:rPr>
        <w:t>《企业会计准则第</w:t>
      </w:r>
      <w:r>
        <w:rPr>
          <w:rFonts w:ascii="宋体" w:hAnsi="宋体" w:cs="宋体" w:eastAsia="宋体" w:hint="default"/>
          <w:spacing w:val="-52"/>
          <w:sz w:val="21"/>
          <w:szCs w:val="21"/>
        </w:rPr>
        <w:t> </w:t>
      </w:r>
      <w:r>
        <w:rPr>
          <w:rFonts w:ascii="宋体" w:hAnsi="宋体" w:cs="宋体" w:eastAsia="宋体" w:hint="default"/>
          <w:spacing w:val="-1"/>
          <w:sz w:val="21"/>
          <w:szCs w:val="21"/>
        </w:rPr>
        <w:t>16</w:t>
      </w:r>
      <w:r>
        <w:rPr>
          <w:rFonts w:ascii="宋体" w:hAnsi="宋体" w:cs="宋体" w:eastAsia="宋体" w:hint="default"/>
          <w:spacing w:val="-52"/>
          <w:sz w:val="21"/>
          <w:szCs w:val="21"/>
        </w:rPr>
        <w:t> </w:t>
      </w:r>
      <w:r>
        <w:rPr>
          <w:rFonts w:ascii="宋体" w:hAnsi="宋体" w:cs="宋体" w:eastAsia="宋体" w:hint="default"/>
          <w:spacing w:val="-17"/>
          <w:sz w:val="21"/>
          <w:szCs w:val="21"/>
        </w:rPr>
        <w:t>号-政府补助》、《企业会计准则第</w:t>
      </w:r>
      <w:r>
        <w:rPr>
          <w:rFonts w:ascii="宋体" w:hAnsi="宋体" w:cs="宋体" w:eastAsia="宋体" w:hint="default"/>
          <w:spacing w:val="-52"/>
          <w:sz w:val="21"/>
          <w:szCs w:val="21"/>
        </w:rPr>
        <w:t> </w:t>
      </w:r>
      <w:r>
        <w:rPr>
          <w:rFonts w:ascii="宋体" w:hAnsi="宋体" w:cs="宋体" w:eastAsia="宋体" w:hint="default"/>
          <w:spacing w:val="-1"/>
          <w:sz w:val="21"/>
          <w:szCs w:val="21"/>
        </w:rPr>
        <w:t>20</w:t>
      </w:r>
      <w:r>
        <w:rPr>
          <w:rFonts w:ascii="宋体" w:hAnsi="宋体" w:cs="宋体" w:eastAsia="宋体" w:hint="default"/>
          <w:spacing w:val="-52"/>
          <w:sz w:val="21"/>
          <w:szCs w:val="21"/>
        </w:rPr>
        <w:t> </w:t>
      </w:r>
      <w:r>
        <w:rPr>
          <w:rFonts w:ascii="宋体" w:hAnsi="宋体" w:cs="宋体" w:eastAsia="宋体" w:hint="default"/>
          <w:spacing w:val="-4"/>
          <w:sz w:val="21"/>
          <w:szCs w:val="21"/>
        </w:rPr>
        <w:t>号-企业合并》的有关规定确</w:t>
      </w:r>
      <w:r>
        <w:rPr>
          <w:rFonts w:ascii="宋体" w:hAnsi="宋体" w:cs="宋体" w:eastAsia="宋体" w:hint="default"/>
          <w:sz w:val="21"/>
          <w:szCs w:val="21"/>
        </w:rPr>
        <w:t> </w:t>
      </w:r>
      <w:r>
        <w:rPr>
          <w:rFonts w:ascii="宋体" w:hAnsi="宋体" w:cs="宋体" w:eastAsia="宋体" w:hint="default"/>
          <w:spacing w:val="-1"/>
          <w:sz w:val="21"/>
          <w:szCs w:val="21"/>
        </w:rPr>
        <w:t>定，相关披露分别见附注四、23；附注四、24；附注四、22</w:t>
      </w:r>
      <w:r>
        <w:rPr>
          <w:rFonts w:ascii="宋体" w:hAnsi="宋体" w:cs="宋体" w:eastAsia="宋体" w:hint="default"/>
          <w:spacing w:val="-52"/>
          <w:sz w:val="21"/>
          <w:szCs w:val="21"/>
        </w:rPr>
        <w:t> </w:t>
      </w:r>
      <w:r>
        <w:rPr>
          <w:rFonts w:ascii="宋体" w:hAnsi="宋体" w:cs="宋体" w:eastAsia="宋体" w:hint="default"/>
          <w:spacing w:val="-1"/>
          <w:sz w:val="21"/>
          <w:szCs w:val="21"/>
        </w:rPr>
        <w:t>和附注六、1。</w:t>
      </w:r>
      <w:r>
        <w:rPr>
          <w:rFonts w:ascii="宋体" w:hAnsi="宋体" w:cs="宋体" w:eastAsia="宋体" w:hint="default"/>
          <w:sz w:val="21"/>
          <w:szCs w:val="21"/>
        </w:rPr>
      </w:r>
    </w:p>
    <w:p>
      <w:pPr>
        <w:pStyle w:val="BodyText"/>
        <w:spacing w:line="240" w:lineRule="auto" w:before="123"/>
        <w:ind w:left="617" w:right="107"/>
        <w:jc w:val="left"/>
      </w:pPr>
      <w:r>
        <w:rPr>
          <w:spacing w:val="-2"/>
        </w:rPr>
        <w:t>（3）无形资产的后续计量</w:t>
      </w:r>
      <w:r>
        <w:rPr/>
      </w:r>
    </w:p>
    <w:p>
      <w:pPr>
        <w:spacing w:line="384" w:lineRule="auto" w:before="161"/>
        <w:ind w:left="557" w:right="210" w:firstLine="420"/>
        <w:jc w:val="both"/>
        <w:rPr>
          <w:rFonts w:ascii="宋体" w:hAnsi="宋体" w:cs="宋体" w:eastAsia="宋体" w:hint="default"/>
          <w:sz w:val="21"/>
          <w:szCs w:val="21"/>
        </w:rPr>
      </w:pPr>
      <w:r>
        <w:rPr>
          <w:rFonts w:ascii="宋体" w:hAnsi="宋体" w:cs="宋体" w:eastAsia="宋体" w:hint="default"/>
          <w:spacing w:val="-3"/>
          <w:sz w:val="21"/>
          <w:szCs w:val="21"/>
        </w:rPr>
        <w:t>本公司于取得无形资产时分析判断其使用寿命。无形资产的使用寿命为有限的，估</w:t>
      </w:r>
      <w:r>
        <w:rPr>
          <w:rFonts w:ascii="宋体" w:hAnsi="宋体" w:cs="宋体" w:eastAsia="宋体" w:hint="default"/>
          <w:sz w:val="21"/>
          <w:szCs w:val="21"/>
        </w:rPr>
        <w:t> </w:t>
      </w:r>
      <w:r>
        <w:rPr>
          <w:rFonts w:ascii="宋体" w:hAnsi="宋体" w:cs="宋体" w:eastAsia="宋体" w:hint="default"/>
          <w:spacing w:val="-3"/>
          <w:sz w:val="21"/>
          <w:szCs w:val="21"/>
        </w:rPr>
        <w:t>计该使用寿命的年限或者构成使用寿命的产量等类似计量单位数量；无法预见无形资产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为本公司带来经济利益期限的，视为使用寿命不确定的无形资产。</w:t>
      </w:r>
    </w:p>
    <w:p>
      <w:pPr>
        <w:pStyle w:val="BodyText"/>
        <w:spacing w:line="336" w:lineRule="auto" w:before="124"/>
        <w:ind w:right="107" w:firstLine="540"/>
        <w:jc w:val="left"/>
      </w:pPr>
      <w:r>
        <w:rPr/>
        <w:t>使用寿命有限的无形资产，其应摊销金额在使用寿命内系统合理摊销。本</w:t>
      </w:r>
      <w:r>
        <w:rPr>
          <w:spacing w:val="1"/>
          <w:w w:val="100"/>
        </w:rPr>
        <w:t> </w:t>
      </w:r>
      <w:r>
        <w:rPr/>
        <w:t>公司采用直线法摊销。</w:t>
      </w:r>
    </w:p>
    <w:p>
      <w:pPr>
        <w:pStyle w:val="BodyText"/>
        <w:spacing w:line="240" w:lineRule="auto" w:before="29"/>
        <w:ind w:left="677" w:right="107"/>
        <w:jc w:val="left"/>
      </w:pPr>
      <w:r>
        <w:rPr/>
        <w:t>无形资产的应摊销金额为其成本扣除预计残值后的金额。已计提减值准备</w:t>
      </w:r>
    </w:p>
    <w:p>
      <w:pPr>
        <w:spacing w:after="0" w:line="240" w:lineRule="auto"/>
        <w:jc w:val="left"/>
        <w:sectPr>
          <w:pgSz w:w="11910" w:h="16840"/>
          <w:pgMar w:header="840" w:footer="1712" w:top="1160" w:bottom="1900" w:left="1660" w:right="1580"/>
        </w:sectPr>
      </w:pPr>
    </w:p>
    <w:p>
      <w:pPr>
        <w:pStyle w:val="BodyText"/>
        <w:spacing w:line="336" w:lineRule="auto" w:before="71"/>
        <w:ind w:right="0"/>
        <w:jc w:val="left"/>
      </w:pPr>
      <w:r>
        <w:rPr>
          <w:spacing w:val="-5"/>
        </w:rPr>
        <w:t>的无形资产，还应扣除已计提的无形资产减值准备累计金额。无形资产的摊销金</w:t>
      </w:r>
      <w:r>
        <w:rPr>
          <w:spacing w:val="-64"/>
        </w:rPr>
        <w:t> </w:t>
      </w:r>
      <w:r>
        <w:rPr>
          <w:spacing w:val="-64"/>
        </w:rPr>
      </w:r>
      <w:r>
        <w:rPr/>
        <w:t>额计入当期损益。</w:t>
      </w:r>
    </w:p>
    <w:p>
      <w:pPr>
        <w:pStyle w:val="BodyText"/>
        <w:spacing w:line="240" w:lineRule="auto" w:before="29"/>
        <w:ind w:left="677" w:right="0"/>
        <w:jc w:val="left"/>
      </w:pPr>
      <w:r>
        <w:rPr/>
        <w:t>使用寿命不确定的无形资产不摊销，期末进行减值测试。</w:t>
      </w:r>
    </w:p>
    <w:p>
      <w:pPr>
        <w:pStyle w:val="BodyText"/>
        <w:spacing w:line="336" w:lineRule="auto" w:before="126"/>
        <w:ind w:right="151" w:firstLine="560"/>
        <w:jc w:val="both"/>
      </w:pPr>
      <w:r>
        <w:rPr/>
        <w:t>2006</w:t>
      </w:r>
      <w:r>
        <w:rPr>
          <w:spacing w:val="-68"/>
        </w:rPr>
        <w:t> </w:t>
      </w:r>
      <w:r>
        <w:rPr/>
        <w:t>年度本公司无形资产自取得当月起按摊销年限分期平均摊销，计入当</w:t>
      </w:r>
      <w:r>
        <w:rPr>
          <w:spacing w:val="-2"/>
          <w:w w:val="100"/>
        </w:rPr>
        <w:t> </w:t>
      </w:r>
      <w:r>
        <w:rPr/>
        <w:t>期损益。摊销年限按以下原则确定：</w:t>
      </w:r>
    </w:p>
    <w:p>
      <w:pPr>
        <w:pStyle w:val="BodyText"/>
        <w:spacing w:line="336" w:lineRule="auto" w:before="29"/>
        <w:ind w:right="150" w:firstLine="540"/>
        <w:jc w:val="both"/>
      </w:pPr>
      <w:r>
        <w:rPr/>
        <w:t>①合同规定受益年限但法律没有规定有效年限的，摊销年限按不超过合同</w:t>
      </w:r>
      <w:r>
        <w:rPr>
          <w:spacing w:val="1"/>
          <w:w w:val="100"/>
        </w:rPr>
        <w:t> </w:t>
      </w:r>
      <w:r>
        <w:rPr/>
        <w:t>规定的受益年限；</w:t>
      </w:r>
    </w:p>
    <w:p>
      <w:pPr>
        <w:pStyle w:val="BodyText"/>
        <w:spacing w:line="336" w:lineRule="auto"/>
        <w:ind w:right="150" w:firstLine="540"/>
        <w:jc w:val="both"/>
      </w:pPr>
      <w:r>
        <w:rPr/>
        <w:t>②合同没有规定受益年限但法律规定有效年限的，摊销年限按不超过法律</w:t>
      </w:r>
      <w:r>
        <w:rPr>
          <w:spacing w:val="1"/>
          <w:w w:val="100"/>
        </w:rPr>
        <w:t> </w:t>
      </w:r>
      <w:r>
        <w:rPr/>
        <w:t>规定有效年限；</w:t>
      </w:r>
    </w:p>
    <w:p>
      <w:pPr>
        <w:pStyle w:val="BodyText"/>
        <w:spacing w:line="336" w:lineRule="auto"/>
        <w:ind w:right="150" w:firstLine="540"/>
        <w:jc w:val="both"/>
      </w:pPr>
      <w:r>
        <w:rPr/>
        <w:t>③合同规定了受益年限，法律也规定了有效年限的，摊销年限不超过受益</w:t>
      </w:r>
      <w:r>
        <w:rPr>
          <w:spacing w:val="1"/>
          <w:w w:val="100"/>
        </w:rPr>
        <w:t> </w:t>
      </w:r>
      <w:r>
        <w:rPr/>
        <w:t>年限和有效年限两者之中较短者；</w:t>
      </w:r>
    </w:p>
    <w:p>
      <w:pPr>
        <w:pStyle w:val="BodyText"/>
        <w:spacing w:line="336" w:lineRule="auto" w:before="29"/>
        <w:ind w:right="147" w:firstLine="480"/>
        <w:jc w:val="both"/>
      </w:pPr>
      <w:r>
        <w:rPr/>
        <w:t>④合同没有规定受益年限，法律也没有规定有效年限的，摊销年限不超过</w:t>
      </w:r>
      <w:r>
        <w:rPr>
          <w:spacing w:val="3"/>
          <w:w w:val="100"/>
        </w:rPr>
        <w:t> </w:t>
      </w:r>
      <w:r>
        <w:rPr/>
        <w:t>10</w:t>
      </w:r>
      <w:r>
        <w:rPr>
          <w:spacing w:val="-61"/>
        </w:rPr>
        <w:t> </w:t>
      </w:r>
      <w:r>
        <w:rPr/>
        <w:t>年。</w:t>
      </w:r>
    </w:p>
    <w:p>
      <w:pPr>
        <w:pStyle w:val="BodyText"/>
        <w:tabs>
          <w:tab w:pos="1397" w:val="left" w:leader="none"/>
        </w:tabs>
        <w:spacing w:line="295" w:lineRule="auto" w:before="74"/>
        <w:ind w:left="617" w:right="152" w:firstLine="2"/>
        <w:jc w:val="left"/>
      </w:pPr>
      <w:r>
        <w:rPr>
          <w:rFonts w:ascii="Microsoft JhengHei" w:hAnsi="Microsoft JhengHei" w:cs="Microsoft JhengHei" w:eastAsia="Microsoft JhengHei" w:hint="default"/>
          <w:b/>
          <w:bCs/>
          <w:w w:val="90"/>
        </w:rPr>
        <w:t>14、</w:t>
        <w:tab/>
      </w:r>
      <w:r>
        <w:rPr>
          <w:rFonts w:ascii="Microsoft JhengHei" w:hAnsi="Microsoft JhengHei" w:cs="Microsoft JhengHei" w:eastAsia="Microsoft JhengHei" w:hint="default"/>
          <w:b/>
          <w:bCs/>
        </w:rPr>
        <w:t>商誉</w:t>
      </w:r>
      <w:r>
        <w:rPr>
          <w:rFonts w:ascii="Microsoft JhengHei" w:hAnsi="Microsoft JhengHei" w:cs="Microsoft JhengHei" w:eastAsia="Microsoft JhengHei" w:hint="default"/>
          <w:b/>
          <w:bCs/>
          <w:w w:val="100"/>
        </w:rPr>
        <w:t> </w:t>
      </w:r>
      <w:r>
        <w:rPr>
          <w:spacing w:val="-1"/>
        </w:rPr>
        <w:t>商誉是在非同一控制下的企业合并中,合并成本大于合并中取得的被购买方</w:t>
      </w:r>
      <w:r>
        <w:rPr/>
      </w:r>
    </w:p>
    <w:p>
      <w:pPr>
        <w:pStyle w:val="BodyText"/>
        <w:spacing w:line="336" w:lineRule="auto" w:before="71"/>
        <w:ind w:right="0"/>
        <w:jc w:val="left"/>
      </w:pPr>
      <w:r>
        <w:rPr>
          <w:spacing w:val="-5"/>
        </w:rPr>
        <w:t>可辨认净资产公允价值份额的差额。初始确认后的商誉，以其成本扣除累计减值</w:t>
      </w:r>
      <w:r>
        <w:rPr>
          <w:spacing w:val="-64"/>
        </w:rPr>
        <w:t> </w:t>
      </w:r>
      <w:r>
        <w:rPr>
          <w:spacing w:val="-64"/>
        </w:rPr>
      </w:r>
      <w:r>
        <w:rPr/>
        <w:t>损失的金额计量，不进行摊销，期末进行减值测试。</w:t>
      </w:r>
    </w:p>
    <w:p>
      <w:pPr>
        <w:tabs>
          <w:tab w:pos="1397" w:val="left" w:leader="none"/>
        </w:tabs>
        <w:spacing w:line="297" w:lineRule="auto" w:before="72"/>
        <w:ind w:left="617" w:right="149" w:firstLine="2"/>
        <w:jc w:val="left"/>
        <w:rPr>
          <w:rFonts w:ascii="宋体" w:hAnsi="宋体" w:cs="宋体" w:eastAsia="宋体" w:hint="default"/>
          <w:sz w:val="24"/>
          <w:szCs w:val="24"/>
        </w:rPr>
      </w:pPr>
      <w:r>
        <w:rPr>
          <w:rFonts w:ascii="Microsoft JhengHei" w:hAnsi="Microsoft JhengHei" w:cs="Microsoft JhengHei" w:eastAsia="Microsoft JhengHei" w:hint="default"/>
          <w:b/>
          <w:bCs/>
          <w:w w:val="90"/>
          <w:sz w:val="24"/>
          <w:szCs w:val="24"/>
        </w:rPr>
        <w:t>15、</w:t>
        <w:tab/>
      </w:r>
      <w:r>
        <w:rPr>
          <w:rFonts w:ascii="Microsoft JhengHei" w:hAnsi="Microsoft JhengHei" w:cs="Microsoft JhengHei" w:eastAsia="Microsoft JhengHei" w:hint="default"/>
          <w:b/>
          <w:bCs/>
          <w:sz w:val="24"/>
          <w:szCs w:val="24"/>
        </w:rPr>
        <w:t>长期待摊费用核算方法</w:t>
      </w:r>
      <w:r>
        <w:rPr>
          <w:rFonts w:ascii="Microsoft JhengHei" w:hAnsi="Microsoft JhengHei" w:cs="Microsoft JhengHei" w:eastAsia="Microsoft JhengHei" w:hint="default"/>
          <w:b/>
          <w:bCs/>
          <w:spacing w:val="-1"/>
          <w:w w:val="100"/>
          <w:sz w:val="24"/>
          <w:szCs w:val="24"/>
        </w:rPr>
        <w:t> </w:t>
      </w:r>
      <w:r>
        <w:rPr>
          <w:rFonts w:ascii="宋体" w:hAnsi="宋体" w:cs="宋体" w:eastAsia="宋体" w:hint="default"/>
          <w:sz w:val="24"/>
          <w:szCs w:val="24"/>
        </w:rPr>
        <w:t>长期待摊费用是指公司已经发生但应由本期和以后各期负担的分摊期限在</w:t>
      </w:r>
    </w:p>
    <w:p>
      <w:pPr>
        <w:pStyle w:val="BodyText"/>
        <w:spacing w:line="336" w:lineRule="auto" w:before="68"/>
        <w:ind w:right="0"/>
        <w:jc w:val="left"/>
      </w:pPr>
      <w:r>
        <w:rPr>
          <w:spacing w:val="-5"/>
        </w:rPr>
        <w:t>一年以上(不含一年)的各项费用。长期待摊费用按实际支出入账，在项目受益期</w:t>
      </w:r>
      <w:r>
        <w:rPr>
          <w:spacing w:val="-61"/>
        </w:rPr>
        <w:t> </w:t>
      </w:r>
      <w:r>
        <w:rPr>
          <w:spacing w:val="-61"/>
        </w:rPr>
      </w:r>
      <w:r>
        <w:rPr>
          <w:spacing w:val="-2"/>
        </w:rPr>
        <w:t>内平均摊销。</w:t>
      </w:r>
      <w:r>
        <w:rPr/>
      </w:r>
    </w:p>
    <w:p>
      <w:pPr>
        <w:pStyle w:val="Heading3"/>
        <w:tabs>
          <w:tab w:pos="1397" w:val="left" w:leader="none"/>
        </w:tabs>
        <w:spacing w:line="240" w:lineRule="auto" w:before="74"/>
        <w:ind w:right="0"/>
        <w:jc w:val="left"/>
        <w:rPr>
          <w:b w:val="0"/>
          <w:bCs w:val="0"/>
        </w:rPr>
      </w:pPr>
      <w:r>
        <w:rPr>
          <w:w w:val="90"/>
        </w:rPr>
        <w:t>16、</w:t>
        <w:tab/>
      </w:r>
      <w:r>
        <w:rPr/>
        <w:t>资产减值</w:t>
      </w:r>
      <w:r>
        <w:rPr>
          <w:b w:val="0"/>
          <w:bCs w:val="0"/>
        </w:rPr>
      </w:r>
    </w:p>
    <w:p>
      <w:pPr>
        <w:pStyle w:val="BodyText"/>
        <w:spacing w:line="336" w:lineRule="auto" w:before="99"/>
        <w:ind w:right="149" w:firstLine="480"/>
        <w:jc w:val="both"/>
      </w:pPr>
      <w:r>
        <w:rPr>
          <w:spacing w:val="-2"/>
        </w:rPr>
        <w:t>（1）本附注所述资产减值主要包括长期股权投资（不含对被投资单位不具</w:t>
      </w:r>
      <w:r>
        <w:rPr>
          <w:spacing w:val="-1"/>
          <w:w w:val="100"/>
        </w:rPr>
        <w:t> </w:t>
      </w:r>
      <w:r>
        <w:rPr>
          <w:spacing w:val="-5"/>
        </w:rPr>
        <w:t>有共同控制或重大影响，并且在活跃市场中没有报价、公允价值不能可靠计量的</w:t>
      </w:r>
      <w:r>
        <w:rPr>
          <w:spacing w:val="-64"/>
        </w:rPr>
        <w:t> </w:t>
      </w:r>
      <w:r>
        <w:rPr>
          <w:spacing w:val="-64"/>
        </w:rPr>
      </w:r>
      <w:r>
        <w:rPr>
          <w:spacing w:val="-12"/>
          <w:w w:val="100"/>
        </w:rPr>
        <w:t>长期股权投资）、投资性房地产（不含以公允价值模式计量的投资性房地产）、固</w:t>
      </w:r>
      <w:r>
        <w:rPr>
          <w:spacing w:val="-113"/>
          <w:w w:val="100"/>
        </w:rPr>
        <w:t> </w:t>
      </w:r>
      <w:r>
        <w:rPr>
          <w:spacing w:val="-113"/>
          <w:w w:val="100"/>
        </w:rPr>
      </w:r>
      <w:r>
        <w:rPr>
          <w:spacing w:val="-5"/>
          <w:w w:val="100"/>
        </w:rPr>
        <w:t>定资产、在建工程、工程物资；无形资产（包括资本化的开发支出）、商誉、资</w:t>
      </w:r>
      <w:r>
        <w:rPr>
          <w:spacing w:val="-98"/>
          <w:w w:val="100"/>
        </w:rPr>
        <w:t> </w:t>
      </w:r>
      <w:r>
        <w:rPr>
          <w:spacing w:val="-98"/>
          <w:w w:val="100"/>
        </w:rPr>
      </w:r>
      <w:r>
        <w:rPr/>
        <w:t>产组和资产组组合等</w:t>
      </w:r>
    </w:p>
    <w:p>
      <w:pPr>
        <w:pStyle w:val="BodyText"/>
        <w:spacing w:line="336" w:lineRule="auto"/>
        <w:ind w:left="617" w:right="0"/>
        <w:jc w:val="left"/>
      </w:pPr>
      <w:r>
        <w:rPr/>
        <w:t>（2）可能发生减值资产的认定</w:t>
      </w:r>
      <w:r>
        <w:rPr>
          <w:spacing w:val="-2"/>
          <w:w w:val="100"/>
        </w:rPr>
        <w:t> </w:t>
      </w:r>
      <w:r>
        <w:rPr>
          <w:spacing w:val="-5"/>
        </w:rPr>
        <w:t>本公司在资产负债表日判断资产是否存在可能发生减值的迹象。因企业合并</w:t>
      </w:r>
      <w:r>
        <w:rPr/>
      </w:r>
    </w:p>
    <w:p>
      <w:pPr>
        <w:pStyle w:val="BodyText"/>
        <w:spacing w:line="240" w:lineRule="auto" w:before="29"/>
        <w:ind w:right="0"/>
        <w:jc w:val="left"/>
      </w:pPr>
      <w:r>
        <w:rPr>
          <w:spacing w:val="-5"/>
        </w:rPr>
        <w:t>所形成的商誉和使用寿命不确定的无形资产，无论是否存在减值迹象，每年都进</w:t>
      </w:r>
      <w:r>
        <w:rPr/>
      </w:r>
    </w:p>
    <w:p>
      <w:pPr>
        <w:spacing w:after="0" w:line="240" w:lineRule="auto"/>
        <w:jc w:val="left"/>
        <w:sectPr>
          <w:pgSz w:w="11910" w:h="16840"/>
          <w:pgMar w:header="840" w:footer="1712" w:top="1160" w:bottom="1900" w:left="1660" w:right="1640"/>
        </w:sectPr>
      </w:pPr>
    </w:p>
    <w:p>
      <w:pPr>
        <w:pStyle w:val="BodyText"/>
        <w:spacing w:line="240" w:lineRule="auto" w:before="71"/>
        <w:ind w:right="227"/>
        <w:jc w:val="left"/>
      </w:pPr>
      <w:r>
        <w:rPr/>
        <w:t>行减值测试。存在下列迹象的，表明资产可能发生了减值：</w:t>
      </w:r>
    </w:p>
    <w:p>
      <w:pPr>
        <w:pStyle w:val="BodyText"/>
        <w:spacing w:line="336" w:lineRule="auto" w:before="126"/>
        <w:ind w:right="227" w:firstLine="480"/>
        <w:jc w:val="left"/>
      </w:pPr>
      <w:r>
        <w:rPr>
          <w:spacing w:val="-5"/>
        </w:rPr>
        <w:t>①资产的市价当期大幅度下跌，其跌幅明显高于因时间的推移或者正常使用</w:t>
      </w:r>
      <w:r>
        <w:rPr>
          <w:spacing w:val="-2"/>
          <w:w w:val="100"/>
        </w:rPr>
        <w:t> </w:t>
      </w:r>
      <w:r>
        <w:rPr/>
        <w:t>而预计的下跌；</w:t>
      </w:r>
    </w:p>
    <w:p>
      <w:pPr>
        <w:pStyle w:val="BodyText"/>
        <w:spacing w:line="336" w:lineRule="auto"/>
        <w:ind w:right="227" w:firstLine="480"/>
        <w:jc w:val="left"/>
      </w:pPr>
      <w:r>
        <w:rPr>
          <w:spacing w:val="-5"/>
        </w:rPr>
        <w:t>②本公司经营所处的经济、技术或者法律等环境以及资产所处的市场在当期</w:t>
      </w:r>
      <w:r>
        <w:rPr>
          <w:spacing w:val="-2"/>
          <w:w w:val="100"/>
        </w:rPr>
        <w:t> </w:t>
      </w:r>
      <w:r>
        <w:rPr/>
        <w:t>或者将在近期发生重大变化，从而对本公司产生不利影响；</w:t>
      </w:r>
    </w:p>
    <w:p>
      <w:pPr>
        <w:pStyle w:val="BodyText"/>
        <w:spacing w:line="336" w:lineRule="auto" w:before="29"/>
        <w:ind w:right="227" w:firstLine="480"/>
        <w:jc w:val="left"/>
      </w:pPr>
      <w:r>
        <w:rPr>
          <w:spacing w:val="-5"/>
        </w:rPr>
        <w:t>③市场利率或者其它市场投资报酬率在当期已经提高，从而影响本公司计算</w:t>
      </w:r>
      <w:r>
        <w:rPr>
          <w:spacing w:val="-2"/>
          <w:w w:val="100"/>
        </w:rPr>
        <w:t> </w:t>
      </w:r>
      <w:r>
        <w:rPr/>
        <w:t>资产预计未来现金流量现值的折现率，导致资产可收回金额大幅度降低；</w:t>
      </w:r>
    </w:p>
    <w:p>
      <w:pPr>
        <w:pStyle w:val="BodyText"/>
        <w:spacing w:line="240" w:lineRule="auto"/>
        <w:ind w:left="617" w:right="227"/>
        <w:jc w:val="left"/>
      </w:pPr>
      <w:r>
        <w:rPr>
          <w:spacing w:val="-2"/>
        </w:rPr>
        <w:t>④有证据表明资产已经陈旧过时或者其实体已经损坏；</w:t>
      </w:r>
      <w:r>
        <w:rPr/>
      </w:r>
    </w:p>
    <w:p>
      <w:pPr>
        <w:pStyle w:val="BodyText"/>
        <w:spacing w:line="240" w:lineRule="auto" w:before="125"/>
        <w:ind w:left="617" w:right="227"/>
        <w:jc w:val="left"/>
      </w:pPr>
      <w:r>
        <w:rPr/>
        <w:t>⑤资产已经或者将被闲置、终止使用或者计划提前处置；</w:t>
      </w:r>
    </w:p>
    <w:p>
      <w:pPr>
        <w:pStyle w:val="BodyText"/>
        <w:spacing w:line="336" w:lineRule="auto" w:before="126"/>
        <w:ind w:right="96" w:firstLine="480"/>
        <w:jc w:val="left"/>
      </w:pPr>
      <w:r>
        <w:rPr>
          <w:spacing w:val="-5"/>
        </w:rPr>
        <w:t>⑥本公司内部报告的证据表明资产的经济绩效已经低于或者将低于预期，如</w:t>
      </w:r>
      <w:r>
        <w:rPr>
          <w:w w:val="100"/>
        </w:rPr>
        <w:t> </w:t>
      </w:r>
      <w:r>
        <w:rPr>
          <w:spacing w:val="-8"/>
        </w:rPr>
        <w:t>资产所创造的净现金流量或者实现的营业利润（或者亏损）远远低于（或者高于）</w:t>
      </w:r>
      <w:r>
        <w:rPr>
          <w:spacing w:val="-71"/>
        </w:rPr>
        <w:t> </w:t>
      </w:r>
      <w:r>
        <w:rPr>
          <w:spacing w:val="-71"/>
        </w:rPr>
      </w:r>
      <w:r>
        <w:rPr>
          <w:spacing w:val="-2"/>
        </w:rPr>
        <w:t>预计金额等；</w:t>
      </w:r>
      <w:r>
        <w:rPr/>
      </w:r>
    </w:p>
    <w:p>
      <w:pPr>
        <w:pStyle w:val="BodyText"/>
        <w:spacing w:line="240" w:lineRule="auto"/>
        <w:ind w:left="617" w:right="227"/>
        <w:jc w:val="left"/>
      </w:pPr>
      <w:r>
        <w:rPr/>
        <w:t>⑦其它表明资产可能已经发生减值的迹象。</w:t>
      </w:r>
    </w:p>
    <w:p>
      <w:pPr>
        <w:pStyle w:val="BodyText"/>
        <w:spacing w:line="336" w:lineRule="auto" w:before="126"/>
        <w:ind w:left="617" w:right="227"/>
        <w:jc w:val="left"/>
      </w:pPr>
      <w:r>
        <w:rPr/>
        <w:t>（3）资产可收回金额的计量</w:t>
      </w:r>
      <w:r>
        <w:rPr>
          <w:spacing w:val="-2"/>
          <w:w w:val="100"/>
        </w:rPr>
        <w:t> </w:t>
      </w:r>
      <w:r>
        <w:rPr>
          <w:spacing w:val="-5"/>
        </w:rPr>
        <w:t>资产存在减值迹象的，估计其可收回金额。可收回金额根据资产的公允价值</w:t>
      </w:r>
      <w:r>
        <w:rPr/>
      </w:r>
    </w:p>
    <w:p>
      <w:pPr>
        <w:pStyle w:val="BodyText"/>
        <w:spacing w:line="336" w:lineRule="auto"/>
        <w:ind w:left="617" w:right="227" w:hanging="480"/>
        <w:jc w:val="left"/>
      </w:pPr>
      <w:r>
        <w:rPr/>
        <w:t>减去处置费用后的净额与资产预计未来现金流量的现值两者之间较高者确定。</w:t>
      </w:r>
      <w:r>
        <w:rPr>
          <w:spacing w:val="-2"/>
          <w:w w:val="100"/>
        </w:rPr>
        <w:t> </w:t>
      </w:r>
      <w:r>
        <w:rPr/>
        <w:t>2006</w:t>
      </w:r>
      <w:r>
        <w:rPr>
          <w:spacing w:val="6"/>
        </w:rPr>
        <w:t> </w:t>
      </w:r>
      <w:r>
        <w:rPr/>
        <w:t>年度本公司可收回金额根据资产的销售净价与预期从该资产的持续使</w:t>
      </w:r>
    </w:p>
    <w:p>
      <w:pPr>
        <w:pStyle w:val="BodyText"/>
        <w:spacing w:line="336" w:lineRule="auto" w:before="29"/>
        <w:ind w:right="227"/>
        <w:jc w:val="left"/>
      </w:pPr>
      <w:r>
        <w:rPr/>
        <w:t>用和使用寿命结束时的处置中形成的预计未来现金流量的现值两者之中的较高</w:t>
      </w:r>
      <w:r>
        <w:rPr>
          <w:spacing w:val="19"/>
        </w:rPr>
        <w:t> </w:t>
      </w:r>
      <w:r>
        <w:rPr>
          <w:spacing w:val="19"/>
        </w:rPr>
      </w:r>
      <w:r>
        <w:rPr/>
        <w:t>者确定。</w:t>
      </w:r>
    </w:p>
    <w:p>
      <w:pPr>
        <w:pStyle w:val="BodyText"/>
        <w:spacing w:line="336" w:lineRule="auto"/>
        <w:ind w:left="617" w:right="227"/>
        <w:jc w:val="left"/>
      </w:pPr>
      <w:r>
        <w:rPr>
          <w:spacing w:val="-2"/>
        </w:rPr>
        <w:t>（4）资产减值损失的确定</w:t>
      </w:r>
      <w:r>
        <w:rPr>
          <w:spacing w:val="-107"/>
        </w:rPr>
        <w:t> </w:t>
      </w:r>
      <w:r>
        <w:rPr>
          <w:spacing w:val="-5"/>
        </w:rPr>
        <w:t>可收回金额的计量结果表明，资产的可收回金额低于其账面价值的，将资产</w:t>
      </w:r>
      <w:r>
        <w:rPr/>
      </w:r>
    </w:p>
    <w:p>
      <w:pPr>
        <w:pStyle w:val="BodyText"/>
        <w:spacing w:line="336" w:lineRule="auto"/>
        <w:ind w:right="96"/>
        <w:jc w:val="left"/>
      </w:pPr>
      <w:r>
        <w:rPr>
          <w:spacing w:val="-8"/>
          <w:w w:val="100"/>
        </w:rPr>
        <w:t>的账面价值减记至可收回金额，减记的金额确认为资产减值损失，计入当期损益，</w:t>
      </w:r>
      <w:r>
        <w:rPr>
          <w:spacing w:val="-113"/>
          <w:w w:val="100"/>
        </w:rPr>
        <w:t> </w:t>
      </w:r>
      <w:r>
        <w:rPr>
          <w:spacing w:val="-113"/>
          <w:w w:val="100"/>
        </w:rPr>
      </w:r>
      <w:r>
        <w:rPr>
          <w:spacing w:val="-5"/>
        </w:rPr>
        <w:t>同时计提相应的资产减值准备。资产减值损失确认后，减值资产的折旧或者摊销</w:t>
      </w:r>
      <w:r>
        <w:rPr>
          <w:spacing w:val="-64"/>
        </w:rPr>
        <w:t> </w:t>
      </w:r>
      <w:r>
        <w:rPr>
          <w:spacing w:val="-64"/>
        </w:rPr>
      </w:r>
      <w:r>
        <w:rPr>
          <w:spacing w:val="-5"/>
        </w:rPr>
        <w:t>费用在未来期间作相应调整，以使该资产在剩余使用寿命内，系统地分摊调整后</w:t>
      </w:r>
      <w:r>
        <w:rPr>
          <w:spacing w:val="-64"/>
        </w:rPr>
        <w:t> </w:t>
      </w:r>
      <w:r>
        <w:rPr>
          <w:spacing w:val="-64"/>
        </w:rPr>
      </w:r>
      <w:r>
        <w:rPr>
          <w:spacing w:val="-5"/>
          <w:w w:val="100"/>
        </w:rPr>
        <w:t>的资产账面价值（扣除预计净残值）。资产减值损失一经确认，在以后会计期间</w:t>
      </w:r>
      <w:r>
        <w:rPr>
          <w:spacing w:val="-100"/>
          <w:w w:val="100"/>
        </w:rPr>
        <w:t> </w:t>
      </w:r>
      <w:r>
        <w:rPr>
          <w:spacing w:val="-100"/>
          <w:w w:val="100"/>
        </w:rPr>
      </w:r>
      <w:r>
        <w:rPr/>
        <w:t>不能转回。</w:t>
      </w:r>
    </w:p>
    <w:p>
      <w:pPr>
        <w:pStyle w:val="BodyText"/>
        <w:spacing w:line="336" w:lineRule="auto" w:before="29"/>
        <w:ind w:right="231" w:firstLine="480"/>
        <w:jc w:val="both"/>
      </w:pPr>
      <w:r>
        <w:rPr/>
        <w:t>2006</w:t>
      </w:r>
      <w:r>
        <w:rPr>
          <w:spacing w:val="4"/>
        </w:rPr>
        <w:t> </w:t>
      </w:r>
      <w:r>
        <w:rPr/>
        <w:t>年度本公司前期确认的资产减值损失如果在以后会计期间恢复的，按</w:t>
      </w:r>
      <w:r>
        <w:rPr>
          <w:w w:val="100"/>
        </w:rPr>
        <w:t> </w:t>
      </w:r>
      <w:r>
        <w:rPr>
          <w:spacing w:val="-5"/>
        </w:rPr>
        <w:t>照恢复的金额，在不超过已确认资产减值损失金额的范围内，予以转回，计入当</w:t>
      </w:r>
      <w:r>
        <w:rPr>
          <w:spacing w:val="-60"/>
        </w:rPr>
        <w:t> </w:t>
      </w:r>
      <w:r>
        <w:rPr>
          <w:spacing w:val="-60"/>
        </w:rPr>
      </w:r>
      <w:r>
        <w:rPr/>
        <w:t>期损益。</w:t>
      </w:r>
    </w:p>
    <w:p>
      <w:pPr>
        <w:pStyle w:val="BodyText"/>
        <w:spacing w:line="336" w:lineRule="auto" w:before="29"/>
        <w:ind w:left="617" w:right="227"/>
        <w:jc w:val="left"/>
      </w:pPr>
      <w:r>
        <w:rPr/>
        <w:t>（5）资产组的认定及减值处理</w:t>
      </w:r>
      <w:r>
        <w:rPr>
          <w:spacing w:val="-2"/>
          <w:w w:val="100"/>
        </w:rPr>
        <w:t> </w:t>
      </w:r>
      <w:r>
        <w:rPr>
          <w:spacing w:val="-5"/>
        </w:rPr>
        <w:t>有迹象表明一项资产可能发生减值的，本公司以单项资产为基础估计其可收</w:t>
      </w:r>
      <w:r>
        <w:rPr/>
      </w:r>
    </w:p>
    <w:p>
      <w:pPr>
        <w:spacing w:after="0" w:line="336" w:lineRule="auto"/>
        <w:jc w:val="left"/>
        <w:sectPr>
          <w:pgSz w:w="11910" w:h="16840"/>
          <w:pgMar w:header="840" w:footer="1712" w:top="1160" w:bottom="1900" w:left="1660" w:right="1560"/>
        </w:sectPr>
      </w:pPr>
    </w:p>
    <w:p>
      <w:pPr>
        <w:pStyle w:val="BodyText"/>
        <w:spacing w:line="336" w:lineRule="auto" w:before="71"/>
        <w:ind w:right="232"/>
        <w:jc w:val="both"/>
      </w:pPr>
      <w:r>
        <w:rPr>
          <w:spacing w:val="-5"/>
        </w:rPr>
        <w:t>回金额。本公司难以对单项资产的可收回金额进行估计的，以该资产所属的资产</w:t>
      </w:r>
      <w:r>
        <w:rPr>
          <w:spacing w:val="-64"/>
        </w:rPr>
        <w:t> </w:t>
      </w:r>
      <w:r>
        <w:rPr>
          <w:spacing w:val="-64"/>
        </w:rPr>
      </w:r>
      <w:r>
        <w:rPr>
          <w:spacing w:val="-5"/>
        </w:rPr>
        <w:t>组为基础确定资产组的可收回金额。资产组的认定，以资产组产生的主要现金流</w:t>
      </w:r>
      <w:r>
        <w:rPr>
          <w:spacing w:val="-64"/>
        </w:rPr>
        <w:t> </w:t>
      </w:r>
      <w:r>
        <w:rPr>
          <w:spacing w:val="-64"/>
        </w:rPr>
      </w:r>
      <w:r>
        <w:rPr>
          <w:spacing w:val="-5"/>
        </w:rPr>
        <w:t>入是否独立于其它资产或者资产组的现金流入为依据。同时，公司在认定资产组</w:t>
      </w:r>
      <w:r>
        <w:rPr>
          <w:spacing w:val="-64"/>
        </w:rPr>
        <w:t> </w:t>
      </w:r>
      <w:r>
        <w:rPr>
          <w:spacing w:val="-64"/>
        </w:rPr>
      </w:r>
      <w:r>
        <w:rPr>
          <w:spacing w:val="-5"/>
        </w:rPr>
        <w:t>时，还考虑了公司管理层管理生产经营活动的方式和对资产持续使用或处置的决</w:t>
      </w:r>
      <w:r>
        <w:rPr>
          <w:spacing w:val="-63"/>
        </w:rPr>
        <w:t> </w:t>
      </w:r>
      <w:r>
        <w:rPr>
          <w:spacing w:val="-63"/>
        </w:rPr>
      </w:r>
      <w:r>
        <w:rPr/>
        <w:t>策方式等。</w:t>
      </w:r>
    </w:p>
    <w:p>
      <w:pPr>
        <w:pStyle w:val="BodyText"/>
        <w:spacing w:line="336" w:lineRule="auto" w:before="29"/>
        <w:ind w:right="230" w:firstLine="480"/>
        <w:jc w:val="both"/>
      </w:pPr>
      <w:r>
        <w:rPr>
          <w:spacing w:val="-5"/>
        </w:rPr>
        <w:t>资产组或者资产组组合的可收回金额低于其账面价值的（总部资产和商誉分</w:t>
      </w:r>
      <w:r>
        <w:rPr>
          <w:spacing w:val="-2"/>
          <w:w w:val="100"/>
        </w:rPr>
        <w:t> </w:t>
      </w:r>
      <w:r>
        <w:rPr>
          <w:spacing w:val="-5"/>
        </w:rPr>
        <w:t>摊至某资产组或者资产组组合的，该资产组或者资产组组合的账面价值应当包括</w:t>
      </w:r>
      <w:r>
        <w:rPr>
          <w:spacing w:val="-63"/>
        </w:rPr>
        <w:t> </w:t>
      </w:r>
      <w:r>
        <w:rPr>
          <w:spacing w:val="-63"/>
        </w:rPr>
      </w:r>
      <w:r>
        <w:rPr>
          <w:spacing w:val="-5"/>
          <w:w w:val="100"/>
        </w:rPr>
        <w:t>相关总部资产和商誉的分摊额），确认相应的减值损失。减值损失金额先抵减分</w:t>
      </w:r>
      <w:r>
        <w:rPr>
          <w:spacing w:val="-101"/>
          <w:w w:val="100"/>
        </w:rPr>
        <w:t> </w:t>
      </w:r>
      <w:r>
        <w:rPr>
          <w:spacing w:val="-101"/>
          <w:w w:val="100"/>
        </w:rPr>
      </w:r>
      <w:r>
        <w:rPr>
          <w:spacing w:val="-5"/>
        </w:rPr>
        <w:t>摊至资产组或者资产组组合中商誉的账面价值，再根据资产组或者资产组组合中</w:t>
      </w:r>
      <w:r>
        <w:rPr>
          <w:spacing w:val="-63"/>
        </w:rPr>
        <w:t> </w:t>
      </w:r>
      <w:r>
        <w:rPr>
          <w:spacing w:val="-63"/>
        </w:rPr>
      </w:r>
      <w:r>
        <w:rPr>
          <w:spacing w:val="-5"/>
        </w:rPr>
        <w:t>除商誉之外的其它各项资产的账面价值所占比重，按比例抵减其它各项资产的账</w:t>
      </w:r>
      <w:r>
        <w:rPr>
          <w:spacing w:val="-63"/>
        </w:rPr>
        <w:t> </w:t>
      </w:r>
      <w:r>
        <w:rPr>
          <w:spacing w:val="-63"/>
        </w:rPr>
      </w:r>
      <w:r>
        <w:rPr/>
        <w:t>面价值。</w:t>
      </w:r>
    </w:p>
    <w:p>
      <w:pPr>
        <w:pStyle w:val="BodyText"/>
        <w:spacing w:line="336" w:lineRule="auto" w:before="29"/>
        <w:ind w:right="96" w:firstLine="480"/>
        <w:jc w:val="left"/>
      </w:pPr>
      <w:r>
        <w:rPr>
          <w:spacing w:val="-9"/>
          <w:w w:val="100"/>
        </w:rPr>
        <w:t>上述资产账面价值的抵减，作为各单项资产的减值损失处理，计入当期损益。</w:t>
      </w:r>
      <w:r>
        <w:rPr>
          <w:spacing w:val="-2"/>
          <w:w w:val="100"/>
        </w:rPr>
        <w:t> </w:t>
      </w:r>
      <w:r>
        <w:rPr>
          <w:spacing w:val="-5"/>
        </w:rPr>
        <w:t>抵减后的各资产的账面价值不得低于以下三者之中最高者：该资产的公允价值减</w:t>
      </w:r>
      <w:r>
        <w:rPr>
          <w:spacing w:val="-63"/>
        </w:rPr>
        <w:t> </w:t>
      </w:r>
      <w:r>
        <w:rPr>
          <w:spacing w:val="-63"/>
        </w:rPr>
      </w:r>
      <w:r>
        <w:rPr>
          <w:spacing w:val="-5"/>
        </w:rPr>
        <w:t>去处置费用后的净额、该资产预计未来现金流量的现值和零。因此而导致的未能</w:t>
      </w:r>
      <w:r>
        <w:rPr>
          <w:spacing w:val="-64"/>
        </w:rPr>
        <w:t> </w:t>
      </w:r>
      <w:r>
        <w:rPr>
          <w:spacing w:val="-64"/>
        </w:rPr>
      </w:r>
      <w:r>
        <w:rPr>
          <w:spacing w:val="-5"/>
        </w:rPr>
        <w:t>分摊的减值损失金额，按照相关资产组或者资产组组合中其它各项资产的账面价</w:t>
      </w:r>
      <w:r>
        <w:rPr>
          <w:spacing w:val="-63"/>
        </w:rPr>
        <w:t> </w:t>
      </w:r>
      <w:r>
        <w:rPr>
          <w:spacing w:val="-63"/>
        </w:rPr>
      </w:r>
      <w:r>
        <w:rPr/>
        <w:t>值所占比重进行分摊。</w:t>
      </w:r>
    </w:p>
    <w:p>
      <w:pPr>
        <w:pStyle w:val="BodyText"/>
        <w:spacing w:line="336" w:lineRule="auto"/>
        <w:ind w:left="617" w:right="227"/>
        <w:jc w:val="left"/>
      </w:pPr>
      <w:r>
        <w:rPr/>
        <w:t>（6）商誉减值</w:t>
      </w:r>
      <w:r>
        <w:rPr>
          <w:spacing w:val="-1"/>
          <w:w w:val="100"/>
        </w:rPr>
        <w:t> </w:t>
      </w:r>
      <w:r>
        <w:rPr>
          <w:spacing w:val="-5"/>
        </w:rPr>
        <w:t>本公司合并所形成的商誉，至少在每年年度终了进行减值测试。商誉需要结</w:t>
      </w:r>
      <w:r>
        <w:rPr/>
      </w:r>
    </w:p>
    <w:p>
      <w:pPr>
        <w:pStyle w:val="BodyText"/>
        <w:spacing w:line="336" w:lineRule="auto"/>
        <w:ind w:right="96"/>
        <w:jc w:val="left"/>
      </w:pPr>
      <w:r>
        <w:rPr>
          <w:spacing w:val="-2"/>
        </w:rPr>
        <w:t>合与其相关的资产组或者资产组组合进行减值测试。本公司进行资产减值测试，</w:t>
      </w:r>
      <w:r>
        <w:rPr>
          <w:spacing w:val="-81"/>
        </w:rPr>
        <w:t> </w:t>
      </w:r>
      <w:r>
        <w:rPr>
          <w:spacing w:val="-5"/>
        </w:rPr>
        <w:t>对于因合并形成的商誉的账面价值，自购买日起按照合理的方法分摊至相关的资</w:t>
      </w:r>
      <w:r>
        <w:rPr>
          <w:spacing w:val="-63"/>
        </w:rPr>
        <w:t> </w:t>
      </w:r>
      <w:r>
        <w:rPr>
          <w:spacing w:val="-63"/>
        </w:rPr>
      </w:r>
      <w:r>
        <w:rPr>
          <w:spacing w:val="-5"/>
        </w:rPr>
        <w:t>产组；难以分摊至相关的资产组的，将其分摊至相关的资产组组合。在对包含商</w:t>
      </w:r>
      <w:r>
        <w:rPr>
          <w:spacing w:val="-60"/>
        </w:rPr>
        <w:t> </w:t>
      </w:r>
      <w:r>
        <w:rPr>
          <w:spacing w:val="-60"/>
        </w:rPr>
      </w:r>
      <w:r>
        <w:rPr>
          <w:spacing w:val="-5"/>
        </w:rPr>
        <w:t>誉的相关资产组或者资产组组合进行减值测试时，如与商誉相关的资产组或者资</w:t>
      </w:r>
      <w:r>
        <w:rPr>
          <w:spacing w:val="-63"/>
        </w:rPr>
        <w:t> </w:t>
      </w:r>
      <w:r>
        <w:rPr>
          <w:spacing w:val="-63"/>
        </w:rPr>
      </w:r>
      <w:r>
        <w:rPr>
          <w:spacing w:val="-5"/>
        </w:rPr>
        <w:t>产组组合存在减值迹象的，应当先对不包含商誉的资产组或者资产组组合进行减</w:t>
      </w:r>
      <w:r>
        <w:rPr>
          <w:spacing w:val="-63"/>
        </w:rPr>
        <w:t> </w:t>
      </w:r>
      <w:r>
        <w:rPr>
          <w:spacing w:val="-63"/>
        </w:rPr>
      </w:r>
      <w:r>
        <w:rPr>
          <w:spacing w:val="-5"/>
        </w:rPr>
        <w:t>值测试，计算可收回金额，并与相关账面价值相比较，确认相应的减值损失。再</w:t>
      </w:r>
      <w:r>
        <w:rPr>
          <w:spacing w:val="-58"/>
        </w:rPr>
        <w:t> </w:t>
      </w:r>
      <w:r>
        <w:rPr>
          <w:spacing w:val="-58"/>
        </w:rPr>
      </w:r>
      <w:r>
        <w:rPr>
          <w:spacing w:val="-5"/>
        </w:rPr>
        <w:t>对包含商誉的资产组或者资产组组合进行减值测试，比较这些相关资产组或者资</w:t>
      </w:r>
      <w:r>
        <w:rPr>
          <w:spacing w:val="-63"/>
        </w:rPr>
        <w:t> </w:t>
      </w:r>
      <w:r>
        <w:rPr>
          <w:spacing w:val="-63"/>
        </w:rPr>
      </w:r>
      <w:r>
        <w:rPr>
          <w:spacing w:val="-5"/>
        </w:rPr>
        <w:t>产组组合的账面价值（包括所分摊的商誉的账面价值部分）与其可收回金额，如</w:t>
      </w:r>
      <w:r>
        <w:rPr>
          <w:spacing w:val="-58"/>
        </w:rPr>
        <w:t> </w:t>
      </w:r>
      <w:r>
        <w:rPr>
          <w:spacing w:val="-58"/>
        </w:rPr>
      </w:r>
      <w:r>
        <w:rPr>
          <w:spacing w:val="-5"/>
        </w:rPr>
        <w:t>相关资产组或者资产组组合的可收回金额低于其账面价值的，确认商誉的减值损</w:t>
      </w:r>
      <w:r>
        <w:rPr>
          <w:spacing w:val="-63"/>
        </w:rPr>
        <w:t> </w:t>
      </w:r>
      <w:r>
        <w:rPr>
          <w:spacing w:val="-63"/>
        </w:rPr>
      </w:r>
      <w:r>
        <w:rPr/>
        <w:t>失，并按照本附注所述资产组减值的规定进行处理。</w:t>
      </w:r>
    </w:p>
    <w:p>
      <w:pPr>
        <w:pStyle w:val="Heading3"/>
        <w:tabs>
          <w:tab w:pos="1397" w:val="left" w:leader="none"/>
        </w:tabs>
        <w:spacing w:line="240" w:lineRule="auto" w:before="74"/>
        <w:ind w:right="227"/>
        <w:jc w:val="left"/>
        <w:rPr>
          <w:b w:val="0"/>
          <w:bCs w:val="0"/>
        </w:rPr>
      </w:pPr>
      <w:r>
        <w:rPr>
          <w:w w:val="90"/>
        </w:rPr>
        <w:t>17、</w:t>
        <w:tab/>
      </w:r>
      <w:r>
        <w:rPr/>
        <w:t>借款费用</w:t>
      </w:r>
      <w:r>
        <w:rPr>
          <w:b w:val="0"/>
          <w:bCs w:val="0"/>
        </w:rPr>
      </w:r>
    </w:p>
    <w:p>
      <w:pPr>
        <w:pStyle w:val="BodyText"/>
        <w:spacing w:line="440" w:lineRule="exact" w:before="26"/>
        <w:ind w:left="617" w:right="227"/>
        <w:jc w:val="left"/>
      </w:pPr>
      <w:r>
        <w:rPr/>
        <w:t>（1）借款费用资本化的确认原则</w:t>
      </w:r>
      <w:r>
        <w:rPr>
          <w:spacing w:val="-2"/>
          <w:w w:val="100"/>
        </w:rPr>
        <w:t> </w:t>
      </w:r>
      <w:r>
        <w:rPr>
          <w:spacing w:val="-2"/>
        </w:rPr>
        <w:t>借款费用同时满足下列条件的，才能开始资本化：</w:t>
      </w:r>
      <w:r>
        <w:rPr/>
      </w:r>
    </w:p>
    <w:p>
      <w:pPr>
        <w:spacing w:after="0" w:line="440" w:lineRule="exact"/>
        <w:jc w:val="left"/>
        <w:sectPr>
          <w:pgSz w:w="11910" w:h="16840"/>
          <w:pgMar w:header="840" w:footer="1712" w:top="1160" w:bottom="1900" w:left="1660" w:right="1560"/>
        </w:sectPr>
      </w:pPr>
    </w:p>
    <w:p>
      <w:pPr>
        <w:pStyle w:val="BodyText"/>
        <w:spacing w:line="240" w:lineRule="auto" w:before="71"/>
        <w:ind w:left="617" w:right="87"/>
        <w:jc w:val="left"/>
      </w:pPr>
      <w:r>
        <w:rPr/>
        <w:t>①资产支出已经发生。</w:t>
      </w:r>
    </w:p>
    <w:p>
      <w:pPr>
        <w:pStyle w:val="BodyText"/>
        <w:spacing w:line="240" w:lineRule="auto" w:before="126"/>
        <w:ind w:left="617" w:right="87"/>
        <w:jc w:val="left"/>
      </w:pPr>
      <w:r>
        <w:rPr/>
        <w:t>②借款费用已经发生。</w:t>
      </w:r>
    </w:p>
    <w:p>
      <w:pPr>
        <w:pStyle w:val="BodyText"/>
        <w:spacing w:line="336" w:lineRule="auto" w:before="125"/>
        <w:ind w:right="187" w:firstLine="480"/>
        <w:jc w:val="both"/>
      </w:pPr>
      <w:r>
        <w:rPr/>
        <w:t>③为使资产达到预定可使用或者可销售状态所必要的购建或者生产活动已</w:t>
      </w:r>
      <w:r>
        <w:rPr>
          <w:spacing w:val="3"/>
          <w:w w:val="100"/>
        </w:rPr>
        <w:t> </w:t>
      </w:r>
      <w:r>
        <w:rPr/>
        <w:t>经开始。</w:t>
      </w:r>
    </w:p>
    <w:p>
      <w:pPr>
        <w:pStyle w:val="BodyText"/>
        <w:spacing w:line="336" w:lineRule="auto"/>
        <w:ind w:left="617" w:right="87"/>
        <w:jc w:val="left"/>
      </w:pPr>
      <w:r>
        <w:rPr>
          <w:spacing w:val="-2"/>
        </w:rPr>
        <w:t>（2）借款费用资本化期间</w:t>
      </w:r>
      <w:r>
        <w:rPr>
          <w:spacing w:val="-107"/>
        </w:rPr>
        <w:t> </w:t>
      </w:r>
      <w:r>
        <w:rPr>
          <w:spacing w:val="-5"/>
        </w:rPr>
        <w:t>资本化期间，是指从借款费用开始资本化时点到停止资本化时点的期间，借</w:t>
      </w:r>
    </w:p>
    <w:p>
      <w:pPr>
        <w:pStyle w:val="BodyText"/>
        <w:spacing w:line="336" w:lineRule="auto"/>
        <w:ind w:left="617" w:right="87" w:hanging="480"/>
        <w:jc w:val="left"/>
      </w:pPr>
      <w:r>
        <w:rPr/>
        <w:t>款费用暂停资本化的期间不包括在内。</w:t>
      </w:r>
      <w:r>
        <w:rPr>
          <w:spacing w:val="-2"/>
          <w:w w:val="100"/>
        </w:rPr>
        <w:t> </w:t>
      </w:r>
      <w:r>
        <w:rPr>
          <w:spacing w:val="-5"/>
        </w:rPr>
        <w:t>符合资本化条件的资产在购建或者生产过程中发生非正常中断、且中断时间</w:t>
      </w:r>
      <w:r>
        <w:rPr/>
      </w:r>
    </w:p>
    <w:p>
      <w:pPr>
        <w:pStyle w:val="BodyText"/>
        <w:spacing w:line="336" w:lineRule="auto" w:before="29"/>
        <w:ind w:right="187"/>
        <w:jc w:val="both"/>
      </w:pPr>
      <w:r>
        <w:rPr/>
        <w:t>连续超过</w:t>
      </w:r>
      <w:r>
        <w:rPr>
          <w:spacing w:val="-50"/>
        </w:rPr>
        <w:t> </w:t>
      </w:r>
      <w:r>
        <w:rPr/>
        <w:t>3</w:t>
      </w:r>
      <w:r>
        <w:rPr>
          <w:spacing w:val="-49"/>
        </w:rPr>
        <w:t> </w:t>
      </w:r>
      <w:r>
        <w:rPr>
          <w:spacing w:val="-5"/>
        </w:rPr>
        <w:t>个月的，暂停借款费用的资本化。在中断期间发生的借款费用确认为</w:t>
      </w:r>
      <w:r>
        <w:rPr>
          <w:spacing w:val="-111"/>
        </w:rPr>
        <w:t> </w:t>
      </w:r>
      <w:r>
        <w:rPr>
          <w:spacing w:val="-111"/>
        </w:rPr>
      </w:r>
      <w:r>
        <w:rPr>
          <w:spacing w:val="-5"/>
        </w:rPr>
        <w:t>费用，计入当期损益，直至资产的购建或者生产活动重新开始。如果中断是所购</w:t>
      </w:r>
      <w:r>
        <w:rPr>
          <w:spacing w:val="-60"/>
        </w:rPr>
        <w:t> </w:t>
      </w:r>
      <w:r>
        <w:rPr>
          <w:spacing w:val="-60"/>
        </w:rPr>
      </w:r>
      <w:r>
        <w:rPr/>
        <w:t>建或者生产的符合资本化条件的资产达到预定可使用或者可销售状态必要的程</w:t>
      </w:r>
      <w:r>
        <w:rPr>
          <w:spacing w:val="19"/>
        </w:rPr>
        <w:t> </w:t>
      </w:r>
      <w:r>
        <w:rPr>
          <w:spacing w:val="19"/>
        </w:rPr>
      </w:r>
      <w:r>
        <w:rPr/>
        <w:t>序，借款费用的资本化继续进行。</w:t>
      </w:r>
    </w:p>
    <w:p>
      <w:pPr>
        <w:pStyle w:val="BodyText"/>
        <w:spacing w:line="336" w:lineRule="auto"/>
        <w:ind w:right="191" w:firstLine="480"/>
        <w:jc w:val="both"/>
      </w:pPr>
      <w:r>
        <w:rPr>
          <w:spacing w:val="-5"/>
        </w:rPr>
        <w:t>购建或者生产符合资本化条件的资产达到预定可使用或者可销售状态时，借</w:t>
      </w:r>
      <w:r>
        <w:rPr>
          <w:w w:val="100"/>
        </w:rPr>
        <w:t> </w:t>
      </w:r>
      <w:r>
        <w:rPr>
          <w:spacing w:val="-5"/>
        </w:rPr>
        <w:t>款费用停止资本化。在符合资本化条件的资产达到预定可使用或者可销售状态之</w:t>
      </w:r>
      <w:r>
        <w:rPr>
          <w:spacing w:val="-63"/>
        </w:rPr>
        <w:t> </w:t>
      </w:r>
      <w:r>
        <w:rPr>
          <w:spacing w:val="-63"/>
        </w:rPr>
      </w:r>
      <w:r>
        <w:rPr/>
        <w:t>后所发生的借款费用，在发生时计入当期损益。</w:t>
      </w:r>
    </w:p>
    <w:p>
      <w:pPr>
        <w:pStyle w:val="BodyText"/>
        <w:spacing w:line="336" w:lineRule="auto"/>
        <w:ind w:left="617" w:right="87"/>
        <w:jc w:val="left"/>
      </w:pPr>
      <w:r>
        <w:rPr/>
        <w:t>（3）借款费用资本化金额的计算方法</w:t>
      </w:r>
      <w:r>
        <w:rPr>
          <w:spacing w:val="-2"/>
          <w:w w:val="100"/>
        </w:rPr>
        <w:t> </w:t>
      </w:r>
      <w:r>
        <w:rPr>
          <w:spacing w:val="-5"/>
        </w:rPr>
        <w:t>在资本化期间内，每一会计期间的利息（包括折价或溢价的摊销）资本化金</w:t>
      </w:r>
      <w:r>
        <w:rPr/>
      </w:r>
    </w:p>
    <w:p>
      <w:pPr>
        <w:pStyle w:val="BodyText"/>
        <w:spacing w:line="240" w:lineRule="auto" w:before="29"/>
        <w:ind w:right="0"/>
        <w:jc w:val="both"/>
      </w:pPr>
      <w:r>
        <w:rPr/>
        <w:t>额，按照下列规定确定：</w:t>
      </w:r>
    </w:p>
    <w:p>
      <w:pPr>
        <w:pStyle w:val="BodyText"/>
        <w:spacing w:line="336" w:lineRule="auto" w:before="126"/>
        <w:ind w:right="192" w:firstLine="480"/>
        <w:jc w:val="both"/>
      </w:pPr>
      <w:r>
        <w:rPr>
          <w:spacing w:val="-5"/>
        </w:rPr>
        <w:t>①为购建或者生产符合资本化条件的资产而借入专门借款的，以专门借款当</w:t>
      </w:r>
      <w:r>
        <w:rPr>
          <w:spacing w:val="-2"/>
          <w:w w:val="100"/>
        </w:rPr>
        <w:t> </w:t>
      </w:r>
      <w:r>
        <w:rPr>
          <w:spacing w:val="-5"/>
        </w:rPr>
        <w:t>期实际发生的利息费用，减去将尚未动用的借款资金存入银行取得的利息收入或</w:t>
      </w:r>
      <w:r>
        <w:rPr>
          <w:spacing w:val="-63"/>
        </w:rPr>
        <w:t> </w:t>
      </w:r>
      <w:r>
        <w:rPr>
          <w:spacing w:val="-63"/>
        </w:rPr>
      </w:r>
      <w:r>
        <w:rPr/>
        <w:t>进行暂时性投资取得的投资收益后的金额确定。</w:t>
      </w:r>
    </w:p>
    <w:p>
      <w:pPr>
        <w:spacing w:line="384" w:lineRule="auto" w:before="65"/>
        <w:ind w:left="557" w:right="104" w:firstLine="420"/>
        <w:jc w:val="both"/>
        <w:rPr>
          <w:rFonts w:ascii="宋体" w:hAnsi="宋体" w:cs="宋体" w:eastAsia="宋体" w:hint="default"/>
          <w:sz w:val="21"/>
          <w:szCs w:val="21"/>
        </w:rPr>
      </w:pPr>
      <w:r>
        <w:rPr>
          <w:rFonts w:ascii="宋体" w:hAnsi="宋体" w:cs="宋体" w:eastAsia="宋体" w:hint="default"/>
          <w:spacing w:val="-3"/>
          <w:sz w:val="21"/>
          <w:szCs w:val="21"/>
        </w:rPr>
        <w:t>②为购建或者生产符合资本化条件的资产而占用了一般借款的，本公司根据累计资</w:t>
      </w:r>
      <w:r>
        <w:rPr>
          <w:rFonts w:ascii="宋体" w:hAnsi="宋体" w:cs="宋体" w:eastAsia="宋体" w:hint="default"/>
          <w:sz w:val="21"/>
          <w:szCs w:val="21"/>
        </w:rPr>
        <w:t> </w:t>
      </w:r>
      <w:r>
        <w:rPr>
          <w:rFonts w:ascii="宋体" w:hAnsi="宋体" w:cs="宋体" w:eastAsia="宋体" w:hint="default"/>
          <w:spacing w:val="-3"/>
          <w:sz w:val="21"/>
          <w:szCs w:val="21"/>
        </w:rPr>
        <w:t>产支出超过专门借款部分的资产支出加权平均数乘以所占用一般借款的资本化率，计算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确定一般借款应予资本化的利息金额。资本化率根据一般借款加权平均利率计算确定。</w:t>
      </w:r>
    </w:p>
    <w:p>
      <w:pPr>
        <w:pStyle w:val="BodyText"/>
        <w:spacing w:line="336" w:lineRule="auto" w:before="124"/>
        <w:ind w:left="617" w:right="87"/>
        <w:jc w:val="left"/>
      </w:pPr>
      <w:r>
        <w:rPr/>
        <w:t>2006</w:t>
      </w:r>
      <w:r>
        <w:rPr>
          <w:spacing w:val="-62"/>
        </w:rPr>
        <w:t> </w:t>
      </w:r>
      <w:r>
        <w:rPr/>
        <w:t>年度本公司一般借款的借款费用计入当期损益。</w:t>
      </w:r>
      <w:r>
        <w:rPr>
          <w:spacing w:val="-2"/>
          <w:w w:val="100"/>
        </w:rPr>
        <w:t> </w:t>
      </w:r>
      <w:r>
        <w:rPr>
          <w:spacing w:val="-5"/>
        </w:rPr>
        <w:t>借款存在折价或者溢价的，按照实际利率法确定每一会计期间应摊销的折价</w:t>
      </w:r>
      <w:r>
        <w:rPr/>
      </w:r>
    </w:p>
    <w:p>
      <w:pPr>
        <w:pStyle w:val="BodyText"/>
        <w:spacing w:line="336" w:lineRule="auto" w:before="29"/>
        <w:ind w:right="191"/>
        <w:jc w:val="both"/>
      </w:pPr>
      <w:r>
        <w:rPr>
          <w:spacing w:val="-5"/>
        </w:rPr>
        <w:t>或者溢价金额，调整每期利息金额。在资本化期间内，每一会计期间的利息资本</w:t>
      </w:r>
      <w:r>
        <w:rPr>
          <w:spacing w:val="-60"/>
        </w:rPr>
        <w:t> </w:t>
      </w:r>
      <w:r>
        <w:rPr>
          <w:spacing w:val="-60"/>
        </w:rPr>
      </w:r>
      <w:r>
        <w:rPr/>
        <w:t>化金额，不超过当期相关借款实际发生的利息金额。</w:t>
      </w:r>
    </w:p>
    <w:p>
      <w:pPr>
        <w:spacing w:line="384" w:lineRule="auto" w:before="65"/>
        <w:ind w:left="557" w:right="87" w:firstLine="0"/>
        <w:jc w:val="left"/>
        <w:rPr>
          <w:rFonts w:ascii="宋体" w:hAnsi="宋体" w:cs="宋体" w:eastAsia="宋体" w:hint="default"/>
          <w:sz w:val="21"/>
          <w:szCs w:val="21"/>
        </w:rPr>
      </w:pPr>
      <w:r>
        <w:rPr>
          <w:rFonts w:ascii="宋体" w:hAnsi="宋体" w:cs="宋体" w:eastAsia="宋体" w:hint="default"/>
          <w:spacing w:val="-3"/>
          <w:sz w:val="21"/>
          <w:szCs w:val="21"/>
        </w:rPr>
        <w:t>专门借款发生的辅助费用，在所购建或者生产的符合资本化条件的资产达到预定可使用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3"/>
          <w:sz w:val="21"/>
          <w:szCs w:val="21"/>
        </w:rPr>
        <w:t>或者可销售状态之前发生的，在发生时根据其发生额予以资本化，计入符合资本化条件</w:t>
      </w:r>
    </w:p>
    <w:p>
      <w:pPr>
        <w:spacing w:before="39"/>
        <w:ind w:left="557" w:right="87" w:firstLine="0"/>
        <w:jc w:val="left"/>
        <w:rPr>
          <w:rFonts w:ascii="宋体" w:hAnsi="宋体" w:cs="宋体" w:eastAsia="宋体" w:hint="default"/>
          <w:sz w:val="21"/>
          <w:szCs w:val="21"/>
        </w:rPr>
      </w:pPr>
      <w:r>
        <w:rPr>
          <w:rFonts w:ascii="宋体" w:hAnsi="宋体" w:cs="宋体" w:eastAsia="宋体" w:hint="default"/>
          <w:sz w:val="21"/>
          <w:szCs w:val="21"/>
        </w:rPr>
        <w:t>的资产的成本</w:t>
      </w:r>
      <w:r>
        <w:rPr>
          <w:rFonts w:ascii="宋体" w:hAnsi="宋体" w:cs="宋体" w:eastAsia="宋体" w:hint="default"/>
          <w:spacing w:val="-88"/>
          <w:sz w:val="21"/>
          <w:szCs w:val="21"/>
        </w:rPr>
        <w:t>；</w:t>
      </w:r>
      <w:r>
        <w:rPr>
          <w:rFonts w:ascii="宋体" w:hAnsi="宋体" w:cs="宋体" w:eastAsia="宋体" w:hint="default"/>
          <w:sz w:val="21"/>
          <w:szCs w:val="21"/>
        </w:rPr>
        <w:t>在所购建或者生产的符合资本化条件的资产达到预定可使用或者可销售</w:t>
      </w:r>
    </w:p>
    <w:p>
      <w:pPr>
        <w:spacing w:after="0"/>
        <w:jc w:val="left"/>
        <w:rPr>
          <w:rFonts w:ascii="宋体" w:hAnsi="宋体" w:cs="宋体" w:eastAsia="宋体" w:hint="default"/>
          <w:sz w:val="21"/>
          <w:szCs w:val="21"/>
        </w:rPr>
        <w:sectPr>
          <w:pgSz w:w="11910" w:h="16840"/>
          <w:pgMar w:header="840" w:footer="1712" w:top="1160" w:bottom="1900" w:left="1660" w:right="1600"/>
        </w:sectPr>
      </w:pPr>
    </w:p>
    <w:p>
      <w:pPr>
        <w:spacing w:line="384" w:lineRule="auto" w:before="106"/>
        <w:ind w:left="557" w:right="0" w:firstLine="0"/>
        <w:jc w:val="left"/>
        <w:rPr>
          <w:rFonts w:ascii="宋体" w:hAnsi="宋体" w:cs="宋体" w:eastAsia="宋体" w:hint="default"/>
          <w:sz w:val="21"/>
          <w:szCs w:val="21"/>
        </w:rPr>
      </w:pPr>
      <w:r>
        <w:rPr>
          <w:rFonts w:ascii="宋体" w:hAnsi="宋体" w:cs="宋体" w:eastAsia="宋体" w:hint="default"/>
          <w:spacing w:val="-3"/>
          <w:sz w:val="21"/>
          <w:szCs w:val="21"/>
        </w:rPr>
        <w:t>状态之后发生的，在发生时根据其发生额确认为费用，计入当期损益。一般借款发生的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辅助费用，在发生时根据其发生额确认为费用，计入当期损益。</w:t>
      </w:r>
    </w:p>
    <w:p>
      <w:pPr>
        <w:pStyle w:val="Heading3"/>
        <w:tabs>
          <w:tab w:pos="1397" w:val="left" w:leader="none"/>
        </w:tabs>
        <w:spacing w:line="240" w:lineRule="auto" w:before="47"/>
        <w:ind w:right="0"/>
        <w:jc w:val="left"/>
        <w:rPr>
          <w:b w:val="0"/>
          <w:bCs w:val="0"/>
        </w:rPr>
      </w:pPr>
      <w:r>
        <w:rPr>
          <w:w w:val="90"/>
        </w:rPr>
        <w:t>18、</w:t>
        <w:tab/>
      </w:r>
      <w:r>
        <w:rPr/>
        <w:t>股份支付</w:t>
      </w:r>
      <w:r>
        <w:rPr>
          <w:b w:val="0"/>
          <w:bCs w:val="0"/>
        </w:rPr>
      </w:r>
    </w:p>
    <w:p>
      <w:pPr>
        <w:pStyle w:val="BodyText"/>
        <w:spacing w:line="240" w:lineRule="auto" w:before="99"/>
        <w:ind w:left="617" w:right="0"/>
        <w:jc w:val="left"/>
      </w:pPr>
      <w:r>
        <w:rPr/>
        <w:t>（1）以权益结算的股份支付</w:t>
      </w:r>
    </w:p>
    <w:p>
      <w:pPr>
        <w:pStyle w:val="BodyText"/>
        <w:spacing w:line="336" w:lineRule="auto" w:before="126"/>
        <w:ind w:right="152" w:firstLine="480"/>
        <w:jc w:val="both"/>
      </w:pPr>
      <w:r>
        <w:rPr>
          <w:spacing w:val="-2"/>
        </w:rPr>
        <w:t>①以权益结算的股份支付换取职工提供服务或其他方提供类似服务的,以授</w:t>
      </w:r>
      <w:r>
        <w:rPr>
          <w:spacing w:val="-1"/>
          <w:w w:val="100"/>
        </w:rPr>
        <w:t> </w:t>
      </w:r>
      <w:r>
        <w:rPr/>
        <w:t>予职工和其他方权益工具的公允价值计量。</w:t>
      </w:r>
    </w:p>
    <w:p>
      <w:pPr>
        <w:pStyle w:val="BodyText"/>
        <w:spacing w:line="336" w:lineRule="auto"/>
        <w:ind w:right="145" w:firstLine="480"/>
        <w:jc w:val="both"/>
      </w:pPr>
      <w:r>
        <w:rPr/>
        <w:t>②授予后立即可行权的换取职工服务或其他方类似服务的以权益结算的股</w:t>
      </w:r>
      <w:r>
        <w:rPr>
          <w:spacing w:val="3"/>
          <w:w w:val="100"/>
        </w:rPr>
        <w:t> </w:t>
      </w:r>
      <w:r>
        <w:rPr/>
        <w:t>份支付,在授予日按权益工具的公允价值计入相关成本或费用,相应增加资本公</w:t>
      </w:r>
      <w:r>
        <w:rPr>
          <w:spacing w:val="22"/>
        </w:rPr>
        <w:t> </w:t>
      </w:r>
      <w:r>
        <w:rPr>
          <w:spacing w:val="22"/>
        </w:rPr>
      </w:r>
      <w:r>
        <w:rPr/>
        <w:t>积。</w:t>
      </w:r>
    </w:p>
    <w:p>
      <w:pPr>
        <w:pStyle w:val="BodyText"/>
        <w:spacing w:line="336" w:lineRule="auto"/>
        <w:ind w:right="147" w:firstLine="480"/>
        <w:jc w:val="both"/>
      </w:pPr>
      <w:r>
        <w:rPr/>
        <w:t>③公司在可行权日之后不再对已确认的相关成本或费用和所有者权益总额</w:t>
      </w:r>
      <w:r>
        <w:rPr>
          <w:spacing w:val="3"/>
          <w:w w:val="100"/>
        </w:rPr>
        <w:t> </w:t>
      </w:r>
      <w:r>
        <w:rPr/>
        <w:t>进行调整。</w:t>
      </w:r>
    </w:p>
    <w:p>
      <w:pPr>
        <w:pStyle w:val="BodyText"/>
        <w:spacing w:line="336" w:lineRule="auto" w:before="29"/>
        <w:ind w:right="146" w:firstLine="480"/>
        <w:jc w:val="both"/>
      </w:pPr>
      <w:r>
        <w:rPr/>
        <w:t>④在行权日,公司根据实际行权的权益工具数量,计算确定应转入实收资本</w:t>
      </w:r>
      <w:r>
        <w:rPr>
          <w:spacing w:val="3"/>
          <w:w w:val="100"/>
        </w:rPr>
        <w:t> </w:t>
      </w:r>
      <w:r>
        <w:rPr/>
        <w:t>或股本的金额,将其转入实收资本或股本。</w:t>
      </w:r>
    </w:p>
    <w:p>
      <w:pPr>
        <w:pStyle w:val="BodyText"/>
        <w:spacing w:line="240" w:lineRule="auto"/>
        <w:ind w:left="617" w:right="0"/>
        <w:jc w:val="left"/>
      </w:pPr>
      <w:r>
        <w:rPr/>
        <w:t>（2）以现金结算的股份支付</w:t>
      </w:r>
    </w:p>
    <w:p>
      <w:pPr>
        <w:pStyle w:val="BodyText"/>
        <w:spacing w:line="240" w:lineRule="auto" w:before="125"/>
        <w:ind w:left="617" w:right="0"/>
        <w:jc w:val="left"/>
      </w:pPr>
      <w:r>
        <w:rPr/>
        <w:t>①以现金结算的股份支付,以承担负债的公允价值计量。</w:t>
      </w:r>
    </w:p>
    <w:p>
      <w:pPr>
        <w:pStyle w:val="BodyText"/>
        <w:spacing w:line="336" w:lineRule="auto" w:before="126"/>
        <w:ind w:right="152" w:firstLine="480"/>
        <w:jc w:val="both"/>
      </w:pPr>
      <w:r>
        <w:rPr>
          <w:spacing w:val="-2"/>
        </w:rPr>
        <w:t>②授予后立即可行权的以现金结算的股份支付,在授予日以承担负债的公允</w:t>
      </w:r>
      <w:r>
        <w:rPr>
          <w:spacing w:val="-1"/>
          <w:w w:val="100"/>
        </w:rPr>
        <w:t> </w:t>
      </w:r>
      <w:r>
        <w:rPr/>
        <w:t>价值计入相关成本或费用,相应增加负债。</w:t>
      </w:r>
    </w:p>
    <w:p>
      <w:pPr>
        <w:pStyle w:val="BodyText"/>
        <w:spacing w:line="336" w:lineRule="auto" w:before="29"/>
        <w:ind w:right="147" w:firstLine="480"/>
        <w:jc w:val="both"/>
      </w:pPr>
      <w:r>
        <w:rPr/>
        <w:t>③完成等待期内的服务或达到规定业绩条件以后才可行权的以现金结算的</w:t>
      </w:r>
      <w:r>
        <w:rPr>
          <w:spacing w:val="3"/>
          <w:w w:val="100"/>
        </w:rPr>
        <w:t> </w:t>
      </w:r>
      <w:r>
        <w:rPr>
          <w:spacing w:val="-1"/>
        </w:rPr>
        <w:t>股份支付,在等待期内的每个资产负债表日,以对可行权情况的最佳估计为基础,</w:t>
      </w:r>
      <w:r>
        <w:rPr>
          <w:spacing w:val="-81"/>
        </w:rPr>
        <w:t> </w:t>
      </w:r>
      <w:r>
        <w:rPr>
          <w:spacing w:val="-81"/>
        </w:rPr>
      </w:r>
      <w:r>
        <w:rPr/>
        <w:t>按照承担负债的公允价值金额,将当期取得的服务计入成本或费用和负债。</w:t>
      </w:r>
    </w:p>
    <w:p>
      <w:pPr>
        <w:pStyle w:val="BodyText"/>
        <w:spacing w:line="336" w:lineRule="auto" w:before="29"/>
        <w:ind w:left="617" w:right="0"/>
        <w:jc w:val="left"/>
      </w:pPr>
      <w:r>
        <w:rPr/>
        <w:t>④后续计量</w:t>
      </w:r>
      <w:r>
        <w:rPr>
          <w:spacing w:val="-2"/>
          <w:w w:val="100"/>
        </w:rPr>
        <w:t> </w:t>
      </w:r>
      <w:r>
        <w:rPr>
          <w:spacing w:val="-2"/>
        </w:rPr>
        <w:t>A.在资产负债表日,后续信息表明当期承担债务的公允价值与以前估计不同</w:t>
      </w:r>
      <w:r>
        <w:rPr/>
      </w:r>
    </w:p>
    <w:p>
      <w:pPr>
        <w:pStyle w:val="BodyText"/>
        <w:spacing w:line="336" w:lineRule="auto"/>
        <w:ind w:left="617" w:right="0" w:hanging="480"/>
        <w:jc w:val="left"/>
      </w:pPr>
      <w:r>
        <w:rPr/>
        <w:t>的,需要进行调整;在可行权日,调整至实际可行权水平。</w:t>
      </w:r>
      <w:r>
        <w:rPr>
          <w:spacing w:val="-2"/>
          <w:w w:val="100"/>
        </w:rPr>
        <w:t> </w:t>
      </w:r>
      <w:r>
        <w:rPr>
          <w:spacing w:val="-2"/>
        </w:rPr>
        <w:t>B.公司应当在相关负债结算前的每个资产负债表日以及结算日,对负债的公</w:t>
      </w:r>
      <w:r>
        <w:rPr/>
      </w:r>
    </w:p>
    <w:p>
      <w:pPr>
        <w:pStyle w:val="BodyText"/>
        <w:spacing w:line="240" w:lineRule="auto"/>
        <w:ind w:right="0"/>
        <w:jc w:val="left"/>
      </w:pPr>
      <w:r>
        <w:rPr/>
        <w:t>允价值重新计量、其变动计入当期损益。</w:t>
      </w:r>
    </w:p>
    <w:p>
      <w:pPr>
        <w:pStyle w:val="Heading3"/>
        <w:tabs>
          <w:tab w:pos="1397" w:val="left" w:leader="none"/>
        </w:tabs>
        <w:spacing w:line="240" w:lineRule="auto" w:before="170"/>
        <w:ind w:right="0"/>
        <w:jc w:val="left"/>
        <w:rPr>
          <w:b w:val="0"/>
          <w:bCs w:val="0"/>
        </w:rPr>
      </w:pPr>
      <w:r>
        <w:rPr>
          <w:w w:val="90"/>
        </w:rPr>
        <w:t>19、</w:t>
        <w:tab/>
      </w:r>
      <w:r>
        <w:rPr/>
        <w:t>预计负债</w:t>
      </w:r>
      <w:r>
        <w:rPr>
          <w:b w:val="0"/>
          <w:bCs w:val="0"/>
        </w:rPr>
      </w:r>
    </w:p>
    <w:p>
      <w:pPr>
        <w:pStyle w:val="BodyText"/>
        <w:spacing w:line="336" w:lineRule="auto" w:before="98"/>
        <w:ind w:left="617" w:right="0"/>
        <w:jc w:val="left"/>
      </w:pPr>
      <w:r>
        <w:rPr>
          <w:spacing w:val="-2"/>
        </w:rPr>
        <w:t>（1）预计负债的确认原则</w:t>
      </w:r>
      <w:r>
        <w:rPr>
          <w:spacing w:val="-107"/>
        </w:rPr>
        <w:t> </w:t>
      </w:r>
      <w:r>
        <w:rPr>
          <w:spacing w:val="-5"/>
        </w:rPr>
        <w:t>当与对外担保、未决诉讼或仲裁、产品质量保证、裁员计划、亏损合同、重</w:t>
      </w:r>
    </w:p>
    <w:p>
      <w:pPr>
        <w:pStyle w:val="BodyText"/>
        <w:spacing w:line="336" w:lineRule="auto"/>
        <w:ind w:right="0"/>
        <w:jc w:val="left"/>
      </w:pPr>
      <w:r>
        <w:rPr>
          <w:spacing w:val="-5"/>
        </w:rPr>
        <w:t>组义务、固定资产弃置义务等或有事项相关的业务同时符合以下条件时，确认为</w:t>
      </w:r>
      <w:r>
        <w:rPr>
          <w:spacing w:val="-64"/>
        </w:rPr>
        <w:t> </w:t>
      </w:r>
      <w:r>
        <w:rPr>
          <w:spacing w:val="-64"/>
        </w:rPr>
      </w:r>
      <w:r>
        <w:rPr>
          <w:spacing w:val="-2"/>
        </w:rPr>
        <w:t>负债：</w:t>
      </w:r>
      <w:r>
        <w:rPr/>
      </w:r>
    </w:p>
    <w:p>
      <w:pPr>
        <w:spacing w:after="0" w:line="336" w:lineRule="auto"/>
        <w:jc w:val="left"/>
        <w:sectPr>
          <w:pgSz w:w="11910" w:h="16840"/>
          <w:pgMar w:header="840" w:footer="1712" w:top="1160" w:bottom="1900" w:left="1660" w:right="1640"/>
        </w:sectPr>
      </w:pPr>
    </w:p>
    <w:p>
      <w:pPr>
        <w:pStyle w:val="BodyText"/>
        <w:spacing w:line="240" w:lineRule="auto" w:before="71"/>
        <w:ind w:left="617" w:right="0"/>
        <w:jc w:val="left"/>
      </w:pPr>
      <w:r>
        <w:rPr/>
        <w:t>①该义务是本公司承担的现时义务;</w:t>
      </w:r>
    </w:p>
    <w:p>
      <w:pPr>
        <w:pStyle w:val="BodyText"/>
        <w:spacing w:line="240" w:lineRule="auto" w:before="126"/>
        <w:ind w:left="617" w:right="0"/>
        <w:jc w:val="left"/>
      </w:pPr>
      <w:r>
        <w:rPr/>
        <w:t>②该义务的履行很可能导致经济利益流出企业;</w:t>
      </w:r>
    </w:p>
    <w:p>
      <w:pPr>
        <w:pStyle w:val="BodyText"/>
        <w:spacing w:line="240" w:lineRule="auto" w:before="125"/>
        <w:ind w:left="617" w:right="0"/>
        <w:jc w:val="left"/>
      </w:pPr>
      <w:r>
        <w:rPr/>
        <w:t>③该义务的金额能够可靠地计量。</w:t>
      </w:r>
    </w:p>
    <w:p>
      <w:pPr>
        <w:pStyle w:val="BodyText"/>
        <w:spacing w:line="336" w:lineRule="auto" w:before="126"/>
        <w:ind w:left="617" w:right="0"/>
        <w:jc w:val="left"/>
      </w:pPr>
      <w:r>
        <w:rPr>
          <w:spacing w:val="-2"/>
        </w:rPr>
        <w:t>（2）预计负债的计量方法</w:t>
      </w:r>
      <w:r>
        <w:rPr>
          <w:spacing w:val="-107"/>
        </w:rPr>
        <w:t> </w:t>
      </w:r>
      <w:r>
        <w:rPr>
          <w:spacing w:val="-5"/>
        </w:rPr>
        <w:t>预计负债按照履行现时义务所需支出的最佳估计数进行初始计量。所需支出</w:t>
      </w:r>
      <w:r>
        <w:rPr/>
      </w:r>
    </w:p>
    <w:p>
      <w:pPr>
        <w:pStyle w:val="BodyText"/>
        <w:spacing w:line="336" w:lineRule="auto" w:before="29"/>
        <w:ind w:right="0"/>
        <w:jc w:val="left"/>
      </w:pPr>
      <w:r>
        <w:rPr>
          <w:spacing w:val="-1"/>
        </w:rPr>
        <w:t>存在一个连续范围,且该范围内各种结果发生的可能性相同的最佳估计数按该范</w:t>
      </w:r>
      <w:r>
        <w:rPr>
          <w:spacing w:val="-82"/>
        </w:rPr>
        <w:t> </w:t>
      </w:r>
      <w:r>
        <w:rPr>
          <w:spacing w:val="-82"/>
        </w:rPr>
      </w:r>
      <w:r>
        <w:rPr/>
        <w:t>围的中间值确定；在其它情况下,最佳估计数按如下方法确定：</w:t>
      </w:r>
    </w:p>
    <w:p>
      <w:pPr>
        <w:pStyle w:val="BodyText"/>
        <w:spacing w:line="240" w:lineRule="auto"/>
        <w:ind w:left="617" w:right="0"/>
        <w:jc w:val="left"/>
      </w:pPr>
      <w:r>
        <w:rPr/>
        <w:t>①或有事项涉及单个项目时,最佳估计数按最可能发生金额确定;</w:t>
      </w:r>
    </w:p>
    <w:p>
      <w:pPr>
        <w:pStyle w:val="BodyText"/>
        <w:spacing w:line="336" w:lineRule="auto" w:before="125"/>
        <w:ind w:right="0" w:firstLine="480"/>
        <w:jc w:val="left"/>
      </w:pPr>
      <w:r>
        <w:rPr>
          <w:spacing w:val="-2"/>
        </w:rPr>
        <w:t>②或有事项涉及多个项目时,最佳估计数按各种可能发生额及其发生概率计</w:t>
      </w:r>
      <w:r>
        <w:rPr>
          <w:spacing w:val="-1"/>
          <w:w w:val="100"/>
        </w:rPr>
        <w:t> </w:t>
      </w:r>
      <w:r>
        <w:rPr/>
        <w:t>算确定。</w:t>
      </w:r>
    </w:p>
    <w:p>
      <w:pPr>
        <w:pStyle w:val="BodyText"/>
        <w:spacing w:line="336" w:lineRule="auto"/>
        <w:ind w:right="150" w:firstLine="480"/>
        <w:jc w:val="both"/>
      </w:pPr>
      <w:r>
        <w:rPr>
          <w:spacing w:val="-2"/>
        </w:rPr>
        <w:t>公司清偿预计负债所需支出全部或部分预期由第三方或其他方补偿的,则补</w:t>
      </w:r>
      <w:r>
        <w:rPr>
          <w:spacing w:val="-1"/>
          <w:w w:val="100"/>
        </w:rPr>
        <w:t> </w:t>
      </w:r>
      <w:r>
        <w:rPr>
          <w:spacing w:val="-1"/>
        </w:rPr>
        <w:t>偿金额在基本确定能收到时,作为资产单独确认。确认的补偿金额不超过所确认</w:t>
      </w:r>
      <w:r>
        <w:rPr>
          <w:spacing w:val="-82"/>
        </w:rPr>
        <w:t> </w:t>
      </w:r>
      <w:r>
        <w:rPr>
          <w:spacing w:val="-82"/>
        </w:rPr>
      </w:r>
      <w:r>
        <w:rPr/>
        <w:t>预计负债的账面价值。</w:t>
      </w:r>
    </w:p>
    <w:p>
      <w:pPr>
        <w:pStyle w:val="Heading3"/>
        <w:tabs>
          <w:tab w:pos="1397" w:val="left" w:leader="none"/>
        </w:tabs>
        <w:spacing w:line="240" w:lineRule="auto" w:before="74"/>
        <w:ind w:right="0"/>
        <w:jc w:val="left"/>
        <w:rPr>
          <w:b w:val="0"/>
          <w:bCs w:val="0"/>
        </w:rPr>
      </w:pPr>
      <w:r>
        <w:rPr>
          <w:w w:val="90"/>
        </w:rPr>
        <w:t>20、</w:t>
        <w:tab/>
      </w:r>
      <w:r>
        <w:rPr/>
        <w:t>收入</w:t>
      </w:r>
      <w:r>
        <w:rPr>
          <w:b w:val="0"/>
          <w:bCs w:val="0"/>
        </w:rPr>
      </w:r>
    </w:p>
    <w:p>
      <w:pPr>
        <w:pStyle w:val="BodyText"/>
        <w:spacing w:line="336" w:lineRule="auto" w:before="98"/>
        <w:ind w:left="609" w:right="0" w:firstLine="8"/>
        <w:jc w:val="left"/>
      </w:pPr>
      <w:r>
        <w:rPr/>
        <w:t>（1）销售商品收入的确认方法</w:t>
      </w:r>
      <w:r>
        <w:rPr>
          <w:spacing w:val="-2"/>
          <w:w w:val="100"/>
        </w:rPr>
        <w:t> </w:t>
      </w:r>
      <w:r>
        <w:rPr>
          <w:spacing w:val="-7"/>
        </w:rPr>
        <w:t>销售商品收入同时满足下列条件时，才能予以确认：</w:t>
      </w:r>
      <w:r>
        <w:rPr/>
      </w:r>
    </w:p>
    <w:p>
      <w:pPr>
        <w:pStyle w:val="BodyText"/>
        <w:spacing w:line="240" w:lineRule="auto" w:before="150"/>
        <w:ind w:left="609" w:right="0"/>
        <w:jc w:val="left"/>
      </w:pPr>
      <w:r>
        <w:rPr>
          <w:spacing w:val="-7"/>
        </w:rPr>
        <w:t>①本公司已将商品所有权上的主要风险和报酬转移给购货方；</w:t>
      </w:r>
      <w:r>
        <w:rPr/>
      </w:r>
    </w:p>
    <w:p>
      <w:pPr>
        <w:spacing w:line="240" w:lineRule="auto" w:before="10"/>
        <w:rPr>
          <w:rFonts w:ascii="宋体" w:hAnsi="宋体" w:cs="宋体" w:eastAsia="宋体" w:hint="default"/>
          <w:sz w:val="18"/>
          <w:szCs w:val="18"/>
        </w:rPr>
      </w:pPr>
    </w:p>
    <w:p>
      <w:pPr>
        <w:pStyle w:val="BodyText"/>
        <w:spacing w:line="336" w:lineRule="auto" w:before="0"/>
        <w:ind w:right="0" w:firstLine="471"/>
        <w:jc w:val="left"/>
      </w:pPr>
      <w:r>
        <w:rPr>
          <w:spacing w:val="-4"/>
        </w:rPr>
        <w:t>②本公司既没有保留通常与所有权相联系的继续管理权，也没有对已售出的</w:t>
      </w:r>
      <w:r>
        <w:rPr>
          <w:spacing w:val="-4"/>
          <w:w w:val="100"/>
        </w:rPr>
        <w:t> </w:t>
      </w:r>
      <w:r>
        <w:rPr>
          <w:spacing w:val="-6"/>
        </w:rPr>
        <w:t>商品实施有效控制；</w:t>
      </w:r>
      <w:r>
        <w:rPr/>
      </w:r>
    </w:p>
    <w:p>
      <w:pPr>
        <w:pStyle w:val="BodyText"/>
        <w:spacing w:line="240" w:lineRule="auto" w:before="150"/>
        <w:ind w:left="609" w:right="0"/>
        <w:jc w:val="left"/>
      </w:pPr>
      <w:r>
        <w:rPr>
          <w:spacing w:val="-6"/>
        </w:rPr>
        <w:t>③收入的金额能够可靠计量；</w:t>
      </w:r>
      <w:r>
        <w:rPr/>
      </w:r>
    </w:p>
    <w:p>
      <w:pPr>
        <w:spacing w:line="240" w:lineRule="auto" w:before="10"/>
        <w:rPr>
          <w:rFonts w:ascii="宋体" w:hAnsi="宋体" w:cs="宋体" w:eastAsia="宋体" w:hint="default"/>
          <w:sz w:val="18"/>
          <w:szCs w:val="18"/>
        </w:rPr>
      </w:pPr>
    </w:p>
    <w:p>
      <w:pPr>
        <w:pStyle w:val="BodyText"/>
        <w:spacing w:line="240" w:lineRule="auto" w:before="0"/>
        <w:ind w:left="609" w:right="0"/>
        <w:jc w:val="left"/>
      </w:pPr>
      <w:r>
        <w:rPr>
          <w:spacing w:val="-6"/>
        </w:rPr>
        <w:t>④相关经济利益很可能流入本公司；</w:t>
      </w:r>
      <w:r>
        <w:rPr/>
      </w:r>
    </w:p>
    <w:p>
      <w:pPr>
        <w:spacing w:line="240" w:lineRule="auto" w:before="11"/>
        <w:rPr>
          <w:rFonts w:ascii="宋体" w:hAnsi="宋体" w:cs="宋体" w:eastAsia="宋体" w:hint="default"/>
          <w:sz w:val="18"/>
          <w:szCs w:val="18"/>
        </w:rPr>
      </w:pPr>
    </w:p>
    <w:p>
      <w:pPr>
        <w:pStyle w:val="BodyText"/>
        <w:spacing w:line="240" w:lineRule="auto" w:before="0"/>
        <w:ind w:left="609" w:right="0"/>
        <w:jc w:val="left"/>
      </w:pPr>
      <w:r>
        <w:rPr>
          <w:spacing w:val="-6"/>
        </w:rPr>
        <w:t>⑤相关的、已发生的或将发生的成本能够可靠计量。</w:t>
      </w:r>
      <w:r>
        <w:rPr/>
      </w:r>
    </w:p>
    <w:p>
      <w:pPr>
        <w:spacing w:line="240" w:lineRule="auto" w:before="11"/>
        <w:rPr>
          <w:rFonts w:ascii="宋体" w:hAnsi="宋体" w:cs="宋体" w:eastAsia="宋体" w:hint="default"/>
          <w:sz w:val="18"/>
          <w:szCs w:val="18"/>
        </w:rPr>
      </w:pPr>
    </w:p>
    <w:p>
      <w:pPr>
        <w:pStyle w:val="BodyText"/>
        <w:spacing w:line="427" w:lineRule="auto" w:before="0"/>
        <w:ind w:left="617" w:right="0"/>
        <w:jc w:val="left"/>
      </w:pPr>
      <w:r>
        <w:rPr/>
        <w:t>（2）提供劳务收入的确认方法</w:t>
      </w:r>
      <w:r>
        <w:rPr>
          <w:spacing w:val="-2"/>
          <w:w w:val="100"/>
        </w:rPr>
        <w:t> </w:t>
      </w:r>
      <w:r>
        <w:rPr>
          <w:spacing w:val="-5"/>
        </w:rPr>
        <w:t>本公司在资产负债表日提供劳务交易的结果能够可靠估计的，按照完工百分</w:t>
      </w:r>
      <w:r>
        <w:rPr/>
      </w:r>
    </w:p>
    <w:p>
      <w:pPr>
        <w:pStyle w:val="BodyText"/>
        <w:spacing w:line="253" w:lineRule="exact" w:before="0"/>
        <w:ind w:right="0"/>
        <w:jc w:val="left"/>
      </w:pPr>
      <w:r>
        <w:rPr>
          <w:spacing w:val="-5"/>
        </w:rPr>
        <w:t>比法确认提供劳务收入。本公司按照已经提供的劳务占应提供的劳务总量的比例</w:t>
      </w:r>
      <w:r>
        <w:rPr/>
      </w:r>
    </w:p>
    <w:p>
      <w:pPr>
        <w:pStyle w:val="BodyText"/>
        <w:spacing w:line="427" w:lineRule="auto" w:before="126"/>
        <w:ind w:left="617" w:right="0" w:hanging="480"/>
        <w:jc w:val="left"/>
      </w:pPr>
      <w:r>
        <w:rPr/>
        <w:t>确定提供劳务交易的完工进度。</w:t>
      </w:r>
      <w:r>
        <w:rPr>
          <w:spacing w:val="-2"/>
          <w:w w:val="100"/>
        </w:rPr>
        <w:t> </w:t>
      </w:r>
      <w:r>
        <w:rPr>
          <w:spacing w:val="-5"/>
        </w:rPr>
        <w:t>本公司在资产负债表日提供劳务交易结果不能够可靠估计的，分别下列情况</w:t>
      </w:r>
      <w:r>
        <w:rPr/>
      </w:r>
    </w:p>
    <w:p>
      <w:pPr>
        <w:pStyle w:val="BodyText"/>
        <w:spacing w:line="253" w:lineRule="exact" w:before="0"/>
        <w:ind w:right="0"/>
        <w:jc w:val="left"/>
      </w:pPr>
      <w:r>
        <w:rPr>
          <w:spacing w:val="-2"/>
        </w:rPr>
        <w:t>处理：</w:t>
      </w:r>
      <w:r>
        <w:rPr/>
      </w:r>
    </w:p>
    <w:p>
      <w:pPr>
        <w:spacing w:after="0" w:line="253" w:lineRule="exact"/>
        <w:jc w:val="left"/>
        <w:sectPr>
          <w:pgSz w:w="11910" w:h="16840"/>
          <w:pgMar w:header="840" w:footer="1712" w:top="1160" w:bottom="1900" w:left="1660" w:right="1640"/>
        </w:sectPr>
      </w:pPr>
    </w:p>
    <w:p>
      <w:pPr>
        <w:pStyle w:val="BodyText"/>
        <w:spacing w:line="336" w:lineRule="auto" w:before="71"/>
        <w:ind w:right="232" w:firstLine="480"/>
        <w:jc w:val="both"/>
      </w:pPr>
      <w:r>
        <w:rPr>
          <w:spacing w:val="-5"/>
        </w:rPr>
        <w:t>①已发生的劳务成本预计能够得到补偿，应按已经发生的劳务成本金额确认</w:t>
      </w:r>
      <w:r>
        <w:rPr>
          <w:spacing w:val="-2"/>
          <w:w w:val="100"/>
        </w:rPr>
        <w:t> </w:t>
      </w:r>
      <w:r>
        <w:rPr/>
        <w:t>提供劳务收入，并按相同金额结转劳务成本。</w:t>
      </w:r>
    </w:p>
    <w:p>
      <w:pPr>
        <w:pStyle w:val="BodyText"/>
        <w:spacing w:line="336" w:lineRule="auto" w:before="149"/>
        <w:ind w:right="232" w:firstLine="480"/>
        <w:jc w:val="both"/>
      </w:pPr>
      <w:r>
        <w:rPr>
          <w:spacing w:val="-5"/>
        </w:rPr>
        <w:t>②已发生的劳务成本预计不能够得到补偿的，将已经发生的劳务成本计入当</w:t>
      </w:r>
      <w:r>
        <w:rPr>
          <w:spacing w:val="-2"/>
          <w:w w:val="100"/>
        </w:rPr>
        <w:t> </w:t>
      </w:r>
      <w:r>
        <w:rPr/>
        <w:t>期损益，不确认提供劳务收入。</w:t>
      </w:r>
    </w:p>
    <w:p>
      <w:pPr>
        <w:pStyle w:val="BodyText"/>
        <w:spacing w:line="240" w:lineRule="auto" w:before="150"/>
        <w:ind w:left="617" w:right="227"/>
        <w:jc w:val="left"/>
      </w:pPr>
      <w:r>
        <w:rPr/>
        <w:t>（3）让渡资产使用权收入的确认方法</w:t>
      </w:r>
    </w:p>
    <w:p>
      <w:pPr>
        <w:spacing w:line="240" w:lineRule="auto" w:before="10"/>
        <w:rPr>
          <w:rFonts w:ascii="宋体" w:hAnsi="宋体" w:cs="宋体" w:eastAsia="宋体" w:hint="default"/>
          <w:sz w:val="18"/>
          <w:szCs w:val="18"/>
        </w:rPr>
      </w:pPr>
    </w:p>
    <w:p>
      <w:pPr>
        <w:pStyle w:val="BodyText"/>
        <w:spacing w:line="427" w:lineRule="auto" w:before="0"/>
        <w:ind w:left="617" w:right="96"/>
        <w:jc w:val="left"/>
      </w:pPr>
      <w:r>
        <w:rPr/>
        <w:t>①让渡资产使用权收入的确认原则</w:t>
      </w:r>
      <w:r>
        <w:rPr>
          <w:spacing w:val="-2"/>
          <w:w w:val="100"/>
        </w:rPr>
        <w:t> </w:t>
      </w:r>
      <w:r>
        <w:rPr>
          <w:spacing w:val="-9"/>
          <w:w w:val="100"/>
        </w:rPr>
        <w:t>让渡资产使用权收入包括利息收入、使用费收入等，在同时满足以下条件时，</w:t>
      </w:r>
      <w:r>
        <w:rPr>
          <w:w w:val="100"/>
        </w:rPr>
      </w:r>
    </w:p>
    <w:p>
      <w:pPr>
        <w:pStyle w:val="BodyText"/>
        <w:spacing w:line="253" w:lineRule="exact" w:before="0"/>
        <w:ind w:right="0"/>
        <w:jc w:val="both"/>
      </w:pPr>
      <w:r>
        <w:rPr/>
        <w:t>才能予以确认：</w:t>
      </w:r>
    </w:p>
    <w:p>
      <w:pPr>
        <w:spacing w:line="240" w:lineRule="auto" w:before="10"/>
        <w:rPr>
          <w:rFonts w:ascii="宋体" w:hAnsi="宋体" w:cs="宋体" w:eastAsia="宋体" w:hint="default"/>
          <w:sz w:val="18"/>
          <w:szCs w:val="18"/>
        </w:rPr>
      </w:pPr>
    </w:p>
    <w:p>
      <w:pPr>
        <w:pStyle w:val="BodyText"/>
        <w:spacing w:line="427" w:lineRule="auto" w:before="0"/>
        <w:ind w:left="617" w:right="2519"/>
        <w:jc w:val="left"/>
      </w:pPr>
      <w:r>
        <w:rPr>
          <w:spacing w:val="-2"/>
        </w:rPr>
        <w:t>A.与交易相关的经济利益能够流入公司；</w:t>
      </w:r>
      <w:r>
        <w:rPr>
          <w:spacing w:val="-100"/>
        </w:rPr>
        <w:t> </w:t>
      </w:r>
      <w:r>
        <w:rPr/>
        <w:t>B.收入的金额能够可靠地计量。</w:t>
      </w:r>
    </w:p>
    <w:p>
      <w:pPr>
        <w:pStyle w:val="BodyText"/>
        <w:spacing w:line="427" w:lineRule="auto" w:before="59"/>
        <w:ind w:left="617" w:right="227"/>
        <w:jc w:val="left"/>
      </w:pPr>
      <w:r>
        <w:rPr/>
        <w:t>②具体确认方法</w:t>
      </w:r>
      <w:r>
        <w:rPr>
          <w:spacing w:val="-2"/>
          <w:w w:val="100"/>
        </w:rPr>
        <w:t> </w:t>
      </w:r>
      <w:r>
        <w:rPr/>
        <w:t>A.利息收入金额，按照他人使用本公司货币资金的时间和实际利率计算确</w:t>
      </w:r>
    </w:p>
    <w:p>
      <w:pPr>
        <w:pStyle w:val="BodyText"/>
        <w:spacing w:line="253" w:lineRule="exact" w:before="0"/>
        <w:ind w:right="0"/>
        <w:jc w:val="both"/>
      </w:pPr>
      <w:r>
        <w:rPr/>
        <w:t>定。</w:t>
      </w:r>
    </w:p>
    <w:p>
      <w:pPr>
        <w:spacing w:line="240" w:lineRule="auto" w:before="11"/>
        <w:rPr>
          <w:rFonts w:ascii="宋体" w:hAnsi="宋体" w:cs="宋体" w:eastAsia="宋体" w:hint="default"/>
          <w:sz w:val="18"/>
          <w:szCs w:val="18"/>
        </w:rPr>
      </w:pPr>
    </w:p>
    <w:p>
      <w:pPr>
        <w:pStyle w:val="BodyText"/>
        <w:tabs>
          <w:tab w:pos="1397" w:val="left" w:leader="none"/>
        </w:tabs>
        <w:spacing w:line="369" w:lineRule="auto" w:before="0"/>
        <w:ind w:left="619" w:right="146" w:hanging="3"/>
        <w:jc w:val="left"/>
        <w:rPr>
          <w:rFonts w:ascii="Microsoft JhengHei" w:hAnsi="Microsoft JhengHei" w:cs="Microsoft JhengHei" w:eastAsia="Microsoft JhengHei" w:hint="default"/>
        </w:rPr>
      </w:pPr>
      <w:r>
        <w:rPr>
          <w:spacing w:val="-2"/>
        </w:rPr>
        <w:t>B.使用费收入金额，按照有关合同或协议约定的收费时间和方法计算确定。</w:t>
      </w:r>
      <w:r>
        <w:rPr>
          <w:spacing w:val="-83"/>
        </w:rPr>
        <w:t> </w:t>
      </w:r>
      <w:r>
        <w:rPr>
          <w:rFonts w:ascii="Microsoft JhengHei" w:hAnsi="Microsoft JhengHei" w:cs="Microsoft JhengHei" w:eastAsia="Microsoft JhengHei" w:hint="default"/>
          <w:b/>
          <w:bCs/>
          <w:w w:val="90"/>
        </w:rPr>
        <w:t>21、</w:t>
        <w:tab/>
      </w:r>
      <w:r>
        <w:rPr>
          <w:rFonts w:ascii="Microsoft JhengHei" w:hAnsi="Microsoft JhengHei" w:cs="Microsoft JhengHei" w:eastAsia="Microsoft JhengHei" w:hint="default"/>
          <w:b/>
          <w:bCs/>
        </w:rPr>
        <w:t>建造合同</w:t>
      </w:r>
      <w:r>
        <w:rPr>
          <w:rFonts w:ascii="Microsoft JhengHei" w:hAnsi="Microsoft JhengHei" w:cs="Microsoft JhengHei" w:eastAsia="Microsoft JhengHei" w:hint="default"/>
        </w:rPr>
      </w:r>
    </w:p>
    <w:p>
      <w:pPr>
        <w:pStyle w:val="BodyText"/>
        <w:spacing w:line="241" w:lineRule="exact" w:before="0"/>
        <w:ind w:right="96" w:firstLine="480"/>
        <w:jc w:val="left"/>
      </w:pPr>
      <w:r>
        <w:rPr/>
        <w:t>（1）本公司在资产负债表日，建造合同的结果能够可靠估计的，根据完工</w:t>
      </w:r>
    </w:p>
    <w:p>
      <w:pPr>
        <w:pStyle w:val="BodyText"/>
        <w:spacing w:line="336" w:lineRule="auto" w:before="126"/>
        <w:ind w:right="232"/>
        <w:jc w:val="both"/>
      </w:pPr>
      <w:r>
        <w:rPr>
          <w:spacing w:val="-5"/>
        </w:rPr>
        <w:t>百分比法确认合同收入和费用。完工百分比法，是指根据合同完工进度确认收入</w:t>
      </w:r>
      <w:r>
        <w:rPr>
          <w:spacing w:val="-64"/>
        </w:rPr>
        <w:t> </w:t>
      </w:r>
      <w:r>
        <w:rPr>
          <w:spacing w:val="-64"/>
        </w:rPr>
      </w:r>
      <w:r>
        <w:rPr>
          <w:spacing w:val="-5"/>
        </w:rPr>
        <w:t>与费用的方法。本公司采用已经完成的合同工作量占合同预计总工作量的比例确</w:t>
      </w:r>
      <w:r>
        <w:rPr>
          <w:spacing w:val="-63"/>
        </w:rPr>
        <w:t> </w:t>
      </w:r>
      <w:r>
        <w:rPr>
          <w:spacing w:val="-63"/>
        </w:rPr>
      </w:r>
      <w:r>
        <w:rPr/>
        <w:t>定合同完工进度。</w:t>
      </w:r>
    </w:p>
    <w:p>
      <w:pPr>
        <w:pStyle w:val="BodyText"/>
        <w:spacing w:line="336" w:lineRule="auto" w:before="150"/>
        <w:ind w:right="232" w:firstLine="480"/>
        <w:jc w:val="both"/>
      </w:pPr>
      <w:r>
        <w:rPr>
          <w:spacing w:val="-5"/>
        </w:rPr>
        <w:t>固定造价合同的结果能够可靠估计确定依据为：①合同总收入能够可靠地计</w:t>
      </w:r>
      <w:r>
        <w:rPr>
          <w:spacing w:val="-2"/>
          <w:w w:val="100"/>
        </w:rPr>
        <w:t> </w:t>
      </w:r>
      <w:r>
        <w:rPr>
          <w:spacing w:val="-5"/>
        </w:rPr>
        <w:t>量；②与合同相关的经济利益很可能流入本公司；③实际发生的合同成本能够清</w:t>
      </w:r>
      <w:r>
        <w:rPr>
          <w:spacing w:val="-64"/>
        </w:rPr>
        <w:t> </w:t>
      </w:r>
      <w:r>
        <w:rPr>
          <w:spacing w:val="-64"/>
        </w:rPr>
      </w:r>
      <w:r>
        <w:rPr>
          <w:spacing w:val="-5"/>
        </w:rPr>
        <w:t>楚地区分和可靠地计量；④合同完工进度和为完成合同尚需发生的成本能够可靠</w:t>
      </w:r>
      <w:r>
        <w:rPr>
          <w:spacing w:val="-63"/>
        </w:rPr>
        <w:t> </w:t>
      </w:r>
      <w:r>
        <w:rPr>
          <w:spacing w:val="-63"/>
        </w:rPr>
      </w:r>
      <w:r>
        <w:rPr/>
        <w:t>地确定。</w:t>
      </w:r>
    </w:p>
    <w:p>
      <w:pPr>
        <w:pStyle w:val="BodyText"/>
        <w:spacing w:line="336" w:lineRule="auto" w:before="149"/>
        <w:ind w:right="233" w:firstLine="480"/>
        <w:jc w:val="both"/>
      </w:pPr>
      <w:r>
        <w:rPr>
          <w:spacing w:val="-5"/>
        </w:rPr>
        <w:t>成本加成合同的结果能够可靠估计，确定依据为：①与合同相关的经济利益</w:t>
      </w:r>
      <w:r>
        <w:rPr>
          <w:spacing w:val="-2"/>
          <w:w w:val="100"/>
        </w:rPr>
        <w:t> </w:t>
      </w:r>
      <w:r>
        <w:rPr/>
        <w:t>很可能流入本公司；②实际发生的合同成本能够清楚地区分和可靠地计量。</w:t>
      </w:r>
    </w:p>
    <w:p>
      <w:pPr>
        <w:pStyle w:val="BodyText"/>
        <w:spacing w:line="336" w:lineRule="auto" w:before="150"/>
        <w:ind w:right="232" w:firstLine="480"/>
        <w:jc w:val="both"/>
      </w:pPr>
      <w:r>
        <w:rPr>
          <w:spacing w:val="-2"/>
        </w:rPr>
        <w:t>（2）建造合同的结果不能可靠估计的，分别情况进行处理：①合同成本能</w:t>
      </w:r>
      <w:r>
        <w:rPr>
          <w:spacing w:val="-1"/>
          <w:w w:val="100"/>
        </w:rPr>
        <w:t> </w:t>
      </w:r>
      <w:r>
        <w:rPr>
          <w:spacing w:val="-5"/>
        </w:rPr>
        <w:t>够收回的，合同收入根据能够收回的实际合同成本予以确认，合同成本在其发生</w:t>
      </w:r>
      <w:r>
        <w:rPr/>
      </w:r>
    </w:p>
    <w:p>
      <w:pPr>
        <w:spacing w:after="0" w:line="336" w:lineRule="auto"/>
        <w:jc w:val="both"/>
        <w:sectPr>
          <w:pgSz w:w="11910" w:h="16840"/>
          <w:pgMar w:header="840" w:footer="1712" w:top="1160" w:bottom="1900" w:left="1660" w:right="1560"/>
        </w:sectPr>
      </w:pPr>
    </w:p>
    <w:p>
      <w:pPr>
        <w:pStyle w:val="BodyText"/>
        <w:spacing w:line="336" w:lineRule="auto" w:before="71"/>
        <w:ind w:right="227"/>
        <w:jc w:val="left"/>
      </w:pPr>
      <w:r>
        <w:rPr>
          <w:spacing w:val="-5"/>
        </w:rPr>
        <w:t>的当期确认为合同费用；②合同成本不可能收回的，在发生时立即确认为合同费</w:t>
      </w:r>
      <w:r>
        <w:rPr>
          <w:spacing w:val="-64"/>
        </w:rPr>
        <w:t> </w:t>
      </w:r>
      <w:r>
        <w:rPr>
          <w:spacing w:val="-64"/>
        </w:rPr>
      </w:r>
      <w:r>
        <w:rPr/>
        <w:t>用，不确认合同收入。</w:t>
      </w:r>
    </w:p>
    <w:p>
      <w:pPr>
        <w:pStyle w:val="Heading3"/>
        <w:tabs>
          <w:tab w:pos="1397" w:val="left" w:leader="none"/>
        </w:tabs>
        <w:spacing w:line="240" w:lineRule="auto" w:before="72"/>
        <w:ind w:right="227"/>
        <w:jc w:val="left"/>
        <w:rPr>
          <w:b w:val="0"/>
          <w:bCs w:val="0"/>
        </w:rPr>
      </w:pPr>
      <w:r>
        <w:rPr>
          <w:w w:val="90"/>
        </w:rPr>
        <w:t>22、</w:t>
        <w:tab/>
      </w:r>
      <w:r>
        <w:rPr/>
        <w:t>政府补助</w:t>
      </w:r>
      <w:r>
        <w:rPr>
          <w:b w:val="0"/>
          <w:bCs w:val="0"/>
        </w:rPr>
      </w:r>
    </w:p>
    <w:p>
      <w:pPr>
        <w:pStyle w:val="BodyText"/>
        <w:spacing w:line="427" w:lineRule="auto" w:before="99"/>
        <w:ind w:left="617" w:right="227"/>
        <w:jc w:val="left"/>
      </w:pPr>
      <w:r>
        <w:rPr>
          <w:spacing w:val="-2"/>
        </w:rPr>
        <w:t>（1）政府补助的确认条件</w:t>
      </w:r>
      <w:r>
        <w:rPr>
          <w:spacing w:val="-107"/>
        </w:rPr>
        <w:t> </w:t>
      </w:r>
      <w:r>
        <w:rPr>
          <w:spacing w:val="-2"/>
        </w:rPr>
        <w:t>政府补助在同时满足下列条件的，才能予以确认：</w:t>
      </w:r>
      <w:r>
        <w:rPr/>
      </w:r>
    </w:p>
    <w:p>
      <w:pPr>
        <w:pStyle w:val="BodyText"/>
        <w:spacing w:line="240" w:lineRule="auto" w:before="58"/>
        <w:ind w:left="617" w:right="227"/>
        <w:jc w:val="left"/>
      </w:pPr>
      <w:r>
        <w:rPr/>
        <w:t>①公司能够满足政府补助所附条件；</w:t>
      </w:r>
    </w:p>
    <w:p>
      <w:pPr>
        <w:spacing w:line="240" w:lineRule="auto" w:before="11"/>
        <w:rPr>
          <w:rFonts w:ascii="宋体" w:hAnsi="宋体" w:cs="宋体" w:eastAsia="宋体" w:hint="default"/>
          <w:sz w:val="18"/>
          <w:szCs w:val="18"/>
        </w:rPr>
      </w:pPr>
    </w:p>
    <w:p>
      <w:pPr>
        <w:pStyle w:val="BodyText"/>
        <w:spacing w:line="240" w:lineRule="auto" w:before="0"/>
        <w:ind w:left="617" w:right="227"/>
        <w:jc w:val="left"/>
      </w:pPr>
      <w:r>
        <w:rPr>
          <w:spacing w:val="-2"/>
        </w:rPr>
        <w:t>②公司能够收到政府补助。</w:t>
      </w:r>
      <w:r>
        <w:rPr/>
      </w:r>
    </w:p>
    <w:p>
      <w:pPr>
        <w:spacing w:line="240" w:lineRule="auto" w:before="11"/>
        <w:rPr>
          <w:rFonts w:ascii="宋体" w:hAnsi="宋体" w:cs="宋体" w:eastAsia="宋体" w:hint="default"/>
          <w:sz w:val="18"/>
          <w:szCs w:val="18"/>
        </w:rPr>
      </w:pPr>
    </w:p>
    <w:p>
      <w:pPr>
        <w:pStyle w:val="BodyText"/>
        <w:spacing w:line="240" w:lineRule="auto" w:before="0"/>
        <w:ind w:left="617" w:right="227"/>
        <w:jc w:val="left"/>
      </w:pPr>
      <w:r>
        <w:rPr/>
        <w:t>（2）政府补助的计量</w:t>
      </w:r>
    </w:p>
    <w:p>
      <w:pPr>
        <w:spacing w:line="240" w:lineRule="auto" w:before="10"/>
        <w:rPr>
          <w:rFonts w:ascii="宋体" w:hAnsi="宋体" w:cs="宋体" w:eastAsia="宋体" w:hint="default"/>
          <w:sz w:val="18"/>
          <w:szCs w:val="18"/>
        </w:rPr>
      </w:pPr>
    </w:p>
    <w:p>
      <w:pPr>
        <w:pStyle w:val="BodyText"/>
        <w:spacing w:line="336" w:lineRule="auto" w:before="0"/>
        <w:ind w:right="230" w:firstLine="480"/>
        <w:jc w:val="both"/>
      </w:pPr>
      <w:r>
        <w:rPr>
          <w:spacing w:val="-5"/>
        </w:rPr>
        <w:t>①政府补助为货币性资产的，按照收到或应收的金额计量。政府补助为非货</w:t>
      </w:r>
      <w:r>
        <w:rPr>
          <w:spacing w:val="-2"/>
          <w:w w:val="100"/>
        </w:rPr>
        <w:t> </w:t>
      </w:r>
      <w:r>
        <w:rPr>
          <w:spacing w:val="-1"/>
        </w:rPr>
        <w:t>币性资产的，按照公允价值计量；公允价值不能可靠取得的，按照名义金额（1</w:t>
      </w:r>
      <w:r>
        <w:rPr>
          <w:spacing w:val="-82"/>
        </w:rPr>
        <w:t> </w:t>
      </w:r>
      <w:r>
        <w:rPr>
          <w:spacing w:val="-82"/>
        </w:rPr>
      </w:r>
      <w:r>
        <w:rPr/>
        <w:t>元）计量。</w:t>
      </w:r>
    </w:p>
    <w:p>
      <w:pPr>
        <w:pStyle w:val="BodyText"/>
        <w:spacing w:line="336" w:lineRule="auto" w:before="149"/>
        <w:ind w:right="96" w:firstLine="480"/>
        <w:jc w:val="left"/>
      </w:pPr>
      <w:r>
        <w:rPr>
          <w:spacing w:val="-5"/>
        </w:rPr>
        <w:t>②与资产相关的政府补助，确认为递延收益，并在相关资产使用寿命内平均</w:t>
      </w:r>
      <w:r>
        <w:rPr>
          <w:spacing w:val="-2"/>
          <w:w w:val="100"/>
        </w:rPr>
        <w:t> </w:t>
      </w:r>
      <w:r>
        <w:rPr>
          <w:spacing w:val="-8"/>
        </w:rPr>
        <w:t>分配，计入当期损益。但是，按照名义金额计量的政府补助，直接计入当期损益。</w:t>
      </w:r>
      <w:r>
        <w:rPr>
          <w:spacing w:val="-68"/>
        </w:rPr>
        <w:t> </w:t>
      </w:r>
      <w:r>
        <w:rPr>
          <w:spacing w:val="-68"/>
        </w:rPr>
      </w:r>
      <w:r>
        <w:rPr>
          <w:spacing w:val="-5"/>
        </w:rPr>
        <w:t>与收益相关的政府补助，分别情况处理：用于补偿本公司以后期间的相关费用或</w:t>
      </w:r>
      <w:r>
        <w:rPr>
          <w:spacing w:val="-64"/>
        </w:rPr>
        <w:t> </w:t>
      </w:r>
      <w:r>
        <w:rPr>
          <w:spacing w:val="-64"/>
        </w:rPr>
      </w:r>
      <w:r>
        <w:rPr>
          <w:spacing w:val="-5"/>
        </w:rPr>
        <w:t>损失的，确认为递延收益，并在确认相关费用的期间，计入当期损益。用于补偿</w:t>
      </w:r>
      <w:r>
        <w:rPr>
          <w:spacing w:val="-60"/>
        </w:rPr>
        <w:t> </w:t>
      </w:r>
      <w:r>
        <w:rPr>
          <w:spacing w:val="-60"/>
        </w:rPr>
      </w:r>
      <w:r>
        <w:rPr/>
        <w:t>本公司已发生的相关费用或损失的，直接计入当期损益。</w:t>
      </w:r>
    </w:p>
    <w:p>
      <w:pPr>
        <w:pStyle w:val="BodyText"/>
        <w:spacing w:line="336" w:lineRule="auto" w:before="150"/>
        <w:ind w:right="230" w:firstLine="480"/>
        <w:jc w:val="both"/>
      </w:pPr>
      <w:r>
        <w:rPr>
          <w:spacing w:val="-5"/>
        </w:rPr>
        <w:t>③已确认的政府补助需要返还的，分别情况处理：存在相关递延收益的，冲</w:t>
      </w:r>
      <w:r>
        <w:rPr>
          <w:w w:val="100"/>
        </w:rPr>
        <w:t> </w:t>
      </w:r>
      <w:r>
        <w:rPr>
          <w:spacing w:val="-5"/>
        </w:rPr>
        <w:t>减相关递延收益账面余额，超出部分计入当期损益。不存在相关递延收益的，直</w:t>
      </w:r>
      <w:r>
        <w:rPr>
          <w:spacing w:val="-58"/>
        </w:rPr>
        <w:t> </w:t>
      </w:r>
      <w:r>
        <w:rPr>
          <w:spacing w:val="-58"/>
        </w:rPr>
      </w:r>
      <w:r>
        <w:rPr/>
        <w:t>接计入当期损益。</w:t>
      </w:r>
    </w:p>
    <w:p>
      <w:pPr>
        <w:pStyle w:val="Heading3"/>
        <w:tabs>
          <w:tab w:pos="1397" w:val="left" w:leader="none"/>
        </w:tabs>
        <w:spacing w:line="240" w:lineRule="auto" w:before="74"/>
        <w:ind w:right="227"/>
        <w:jc w:val="left"/>
        <w:rPr>
          <w:b w:val="0"/>
          <w:bCs w:val="0"/>
        </w:rPr>
      </w:pPr>
      <w:r>
        <w:rPr>
          <w:w w:val="90"/>
        </w:rPr>
        <w:t>23、</w:t>
        <w:tab/>
      </w:r>
      <w:r>
        <w:rPr/>
        <w:t>非货币性资产交换</w:t>
      </w:r>
      <w:r>
        <w:rPr>
          <w:b w:val="0"/>
          <w:bCs w:val="0"/>
        </w:rPr>
      </w:r>
    </w:p>
    <w:p>
      <w:pPr>
        <w:pStyle w:val="BodyText"/>
        <w:spacing w:line="336" w:lineRule="auto" w:before="97"/>
        <w:ind w:right="227" w:firstLine="480"/>
        <w:jc w:val="left"/>
      </w:pPr>
      <w:r>
        <w:rPr>
          <w:spacing w:val="-2"/>
        </w:rPr>
        <w:t>（1）非货币性资产交换，以公允价值和应支付的相关税费作为换入资产的</w:t>
      </w:r>
      <w:r>
        <w:rPr>
          <w:spacing w:val="-1"/>
          <w:w w:val="100"/>
        </w:rPr>
        <w:t> </w:t>
      </w:r>
      <w:r>
        <w:rPr/>
        <w:t>成本，公允价值与换出资产账面价值的差额计入当期损益。</w:t>
      </w:r>
    </w:p>
    <w:p>
      <w:pPr>
        <w:pStyle w:val="BodyText"/>
        <w:spacing w:line="427" w:lineRule="auto" w:before="150"/>
        <w:ind w:left="617" w:right="227"/>
        <w:jc w:val="left"/>
      </w:pPr>
      <w:r>
        <w:rPr/>
        <w:t>①必须同时满足下列条件，才能予以确认、计量：</w:t>
      </w:r>
      <w:r>
        <w:rPr>
          <w:spacing w:val="-2"/>
          <w:w w:val="100"/>
        </w:rPr>
        <w:t> </w:t>
      </w:r>
      <w:r>
        <w:rPr/>
        <w:t>A.该项交换具有商业实质；</w:t>
      </w:r>
      <w:r>
        <w:rPr>
          <w:spacing w:val="-2"/>
          <w:w w:val="100"/>
        </w:rPr>
        <w:t> </w:t>
      </w:r>
      <w:r>
        <w:rPr>
          <w:spacing w:val="-2"/>
        </w:rPr>
        <w:t>B.换入资产或换出资产的公允价值能够可靠地计量。</w:t>
      </w:r>
      <w:r>
        <w:rPr/>
      </w:r>
    </w:p>
    <w:p>
      <w:pPr>
        <w:pStyle w:val="BodyText"/>
        <w:spacing w:line="336" w:lineRule="auto" w:before="59"/>
        <w:ind w:right="227" w:firstLine="480"/>
        <w:jc w:val="left"/>
      </w:pPr>
      <w:r>
        <w:rPr>
          <w:spacing w:val="-5"/>
        </w:rPr>
        <w:t>②公允价值的选择：换入资产和换出资产公允价值均能够可靠计量的，以换</w:t>
      </w:r>
      <w:r>
        <w:rPr>
          <w:spacing w:val="-2"/>
          <w:w w:val="100"/>
        </w:rPr>
        <w:t> </w:t>
      </w:r>
      <w:r>
        <w:rPr>
          <w:spacing w:val="-5"/>
        </w:rPr>
        <w:t>出资产的公允价值作为确定换入资产成本的基础，但有确凿证据表明换入资产的</w:t>
      </w:r>
      <w:r>
        <w:rPr/>
      </w:r>
    </w:p>
    <w:p>
      <w:pPr>
        <w:spacing w:after="0" w:line="336" w:lineRule="auto"/>
        <w:jc w:val="left"/>
        <w:sectPr>
          <w:pgSz w:w="11910" w:h="16840"/>
          <w:pgMar w:header="840" w:footer="1712" w:top="1160" w:bottom="1900" w:left="1660" w:right="1560"/>
        </w:sectPr>
      </w:pPr>
    </w:p>
    <w:p>
      <w:pPr>
        <w:pStyle w:val="BodyText"/>
        <w:spacing w:line="240" w:lineRule="auto" w:before="71"/>
        <w:ind w:right="87"/>
        <w:jc w:val="left"/>
      </w:pPr>
      <w:r>
        <w:rPr>
          <w:spacing w:val="-2"/>
        </w:rPr>
        <w:t>公允价值更加可靠的除外。</w:t>
      </w:r>
      <w:r>
        <w:rPr/>
      </w:r>
    </w:p>
    <w:p>
      <w:pPr>
        <w:spacing w:line="240" w:lineRule="auto" w:before="11"/>
        <w:rPr>
          <w:rFonts w:ascii="宋体" w:hAnsi="宋体" w:cs="宋体" w:eastAsia="宋体" w:hint="default"/>
          <w:sz w:val="18"/>
          <w:szCs w:val="18"/>
        </w:rPr>
      </w:pPr>
    </w:p>
    <w:p>
      <w:pPr>
        <w:pStyle w:val="BodyText"/>
        <w:spacing w:line="336" w:lineRule="auto" w:before="0"/>
        <w:ind w:right="87" w:firstLine="480"/>
        <w:jc w:val="left"/>
      </w:pPr>
      <w:r>
        <w:rPr>
          <w:spacing w:val="-5"/>
        </w:rPr>
        <w:t>③发生补价的处理：本公司在按照公允价值和应支付的相关税费作为换入资</w:t>
      </w:r>
      <w:r>
        <w:rPr>
          <w:spacing w:val="-2"/>
          <w:w w:val="100"/>
        </w:rPr>
        <w:t> </w:t>
      </w:r>
      <w:r>
        <w:rPr>
          <w:spacing w:val="-5"/>
        </w:rPr>
        <w:t>产成本的情况下，发生补价的，分别情况处理：支付补价的，换入资产成本与换</w:t>
      </w:r>
      <w:r>
        <w:rPr>
          <w:spacing w:val="-60"/>
        </w:rPr>
        <w:t> </w:t>
      </w:r>
      <w:r>
        <w:rPr>
          <w:spacing w:val="-60"/>
        </w:rPr>
      </w:r>
      <w:r>
        <w:rPr>
          <w:spacing w:val="-2"/>
        </w:rPr>
        <w:t>出资产账面价值加支付的补价、应支付的相关税费之和的差额，计入当期损益；</w:t>
      </w:r>
      <w:r>
        <w:rPr>
          <w:spacing w:val="-81"/>
        </w:rPr>
        <w:t> </w:t>
      </w:r>
      <w:r>
        <w:rPr>
          <w:spacing w:val="-5"/>
        </w:rPr>
        <w:t>收到补价的，换入资产成本加收到的补价之和与换出资产账面价值加应支付的相</w:t>
      </w:r>
      <w:r>
        <w:rPr>
          <w:spacing w:val="-63"/>
        </w:rPr>
        <w:t> </w:t>
      </w:r>
      <w:r>
        <w:rPr>
          <w:spacing w:val="-63"/>
        </w:rPr>
      </w:r>
      <w:r>
        <w:rPr/>
        <w:t>关税费之和的差额，计入当期损益。</w:t>
      </w:r>
    </w:p>
    <w:p>
      <w:pPr>
        <w:pStyle w:val="BodyText"/>
        <w:spacing w:line="336" w:lineRule="auto" w:before="150"/>
        <w:ind w:right="87" w:firstLine="480"/>
        <w:jc w:val="left"/>
      </w:pPr>
      <w:r>
        <w:rPr>
          <w:spacing w:val="-2"/>
        </w:rPr>
        <w:t>（2）未同时满足上述条件的非货币性资产交换，以换出资产的账面价值和</w:t>
      </w:r>
      <w:r>
        <w:rPr>
          <w:spacing w:val="-1"/>
          <w:w w:val="100"/>
        </w:rPr>
        <w:t> </w:t>
      </w:r>
      <w:r>
        <w:rPr>
          <w:spacing w:val="-2"/>
        </w:rPr>
        <w:t>应支付的相关税费作为换入资产的成本，不确认损益。</w:t>
      </w:r>
      <w:r>
        <w:rPr/>
      </w:r>
    </w:p>
    <w:p>
      <w:pPr>
        <w:pStyle w:val="BodyText"/>
        <w:spacing w:line="336" w:lineRule="auto" w:before="149"/>
        <w:ind w:right="87" w:firstLine="480"/>
        <w:jc w:val="left"/>
      </w:pPr>
      <w:r>
        <w:rPr/>
        <w:t>本公司在按照换出资产的账面价值和应支付的相关税费作为换入资产成本</w:t>
      </w:r>
      <w:r>
        <w:rPr>
          <w:spacing w:val="3"/>
          <w:w w:val="100"/>
        </w:rPr>
        <w:t> </w:t>
      </w:r>
      <w:r>
        <w:rPr>
          <w:spacing w:val="-2"/>
        </w:rPr>
        <w:t>的情况下，发生补价的，分别情况处理：支付补价的，以换出资产的账面价值，</w:t>
      </w:r>
      <w:r>
        <w:rPr>
          <w:spacing w:val="-81"/>
        </w:rPr>
        <w:t> </w:t>
      </w:r>
      <w:r>
        <w:rPr>
          <w:spacing w:val="-81"/>
        </w:rPr>
      </w:r>
      <w:r>
        <w:rPr>
          <w:spacing w:val="-5"/>
        </w:rPr>
        <w:t>加上支付的补价和应支付的相关税费，作为换入资产的成本，不确认损益。收到</w:t>
      </w:r>
      <w:r>
        <w:rPr>
          <w:spacing w:val="-60"/>
        </w:rPr>
        <w:t> </w:t>
      </w:r>
      <w:r>
        <w:rPr>
          <w:spacing w:val="-60"/>
        </w:rPr>
      </w:r>
      <w:r>
        <w:rPr>
          <w:spacing w:val="-5"/>
        </w:rPr>
        <w:t>补价的，以换出资产的账面价值，减去收到的补价并加上应支付的相关税费，作</w:t>
      </w:r>
      <w:r>
        <w:rPr>
          <w:spacing w:val="-58"/>
        </w:rPr>
        <w:t> </w:t>
      </w:r>
      <w:r>
        <w:rPr>
          <w:spacing w:val="-58"/>
        </w:rPr>
      </w:r>
      <w:r>
        <w:rPr/>
        <w:t>为换入资产的成本，不确认损益。</w:t>
      </w:r>
    </w:p>
    <w:p>
      <w:pPr>
        <w:pStyle w:val="Heading3"/>
        <w:tabs>
          <w:tab w:pos="1397" w:val="left" w:leader="none"/>
        </w:tabs>
        <w:spacing w:line="240" w:lineRule="auto" w:before="74"/>
        <w:ind w:right="87"/>
        <w:jc w:val="left"/>
        <w:rPr>
          <w:b w:val="0"/>
          <w:bCs w:val="0"/>
        </w:rPr>
      </w:pPr>
      <w:r>
        <w:rPr>
          <w:w w:val="90"/>
        </w:rPr>
        <w:t>24、</w:t>
        <w:tab/>
      </w:r>
      <w:r>
        <w:rPr/>
        <w:t>债务重组</w:t>
      </w:r>
      <w:r>
        <w:rPr>
          <w:b w:val="0"/>
          <w:bCs w:val="0"/>
        </w:rPr>
      </w:r>
    </w:p>
    <w:p>
      <w:pPr>
        <w:pStyle w:val="BodyText"/>
        <w:spacing w:line="427" w:lineRule="auto" w:before="98"/>
        <w:ind w:left="617" w:right="87"/>
        <w:jc w:val="left"/>
      </w:pPr>
      <w:r>
        <w:rPr>
          <w:spacing w:val="-2"/>
        </w:rPr>
        <w:t>（1）债务重组定义及范围</w:t>
      </w:r>
      <w:r>
        <w:rPr>
          <w:spacing w:val="-107"/>
        </w:rPr>
        <w:t> </w:t>
      </w:r>
      <w:r>
        <w:rPr>
          <w:spacing w:val="-5"/>
        </w:rPr>
        <w:t>债务重组，是指在债务人发生财务困难的情况下，债权人按照其与债务人达</w:t>
      </w:r>
      <w:r>
        <w:rPr/>
      </w:r>
    </w:p>
    <w:p>
      <w:pPr>
        <w:pStyle w:val="BodyText"/>
        <w:spacing w:line="253" w:lineRule="exact" w:before="0"/>
        <w:ind w:right="87"/>
        <w:jc w:val="left"/>
      </w:pPr>
      <w:r>
        <w:rPr/>
        <w:t>成的协议或者法院的裁定作出让步的事项。</w:t>
      </w:r>
    </w:p>
    <w:p>
      <w:pPr>
        <w:spacing w:line="240" w:lineRule="auto" w:before="10"/>
        <w:rPr>
          <w:rFonts w:ascii="宋体" w:hAnsi="宋体" w:cs="宋体" w:eastAsia="宋体" w:hint="default"/>
          <w:sz w:val="18"/>
          <w:szCs w:val="18"/>
        </w:rPr>
      </w:pPr>
    </w:p>
    <w:p>
      <w:pPr>
        <w:pStyle w:val="BodyText"/>
        <w:spacing w:line="240" w:lineRule="auto" w:before="0"/>
        <w:ind w:left="617" w:right="87"/>
        <w:jc w:val="left"/>
      </w:pPr>
      <w:r>
        <w:rPr/>
        <w:t>（2）债务人的会计处理</w:t>
      </w:r>
    </w:p>
    <w:p>
      <w:pPr>
        <w:spacing w:line="240" w:lineRule="auto" w:before="11"/>
        <w:rPr>
          <w:rFonts w:ascii="宋体" w:hAnsi="宋体" w:cs="宋体" w:eastAsia="宋体" w:hint="default"/>
          <w:sz w:val="18"/>
          <w:szCs w:val="18"/>
        </w:rPr>
      </w:pPr>
    </w:p>
    <w:p>
      <w:pPr>
        <w:pStyle w:val="BodyText"/>
        <w:spacing w:line="336" w:lineRule="auto" w:before="0"/>
        <w:ind w:right="189" w:firstLine="480"/>
        <w:jc w:val="both"/>
      </w:pPr>
      <w:r>
        <w:rPr>
          <w:spacing w:val="-5"/>
        </w:rPr>
        <w:t>①以现金清偿债务的，债务人将重组债务的账面价值与实际支付现金之间的</w:t>
      </w:r>
      <w:r>
        <w:rPr>
          <w:spacing w:val="-2"/>
          <w:w w:val="100"/>
        </w:rPr>
        <w:t> </w:t>
      </w:r>
      <w:r>
        <w:rPr>
          <w:spacing w:val="-5"/>
        </w:rPr>
        <w:t>差额，计入当期损益。以非现金资产清偿债务的，债务人将重组债务的账面价值</w:t>
      </w:r>
      <w:r>
        <w:rPr>
          <w:spacing w:val="-60"/>
        </w:rPr>
        <w:t> </w:t>
      </w:r>
      <w:r>
        <w:rPr>
          <w:spacing w:val="-60"/>
        </w:rPr>
      </w:r>
      <w:r>
        <w:rPr>
          <w:spacing w:val="-5"/>
        </w:rPr>
        <w:t>与转让的非现金资产公允价值之间的差额，计入当期损益。转让的非现金资产公</w:t>
      </w:r>
      <w:r>
        <w:rPr>
          <w:spacing w:val="-64"/>
        </w:rPr>
        <w:t> </w:t>
      </w:r>
      <w:r>
        <w:rPr>
          <w:spacing w:val="-64"/>
        </w:rPr>
      </w:r>
      <w:r>
        <w:rPr>
          <w:spacing w:val="-5"/>
        </w:rPr>
        <w:t>允价值与其账面价值之间的差额，计入当期损益。将债务转为资本的，债务人将</w:t>
      </w:r>
      <w:r>
        <w:rPr>
          <w:spacing w:val="-60"/>
        </w:rPr>
        <w:t> </w:t>
      </w:r>
      <w:r>
        <w:rPr>
          <w:spacing w:val="-60"/>
        </w:rPr>
      </w:r>
      <w:r>
        <w:rPr>
          <w:spacing w:val="-5"/>
          <w:w w:val="100"/>
        </w:rPr>
        <w:t>债权人放弃债权而享有股份的面值总额确认为股本（或者实收资本），股份的公</w:t>
      </w:r>
      <w:r>
        <w:rPr>
          <w:spacing w:val="-98"/>
          <w:w w:val="100"/>
        </w:rPr>
        <w:t> </w:t>
      </w:r>
      <w:r>
        <w:rPr>
          <w:spacing w:val="-98"/>
          <w:w w:val="100"/>
        </w:rPr>
      </w:r>
      <w:r>
        <w:rPr>
          <w:spacing w:val="-5"/>
        </w:rPr>
        <w:t>允价值总额与股本（或者实收资本）之间的差额确认为资本公积。重组债务的账</w:t>
      </w:r>
      <w:r>
        <w:rPr>
          <w:spacing w:val="-60"/>
        </w:rPr>
        <w:t> </w:t>
      </w:r>
      <w:r>
        <w:rPr>
          <w:spacing w:val="-60"/>
        </w:rPr>
      </w:r>
      <w:r>
        <w:rPr/>
        <w:t>面价值与股份的公允价值总额之间的差额，计入当期损益。</w:t>
      </w:r>
    </w:p>
    <w:p>
      <w:pPr>
        <w:pStyle w:val="BodyText"/>
        <w:spacing w:line="336" w:lineRule="auto" w:before="150"/>
        <w:ind w:right="191" w:firstLine="480"/>
        <w:jc w:val="both"/>
      </w:pPr>
      <w:r>
        <w:rPr>
          <w:spacing w:val="-5"/>
        </w:rPr>
        <w:t>②修改其它债务条件的，债务人将修改其它债务条件后债务的公允价值作为</w:t>
      </w:r>
      <w:r>
        <w:rPr>
          <w:spacing w:val="-2"/>
          <w:w w:val="100"/>
        </w:rPr>
        <w:t> </w:t>
      </w:r>
      <w:r>
        <w:rPr>
          <w:spacing w:val="-5"/>
        </w:rPr>
        <w:t>重组后债务的入账价值。重组债务的账面价值与重组后债务的入账价值之间的差</w:t>
      </w:r>
      <w:r>
        <w:rPr>
          <w:spacing w:val="-63"/>
        </w:rPr>
        <w:t> </w:t>
      </w:r>
      <w:r>
        <w:rPr>
          <w:spacing w:val="-63"/>
        </w:rPr>
      </w:r>
      <w:r>
        <w:rPr>
          <w:spacing w:val="-5"/>
        </w:rPr>
        <w:t>额，计入当期损益。债务重组以现金清偿债务、非现金资产清偿债务、债务转为</w:t>
      </w:r>
      <w:r>
        <w:rPr/>
      </w:r>
    </w:p>
    <w:p>
      <w:pPr>
        <w:pStyle w:val="BodyText"/>
        <w:spacing w:line="240" w:lineRule="auto"/>
        <w:ind w:right="87"/>
        <w:jc w:val="left"/>
      </w:pPr>
      <w:r>
        <w:rPr>
          <w:spacing w:val="-5"/>
        </w:rPr>
        <w:t>资本、修改其它债务条件等方式的组合进行的，债务人依次以支付的现金、转让</w:t>
      </w:r>
      <w:r>
        <w:rPr/>
      </w:r>
    </w:p>
    <w:p>
      <w:pPr>
        <w:spacing w:after="0" w:line="240" w:lineRule="auto"/>
        <w:jc w:val="left"/>
        <w:sectPr>
          <w:pgSz w:w="11910" w:h="16840"/>
          <w:pgMar w:header="840" w:footer="1712" w:top="1160" w:bottom="1900" w:left="1660" w:right="1600"/>
        </w:sectPr>
      </w:pPr>
    </w:p>
    <w:p>
      <w:pPr>
        <w:pStyle w:val="BodyText"/>
        <w:spacing w:line="336" w:lineRule="auto" w:before="71"/>
        <w:ind w:right="96"/>
        <w:jc w:val="left"/>
      </w:pPr>
      <w:r>
        <w:rPr>
          <w:spacing w:val="-2"/>
        </w:rPr>
        <w:t>的非现金资产公允价值、债权人享有股份的公允价值冲减重组债务的账面价值，</w:t>
      </w:r>
      <w:r>
        <w:rPr>
          <w:spacing w:val="-81"/>
        </w:rPr>
        <w:t> </w:t>
      </w:r>
      <w:r>
        <w:rPr/>
        <w:t>再按照修改其它债务条件的规定处理。</w:t>
      </w:r>
    </w:p>
    <w:p>
      <w:pPr>
        <w:pStyle w:val="BodyText"/>
        <w:spacing w:line="336" w:lineRule="auto" w:before="149"/>
        <w:ind w:right="232" w:firstLine="480"/>
        <w:jc w:val="both"/>
      </w:pPr>
      <w:r>
        <w:rPr>
          <w:spacing w:val="-5"/>
        </w:rPr>
        <w:t>修改后的债务条款如涉及或有应付金额，且该或有应付金额符合或有事项中</w:t>
      </w:r>
      <w:r>
        <w:rPr>
          <w:spacing w:val="-2"/>
          <w:w w:val="100"/>
        </w:rPr>
        <w:t> </w:t>
      </w:r>
      <w:r>
        <w:rPr>
          <w:spacing w:val="-5"/>
        </w:rPr>
        <w:t>有关预计负债确认条件的，债务人将该或有应付金额确认为预计负债。重组债务</w:t>
      </w:r>
      <w:r>
        <w:rPr>
          <w:spacing w:val="-64"/>
        </w:rPr>
        <w:t> </w:t>
      </w:r>
      <w:r>
        <w:rPr>
          <w:spacing w:val="-64"/>
        </w:rPr>
      </w:r>
      <w:r>
        <w:rPr>
          <w:spacing w:val="-5"/>
        </w:rPr>
        <w:t>的账面价值，与重组后债务的入账价值和预计负债金额之和的差额，计入当期损</w:t>
      </w:r>
      <w:r>
        <w:rPr>
          <w:spacing w:val="-64"/>
        </w:rPr>
        <w:t> </w:t>
      </w:r>
      <w:r>
        <w:rPr>
          <w:spacing w:val="-64"/>
        </w:rPr>
      </w:r>
      <w:r>
        <w:rPr/>
        <w:t>益。</w:t>
      </w:r>
    </w:p>
    <w:p>
      <w:pPr>
        <w:pStyle w:val="BodyText"/>
        <w:spacing w:line="240" w:lineRule="auto" w:before="150"/>
        <w:ind w:left="617" w:right="227"/>
        <w:jc w:val="left"/>
      </w:pPr>
      <w:r>
        <w:rPr/>
        <w:t>（3）债权人的会计处理</w:t>
      </w:r>
    </w:p>
    <w:p>
      <w:pPr>
        <w:spacing w:line="240" w:lineRule="auto" w:before="11"/>
        <w:rPr>
          <w:rFonts w:ascii="宋体" w:hAnsi="宋体" w:cs="宋体" w:eastAsia="宋体" w:hint="default"/>
          <w:sz w:val="18"/>
          <w:szCs w:val="18"/>
        </w:rPr>
      </w:pPr>
    </w:p>
    <w:p>
      <w:pPr>
        <w:pStyle w:val="BodyText"/>
        <w:spacing w:line="336" w:lineRule="auto" w:before="0"/>
        <w:ind w:right="96" w:firstLine="480"/>
        <w:jc w:val="left"/>
      </w:pPr>
      <w:r>
        <w:rPr>
          <w:spacing w:val="-5"/>
        </w:rPr>
        <w:t>①以现金清偿债务的，债权人将重组债权的账面余额与收到的现金之间的差</w:t>
      </w:r>
      <w:r>
        <w:rPr>
          <w:spacing w:val="-2"/>
          <w:w w:val="100"/>
        </w:rPr>
        <w:t> </w:t>
      </w:r>
      <w:r>
        <w:rPr>
          <w:spacing w:val="-8"/>
        </w:rPr>
        <w:t>额，计入当期损益。债权人已对债权计提减值准备的，先将该差额冲减减值准备，</w:t>
      </w:r>
      <w:r>
        <w:rPr>
          <w:spacing w:val="-71"/>
        </w:rPr>
        <w:t> </w:t>
      </w:r>
      <w:r>
        <w:rPr>
          <w:spacing w:val="-71"/>
        </w:rPr>
      </w:r>
      <w:r>
        <w:rPr>
          <w:spacing w:val="-5"/>
        </w:rPr>
        <w:t>减值准备不足以冲减的部分，计入当期损益。以非现金资产清偿债务的，债权人</w:t>
      </w:r>
      <w:r>
        <w:rPr>
          <w:spacing w:val="-60"/>
        </w:rPr>
        <w:t> </w:t>
      </w:r>
      <w:r>
        <w:rPr>
          <w:spacing w:val="-60"/>
        </w:rPr>
      </w:r>
      <w:r>
        <w:rPr>
          <w:spacing w:val="-5"/>
        </w:rPr>
        <w:t>对受让的非现金资产按其公允价值入账，重组债权的账面余额与受让的非现金资</w:t>
      </w:r>
      <w:r>
        <w:rPr>
          <w:spacing w:val="-63"/>
        </w:rPr>
        <w:t> </w:t>
      </w:r>
      <w:r>
        <w:rPr>
          <w:spacing w:val="-63"/>
        </w:rPr>
      </w:r>
      <w:r>
        <w:rPr>
          <w:spacing w:val="-2"/>
        </w:rPr>
        <w:t>产的公允价值之间的差额，比照现金清偿债务的规定处理。将债务转为资本的，</w:t>
      </w:r>
      <w:r>
        <w:rPr>
          <w:spacing w:val="-81"/>
        </w:rPr>
        <w:t> </w:t>
      </w:r>
      <w:r>
        <w:rPr>
          <w:spacing w:val="-5"/>
        </w:rPr>
        <w:t>债权人将享有股份的公允价值确认为对债务人的投资，重组债权的账面余额与股</w:t>
      </w:r>
      <w:r>
        <w:rPr>
          <w:spacing w:val="-63"/>
        </w:rPr>
        <w:t> </w:t>
      </w:r>
      <w:r>
        <w:rPr>
          <w:spacing w:val="-63"/>
        </w:rPr>
      </w:r>
      <w:r>
        <w:rPr/>
        <w:t>份的公允价值之间的差额，比照现金清偿债务的规定处理。</w:t>
      </w:r>
    </w:p>
    <w:p>
      <w:pPr>
        <w:pStyle w:val="BodyText"/>
        <w:spacing w:line="336" w:lineRule="auto" w:before="149"/>
        <w:ind w:right="230" w:firstLine="540"/>
        <w:jc w:val="both"/>
      </w:pPr>
      <w:r>
        <w:rPr/>
        <w:t>②修改其它债务条件的，债权人将修改其它债务条件后的债权的公允价值</w:t>
      </w:r>
      <w:r>
        <w:rPr>
          <w:spacing w:val="1"/>
          <w:w w:val="100"/>
        </w:rPr>
        <w:t> </w:t>
      </w:r>
      <w:r>
        <w:rPr>
          <w:spacing w:val="-5"/>
        </w:rPr>
        <w:t>作为重组后债权的账面价值，重组债权的账面余额与重组后债权的账面价值之间</w:t>
      </w:r>
      <w:r>
        <w:rPr>
          <w:spacing w:val="-63"/>
        </w:rPr>
        <w:t> </w:t>
      </w:r>
      <w:r>
        <w:rPr>
          <w:spacing w:val="-63"/>
        </w:rPr>
      </w:r>
      <w:r>
        <w:rPr>
          <w:spacing w:val="-5"/>
        </w:rPr>
        <w:t>的差额，比照现金清偿债务的规定处理。债务重组采用以现金清偿债务、非现金</w:t>
      </w:r>
      <w:r>
        <w:rPr>
          <w:spacing w:val="-60"/>
        </w:rPr>
        <w:t> </w:t>
      </w:r>
      <w:r>
        <w:rPr>
          <w:spacing w:val="-60"/>
        </w:rPr>
      </w:r>
      <w:r>
        <w:rPr>
          <w:spacing w:val="-5"/>
        </w:rPr>
        <w:t>资产清偿债务、债务转为资本、修改其它债务条件等方式的组合进行的，债权人</w:t>
      </w:r>
      <w:r>
        <w:rPr>
          <w:spacing w:val="-60"/>
        </w:rPr>
        <w:t> </w:t>
      </w:r>
      <w:r>
        <w:rPr>
          <w:spacing w:val="-60"/>
        </w:rPr>
      </w:r>
      <w:r>
        <w:rPr>
          <w:spacing w:val="-5"/>
        </w:rPr>
        <w:t>依次以收到的现金、接受的非现金资产公允价值、债权人享有股份的公允价值冲</w:t>
      </w:r>
      <w:r>
        <w:rPr>
          <w:spacing w:val="-64"/>
        </w:rPr>
        <w:t> </w:t>
      </w:r>
      <w:r>
        <w:rPr>
          <w:spacing w:val="-64"/>
        </w:rPr>
      </w:r>
      <w:r>
        <w:rPr/>
        <w:t>减重组债权的账面余额，再按照修改其它债务条件的规定处理。</w:t>
      </w:r>
    </w:p>
    <w:p>
      <w:pPr>
        <w:pStyle w:val="BodyText"/>
        <w:spacing w:line="336" w:lineRule="auto" w:before="149"/>
        <w:ind w:right="227" w:firstLine="480"/>
        <w:jc w:val="left"/>
      </w:pPr>
      <w:r>
        <w:rPr>
          <w:spacing w:val="-5"/>
        </w:rPr>
        <w:t>修改后的债务条款中涉及或有应收金额的，债权人不确认或有应收金额，不</w:t>
      </w:r>
      <w:r>
        <w:rPr>
          <w:w w:val="100"/>
        </w:rPr>
        <w:t> </w:t>
      </w:r>
      <w:r>
        <w:rPr/>
        <w:t>得将其计入重组后债权的账面价值。</w:t>
      </w:r>
    </w:p>
    <w:p>
      <w:pPr>
        <w:pStyle w:val="Heading3"/>
        <w:tabs>
          <w:tab w:pos="1397" w:val="left" w:leader="none"/>
        </w:tabs>
        <w:spacing w:line="240" w:lineRule="auto" w:before="74"/>
        <w:ind w:right="227"/>
        <w:jc w:val="left"/>
        <w:rPr>
          <w:b w:val="0"/>
          <w:bCs w:val="0"/>
        </w:rPr>
      </w:pPr>
      <w:r>
        <w:rPr>
          <w:w w:val="90"/>
        </w:rPr>
        <w:t>25、</w:t>
        <w:tab/>
      </w:r>
      <w:r>
        <w:rPr/>
        <w:t>租赁</w:t>
      </w:r>
      <w:r>
        <w:rPr>
          <w:b w:val="0"/>
          <w:bCs w:val="0"/>
        </w:rPr>
      </w:r>
    </w:p>
    <w:p>
      <w:pPr>
        <w:pStyle w:val="BodyText"/>
        <w:spacing w:line="336" w:lineRule="auto" w:before="98"/>
        <w:ind w:left="617" w:right="575"/>
        <w:jc w:val="left"/>
      </w:pPr>
      <w:r>
        <w:rPr/>
        <w:t>（1）租赁的分类</w:t>
      </w:r>
      <w:r>
        <w:rPr>
          <w:spacing w:val="-2"/>
          <w:w w:val="100"/>
        </w:rPr>
        <w:t> </w:t>
      </w:r>
      <w:r>
        <w:rPr>
          <w:spacing w:val="-2"/>
        </w:rPr>
        <w:t>本公司在租赁开始日将租赁分为融资租赁和经营租赁。</w:t>
      </w:r>
      <w:r>
        <w:rPr/>
      </w:r>
    </w:p>
    <w:p>
      <w:pPr>
        <w:pStyle w:val="BodyText"/>
        <w:spacing w:line="336" w:lineRule="auto"/>
        <w:ind w:left="617" w:right="227"/>
        <w:jc w:val="left"/>
      </w:pPr>
      <w:r>
        <w:rPr/>
        <w:t>（2）融资租赁和经营租赁的认定标准</w:t>
      </w:r>
      <w:r>
        <w:rPr>
          <w:spacing w:val="-2"/>
          <w:w w:val="100"/>
        </w:rPr>
        <w:t> </w:t>
      </w:r>
      <w:r>
        <w:rPr>
          <w:spacing w:val="-2"/>
        </w:rPr>
        <w:t>符合下列一项或数项标准的，认定为融资租赁：</w:t>
      </w:r>
      <w:r>
        <w:rPr/>
      </w:r>
    </w:p>
    <w:p>
      <w:pPr>
        <w:pStyle w:val="BodyText"/>
        <w:spacing w:line="240" w:lineRule="auto"/>
        <w:ind w:left="617" w:right="227"/>
        <w:jc w:val="left"/>
      </w:pPr>
      <w:r>
        <w:rPr>
          <w:spacing w:val="-2"/>
        </w:rPr>
        <w:t>①在租赁期届满时，租赁资产的所有权转移给承租人。</w:t>
      </w:r>
      <w:r>
        <w:rPr/>
      </w:r>
    </w:p>
    <w:p>
      <w:pPr>
        <w:pStyle w:val="BodyText"/>
        <w:spacing w:line="240" w:lineRule="auto" w:before="126"/>
        <w:ind w:left="617" w:right="227"/>
        <w:jc w:val="left"/>
      </w:pPr>
      <w:r>
        <w:rPr>
          <w:spacing w:val="-5"/>
        </w:rPr>
        <w:t>②承租人有购买租赁资产的选择权，所订立的购买价款预计将远低于行使选</w:t>
      </w:r>
      <w:r>
        <w:rPr/>
      </w:r>
    </w:p>
    <w:p>
      <w:pPr>
        <w:spacing w:after="0" w:line="240" w:lineRule="auto"/>
        <w:jc w:val="left"/>
        <w:sectPr>
          <w:pgSz w:w="11910" w:h="16840"/>
          <w:pgMar w:header="840" w:footer="1712" w:top="1160" w:bottom="1900" w:left="1660" w:right="1560"/>
        </w:sectPr>
      </w:pPr>
    </w:p>
    <w:p>
      <w:pPr>
        <w:pStyle w:val="BodyText"/>
        <w:spacing w:line="336" w:lineRule="auto" w:before="71"/>
        <w:ind w:right="227"/>
        <w:jc w:val="left"/>
      </w:pPr>
      <w:r>
        <w:rPr>
          <w:spacing w:val="-5"/>
        </w:rPr>
        <w:t>择权时租赁资产的公允价值，因而在租赁开始日就可以合理确定本公司将会行使</w:t>
      </w:r>
      <w:r>
        <w:rPr>
          <w:spacing w:val="-63"/>
        </w:rPr>
        <w:t> </w:t>
      </w:r>
      <w:r>
        <w:rPr>
          <w:spacing w:val="-63"/>
        </w:rPr>
      </w:r>
      <w:r>
        <w:rPr>
          <w:spacing w:val="-2"/>
        </w:rPr>
        <w:t>这种选择权。</w:t>
      </w:r>
      <w:r>
        <w:rPr/>
      </w:r>
    </w:p>
    <w:p>
      <w:pPr>
        <w:pStyle w:val="BodyText"/>
        <w:spacing w:line="336" w:lineRule="auto" w:before="29"/>
        <w:ind w:right="233" w:firstLine="480"/>
        <w:jc w:val="both"/>
      </w:pPr>
      <w:r>
        <w:rPr>
          <w:spacing w:val="-5"/>
        </w:rPr>
        <w:t>③即使资产的所有权不转让，但租赁期占租赁资产使用寿命的大部分（一般</w:t>
      </w:r>
      <w:r>
        <w:rPr>
          <w:spacing w:val="-2"/>
          <w:w w:val="100"/>
        </w:rPr>
        <w:t> </w:t>
      </w:r>
      <w:r>
        <w:rPr>
          <w:w w:val="100"/>
        </w:rPr>
        <w:t>指</w:t>
      </w:r>
      <w:r>
        <w:rPr>
          <w:spacing w:val="-63"/>
          <w:w w:val="100"/>
        </w:rPr>
        <w:t> </w:t>
      </w:r>
      <w:r>
        <w:rPr>
          <w:spacing w:val="-1"/>
          <w:w w:val="100"/>
        </w:rPr>
        <w:t>75%或</w:t>
      </w:r>
      <w:r>
        <w:rPr>
          <w:spacing w:val="-63"/>
          <w:w w:val="100"/>
        </w:rPr>
        <w:t> </w:t>
      </w:r>
      <w:r>
        <w:rPr>
          <w:spacing w:val="-18"/>
          <w:w w:val="100"/>
        </w:rPr>
        <w:t>75%以上）。</w:t>
      </w:r>
    </w:p>
    <w:p>
      <w:pPr>
        <w:pStyle w:val="BodyText"/>
        <w:spacing w:line="336" w:lineRule="auto"/>
        <w:ind w:right="231" w:firstLine="480"/>
        <w:jc w:val="both"/>
      </w:pPr>
      <w:r>
        <w:rPr>
          <w:spacing w:val="-3"/>
        </w:rPr>
        <w:t>④承租人在租赁开始日的最低租赁付款额现值，几乎相当于（一般指</w:t>
      </w:r>
      <w:r>
        <w:rPr>
          <w:spacing w:val="-43"/>
        </w:rPr>
        <w:t> </w:t>
      </w:r>
      <w:r>
        <w:rPr/>
        <w:t>90%或</w:t>
      </w:r>
      <w:r>
        <w:rPr>
          <w:spacing w:val="-2"/>
          <w:w w:val="100"/>
        </w:rPr>
        <w:t> </w:t>
      </w:r>
      <w:r>
        <w:rPr>
          <w:spacing w:val="-1"/>
        </w:rPr>
        <w:t>90%以上，下同）租赁开始日租赁资产公允价值；出租人在租赁开始日的最低租</w:t>
      </w:r>
      <w:r>
        <w:rPr>
          <w:spacing w:val="-82"/>
        </w:rPr>
        <w:t> </w:t>
      </w:r>
      <w:r>
        <w:rPr>
          <w:spacing w:val="-82"/>
        </w:rPr>
      </w:r>
      <w:r>
        <w:rPr/>
        <w:t>赁收款额现值，几乎相当于租赁开始日租赁资产公允价值。</w:t>
      </w:r>
    </w:p>
    <w:p>
      <w:pPr>
        <w:pStyle w:val="BodyText"/>
        <w:spacing w:line="336" w:lineRule="auto"/>
        <w:ind w:right="231" w:firstLine="480"/>
        <w:jc w:val="both"/>
      </w:pPr>
      <w:r>
        <w:rPr>
          <w:spacing w:val="-5"/>
        </w:rPr>
        <w:t>⑤租赁资产性质特殊，如果不作较大改造，只有本公司（或承租人）才能使</w:t>
      </w:r>
      <w:r>
        <w:rPr>
          <w:spacing w:val="-2"/>
          <w:w w:val="100"/>
        </w:rPr>
        <w:t> </w:t>
      </w:r>
      <w:r>
        <w:rPr/>
        <w:t>用。</w:t>
      </w:r>
    </w:p>
    <w:p>
      <w:pPr>
        <w:pStyle w:val="BodyText"/>
        <w:spacing w:line="240" w:lineRule="auto"/>
        <w:ind w:left="617" w:right="227"/>
        <w:jc w:val="left"/>
      </w:pPr>
      <w:r>
        <w:rPr/>
        <w:t>经营租赁指除融资租赁以外的其它租赁。</w:t>
      </w:r>
    </w:p>
    <w:p>
      <w:pPr>
        <w:pStyle w:val="BodyText"/>
        <w:spacing w:line="240" w:lineRule="auto" w:before="126"/>
        <w:ind w:left="617" w:right="227"/>
        <w:jc w:val="left"/>
      </w:pPr>
      <w:r>
        <w:rPr/>
        <w:t>（3）融资租赁的主要会计处理</w:t>
      </w:r>
    </w:p>
    <w:p>
      <w:pPr>
        <w:pStyle w:val="BodyText"/>
        <w:spacing w:line="336" w:lineRule="auto" w:before="125"/>
        <w:ind w:left="617" w:right="227"/>
        <w:jc w:val="left"/>
      </w:pPr>
      <w:r>
        <w:rPr/>
        <w:t>①承租人的会计处理</w:t>
      </w:r>
      <w:r>
        <w:rPr>
          <w:spacing w:val="-2"/>
          <w:w w:val="100"/>
        </w:rPr>
        <w:t> </w:t>
      </w:r>
      <w:r>
        <w:rPr>
          <w:spacing w:val="-5"/>
        </w:rPr>
        <w:t>在租赁期开始日，将租赁开始日租赁资产公允价值与最低租赁付款额现值两</w:t>
      </w:r>
      <w:r>
        <w:rPr/>
      </w:r>
    </w:p>
    <w:p>
      <w:pPr>
        <w:pStyle w:val="BodyText"/>
        <w:spacing w:line="336" w:lineRule="auto"/>
        <w:ind w:right="96"/>
        <w:jc w:val="left"/>
      </w:pPr>
      <w:r>
        <w:rPr>
          <w:spacing w:val="-5"/>
        </w:rPr>
        <w:t>者中较低者作为租入资产的入账价值，将最低租赁付款额作为长期应付款的入账</w:t>
      </w:r>
      <w:r>
        <w:rPr>
          <w:spacing w:val="-63"/>
        </w:rPr>
        <w:t> </w:t>
      </w:r>
      <w:r>
        <w:rPr>
          <w:spacing w:val="-63"/>
        </w:rPr>
      </w:r>
      <w:r>
        <w:rPr>
          <w:spacing w:val="-2"/>
        </w:rPr>
        <w:t>价值，其差额作为未确认融资费用。在租赁谈判和签订租赁合同过程中发生的，</w:t>
      </w:r>
      <w:r>
        <w:rPr>
          <w:spacing w:val="-81"/>
        </w:rPr>
        <w:t> </w:t>
      </w:r>
      <w:r>
        <w:rPr>
          <w:spacing w:val="-8"/>
          <w:w w:val="100"/>
        </w:rPr>
        <w:t>可归属于租赁项目的手续费、律师费、差旅费、印花税等初始直接费用（下同），</w:t>
      </w:r>
      <w:r>
        <w:rPr>
          <w:spacing w:val="-106"/>
          <w:w w:val="100"/>
        </w:rPr>
        <w:t> </w:t>
      </w:r>
      <w:r>
        <w:rPr>
          <w:spacing w:val="-106"/>
          <w:w w:val="100"/>
        </w:rPr>
      </w:r>
      <w:r>
        <w:rPr>
          <w:spacing w:val="-5"/>
        </w:rPr>
        <w:t>计入租入资产价值。在计算最低租赁付款额的现值时，能够取得出租人租赁内含</w:t>
      </w:r>
      <w:r>
        <w:rPr>
          <w:spacing w:val="-64"/>
        </w:rPr>
        <w:t> </w:t>
      </w:r>
      <w:r>
        <w:rPr>
          <w:spacing w:val="-64"/>
        </w:rPr>
      </w:r>
      <w:r>
        <w:rPr>
          <w:spacing w:val="-5"/>
        </w:rPr>
        <w:t>利率的，采用租赁内含利率作为折现率；否则，采用租赁合同规定的利率作为折</w:t>
      </w:r>
      <w:r>
        <w:rPr>
          <w:spacing w:val="-60"/>
        </w:rPr>
        <w:t> </w:t>
      </w:r>
      <w:r>
        <w:rPr>
          <w:spacing w:val="-60"/>
        </w:rPr>
      </w:r>
      <w:r>
        <w:rPr>
          <w:spacing w:val="-5"/>
        </w:rPr>
        <w:t>现率。无法取得出租人的租赁内含利率且租赁合同没有规定利率的，采用同期银</w:t>
      </w:r>
      <w:r>
        <w:rPr>
          <w:spacing w:val="-64"/>
        </w:rPr>
        <w:t> </w:t>
      </w:r>
      <w:r>
        <w:rPr>
          <w:spacing w:val="-64"/>
        </w:rPr>
      </w:r>
      <w:r>
        <w:rPr/>
        <w:t>行贷款利率作为折现率。</w:t>
      </w:r>
    </w:p>
    <w:p>
      <w:pPr>
        <w:pStyle w:val="BodyText"/>
        <w:spacing w:line="336" w:lineRule="auto" w:before="29"/>
        <w:ind w:left="619" w:right="227" w:hanging="3"/>
        <w:jc w:val="left"/>
      </w:pPr>
      <w:r>
        <w:rPr/>
        <w:t>未确认融资费用在租赁期内按照实际利率法计算确认当期的融资费用。</w:t>
      </w:r>
      <w:r>
        <w:rPr>
          <w:spacing w:val="-2"/>
          <w:w w:val="100"/>
        </w:rPr>
        <w:t> </w:t>
      </w:r>
      <w:r>
        <w:rPr>
          <w:spacing w:val="-5"/>
        </w:rPr>
        <w:t>本公司采用与自有固定资产相一致的折旧政策计提租赁资产折旧。能够合理</w:t>
      </w:r>
      <w:r>
        <w:rPr/>
      </w:r>
    </w:p>
    <w:p>
      <w:pPr>
        <w:pStyle w:val="BodyText"/>
        <w:spacing w:line="336" w:lineRule="auto"/>
        <w:ind w:right="232"/>
        <w:jc w:val="both"/>
      </w:pPr>
      <w:r>
        <w:rPr>
          <w:spacing w:val="-5"/>
        </w:rPr>
        <w:t>确定租赁期届满时取得租赁资产所有权的，在租赁资产使用寿命内计提折旧。无</w:t>
      </w:r>
      <w:r>
        <w:rPr>
          <w:spacing w:val="-62"/>
        </w:rPr>
        <w:t> </w:t>
      </w:r>
      <w:r>
        <w:rPr>
          <w:spacing w:val="-62"/>
        </w:rPr>
      </w:r>
      <w:r>
        <w:rPr>
          <w:spacing w:val="-5"/>
        </w:rPr>
        <w:t>法合理确定租赁期届满时能够取得租赁资产所有权的，在租赁期与租赁资产使用</w:t>
      </w:r>
      <w:r>
        <w:rPr>
          <w:spacing w:val="-63"/>
        </w:rPr>
        <w:t> </w:t>
      </w:r>
      <w:r>
        <w:rPr>
          <w:spacing w:val="-63"/>
        </w:rPr>
      </w:r>
      <w:r>
        <w:rPr/>
        <w:t>寿命两者中较短的期间内计提折旧。</w:t>
      </w:r>
    </w:p>
    <w:p>
      <w:pPr>
        <w:pStyle w:val="BodyText"/>
        <w:spacing w:line="240" w:lineRule="auto" w:before="150"/>
        <w:ind w:left="620" w:right="227"/>
        <w:jc w:val="left"/>
      </w:pPr>
      <w:r>
        <w:rPr/>
        <w:t>或有租金在实际发生时计入当期损益。</w:t>
      </w:r>
    </w:p>
    <w:p>
      <w:pPr>
        <w:spacing w:line="240" w:lineRule="auto" w:before="10"/>
        <w:rPr>
          <w:rFonts w:ascii="宋体" w:hAnsi="宋体" w:cs="宋体" w:eastAsia="宋体" w:hint="default"/>
          <w:sz w:val="18"/>
          <w:szCs w:val="18"/>
        </w:rPr>
      </w:pPr>
    </w:p>
    <w:p>
      <w:pPr>
        <w:pStyle w:val="BodyText"/>
        <w:spacing w:line="336" w:lineRule="auto" w:before="0"/>
        <w:ind w:left="617" w:right="227"/>
        <w:jc w:val="left"/>
      </w:pPr>
      <w:r>
        <w:rPr/>
        <w:t>②出租人的会计处理</w:t>
      </w:r>
      <w:r>
        <w:rPr>
          <w:spacing w:val="-2"/>
          <w:w w:val="100"/>
        </w:rPr>
        <w:t> </w:t>
      </w:r>
      <w:r>
        <w:rPr>
          <w:spacing w:val="-5"/>
        </w:rPr>
        <w:t>在租赁期开始日，出租人将租赁开始日最低租赁收款额与初始直接费用之和</w:t>
      </w:r>
      <w:r>
        <w:rPr/>
      </w:r>
    </w:p>
    <w:p>
      <w:pPr>
        <w:pStyle w:val="BodyText"/>
        <w:spacing w:line="336" w:lineRule="auto"/>
        <w:ind w:right="227"/>
        <w:jc w:val="left"/>
      </w:pPr>
      <w:r>
        <w:rPr>
          <w:spacing w:val="-5"/>
        </w:rPr>
        <w:t>作为应收融资租赁款的入账价值，同时记录未担保余值；将最低租赁收款额、初</w:t>
      </w:r>
      <w:r>
        <w:rPr>
          <w:spacing w:val="-58"/>
        </w:rPr>
        <w:t> </w:t>
      </w:r>
      <w:r>
        <w:rPr>
          <w:spacing w:val="-58"/>
        </w:rPr>
      </w:r>
      <w:r>
        <w:rPr/>
        <w:t>始直接费用及未担保余值之和与其现值之和的差额确认为未实现融资收益。</w:t>
      </w:r>
    </w:p>
    <w:p>
      <w:pPr>
        <w:spacing w:after="0" w:line="336" w:lineRule="auto"/>
        <w:jc w:val="left"/>
        <w:sectPr>
          <w:pgSz w:w="11910" w:h="16840"/>
          <w:pgMar w:header="840" w:footer="1712" w:top="1160" w:bottom="1900" w:left="1660" w:right="1560"/>
        </w:sectPr>
      </w:pPr>
    </w:p>
    <w:p>
      <w:pPr>
        <w:pStyle w:val="BodyText"/>
        <w:spacing w:line="336" w:lineRule="auto" w:before="71"/>
        <w:ind w:left="617" w:right="87"/>
        <w:jc w:val="left"/>
      </w:pPr>
      <w:r>
        <w:rPr>
          <w:spacing w:val="-2"/>
        </w:rPr>
        <w:t>未实现融资收益在租赁期内按照实际利率法计算确认当期的融资收入。</w:t>
      </w:r>
      <w:r>
        <w:rPr>
          <w:spacing w:val="-85"/>
        </w:rPr>
        <w:t> </w:t>
      </w:r>
      <w:r>
        <w:rPr/>
        <w:t>或有租金在实际发生时计入当期损益。</w:t>
      </w:r>
    </w:p>
    <w:p>
      <w:pPr>
        <w:pStyle w:val="BodyText"/>
        <w:spacing w:line="336" w:lineRule="auto" w:before="29"/>
        <w:ind w:left="617" w:right="87"/>
        <w:jc w:val="left"/>
      </w:pPr>
      <w:r>
        <w:rPr/>
        <w:t>（4）经营租赁的主要会计处理</w:t>
      </w:r>
      <w:r>
        <w:rPr>
          <w:spacing w:val="-2"/>
          <w:w w:val="100"/>
        </w:rPr>
        <w:t> </w:t>
      </w:r>
      <w:r>
        <w:rPr>
          <w:spacing w:val="-5"/>
        </w:rPr>
        <w:t>对于经营租赁的租金，出租人、承租人在租赁期内各个期间按照</w:t>
      </w:r>
      <w:r>
        <w:rPr>
          <w:color w:val="0000FF"/>
          <w:spacing w:val="-5"/>
        </w:rPr>
        <w:t>直线法</w:t>
      </w:r>
      <w:r>
        <w:rPr>
          <w:spacing w:val="-5"/>
        </w:rPr>
        <w:t>确认</w:t>
      </w:r>
      <w:r>
        <w:rPr/>
      </w:r>
    </w:p>
    <w:p>
      <w:pPr>
        <w:pStyle w:val="BodyText"/>
        <w:spacing w:line="336" w:lineRule="auto"/>
        <w:ind w:right="87"/>
        <w:jc w:val="left"/>
      </w:pPr>
      <w:r>
        <w:rPr>
          <w:spacing w:val="-5"/>
        </w:rPr>
        <w:t>为当期损益。出租人、承租人发生的初始直接费用，计入当期损益。或有租金在</w:t>
      </w:r>
      <w:r>
        <w:rPr>
          <w:spacing w:val="-61"/>
        </w:rPr>
        <w:t> </w:t>
      </w:r>
      <w:r>
        <w:rPr>
          <w:spacing w:val="-61"/>
        </w:rPr>
      </w:r>
      <w:r>
        <w:rPr>
          <w:spacing w:val="-2"/>
        </w:rPr>
        <w:t>实际发生时计入当期损益。</w:t>
      </w:r>
      <w:r>
        <w:rPr/>
      </w:r>
    </w:p>
    <w:p>
      <w:pPr>
        <w:pStyle w:val="Heading3"/>
        <w:tabs>
          <w:tab w:pos="1397" w:val="left" w:leader="none"/>
        </w:tabs>
        <w:spacing w:line="240" w:lineRule="auto" w:before="74"/>
        <w:ind w:right="87"/>
        <w:jc w:val="left"/>
        <w:rPr>
          <w:b w:val="0"/>
          <w:bCs w:val="0"/>
        </w:rPr>
      </w:pPr>
      <w:r>
        <w:rPr>
          <w:w w:val="90"/>
        </w:rPr>
        <w:t>26、</w:t>
        <w:tab/>
      </w:r>
      <w:r>
        <w:rPr/>
        <w:t>所得税</w:t>
      </w:r>
      <w:r>
        <w:rPr>
          <w:b w:val="0"/>
          <w:bCs w:val="0"/>
        </w:rPr>
      </w:r>
    </w:p>
    <w:p>
      <w:pPr>
        <w:pStyle w:val="BodyText"/>
        <w:spacing w:line="240" w:lineRule="auto" w:before="99"/>
        <w:ind w:left="617" w:right="87"/>
        <w:jc w:val="left"/>
      </w:pPr>
      <w:r>
        <w:rPr/>
        <w:t>（1）本公司采用资产负债表债务法核算所得税。</w:t>
      </w:r>
    </w:p>
    <w:p>
      <w:pPr>
        <w:pStyle w:val="BodyText"/>
        <w:spacing w:line="336" w:lineRule="auto" w:before="125"/>
        <w:ind w:right="192" w:firstLine="480"/>
        <w:jc w:val="both"/>
      </w:pPr>
      <w:r>
        <w:rPr>
          <w:spacing w:val="-2"/>
        </w:rPr>
        <w:t>（2）本公司在取得资产、负债时，确定其计税基础。资产、负债的账面价</w:t>
      </w:r>
      <w:r>
        <w:rPr>
          <w:spacing w:val="-1"/>
          <w:w w:val="100"/>
        </w:rPr>
        <w:t> </w:t>
      </w:r>
      <w:r>
        <w:rPr>
          <w:spacing w:val="-5"/>
        </w:rPr>
        <w:t>值与其计税基础存在的暂时性差异，按照规定确认所产生的递延所得税资产或递</w:t>
      </w:r>
      <w:r>
        <w:rPr>
          <w:spacing w:val="-63"/>
        </w:rPr>
        <w:t> </w:t>
      </w:r>
      <w:r>
        <w:rPr>
          <w:spacing w:val="-63"/>
        </w:rPr>
      </w:r>
      <w:r>
        <w:rPr/>
        <w:t>延所得税负债。</w:t>
      </w:r>
    </w:p>
    <w:p>
      <w:pPr>
        <w:pStyle w:val="BodyText"/>
        <w:spacing w:line="240" w:lineRule="auto" w:before="29"/>
        <w:ind w:left="617" w:right="87"/>
        <w:jc w:val="left"/>
      </w:pPr>
      <w:r>
        <w:rPr/>
        <w:t>（3）递延所得税资产的确认</w:t>
      </w:r>
    </w:p>
    <w:p>
      <w:pPr>
        <w:pStyle w:val="BodyText"/>
        <w:spacing w:line="336" w:lineRule="auto" w:before="126"/>
        <w:ind w:right="191" w:firstLine="480"/>
        <w:jc w:val="both"/>
      </w:pPr>
      <w:r>
        <w:rPr>
          <w:spacing w:val="-5"/>
        </w:rPr>
        <w:t>①本公司以很可能取得用来抵扣可抵扣暂时性差异的应纳税所得额为限，确</w:t>
      </w:r>
      <w:r>
        <w:rPr>
          <w:w w:val="100"/>
        </w:rPr>
        <w:t> </w:t>
      </w:r>
      <w:r>
        <w:rPr>
          <w:spacing w:val="-5"/>
        </w:rPr>
        <w:t>认由可抵扣暂时性差异产生的递延所得税资产。但是，同时具有下列特征的交易</w:t>
      </w:r>
      <w:r>
        <w:rPr>
          <w:spacing w:val="-64"/>
        </w:rPr>
        <w:t> </w:t>
      </w:r>
      <w:r>
        <w:rPr>
          <w:spacing w:val="-64"/>
        </w:rPr>
      </w:r>
      <w:r>
        <w:rPr/>
        <w:t>中因资产或负债的初始确认所产生的递延所得税资产不予确认：</w:t>
      </w:r>
    </w:p>
    <w:p>
      <w:pPr>
        <w:pStyle w:val="BodyText"/>
        <w:spacing w:line="336" w:lineRule="auto"/>
        <w:ind w:left="617" w:right="87"/>
        <w:jc w:val="left"/>
      </w:pPr>
      <w:r>
        <w:rPr/>
        <w:t>A.该项交易不是企业合并；</w:t>
      </w:r>
      <w:r>
        <w:rPr>
          <w:spacing w:val="-2"/>
          <w:w w:val="100"/>
        </w:rPr>
        <w:t> </w:t>
      </w:r>
      <w:r>
        <w:rPr>
          <w:spacing w:val="-6"/>
          <w:w w:val="100"/>
        </w:rPr>
        <w:t>B.交易发生时既不影响会计利润也不影响应纳税所得额（或可抵扣亏损）。</w:t>
      </w:r>
    </w:p>
    <w:p>
      <w:pPr>
        <w:pStyle w:val="BodyText"/>
        <w:spacing w:line="336" w:lineRule="auto" w:before="29"/>
        <w:ind w:right="104" w:firstLine="480"/>
        <w:jc w:val="both"/>
      </w:pPr>
      <w:r>
        <w:rPr>
          <w:spacing w:val="-2"/>
        </w:rPr>
        <w:t>②本公司对与子公司、联营公司及合营企业投资相关的可抵扣暂时性差异，</w:t>
      </w:r>
      <w:r>
        <w:rPr>
          <w:spacing w:val="-2"/>
          <w:w w:val="100"/>
        </w:rPr>
        <w:t> </w:t>
      </w:r>
      <w:r>
        <w:rPr/>
        <w:t>同时满足下列条件的，确认相应的递延所得税资产：</w:t>
      </w:r>
    </w:p>
    <w:p>
      <w:pPr>
        <w:pStyle w:val="BodyText"/>
        <w:spacing w:line="336" w:lineRule="auto"/>
        <w:ind w:left="617" w:right="87"/>
        <w:jc w:val="left"/>
      </w:pPr>
      <w:r>
        <w:rPr/>
        <w:t>A.暂时性差异在可预见的未来很可能转回;</w:t>
      </w:r>
      <w:r>
        <w:rPr>
          <w:spacing w:val="-2"/>
          <w:w w:val="100"/>
        </w:rPr>
        <w:t> </w:t>
      </w:r>
      <w:r>
        <w:rPr>
          <w:spacing w:val="-2"/>
        </w:rPr>
        <w:t>B.未来很可能获得用来抵扣可抵扣暂时性差异的应纳税所得额。</w:t>
      </w:r>
      <w:r>
        <w:rPr/>
      </w:r>
    </w:p>
    <w:p>
      <w:pPr>
        <w:pStyle w:val="BodyText"/>
        <w:spacing w:line="336" w:lineRule="auto"/>
        <w:ind w:right="192" w:firstLine="480"/>
        <w:jc w:val="both"/>
      </w:pPr>
      <w:r>
        <w:rPr>
          <w:spacing w:val="-2"/>
        </w:rPr>
        <w:t>③对于按照税法规定可以结转以后年度的可抵扣亏损和税款抵减,视同可抵</w:t>
      </w:r>
      <w:r>
        <w:rPr>
          <w:spacing w:val="-1"/>
          <w:w w:val="100"/>
        </w:rPr>
        <w:t> </w:t>
      </w:r>
      <w:r>
        <w:rPr>
          <w:spacing w:val="-5"/>
        </w:rPr>
        <w:t>扣暂时性差异处理，以很可能获得用来抵扣可抵扣亏损和税款抵减的未来应纳税</w:t>
      </w:r>
      <w:r>
        <w:rPr>
          <w:spacing w:val="-63"/>
        </w:rPr>
        <w:t> </w:t>
      </w:r>
      <w:r>
        <w:rPr>
          <w:spacing w:val="-63"/>
        </w:rPr>
      </w:r>
      <w:r>
        <w:rPr/>
        <w:t>所得额为限，确认相应的递延所得税资产。</w:t>
      </w:r>
    </w:p>
    <w:p>
      <w:pPr>
        <w:pStyle w:val="BodyText"/>
        <w:spacing w:line="240" w:lineRule="auto"/>
        <w:ind w:left="617" w:right="87"/>
        <w:jc w:val="left"/>
      </w:pPr>
      <w:r>
        <w:rPr/>
        <w:t>（4）递延所得税负债的确认</w:t>
      </w:r>
    </w:p>
    <w:p>
      <w:pPr>
        <w:pStyle w:val="BodyText"/>
        <w:spacing w:line="336" w:lineRule="auto" w:before="126"/>
        <w:ind w:right="192" w:firstLine="480"/>
        <w:jc w:val="both"/>
      </w:pPr>
      <w:r>
        <w:rPr>
          <w:spacing w:val="-5"/>
        </w:rPr>
        <w:t>①除下列交易中产生的递延所得税负债以外，本公司确认所有应纳税暂时性</w:t>
      </w:r>
      <w:r>
        <w:rPr>
          <w:spacing w:val="-2"/>
          <w:w w:val="100"/>
        </w:rPr>
        <w:t> </w:t>
      </w:r>
      <w:r>
        <w:rPr/>
        <w:t>差异产生的递延所得税负债：</w:t>
      </w:r>
    </w:p>
    <w:p>
      <w:pPr>
        <w:pStyle w:val="BodyText"/>
        <w:spacing w:line="336" w:lineRule="auto"/>
        <w:ind w:left="617" w:right="87"/>
        <w:jc w:val="left"/>
      </w:pPr>
      <w:r>
        <w:rPr/>
        <w:t>A.商誉的初始确认；</w:t>
      </w:r>
      <w:r>
        <w:rPr>
          <w:spacing w:val="-2"/>
          <w:w w:val="100"/>
        </w:rPr>
        <w:t> </w:t>
      </w:r>
      <w:r>
        <w:rPr/>
        <w:t>B.同时满足具有下列特征的交易中产生的资产或负债的初始确认：</w:t>
      </w:r>
      <w:r>
        <w:rPr>
          <w:spacing w:val="-2"/>
          <w:w w:val="100"/>
        </w:rPr>
        <w:t> </w:t>
      </w:r>
      <w:r>
        <w:rPr/>
        <w:t>a.该项交易不是企业合并；</w:t>
      </w:r>
    </w:p>
    <w:p>
      <w:pPr>
        <w:pStyle w:val="BodyText"/>
        <w:spacing w:line="240" w:lineRule="auto"/>
        <w:ind w:left="617" w:right="87"/>
        <w:jc w:val="left"/>
      </w:pPr>
      <w:r>
        <w:rPr>
          <w:spacing w:val="-2"/>
          <w:w w:val="100"/>
        </w:rPr>
        <w:t>b.交易发生时既不影响会计利润也不影响应纳税所得额（或可抵扣亏损</w:t>
      </w:r>
      <w:r>
        <w:rPr>
          <w:spacing w:val="-121"/>
          <w:w w:val="100"/>
        </w:rPr>
        <w:t>）</w:t>
      </w:r>
      <w:r>
        <w:rPr>
          <w:w w:val="100"/>
        </w:rPr>
        <w:t>。</w:t>
      </w:r>
    </w:p>
    <w:p>
      <w:pPr>
        <w:spacing w:after="0" w:line="240" w:lineRule="auto"/>
        <w:jc w:val="left"/>
        <w:sectPr>
          <w:pgSz w:w="11910" w:h="16840"/>
          <w:pgMar w:header="840" w:footer="1712" w:top="1160" w:bottom="1900" w:left="1660" w:right="1600"/>
        </w:sectPr>
      </w:pPr>
    </w:p>
    <w:p>
      <w:pPr>
        <w:pStyle w:val="BodyText"/>
        <w:spacing w:line="336" w:lineRule="auto" w:before="71"/>
        <w:ind w:right="96" w:firstLine="480"/>
        <w:jc w:val="left"/>
      </w:pPr>
      <w:r>
        <w:rPr>
          <w:spacing w:val="-2"/>
        </w:rPr>
        <w:t>②本公司对与子公司、联营公司及合营企业投资相关的应纳税暂时性差异，</w:t>
      </w:r>
      <w:r>
        <w:rPr>
          <w:spacing w:val="-2"/>
          <w:w w:val="100"/>
        </w:rPr>
        <w:t> </w:t>
      </w:r>
      <w:r>
        <w:rPr/>
        <w:t>确认相应的递延所得税负债。但是，同时满足下列条件的除外：</w:t>
      </w:r>
    </w:p>
    <w:p>
      <w:pPr>
        <w:pStyle w:val="BodyText"/>
        <w:spacing w:line="336" w:lineRule="auto" w:before="29"/>
        <w:ind w:left="617" w:right="227"/>
        <w:jc w:val="left"/>
      </w:pPr>
      <w:r>
        <w:rPr/>
        <w:t>A.投资企业能够控制暂时性差异转回的时间；</w:t>
      </w:r>
      <w:r>
        <w:rPr>
          <w:spacing w:val="-2"/>
          <w:w w:val="100"/>
        </w:rPr>
        <w:t> </w:t>
      </w:r>
      <w:r>
        <w:rPr>
          <w:spacing w:val="-2"/>
        </w:rPr>
        <w:t>B.该暂时性差异在可预见的未来很可能不会转回。</w:t>
      </w:r>
      <w:r>
        <w:rPr/>
      </w:r>
    </w:p>
    <w:p>
      <w:pPr>
        <w:pStyle w:val="BodyText"/>
        <w:spacing w:line="336" w:lineRule="auto"/>
        <w:ind w:left="617" w:right="227"/>
        <w:jc w:val="left"/>
      </w:pPr>
      <w:r>
        <w:rPr/>
        <w:t>（5）所得税费用的计量</w:t>
      </w:r>
      <w:r>
        <w:rPr>
          <w:spacing w:val="-2"/>
          <w:w w:val="100"/>
        </w:rPr>
        <w:t> </w:t>
      </w:r>
      <w:r>
        <w:rPr>
          <w:spacing w:val="-5"/>
        </w:rPr>
        <w:t>本公司将当期所得税和递延所得税作为所得税费用或收益计入当期损益，但</w:t>
      </w:r>
    </w:p>
    <w:p>
      <w:pPr>
        <w:pStyle w:val="BodyText"/>
        <w:spacing w:line="240" w:lineRule="auto"/>
        <w:ind w:right="0"/>
        <w:jc w:val="both"/>
      </w:pPr>
      <w:r>
        <w:rPr/>
        <w:t>不包括下列情况产生的所得税：</w:t>
      </w:r>
    </w:p>
    <w:p>
      <w:pPr>
        <w:pStyle w:val="BodyText"/>
        <w:spacing w:line="240" w:lineRule="auto" w:before="126"/>
        <w:ind w:left="617" w:right="227"/>
        <w:jc w:val="left"/>
      </w:pPr>
      <w:r>
        <w:rPr>
          <w:spacing w:val="-2"/>
        </w:rPr>
        <w:t>①企业合并；</w:t>
      </w:r>
      <w:r>
        <w:rPr/>
      </w:r>
    </w:p>
    <w:p>
      <w:pPr>
        <w:pStyle w:val="BodyText"/>
        <w:spacing w:line="240" w:lineRule="auto" w:before="125"/>
        <w:ind w:left="617" w:right="227"/>
        <w:jc w:val="left"/>
      </w:pPr>
      <w:r>
        <w:rPr/>
        <w:t>②直接在所有者权益中确认的交易或事项。</w:t>
      </w:r>
    </w:p>
    <w:p>
      <w:pPr>
        <w:pStyle w:val="BodyText"/>
        <w:spacing w:line="240" w:lineRule="auto" w:before="126"/>
        <w:ind w:left="617" w:right="227"/>
        <w:jc w:val="left"/>
      </w:pPr>
      <w:r>
        <w:rPr/>
        <w:t>（6）递延所得税资产的减值</w:t>
      </w:r>
    </w:p>
    <w:p>
      <w:pPr>
        <w:pStyle w:val="BodyText"/>
        <w:spacing w:line="336" w:lineRule="auto" w:before="126"/>
        <w:ind w:right="96" w:firstLine="480"/>
        <w:jc w:val="left"/>
      </w:pPr>
      <w:r>
        <w:rPr>
          <w:spacing w:val="-5"/>
        </w:rPr>
        <w:t>①在资产负债表日应当对递延所得税资产的账面价值进行复核。如果未来期</w:t>
      </w:r>
      <w:r>
        <w:rPr>
          <w:spacing w:val="-2"/>
          <w:w w:val="100"/>
        </w:rPr>
        <w:t> </w:t>
      </w:r>
      <w:r>
        <w:rPr/>
        <w:t>间很可能无法取得足够的应纳税所得额用以抵扣递延所得税资产的利益,则减记</w:t>
      </w:r>
      <w:r>
        <w:rPr>
          <w:spacing w:val="-117"/>
        </w:rPr>
        <w:t> </w:t>
      </w:r>
      <w:r>
        <w:rPr>
          <w:spacing w:val="-117"/>
        </w:rPr>
      </w:r>
      <w:r>
        <w:rPr>
          <w:spacing w:val="-5"/>
        </w:rPr>
        <w:t>递延所得税资产的账面价值。除原确认时计入所有者权益的递延所得税资产部分,</w:t>
      </w:r>
      <w:r>
        <w:rPr>
          <w:spacing w:val="-59"/>
        </w:rPr>
        <w:t> </w:t>
      </w:r>
      <w:r>
        <w:rPr>
          <w:spacing w:val="-59"/>
        </w:rPr>
      </w:r>
      <w:r>
        <w:rPr/>
        <w:t>其减记金额也应计入所有者权益外,其它的情况应减记当期的所得税费用。</w:t>
      </w:r>
    </w:p>
    <w:p>
      <w:pPr>
        <w:pStyle w:val="BodyText"/>
        <w:spacing w:line="336" w:lineRule="auto" w:before="29"/>
        <w:ind w:right="227" w:firstLine="480"/>
        <w:jc w:val="left"/>
      </w:pPr>
      <w:r>
        <w:rPr>
          <w:spacing w:val="-5"/>
        </w:rPr>
        <w:t>②在很可能取得足够的应纳税所得额时，减记的递延所得税资产账面价值可</w:t>
      </w:r>
      <w:r>
        <w:rPr>
          <w:spacing w:val="-2"/>
          <w:w w:val="100"/>
        </w:rPr>
        <w:t> </w:t>
      </w:r>
      <w:r>
        <w:rPr/>
        <w:t>以恢复。</w:t>
      </w:r>
    </w:p>
    <w:p>
      <w:pPr>
        <w:tabs>
          <w:tab w:pos="1397" w:val="left" w:leader="none"/>
        </w:tabs>
        <w:spacing w:line="295" w:lineRule="auto" w:before="74"/>
        <w:ind w:left="617" w:right="233" w:firstLine="2"/>
        <w:jc w:val="left"/>
        <w:rPr>
          <w:rFonts w:ascii="宋体" w:hAnsi="宋体" w:cs="宋体" w:eastAsia="宋体" w:hint="default"/>
          <w:sz w:val="24"/>
          <w:szCs w:val="24"/>
        </w:rPr>
      </w:pPr>
      <w:r>
        <w:rPr>
          <w:rFonts w:ascii="Microsoft JhengHei" w:hAnsi="Microsoft JhengHei" w:cs="Microsoft JhengHei" w:eastAsia="Microsoft JhengHei" w:hint="default"/>
          <w:b/>
          <w:bCs/>
          <w:w w:val="90"/>
          <w:sz w:val="24"/>
          <w:szCs w:val="24"/>
        </w:rPr>
        <w:t>27、</w:t>
        <w:tab/>
      </w:r>
      <w:r>
        <w:rPr>
          <w:rFonts w:ascii="Microsoft JhengHei" w:hAnsi="Microsoft JhengHei" w:cs="Microsoft JhengHei" w:eastAsia="Microsoft JhengHei" w:hint="default"/>
          <w:b/>
          <w:bCs/>
          <w:sz w:val="24"/>
          <w:szCs w:val="24"/>
        </w:rPr>
        <w:t>业务分部</w:t>
      </w:r>
      <w:r>
        <w:rPr>
          <w:rFonts w:ascii="Microsoft JhengHei" w:hAnsi="Microsoft JhengHei" w:cs="Microsoft JhengHei" w:eastAsia="Microsoft JhengHei" w:hint="default"/>
          <w:b/>
          <w:bCs/>
          <w:spacing w:val="-58"/>
          <w:sz w:val="24"/>
          <w:szCs w:val="24"/>
        </w:rPr>
        <w:t> </w:t>
      </w:r>
      <w:r>
        <w:rPr>
          <w:rFonts w:ascii="Microsoft JhengHei" w:hAnsi="Microsoft JhengHei" w:cs="Microsoft JhengHei" w:eastAsia="Microsoft JhengHei" w:hint="default"/>
          <w:b/>
          <w:bCs/>
          <w:spacing w:val="-58"/>
          <w:sz w:val="24"/>
          <w:szCs w:val="24"/>
        </w:rPr>
      </w:r>
      <w:r>
        <w:rPr>
          <w:rFonts w:ascii="宋体" w:hAnsi="宋体" w:cs="宋体" w:eastAsia="宋体" w:hint="default"/>
          <w:spacing w:val="-5"/>
          <w:sz w:val="24"/>
          <w:szCs w:val="24"/>
        </w:rPr>
        <w:t>业务分部，是指本公司内可区分的、能够提供单项或一组相关产品或劳务的</w:t>
      </w:r>
      <w:r>
        <w:rPr>
          <w:rFonts w:ascii="宋体" w:hAnsi="宋体" w:cs="宋体" w:eastAsia="宋体" w:hint="default"/>
          <w:sz w:val="24"/>
          <w:szCs w:val="24"/>
        </w:rPr>
      </w:r>
    </w:p>
    <w:p>
      <w:pPr>
        <w:pStyle w:val="BodyText"/>
        <w:spacing w:line="336" w:lineRule="auto" w:before="71"/>
        <w:ind w:right="227"/>
        <w:jc w:val="both"/>
      </w:pPr>
      <w:r>
        <w:rPr>
          <w:spacing w:val="-5"/>
        </w:rPr>
        <w:t>组成部分。该组成部分承担了不同于其它组成部分的风险和报酬。地区分部，是</w:t>
      </w:r>
      <w:r>
        <w:rPr>
          <w:spacing w:val="-58"/>
        </w:rPr>
        <w:t> </w:t>
      </w:r>
      <w:r>
        <w:rPr>
          <w:spacing w:val="-58"/>
        </w:rPr>
      </w:r>
      <w:r>
        <w:rPr/>
        <w:t>指本公司内可区分的、能够在一个特定的经济环境内提供产品或劳务的组成部</w:t>
      </w:r>
      <w:r>
        <w:rPr>
          <w:spacing w:val="19"/>
        </w:rPr>
        <w:t> </w:t>
      </w:r>
      <w:r>
        <w:rPr>
          <w:spacing w:val="19"/>
        </w:rPr>
      </w:r>
      <w:r>
        <w:rPr>
          <w:spacing w:val="-5"/>
        </w:rPr>
        <w:t>分。该组成部分承担了不同于在其它经济环境内提供产品或劳务的组成部分的风</w:t>
      </w:r>
      <w:r>
        <w:rPr>
          <w:spacing w:val="-63"/>
        </w:rPr>
        <w:t> </w:t>
      </w:r>
      <w:r>
        <w:rPr>
          <w:spacing w:val="-63"/>
        </w:rPr>
      </w:r>
      <w:r>
        <w:rPr/>
        <w:t>险和报酬。</w:t>
      </w:r>
    </w:p>
    <w:p>
      <w:pPr>
        <w:pStyle w:val="BodyText"/>
        <w:spacing w:line="240" w:lineRule="auto"/>
        <w:ind w:left="617" w:right="227"/>
        <w:jc w:val="left"/>
      </w:pPr>
      <w:r>
        <w:rPr/>
        <w:t>本公司以业务分部作为主要报告形式。</w:t>
      </w:r>
    </w:p>
    <w:p>
      <w:pPr>
        <w:pStyle w:val="Heading3"/>
        <w:tabs>
          <w:tab w:pos="1397" w:val="left" w:leader="none"/>
        </w:tabs>
        <w:spacing w:line="240" w:lineRule="auto" w:before="168"/>
        <w:ind w:right="227"/>
        <w:jc w:val="left"/>
        <w:rPr>
          <w:b w:val="0"/>
          <w:bCs w:val="0"/>
        </w:rPr>
      </w:pPr>
      <w:r>
        <w:rPr>
          <w:w w:val="90"/>
        </w:rPr>
        <w:t>28、</w:t>
        <w:tab/>
      </w:r>
      <w:r>
        <w:rPr/>
        <w:t>主要会计政策、会计估计变更的说明</w:t>
      </w:r>
      <w:r>
        <w:rPr>
          <w:b w:val="0"/>
          <w:bCs w:val="0"/>
        </w:rPr>
      </w:r>
    </w:p>
    <w:p>
      <w:pPr>
        <w:pStyle w:val="BodyText"/>
        <w:spacing w:line="240" w:lineRule="auto" w:before="99"/>
        <w:ind w:left="617" w:right="227"/>
        <w:jc w:val="left"/>
      </w:pPr>
      <w:r>
        <w:rPr/>
        <w:t>（1）主要会计政策变更的说明</w:t>
      </w:r>
    </w:p>
    <w:p>
      <w:pPr>
        <w:pStyle w:val="BodyText"/>
        <w:spacing w:line="336" w:lineRule="auto" w:before="126"/>
        <w:ind w:right="96" w:firstLine="480"/>
        <w:jc w:val="left"/>
      </w:pPr>
      <w:r>
        <w:rPr/>
        <w:t>本公司于</w:t>
      </w:r>
      <w:r>
        <w:rPr>
          <w:spacing w:val="-60"/>
        </w:rPr>
        <w:t> </w:t>
      </w:r>
      <w:r>
        <w:rPr/>
        <w:t>2007</w:t>
      </w:r>
      <w:r>
        <w:rPr>
          <w:spacing w:val="-59"/>
        </w:rPr>
        <w:t> </w:t>
      </w:r>
      <w:r>
        <w:rPr/>
        <w:t>年</w:t>
      </w:r>
      <w:r>
        <w:rPr>
          <w:spacing w:val="-60"/>
        </w:rPr>
        <w:t> </w:t>
      </w:r>
      <w:r>
        <w:rPr/>
        <w:t>1</w:t>
      </w:r>
      <w:r>
        <w:rPr>
          <w:spacing w:val="-58"/>
        </w:rPr>
        <w:t> </w:t>
      </w:r>
      <w:r>
        <w:rPr/>
        <w:t>月</w:t>
      </w:r>
      <w:r>
        <w:rPr>
          <w:spacing w:val="-59"/>
        </w:rPr>
        <w:t> </w:t>
      </w:r>
      <w:r>
        <w:rPr/>
        <w:t>1</w:t>
      </w:r>
      <w:r>
        <w:rPr>
          <w:spacing w:val="-59"/>
        </w:rPr>
        <w:t> </w:t>
      </w:r>
      <w:r>
        <w:rPr/>
        <w:t>日起执行新会计准则。按照新会计准则和中国证券</w:t>
      </w:r>
      <w:r>
        <w:rPr>
          <w:spacing w:val="-2"/>
          <w:w w:val="100"/>
        </w:rPr>
        <w:t> </w:t>
      </w:r>
      <w:r>
        <w:rPr>
          <w:spacing w:val="-2"/>
        </w:rPr>
        <w:t>监督管理委员会发布的《关于做好与新会计准则相关财务会计信息披露的通知》</w:t>
      </w:r>
      <w:r>
        <w:rPr/>
      </w:r>
    </w:p>
    <w:p>
      <w:pPr>
        <w:pStyle w:val="BodyText"/>
        <w:spacing w:line="336" w:lineRule="auto"/>
        <w:ind w:right="231"/>
        <w:jc w:val="both"/>
      </w:pPr>
      <w:r>
        <w:rPr/>
        <w:t>（证监发[2006]136</w:t>
      </w:r>
      <w:r>
        <w:rPr>
          <w:spacing w:val="-50"/>
        </w:rPr>
        <w:t> </w:t>
      </w:r>
      <w:r>
        <w:rPr>
          <w:spacing w:val="-3"/>
        </w:rPr>
        <w:t>号）和《公开发行证券的公司信息披露规范问答第</w:t>
      </w:r>
      <w:r>
        <w:rPr>
          <w:spacing w:val="-51"/>
        </w:rPr>
        <w:t> </w:t>
      </w:r>
      <w:r>
        <w:rPr/>
        <w:t>7</w:t>
      </w:r>
      <w:r>
        <w:rPr>
          <w:spacing w:val="-50"/>
        </w:rPr>
        <w:t> </w:t>
      </w:r>
      <w:r>
        <w:rPr/>
        <w:t>号</w:t>
      </w:r>
      <w:r>
        <w:rPr>
          <w:rFonts w:ascii="宋体" w:hAnsi="宋体" w:cs="宋体" w:eastAsia="宋体" w:hint="default"/>
        </w:rPr>
        <w:t>―</w:t>
      </w:r>
      <w:r>
        <w:rPr/>
        <w:t>新</w:t>
      </w:r>
      <w:r>
        <w:rPr>
          <w:spacing w:val="-118"/>
        </w:rPr>
        <w:t> </w:t>
      </w:r>
      <w:r>
        <w:rPr>
          <w:spacing w:val="-5"/>
        </w:rPr>
        <w:t>旧会计准则过渡期间比较财务会计信息的编制和披露》等有关规定，本公司对以</w:t>
      </w:r>
      <w:r>
        <w:rPr>
          <w:spacing w:val="-64"/>
        </w:rPr>
        <w:t> </w:t>
      </w:r>
      <w:r>
        <w:rPr>
          <w:spacing w:val="-64"/>
        </w:rPr>
      </w:r>
      <w:r>
        <w:rPr/>
        <w:t>下会计政策进行了变更，并对比较期间的财务报表进行了追溯调整，其中：</w:t>
      </w:r>
    </w:p>
    <w:p>
      <w:pPr>
        <w:spacing w:after="0" w:line="336" w:lineRule="auto"/>
        <w:jc w:val="both"/>
        <w:sectPr>
          <w:pgSz w:w="11910" w:h="16840"/>
          <w:pgMar w:header="840" w:footer="1712" w:top="1160" w:bottom="1900" w:left="1660" w:right="1560"/>
        </w:sectPr>
      </w:pPr>
    </w:p>
    <w:p>
      <w:pPr>
        <w:pStyle w:val="BodyText"/>
        <w:spacing w:line="336" w:lineRule="auto" w:before="71"/>
        <w:ind w:left="497" w:right="511" w:firstLine="480"/>
        <w:jc w:val="both"/>
      </w:pPr>
      <w:r>
        <w:rPr>
          <w:spacing w:val="-5"/>
        </w:rPr>
        <w:t>①本公司原采用应付税款法核算企业所得税，新会计准则要求采用资产负债</w:t>
      </w:r>
      <w:r>
        <w:rPr>
          <w:spacing w:val="-2"/>
          <w:w w:val="100"/>
        </w:rPr>
        <w:t> </w:t>
      </w:r>
      <w:r>
        <w:rPr/>
        <w:t>表债务法核算所得税。该项会计政策变更采用追溯调整法，由此调增 2006</w:t>
      </w:r>
      <w:r>
        <w:rPr>
          <w:spacing w:val="-87"/>
        </w:rPr>
        <w:t> </w:t>
      </w:r>
      <w:r>
        <w:rPr/>
        <w:t>年度</w:t>
      </w:r>
    </w:p>
    <w:p>
      <w:pPr>
        <w:pStyle w:val="BodyText"/>
        <w:tabs>
          <w:tab w:pos="1818" w:val="left" w:leader="none"/>
        </w:tabs>
        <w:spacing w:line="240" w:lineRule="auto" w:before="29"/>
        <w:ind w:left="497" w:right="76"/>
        <w:jc w:val="left"/>
      </w:pPr>
      <w:r>
        <w:rPr>
          <w:spacing w:val="-1"/>
          <w:w w:val="100"/>
        </w:rPr>
        <w:t>净利</w:t>
      </w:r>
      <w:r>
        <w:rPr>
          <w:w w:val="100"/>
        </w:rPr>
        <w:t>润</w:t>
      </w:r>
      <w:r>
        <w:rPr/>
        <w:tab/>
      </w:r>
      <w:r>
        <w:rPr>
          <w:spacing w:val="-1"/>
          <w:w w:val="100"/>
        </w:rPr>
        <w:t>312,252.7</w:t>
      </w:r>
      <w:r>
        <w:rPr>
          <w:w w:val="100"/>
        </w:rPr>
        <w:t>2</w:t>
      </w:r>
      <w:r>
        <w:rPr>
          <w:spacing w:val="-65"/>
        </w:rPr>
        <w:t> </w:t>
      </w:r>
      <w:r>
        <w:rPr>
          <w:spacing w:val="-1"/>
          <w:w w:val="100"/>
        </w:rPr>
        <w:t>元</w:t>
      </w:r>
      <w:r>
        <w:rPr>
          <w:spacing w:val="-121"/>
          <w:w w:val="100"/>
        </w:rPr>
        <w:t>；</w:t>
      </w:r>
      <w:r>
        <w:rPr>
          <w:spacing w:val="-1"/>
          <w:w w:val="100"/>
        </w:rPr>
        <w:t>调</w:t>
      </w:r>
      <w:r>
        <w:rPr>
          <w:w w:val="100"/>
        </w:rPr>
        <w:t>增</w:t>
      </w:r>
      <w:r>
        <w:rPr>
          <w:spacing w:val="-65"/>
        </w:rPr>
        <w:t> </w:t>
      </w:r>
      <w:r>
        <w:rPr>
          <w:w w:val="100"/>
        </w:rPr>
        <w:t>2</w:t>
      </w:r>
      <w:r>
        <w:rPr>
          <w:spacing w:val="-1"/>
          <w:w w:val="100"/>
        </w:rPr>
        <w:t>00</w:t>
      </w:r>
      <w:r>
        <w:rPr>
          <w:w w:val="100"/>
        </w:rPr>
        <w:t>7</w:t>
      </w:r>
      <w:r>
        <w:rPr>
          <w:spacing w:val="-65"/>
        </w:rPr>
        <w:t> </w:t>
      </w:r>
      <w:r>
        <w:rPr>
          <w:w w:val="100"/>
        </w:rPr>
        <w:t>年</w:t>
      </w:r>
      <w:r>
        <w:rPr>
          <w:spacing w:val="-65"/>
        </w:rPr>
        <w:t> </w:t>
      </w:r>
      <w:r>
        <w:rPr>
          <w:w w:val="100"/>
        </w:rPr>
        <w:t>1</w:t>
      </w:r>
      <w:r>
        <w:rPr>
          <w:spacing w:val="-63"/>
        </w:rPr>
        <w:t> </w:t>
      </w:r>
      <w:r>
        <w:rPr>
          <w:w w:val="100"/>
        </w:rPr>
        <w:t>月</w:t>
      </w:r>
      <w:r>
        <w:rPr>
          <w:spacing w:val="-64"/>
        </w:rPr>
        <w:t> </w:t>
      </w:r>
      <w:r>
        <w:rPr>
          <w:w w:val="100"/>
        </w:rPr>
        <w:t>1</w:t>
      </w:r>
      <w:r>
        <w:rPr>
          <w:spacing w:val="-65"/>
        </w:rPr>
        <w:t> </w:t>
      </w:r>
      <w:r>
        <w:rPr>
          <w:spacing w:val="-1"/>
          <w:w w:val="100"/>
        </w:rPr>
        <w:t>日股东权益金</w:t>
      </w:r>
      <w:r>
        <w:rPr>
          <w:w w:val="100"/>
        </w:rPr>
        <w:t>额</w:t>
      </w:r>
      <w:r>
        <w:rPr>
          <w:spacing w:val="-65"/>
        </w:rPr>
        <w:t> </w:t>
      </w:r>
      <w:r>
        <w:rPr>
          <w:spacing w:val="-1"/>
          <w:w w:val="100"/>
        </w:rPr>
        <w:t>632,671.1</w:t>
      </w:r>
      <w:r>
        <w:rPr>
          <w:w w:val="100"/>
        </w:rPr>
        <w:t>0</w:t>
      </w:r>
      <w:r>
        <w:rPr>
          <w:spacing w:val="-65"/>
        </w:rPr>
        <w:t> </w:t>
      </w:r>
      <w:r>
        <w:rPr>
          <w:spacing w:val="-1"/>
          <w:w w:val="100"/>
        </w:rPr>
        <w:t>元。</w:t>
      </w:r>
      <w:r>
        <w:rPr>
          <w:w w:val="100"/>
        </w:rPr>
      </w:r>
    </w:p>
    <w:p>
      <w:pPr>
        <w:pStyle w:val="BodyText"/>
        <w:spacing w:line="237" w:lineRule="auto" w:before="18"/>
        <w:ind w:left="497" w:right="509" w:firstLine="480"/>
        <w:jc w:val="both"/>
      </w:pPr>
      <w:r>
        <w:rPr/>
        <w:t>②本公司依据根据会计准则解释第</w:t>
      </w:r>
      <w:r>
        <w:rPr>
          <w:spacing w:val="-53"/>
        </w:rPr>
        <w:t> </w:t>
      </w:r>
      <w:r>
        <w:rPr/>
        <w:t>1</w:t>
      </w:r>
      <w:r>
        <w:rPr>
          <w:spacing w:val="-52"/>
        </w:rPr>
        <w:t> </w:t>
      </w:r>
      <w:r>
        <w:rPr>
          <w:spacing w:val="-3"/>
        </w:rPr>
        <w:t>号-财会（2007）14</w:t>
      </w:r>
      <w:r>
        <w:rPr>
          <w:spacing w:val="-52"/>
        </w:rPr>
        <w:t> </w:t>
      </w:r>
      <w:r>
        <w:rPr>
          <w:spacing w:val="-3"/>
        </w:rPr>
        <w:t>号，企业在首次执</w:t>
      </w:r>
      <w:r>
        <w:rPr>
          <w:spacing w:val="-1"/>
          <w:w w:val="100"/>
        </w:rPr>
        <w:t> </w:t>
      </w:r>
      <w:r>
        <w:rPr>
          <w:spacing w:val="-5"/>
        </w:rPr>
        <w:t>行日以前已经持有的对子公司长期股权投资，应在首次执行日进行追溯调整，视</w:t>
      </w:r>
      <w:r>
        <w:rPr>
          <w:spacing w:val="-62"/>
        </w:rPr>
        <w:t> </w:t>
      </w:r>
      <w:r>
        <w:rPr>
          <w:spacing w:val="-62"/>
        </w:rPr>
      </w:r>
      <w:r>
        <w:rPr>
          <w:spacing w:val="-5"/>
        </w:rPr>
        <w:t>同该子公司自最初即采用成本法核算。执行新会计准则后，应当按照子公司宣告</w:t>
      </w:r>
      <w:r>
        <w:rPr>
          <w:spacing w:val="-64"/>
        </w:rPr>
        <w:t> </w:t>
      </w:r>
      <w:r>
        <w:rPr>
          <w:spacing w:val="-64"/>
        </w:rPr>
      </w:r>
      <w:r>
        <w:rPr/>
        <w:t>分派现金股利或利润中应分得的部分，确认投资收益。由此调增</w:t>
      </w:r>
      <w:r>
        <w:rPr>
          <w:spacing w:val="-29"/>
        </w:rPr>
        <w:t> </w:t>
      </w:r>
      <w:r>
        <w:rPr/>
        <w:t>2006</w:t>
      </w:r>
      <w:r>
        <w:rPr>
          <w:spacing w:val="-29"/>
        </w:rPr>
        <w:t> </w:t>
      </w:r>
      <w:r>
        <w:rPr/>
        <w:t>年</w:t>
      </w:r>
      <w:r>
        <w:rPr>
          <w:spacing w:val="-29"/>
        </w:rPr>
        <w:t> </w:t>
      </w:r>
      <w:r>
        <w:rPr/>
        <w:t>12</w:t>
      </w:r>
      <w:r>
        <w:rPr>
          <w:spacing w:val="-29"/>
        </w:rPr>
        <w:t> </w:t>
      </w:r>
      <w:r>
        <w:rPr/>
        <w:t>月</w:t>
      </w:r>
    </w:p>
    <w:p>
      <w:pPr>
        <w:pStyle w:val="BodyText"/>
        <w:spacing w:line="310" w:lineRule="exact" w:before="0"/>
        <w:ind w:left="497" w:right="76"/>
        <w:jc w:val="left"/>
      </w:pPr>
      <w:r>
        <w:rPr/>
        <w:t>31 </w:t>
      </w:r>
      <w:r>
        <w:rPr>
          <w:spacing w:val="13"/>
        </w:rPr>
        <w:t>日未分配利润 </w:t>
      </w:r>
      <w:r>
        <w:rPr/>
        <w:t>11,399,823.63 </w:t>
      </w:r>
      <w:r>
        <w:rPr>
          <w:spacing w:val="11"/>
        </w:rPr>
        <w:t>元；调减 </w:t>
      </w:r>
      <w:r>
        <w:rPr/>
        <w:t>2006 年 12 月 31 </w:t>
      </w:r>
      <w:r>
        <w:rPr>
          <w:spacing w:val="51"/>
        </w:rPr>
        <w:t> </w:t>
      </w:r>
      <w:r>
        <w:rPr>
          <w:spacing w:val="12"/>
        </w:rPr>
        <w:t>日盈余公积</w:t>
      </w:r>
    </w:p>
    <w:p>
      <w:pPr>
        <w:pStyle w:val="BodyText"/>
        <w:spacing w:line="311" w:lineRule="exact" w:before="0"/>
        <w:ind w:left="497" w:right="76"/>
        <w:jc w:val="left"/>
      </w:pPr>
      <w:r>
        <w:rPr/>
        <w:t>11,399,823.63</w:t>
      </w:r>
      <w:r>
        <w:rPr>
          <w:spacing w:val="-66"/>
        </w:rPr>
        <w:t> </w:t>
      </w:r>
      <w:r>
        <w:rPr/>
        <w:t>元。</w:t>
      </w:r>
    </w:p>
    <w:p>
      <w:pPr>
        <w:pStyle w:val="BodyText"/>
        <w:spacing w:line="311" w:lineRule="exact" w:before="0"/>
        <w:ind w:left="977" w:right="76"/>
        <w:jc w:val="left"/>
      </w:pPr>
      <w:r>
        <w:rPr/>
        <w:t>③因少数股东权益纳入股东权益总数，由此调整</w:t>
      </w:r>
      <w:r>
        <w:rPr>
          <w:spacing w:val="-56"/>
        </w:rPr>
        <w:t> </w:t>
      </w:r>
      <w:r>
        <w:rPr/>
        <w:t>2006</w:t>
      </w:r>
      <w:r>
        <w:rPr>
          <w:spacing w:val="-55"/>
        </w:rPr>
        <w:t> </w:t>
      </w:r>
      <w:r>
        <w:rPr/>
        <w:t>年</w:t>
      </w:r>
      <w:r>
        <w:rPr>
          <w:spacing w:val="-55"/>
        </w:rPr>
        <w:t> </w:t>
      </w:r>
      <w:r>
        <w:rPr/>
        <w:t>12</w:t>
      </w:r>
      <w:r>
        <w:rPr>
          <w:spacing w:val="-55"/>
        </w:rPr>
        <w:t> </w:t>
      </w:r>
      <w:r>
        <w:rPr/>
        <w:t>月</w:t>
      </w:r>
      <w:r>
        <w:rPr>
          <w:spacing w:val="-56"/>
        </w:rPr>
        <w:t> </w:t>
      </w:r>
      <w:r>
        <w:rPr/>
        <w:t>31</w:t>
      </w:r>
      <w:r>
        <w:rPr>
          <w:spacing w:val="-55"/>
        </w:rPr>
        <w:t> </w:t>
      </w:r>
      <w:r>
        <w:rPr/>
        <w:t>日股东权</w:t>
      </w:r>
    </w:p>
    <w:p>
      <w:pPr>
        <w:pStyle w:val="BodyText"/>
        <w:spacing w:line="312" w:lineRule="exact" w:before="29"/>
        <w:ind w:left="497" w:right="76"/>
        <w:jc w:val="left"/>
      </w:pPr>
      <w:r>
        <w:rPr>
          <w:spacing w:val="-1"/>
          <w:w w:val="100"/>
        </w:rPr>
        <w:t>益金额</w:t>
      </w:r>
      <w:r>
        <w:rPr>
          <w:spacing w:val="-65"/>
          <w:w w:val="100"/>
        </w:rPr>
        <w:t> </w:t>
      </w:r>
      <w:r>
        <w:rPr>
          <w:spacing w:val="-1"/>
          <w:w w:val="100"/>
        </w:rPr>
        <w:t>13,367,268.17</w:t>
      </w:r>
      <w:r>
        <w:rPr>
          <w:spacing w:val="-65"/>
          <w:w w:val="100"/>
        </w:rPr>
        <w:t> </w:t>
      </w:r>
      <w:r>
        <w:rPr>
          <w:spacing w:val="-31"/>
          <w:w w:val="100"/>
        </w:rPr>
        <w:t>元；调增</w:t>
      </w:r>
      <w:r>
        <w:rPr>
          <w:spacing w:val="-65"/>
          <w:w w:val="100"/>
        </w:rPr>
        <w:t> </w:t>
      </w:r>
      <w:r>
        <w:rPr>
          <w:spacing w:val="-1"/>
          <w:w w:val="100"/>
        </w:rPr>
        <w:t>2005</w:t>
      </w:r>
      <w:r>
        <w:rPr>
          <w:spacing w:val="-65"/>
          <w:w w:val="100"/>
        </w:rPr>
        <w:t> </w:t>
      </w:r>
      <w:r>
        <w:rPr>
          <w:w w:val="100"/>
        </w:rPr>
        <w:t>年</w:t>
      </w:r>
      <w:r>
        <w:rPr>
          <w:spacing w:val="-65"/>
          <w:w w:val="100"/>
        </w:rPr>
        <w:t> </w:t>
      </w:r>
      <w:r>
        <w:rPr>
          <w:spacing w:val="-1"/>
          <w:w w:val="100"/>
        </w:rPr>
        <w:t>12</w:t>
      </w:r>
      <w:r>
        <w:rPr>
          <w:spacing w:val="-63"/>
          <w:w w:val="100"/>
        </w:rPr>
        <w:t> </w:t>
      </w:r>
      <w:r>
        <w:rPr>
          <w:w w:val="100"/>
        </w:rPr>
        <w:t>月</w:t>
      </w:r>
      <w:r>
        <w:rPr>
          <w:spacing w:val="-65"/>
          <w:w w:val="100"/>
        </w:rPr>
        <w:t> </w:t>
      </w:r>
      <w:r>
        <w:rPr>
          <w:spacing w:val="-1"/>
          <w:w w:val="100"/>
        </w:rPr>
        <w:t>31</w:t>
      </w:r>
      <w:r>
        <w:rPr>
          <w:spacing w:val="-65"/>
          <w:w w:val="100"/>
        </w:rPr>
        <w:t> </w:t>
      </w:r>
      <w:r>
        <w:rPr>
          <w:spacing w:val="-1"/>
          <w:w w:val="100"/>
        </w:rPr>
        <w:t>日股东权益金额</w:t>
      </w:r>
      <w:r>
        <w:rPr>
          <w:spacing w:val="-65"/>
          <w:w w:val="100"/>
        </w:rPr>
        <w:t> </w:t>
      </w:r>
      <w:r>
        <w:rPr>
          <w:spacing w:val="-1"/>
          <w:w w:val="100"/>
        </w:rPr>
        <w:t>17,713,135.12</w:t>
      </w:r>
      <w:r>
        <w:rPr>
          <w:spacing w:val="-1"/>
          <w:w w:val="100"/>
        </w:rPr>
        <w:t> </w:t>
      </w:r>
      <w:r>
        <w:rPr/>
        <w:t>元。</w:t>
      </w:r>
    </w:p>
    <w:p>
      <w:pPr>
        <w:pStyle w:val="BodyText"/>
        <w:spacing w:line="336" w:lineRule="auto" w:before="78"/>
        <w:ind w:left="497" w:right="76" w:firstLine="480"/>
        <w:jc w:val="left"/>
      </w:pPr>
      <w:r>
        <w:rPr>
          <w:spacing w:val="-5"/>
        </w:rPr>
        <w:t>本公司对于首次执行日有关资产、负债及股东权益项目的账面余额进行了复</w:t>
      </w:r>
      <w:r>
        <w:rPr>
          <w:spacing w:val="-2"/>
          <w:w w:val="100"/>
        </w:rPr>
        <w:t> </w:t>
      </w:r>
      <w:r>
        <w:rPr/>
        <w:t>核，复核修正结果及年初股东权益的调节过程如下：</w:t>
      </w:r>
    </w:p>
    <w:p>
      <w:pPr>
        <w:spacing w:line="361" w:lineRule="exact" w:before="0"/>
        <w:ind w:left="1680" w:right="76" w:firstLine="0"/>
        <w:jc w:val="left"/>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新旧会计准则股东权益差异调节表对比披露表</w:t>
      </w:r>
      <w:r>
        <w:rPr>
          <w:rFonts w:ascii="Microsoft JhengHei" w:hAnsi="Microsoft JhengHei" w:cs="Microsoft JhengHei" w:eastAsia="Microsoft JhengHei" w:hint="default"/>
          <w:sz w:val="32"/>
          <w:szCs w:val="32"/>
        </w:rPr>
      </w:r>
    </w:p>
    <w:p>
      <w:pPr>
        <w:pStyle w:val="BodyText"/>
        <w:tabs>
          <w:tab w:pos="6690" w:val="left" w:leader="none"/>
        </w:tabs>
        <w:spacing w:line="240" w:lineRule="auto" w:before="93"/>
        <w:ind w:left="497" w:right="76"/>
        <w:jc w:val="left"/>
      </w:pPr>
      <w:r>
        <w:rPr>
          <w:spacing w:val="-5"/>
        </w:rPr>
        <w:t>编制单位：东港安全印刷股份有限公司</w:t>
        <w:tab/>
      </w:r>
      <w:r>
        <w:rPr>
          <w:spacing w:val="-6"/>
        </w:rPr>
        <w:t>金额单位：人民币元</w:t>
      </w:r>
      <w:r>
        <w:rPr/>
      </w:r>
    </w:p>
    <w:p>
      <w:pPr>
        <w:spacing w:line="240" w:lineRule="auto" w:before="2"/>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578"/>
        <w:gridCol w:w="3450"/>
        <w:gridCol w:w="1621"/>
        <w:gridCol w:w="1529"/>
        <w:gridCol w:w="952"/>
        <w:gridCol w:w="959"/>
      </w:tblGrid>
      <w:tr>
        <w:trPr>
          <w:trHeight w:val="559"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75" w:right="0" w:firstLine="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编</w:t>
            </w:r>
            <w:r>
              <w:rPr>
                <w:rFonts w:ascii="Microsoft JhengHei" w:hAnsi="Microsoft JhengHei" w:cs="Microsoft JhengHei" w:eastAsia="Microsoft JhengHei" w:hint="default"/>
                <w:sz w:val="21"/>
                <w:szCs w:val="21"/>
              </w:rPr>
            </w:r>
          </w:p>
          <w:p>
            <w:pPr>
              <w:pStyle w:val="TableParagraph"/>
              <w:spacing w:line="319" w:lineRule="exact"/>
              <w:ind w:left="17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号</w:t>
            </w:r>
            <w:r>
              <w:rPr>
                <w:rFonts w:ascii="Microsoft JhengHei" w:hAnsi="Microsoft JhengHei" w:cs="Microsoft JhengHei" w:eastAsia="Microsoft JhengHei" w:hint="default"/>
                <w:sz w:val="21"/>
                <w:szCs w:val="21"/>
              </w:rPr>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项目名称</w:t>
            </w:r>
            <w:r>
              <w:rPr>
                <w:rFonts w:ascii="Microsoft JhengHei" w:hAnsi="Microsoft JhengHei" w:cs="Microsoft JhengHei" w:eastAsia="Microsoft JhengHei" w:hint="default"/>
                <w:sz w:val="21"/>
                <w:szCs w:val="21"/>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2007</w:t>
            </w:r>
            <w:r>
              <w:rPr>
                <w:rFonts w:ascii="Microsoft JhengHei" w:hAnsi="Microsoft JhengHei" w:cs="Microsoft JhengHei" w:eastAsia="Microsoft JhengHei" w:hint="default"/>
                <w:b/>
                <w:bCs/>
                <w:spacing w:val="-10"/>
                <w:w w:val="95"/>
                <w:sz w:val="21"/>
                <w:szCs w:val="21"/>
              </w:rPr>
              <w:t> </w:t>
            </w:r>
            <w:r>
              <w:rPr>
                <w:rFonts w:ascii="Microsoft JhengHei" w:hAnsi="Microsoft JhengHei" w:cs="Microsoft JhengHei" w:eastAsia="Microsoft JhengHei" w:hint="default"/>
                <w:b/>
                <w:bCs/>
                <w:w w:val="95"/>
                <w:sz w:val="21"/>
                <w:szCs w:val="21"/>
              </w:rPr>
              <w:t>年报披露</w:t>
            </w:r>
            <w:r>
              <w:rPr>
                <w:rFonts w:ascii="Microsoft JhengHei" w:hAnsi="Microsoft JhengHei" w:cs="Microsoft JhengHei" w:eastAsia="Microsoft JhengHei" w:hint="default"/>
                <w:w w:val="95"/>
                <w:sz w:val="21"/>
                <w:szCs w:val="21"/>
              </w:rPr>
            </w:r>
          </w:p>
          <w:p>
            <w:pPr>
              <w:pStyle w:val="TableParagraph"/>
              <w:spacing w:line="31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数</w:t>
            </w:r>
            <w:r>
              <w:rPr>
                <w:rFonts w:ascii="Microsoft JhengHei" w:hAnsi="Microsoft JhengHei" w:cs="Microsoft JhengHei" w:eastAsia="Microsoft JhengHei" w:hint="default"/>
                <w:sz w:val="21"/>
                <w:szCs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2006</w:t>
            </w:r>
            <w:r>
              <w:rPr>
                <w:rFonts w:ascii="Microsoft JhengHei" w:hAnsi="Microsoft JhengHei" w:cs="Microsoft JhengHei" w:eastAsia="Microsoft JhengHei" w:hint="default"/>
                <w:b/>
                <w:bCs/>
                <w:spacing w:val="-16"/>
                <w:w w:val="95"/>
                <w:sz w:val="21"/>
                <w:szCs w:val="21"/>
              </w:rPr>
              <w:t> </w:t>
            </w:r>
            <w:r>
              <w:rPr>
                <w:rFonts w:ascii="Microsoft JhengHei" w:hAnsi="Microsoft JhengHei" w:cs="Microsoft JhengHei" w:eastAsia="Microsoft JhengHei" w:hint="default"/>
                <w:b/>
                <w:bCs/>
                <w:w w:val="95"/>
                <w:sz w:val="21"/>
                <w:szCs w:val="21"/>
              </w:rPr>
              <w:t>年报原披</w:t>
            </w:r>
            <w:r>
              <w:rPr>
                <w:rFonts w:ascii="Microsoft JhengHei" w:hAnsi="Microsoft JhengHei" w:cs="Microsoft JhengHei" w:eastAsia="Microsoft JhengHei" w:hint="default"/>
                <w:w w:val="95"/>
                <w:sz w:val="21"/>
                <w:szCs w:val="21"/>
              </w:rPr>
            </w:r>
          </w:p>
          <w:p>
            <w:pPr>
              <w:pStyle w:val="TableParagraph"/>
              <w:spacing w:line="31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露数</w:t>
            </w:r>
            <w:r>
              <w:rPr>
                <w:rFonts w:ascii="Microsoft JhengHei" w:hAnsi="Microsoft JhengHei" w:cs="Microsoft JhengHei" w:eastAsia="Microsoft JhengHei" w:hint="default"/>
                <w:sz w:val="21"/>
                <w:szCs w:val="21"/>
              </w:rPr>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差异</w:t>
            </w:r>
            <w:r>
              <w:rPr>
                <w:rFonts w:ascii="Microsoft JhengHei" w:hAnsi="Microsoft JhengHei" w:cs="Microsoft JhengHei" w:eastAsia="Microsoft JhengHei" w:hint="default"/>
                <w:sz w:val="21"/>
                <w:szCs w:val="21"/>
              </w:rPr>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原因说</w:t>
            </w:r>
            <w:r>
              <w:rPr>
                <w:rFonts w:ascii="Microsoft JhengHei" w:hAnsi="Microsoft JhengHei" w:cs="Microsoft JhengHei" w:eastAsia="Microsoft JhengHei" w:hint="default"/>
                <w:sz w:val="21"/>
                <w:szCs w:val="21"/>
              </w:rPr>
            </w:r>
          </w:p>
          <w:p>
            <w:pPr>
              <w:pStyle w:val="TableParagraph"/>
              <w:spacing w:line="31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明</w:t>
            </w:r>
            <w:r>
              <w:rPr>
                <w:rFonts w:ascii="Microsoft JhengHei" w:hAnsi="Microsoft JhengHei" w:cs="Microsoft JhengHei" w:eastAsia="Microsoft JhengHei" w:hint="default"/>
                <w:sz w:val="21"/>
                <w:szCs w:val="21"/>
              </w:rPr>
            </w:r>
          </w:p>
        </w:tc>
      </w:tr>
      <w:tr>
        <w:trPr>
          <w:trHeight w:val="559" w:hRule="exact"/>
        </w:trPr>
        <w:tc>
          <w:tcPr>
            <w:tcW w:w="578" w:type="dxa"/>
            <w:tcBorders>
              <w:top w:val="single" w:sz="6" w:space="0" w:color="000000"/>
              <w:left w:val="single" w:sz="6" w:space="0" w:color="000000"/>
              <w:bottom w:val="single" w:sz="6" w:space="0" w:color="000000"/>
              <w:right w:val="single" w:sz="6" w:space="0" w:color="000000"/>
            </w:tcBorders>
          </w:tcPr>
          <w:p>
            <w:pP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9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2006</w:t>
            </w:r>
            <w:r>
              <w:rPr>
                <w:rFonts w:ascii="Microsoft JhengHei" w:hAnsi="Microsoft JhengHei" w:cs="Microsoft JhengHei" w:eastAsia="Microsoft JhengHei" w:hint="default"/>
                <w:b/>
                <w:bCs/>
                <w:spacing w:val="-29"/>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b/>
                <w:bCs/>
                <w:spacing w:val="-28"/>
                <w:sz w:val="21"/>
                <w:szCs w:val="21"/>
              </w:rPr>
              <w:t> </w:t>
            </w:r>
            <w:r>
              <w:rPr>
                <w:rFonts w:ascii="Microsoft JhengHei" w:hAnsi="Microsoft JhengHei" w:cs="Microsoft JhengHei" w:eastAsia="Microsoft JhengHei" w:hint="default"/>
                <w:b/>
                <w:bCs/>
                <w:sz w:val="21"/>
                <w:szCs w:val="21"/>
              </w:rPr>
              <w:t>12</w:t>
            </w:r>
            <w:r>
              <w:rPr>
                <w:rFonts w:ascii="Microsoft JhengHei" w:hAnsi="Microsoft JhengHei" w:cs="Microsoft JhengHei" w:eastAsia="Microsoft JhengHei" w:hint="default"/>
                <w:b/>
                <w:bCs/>
                <w:spacing w:val="-29"/>
                <w:sz w:val="21"/>
                <w:szCs w:val="21"/>
              </w:rPr>
              <w:t> </w:t>
            </w:r>
            <w:r>
              <w:rPr>
                <w:rFonts w:ascii="Microsoft JhengHei" w:hAnsi="Microsoft JhengHei" w:cs="Microsoft JhengHei" w:eastAsia="Microsoft JhengHei" w:hint="default"/>
                <w:b/>
                <w:bCs/>
                <w:sz w:val="21"/>
                <w:szCs w:val="21"/>
              </w:rPr>
              <w:t>月</w:t>
            </w:r>
            <w:r>
              <w:rPr>
                <w:rFonts w:ascii="Microsoft JhengHei" w:hAnsi="Microsoft JhengHei" w:cs="Microsoft JhengHei" w:eastAsia="Microsoft JhengHei" w:hint="default"/>
                <w:b/>
                <w:bCs/>
                <w:spacing w:val="-28"/>
                <w:sz w:val="21"/>
                <w:szCs w:val="21"/>
              </w:rPr>
              <w:t> </w:t>
            </w:r>
            <w:r>
              <w:rPr>
                <w:rFonts w:ascii="Microsoft JhengHei" w:hAnsi="Microsoft JhengHei" w:cs="Microsoft JhengHei" w:eastAsia="Microsoft JhengHei" w:hint="default"/>
                <w:b/>
                <w:bCs/>
                <w:sz w:val="21"/>
                <w:szCs w:val="21"/>
              </w:rPr>
              <w:t>31</w:t>
            </w:r>
            <w:r>
              <w:rPr>
                <w:rFonts w:ascii="Microsoft JhengHei" w:hAnsi="Microsoft JhengHei" w:cs="Microsoft JhengHei" w:eastAsia="Microsoft JhengHei" w:hint="default"/>
                <w:b/>
                <w:bCs/>
                <w:spacing w:val="-28"/>
                <w:sz w:val="21"/>
                <w:szCs w:val="21"/>
              </w:rPr>
              <w:t> </w:t>
            </w:r>
            <w:r>
              <w:rPr>
                <w:rFonts w:ascii="Microsoft JhengHei" w:hAnsi="Microsoft JhengHei" w:cs="Microsoft JhengHei" w:eastAsia="Microsoft JhengHei" w:hint="default"/>
                <w:b/>
                <w:bCs/>
                <w:sz w:val="21"/>
                <w:szCs w:val="21"/>
              </w:rPr>
              <w:t>日股东权益（原会</w:t>
            </w:r>
            <w:r>
              <w:rPr>
                <w:rFonts w:ascii="Microsoft JhengHei" w:hAnsi="Microsoft JhengHei" w:cs="Microsoft JhengHei" w:eastAsia="Microsoft JhengHei" w:hint="default"/>
                <w:sz w:val="21"/>
                <w:szCs w:val="21"/>
              </w:rPr>
            </w:r>
          </w:p>
          <w:p>
            <w:pPr>
              <w:pStyle w:val="TableParagraph"/>
              <w:spacing w:line="319" w:lineRule="exact"/>
              <w:ind w:left="9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计准则）</w:t>
            </w:r>
            <w:r>
              <w:rPr>
                <w:rFonts w:ascii="Microsoft JhengHei" w:hAnsi="Microsoft JhengHei" w:cs="Microsoft JhengHei" w:eastAsia="Microsoft JhengHei" w:hint="default"/>
                <w:sz w:val="21"/>
                <w:szCs w:val="21"/>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92" w:right="0"/>
              <w:jc w:val="left"/>
              <w:rPr>
                <w:rFonts w:ascii="Times New Roman" w:hAnsi="Times New Roman" w:cs="Times New Roman" w:eastAsia="Times New Roman" w:hint="default"/>
                <w:sz w:val="21"/>
                <w:szCs w:val="21"/>
              </w:rPr>
            </w:pPr>
            <w:r>
              <w:rPr>
                <w:rFonts w:ascii="Times New Roman"/>
                <w:sz w:val="21"/>
              </w:rPr>
              <w:t>197,633,157.72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197,633,157.72</w:t>
            </w: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w:t>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长期股权投资差额</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578" w:type="dxa"/>
            <w:tcBorders>
              <w:top w:val="single" w:sz="6" w:space="0" w:color="000000"/>
              <w:left w:val="single" w:sz="6" w:space="0" w:color="000000"/>
              <w:bottom w:val="single" w:sz="6" w:space="0" w:color="000000"/>
              <w:right w:val="single" w:sz="6" w:space="0" w:color="000000"/>
            </w:tcBorders>
          </w:tcPr>
          <w:p>
            <w:pP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其中：同一控制下企业合并形成的</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长期股权投资差额</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578" w:type="dxa"/>
            <w:tcBorders>
              <w:top w:val="single" w:sz="6" w:space="0" w:color="000000"/>
              <w:left w:val="single" w:sz="6" w:space="0" w:color="000000"/>
              <w:bottom w:val="single" w:sz="6" w:space="0" w:color="000000"/>
              <w:right w:val="single" w:sz="6" w:space="0" w:color="000000"/>
            </w:tcBorders>
          </w:tcPr>
          <w:p>
            <w:pP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29" w:right="0"/>
              <w:jc w:val="left"/>
              <w:rPr>
                <w:rFonts w:ascii="宋体" w:hAnsi="宋体" w:cs="宋体" w:eastAsia="宋体" w:hint="default"/>
                <w:sz w:val="21"/>
                <w:szCs w:val="21"/>
              </w:rPr>
            </w:pPr>
            <w:r>
              <w:rPr>
                <w:rFonts w:ascii="宋体" w:hAnsi="宋体" w:cs="宋体" w:eastAsia="宋体" w:hint="default"/>
                <w:spacing w:val="7"/>
                <w:sz w:val="21"/>
                <w:szCs w:val="21"/>
              </w:rPr>
              <w:t>其他采用权益法核算的长期</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股权投资贷方差额</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w:t>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拟以公允价值模式计量的投资性房</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地产</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w:t>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因预计资产弃置费用应补提的以前</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年度折旧等</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469"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4</w:t>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99" w:right="0"/>
              <w:jc w:val="left"/>
              <w:rPr>
                <w:rFonts w:ascii="宋体" w:hAnsi="宋体" w:cs="宋体" w:eastAsia="宋体" w:hint="default"/>
                <w:sz w:val="21"/>
                <w:szCs w:val="21"/>
              </w:rPr>
            </w:pPr>
            <w:r>
              <w:rPr>
                <w:rFonts w:ascii="宋体" w:hAnsi="宋体" w:cs="宋体" w:eastAsia="宋体" w:hint="default"/>
                <w:sz w:val="21"/>
                <w:szCs w:val="21"/>
              </w:rPr>
              <w:t>符合预计负债确认条件的辞退补偿</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469"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5</w:t>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99"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469"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6</w:t>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99" w:right="0"/>
              <w:jc w:val="left"/>
              <w:rPr>
                <w:rFonts w:ascii="宋体" w:hAnsi="宋体" w:cs="宋体" w:eastAsia="宋体" w:hint="default"/>
                <w:sz w:val="21"/>
                <w:szCs w:val="21"/>
              </w:rPr>
            </w:pPr>
            <w:r>
              <w:rPr>
                <w:rFonts w:ascii="宋体" w:hAnsi="宋体" w:cs="宋体" w:eastAsia="宋体" w:hint="default"/>
                <w:sz w:val="21"/>
                <w:szCs w:val="21"/>
              </w:rPr>
              <w:t>符合预计负债确认条件的重组义务</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469"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7</w:t>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99" w:right="0"/>
              <w:jc w:val="left"/>
              <w:rPr>
                <w:rFonts w:ascii="宋体" w:hAnsi="宋体" w:cs="宋体" w:eastAsia="宋体" w:hint="default"/>
                <w:sz w:val="21"/>
                <w:szCs w:val="21"/>
              </w:rPr>
            </w:pPr>
            <w:r>
              <w:rPr>
                <w:rFonts w:ascii="宋体" w:hAnsi="宋体" w:cs="宋体" w:eastAsia="宋体" w:hint="default"/>
                <w:sz w:val="21"/>
                <w:szCs w:val="21"/>
              </w:rPr>
              <w:t>企业合并</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578" w:type="dxa"/>
            <w:tcBorders>
              <w:top w:val="single" w:sz="6" w:space="0" w:color="000000"/>
              <w:left w:val="single" w:sz="6" w:space="0" w:color="000000"/>
              <w:bottom w:val="single" w:sz="6" w:space="0" w:color="000000"/>
              <w:right w:val="single" w:sz="6" w:space="0" w:color="000000"/>
            </w:tcBorders>
          </w:tcPr>
          <w:p>
            <w:pP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其中：同一控制下企业合并商誉的</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578" w:type="dxa"/>
            <w:tcBorders>
              <w:top w:val="single" w:sz="6" w:space="0" w:color="000000"/>
              <w:left w:val="single" w:sz="6" w:space="0" w:color="000000"/>
              <w:bottom w:val="single" w:sz="6" w:space="0" w:color="000000"/>
              <w:right w:val="single" w:sz="6" w:space="0" w:color="000000"/>
            </w:tcBorders>
          </w:tcPr>
          <w:p>
            <w:pP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29" w:right="0"/>
              <w:jc w:val="left"/>
              <w:rPr>
                <w:rFonts w:ascii="宋体" w:hAnsi="宋体" w:cs="宋体" w:eastAsia="宋体" w:hint="default"/>
                <w:sz w:val="21"/>
                <w:szCs w:val="21"/>
              </w:rPr>
            </w:pPr>
            <w:r>
              <w:rPr>
                <w:rFonts w:ascii="宋体" w:hAnsi="宋体" w:cs="宋体" w:eastAsia="宋体" w:hint="default"/>
                <w:spacing w:val="7"/>
                <w:sz w:val="21"/>
                <w:szCs w:val="21"/>
              </w:rPr>
              <w:t>根据新准则计提的商誉减值</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8</w:t>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以公允价值计量且其变动计入当期</w:t>
            </w:r>
            <w:r>
              <w:rPr>
                <w:rFonts w:ascii="宋体" w:hAnsi="宋体" w:cs="宋体" w:eastAsia="宋体" w:hint="default"/>
                <w:sz w:val="21"/>
                <w:szCs w:val="21"/>
              </w:rPr>
            </w:r>
          </w:p>
          <w:p>
            <w:pPr>
              <w:pStyle w:val="TableParagraph"/>
              <w:spacing w:line="272" w:lineRule="exact" w:before="26"/>
              <w:ind w:left="99" w:right="93"/>
              <w:jc w:val="left"/>
              <w:rPr>
                <w:rFonts w:ascii="宋体" w:hAnsi="宋体" w:cs="宋体" w:eastAsia="宋体" w:hint="default"/>
                <w:sz w:val="21"/>
                <w:szCs w:val="21"/>
              </w:rPr>
            </w:pPr>
            <w:r>
              <w:rPr>
                <w:rFonts w:ascii="宋体" w:hAnsi="宋体" w:cs="宋体" w:eastAsia="宋体" w:hint="default"/>
                <w:spacing w:val="6"/>
                <w:sz w:val="21"/>
                <w:szCs w:val="21"/>
              </w:rPr>
              <w:t>损益的金融资产以及可供出售金融 </w:t>
            </w:r>
            <w:r>
              <w:rPr>
                <w:rFonts w:ascii="宋体" w:hAnsi="宋体" w:cs="宋体" w:eastAsia="宋体" w:hint="default"/>
                <w:sz w:val="21"/>
                <w:szCs w:val="21"/>
              </w:rPr>
              <w:t>资产</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40" w:footer="1712" w:top="1160" w:bottom="1900" w:left="1300" w:right="1280"/>
        </w:sectPr>
      </w:pPr>
    </w:p>
    <w:p>
      <w:pPr>
        <w:spacing w:line="240" w:lineRule="auto" w:before="5"/>
        <w:rPr>
          <w:rFonts w:ascii="宋体" w:hAnsi="宋体" w:cs="宋体" w:eastAsia="宋体" w:hint="default"/>
          <w:sz w:val="2"/>
          <w:szCs w:val="2"/>
        </w:rPr>
      </w:pPr>
      <w:r>
        <w:rPr/>
        <w:pict>
          <v:shape style="position:absolute;margin-left:90.18pt;margin-top:41.999668pt;width:18.240pt;height:15.719999pt;mso-position-horizontal-relative:page;mso-position-vertical-relative:page;z-index:-594352" type="#_x0000_t75" stroked="false">
            <v:imagedata r:id="rId11" o:title=""/>
          </v:shape>
        </w:pict>
      </w:r>
    </w:p>
    <w:tbl>
      <w:tblPr>
        <w:tblW w:w="0" w:type="auto"/>
        <w:jc w:val="left"/>
        <w:tblInd w:w="101" w:type="dxa"/>
        <w:tblLayout w:type="fixed"/>
        <w:tblCellMar>
          <w:top w:w="0" w:type="dxa"/>
          <w:left w:w="0" w:type="dxa"/>
          <w:bottom w:w="0" w:type="dxa"/>
          <w:right w:w="0" w:type="dxa"/>
        </w:tblCellMar>
        <w:tblLook w:val="01E0"/>
      </w:tblPr>
      <w:tblGrid>
        <w:gridCol w:w="578"/>
        <w:gridCol w:w="3450"/>
        <w:gridCol w:w="1621"/>
        <w:gridCol w:w="1529"/>
        <w:gridCol w:w="952"/>
        <w:gridCol w:w="959"/>
      </w:tblGrid>
      <w:tr>
        <w:trPr>
          <w:trHeight w:val="574"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6"/>
              <w:ind w:right="0"/>
              <w:jc w:val="center"/>
              <w:rPr>
                <w:rFonts w:ascii="宋体" w:hAnsi="宋体" w:cs="宋体" w:eastAsia="宋体" w:hint="default"/>
                <w:sz w:val="21"/>
                <w:szCs w:val="21"/>
              </w:rPr>
            </w:pPr>
            <w:r>
              <w:rPr>
                <w:rFonts w:ascii="宋体"/>
                <w:sz w:val="21"/>
              </w:rPr>
              <w:t>9</w:t>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
              <w:ind w:left="99" w:right="93"/>
              <w:jc w:val="left"/>
              <w:rPr>
                <w:rFonts w:ascii="宋体" w:hAnsi="宋体" w:cs="宋体" w:eastAsia="宋体" w:hint="default"/>
                <w:sz w:val="21"/>
                <w:szCs w:val="21"/>
              </w:rPr>
            </w:pPr>
            <w:r>
              <w:rPr>
                <w:rFonts w:ascii="宋体" w:hAnsi="宋体" w:cs="宋体" w:eastAsia="宋体" w:hint="default"/>
                <w:spacing w:val="6"/>
                <w:sz w:val="21"/>
                <w:szCs w:val="21"/>
              </w:rPr>
              <w:t>以公允价值计量且其变动计入当期 </w:t>
            </w:r>
            <w:r>
              <w:rPr>
                <w:rFonts w:ascii="宋体" w:hAnsi="宋体" w:cs="宋体" w:eastAsia="宋体" w:hint="default"/>
                <w:sz w:val="21"/>
                <w:szCs w:val="21"/>
              </w:rPr>
              <w:t>损益的金融负债</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12"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469"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10</w:t>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98" w:right="0"/>
              <w:jc w:val="left"/>
              <w:rPr>
                <w:rFonts w:ascii="宋体" w:hAnsi="宋体" w:cs="宋体" w:eastAsia="宋体" w:hint="default"/>
                <w:sz w:val="21"/>
                <w:szCs w:val="21"/>
              </w:rPr>
            </w:pPr>
            <w:r>
              <w:rPr>
                <w:rFonts w:ascii="宋体" w:hAnsi="宋体" w:cs="宋体" w:eastAsia="宋体" w:hint="default"/>
                <w:sz w:val="21"/>
                <w:szCs w:val="21"/>
              </w:rPr>
              <w:t>金融工具分拆增加的权益</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335"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right="0"/>
              <w:jc w:val="center"/>
              <w:rPr>
                <w:rFonts w:ascii="宋体" w:hAnsi="宋体" w:cs="宋体" w:eastAsia="宋体" w:hint="default"/>
                <w:sz w:val="21"/>
                <w:szCs w:val="21"/>
              </w:rPr>
            </w:pPr>
            <w:r>
              <w:rPr>
                <w:rFonts w:ascii="宋体"/>
                <w:sz w:val="21"/>
              </w:rPr>
              <w:t>11</w:t>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98" w:right="0"/>
              <w:jc w:val="left"/>
              <w:rPr>
                <w:rFonts w:ascii="宋体" w:hAnsi="宋体" w:cs="宋体" w:eastAsia="宋体" w:hint="default"/>
                <w:sz w:val="21"/>
                <w:szCs w:val="21"/>
              </w:rPr>
            </w:pPr>
            <w:r>
              <w:rPr>
                <w:rFonts w:ascii="宋体" w:hAnsi="宋体" w:cs="宋体" w:eastAsia="宋体" w:hint="default"/>
                <w:sz w:val="21"/>
                <w:szCs w:val="21"/>
              </w:rPr>
              <w:t>衍生金融工具</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469"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12</w:t>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99"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1"/>
              <w:jc w:val="right"/>
              <w:rPr>
                <w:rFonts w:ascii="Times New Roman" w:hAnsi="Times New Roman" w:cs="Times New Roman" w:eastAsia="Times New Roman" w:hint="default"/>
                <w:sz w:val="21"/>
                <w:szCs w:val="21"/>
              </w:rPr>
            </w:pPr>
            <w:r>
              <w:rPr>
                <w:rFonts w:ascii="Times New Roman"/>
                <w:spacing w:val="-1"/>
                <w:sz w:val="21"/>
              </w:rPr>
              <w:t>632,671.10</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00"/>
              <w:jc w:val="right"/>
              <w:rPr>
                <w:rFonts w:ascii="Times New Roman" w:hAnsi="Times New Roman" w:cs="Times New Roman" w:eastAsia="Times New Roman" w:hint="default"/>
                <w:sz w:val="21"/>
                <w:szCs w:val="21"/>
              </w:rPr>
            </w:pPr>
            <w:r>
              <w:rPr>
                <w:rFonts w:ascii="Times New Roman"/>
                <w:spacing w:val="-1"/>
                <w:sz w:val="21"/>
              </w:rPr>
              <w:t>632,671.10</w:t>
            </w:r>
            <w:r>
              <w:rPr>
                <w:rFonts w:ascii="Times New Roman"/>
                <w:sz w:val="21"/>
              </w:rPr>
            </w: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13</w:t>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13,367,268.17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13,371,475.49</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4,207.32</w:t>
            </w:r>
            <w:r>
              <w:rPr>
                <w:rFonts w:ascii="Times New Roman"/>
                <w:sz w:val="21"/>
              </w:rPr>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7"/>
                <w:sz w:val="21"/>
                <w:szCs w:val="21"/>
              </w:rPr>
              <w:t>修正上</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2" w:lineRule="exact" w:before="26"/>
              <w:ind w:left="100" w:right="42"/>
              <w:jc w:val="left"/>
              <w:rPr>
                <w:rFonts w:ascii="宋体" w:hAnsi="宋体" w:cs="宋体" w:eastAsia="宋体" w:hint="default"/>
                <w:sz w:val="21"/>
                <w:szCs w:val="21"/>
              </w:rPr>
            </w:pPr>
            <w:r>
              <w:rPr>
                <w:rFonts w:ascii="宋体" w:hAnsi="宋体" w:cs="宋体" w:eastAsia="宋体" w:hint="default"/>
                <w:spacing w:val="37"/>
                <w:sz w:val="21"/>
                <w:szCs w:val="21"/>
              </w:rPr>
              <w:t>年调整</w:t>
            </w:r>
            <w:r>
              <w:rPr>
                <w:rFonts w:ascii="宋体" w:hAnsi="宋体" w:cs="宋体" w:eastAsia="宋体" w:hint="default"/>
                <w:spacing w:val="-49"/>
                <w:sz w:val="21"/>
                <w:szCs w:val="21"/>
              </w:rPr>
              <w:t> </w:t>
            </w:r>
            <w:r>
              <w:rPr>
                <w:rFonts w:ascii="宋体" w:hAnsi="宋体" w:cs="宋体" w:eastAsia="宋体" w:hint="default"/>
                <w:sz w:val="21"/>
                <w:szCs w:val="21"/>
              </w:rPr>
              <w:t>差异</w:t>
            </w:r>
          </w:p>
        </w:tc>
      </w:tr>
      <w:tr>
        <w:trPr>
          <w:trHeight w:val="288"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w:t>
            </w: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21"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52"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578" w:type="dxa"/>
            <w:tcBorders>
              <w:top w:val="single" w:sz="6" w:space="0" w:color="000000"/>
              <w:left w:val="single" w:sz="6" w:space="0" w:color="000000"/>
              <w:bottom w:val="single" w:sz="6" w:space="0" w:color="000000"/>
              <w:right w:val="single" w:sz="6" w:space="0" w:color="000000"/>
            </w:tcBorders>
          </w:tcPr>
          <w:p>
            <w:pPr/>
          </w:p>
        </w:tc>
        <w:tc>
          <w:tcPr>
            <w:tcW w:w="345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9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2007</w:t>
            </w:r>
            <w:r>
              <w:rPr>
                <w:rFonts w:ascii="Microsoft JhengHei" w:hAnsi="Microsoft JhengHei" w:cs="Microsoft JhengHei" w:eastAsia="Microsoft JhengHei" w:hint="default"/>
                <w:b/>
                <w:bCs/>
                <w:spacing w:val="-19"/>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b/>
                <w:bCs/>
                <w:spacing w:val="-18"/>
                <w:sz w:val="21"/>
                <w:szCs w:val="21"/>
              </w:rPr>
              <w:t> </w:t>
            </w:r>
            <w:r>
              <w:rPr>
                <w:rFonts w:ascii="Microsoft JhengHei" w:hAnsi="Microsoft JhengHei" w:cs="Microsoft JhengHei" w:eastAsia="Microsoft JhengHei" w:hint="default"/>
                <w:b/>
                <w:bCs/>
                <w:sz w:val="21"/>
                <w:szCs w:val="21"/>
              </w:rPr>
              <w:t>1</w:t>
            </w:r>
            <w:r>
              <w:rPr>
                <w:rFonts w:ascii="Microsoft JhengHei" w:hAnsi="Microsoft JhengHei" w:cs="Microsoft JhengHei" w:eastAsia="Microsoft JhengHei" w:hint="default"/>
                <w:b/>
                <w:bCs/>
                <w:spacing w:val="-19"/>
                <w:sz w:val="21"/>
                <w:szCs w:val="21"/>
              </w:rPr>
              <w:t> </w:t>
            </w:r>
            <w:r>
              <w:rPr>
                <w:rFonts w:ascii="Microsoft JhengHei" w:hAnsi="Microsoft JhengHei" w:cs="Microsoft JhengHei" w:eastAsia="Microsoft JhengHei" w:hint="default"/>
                <w:b/>
                <w:bCs/>
                <w:sz w:val="21"/>
                <w:szCs w:val="21"/>
              </w:rPr>
              <w:t>月</w:t>
            </w:r>
            <w:r>
              <w:rPr>
                <w:rFonts w:ascii="Microsoft JhengHei" w:hAnsi="Microsoft JhengHei" w:cs="Microsoft JhengHei" w:eastAsia="Microsoft JhengHei" w:hint="default"/>
                <w:b/>
                <w:bCs/>
                <w:spacing w:val="-19"/>
                <w:sz w:val="21"/>
                <w:szCs w:val="21"/>
              </w:rPr>
              <w:t> </w:t>
            </w:r>
            <w:r>
              <w:rPr>
                <w:rFonts w:ascii="Microsoft JhengHei" w:hAnsi="Microsoft JhengHei" w:cs="Microsoft JhengHei" w:eastAsia="Microsoft JhengHei" w:hint="default"/>
                <w:b/>
                <w:bCs/>
                <w:sz w:val="21"/>
                <w:szCs w:val="21"/>
              </w:rPr>
              <w:t>1</w:t>
            </w:r>
            <w:r>
              <w:rPr>
                <w:rFonts w:ascii="Microsoft JhengHei" w:hAnsi="Microsoft JhengHei" w:cs="Microsoft JhengHei" w:eastAsia="Microsoft JhengHei" w:hint="default"/>
                <w:b/>
                <w:bCs/>
                <w:spacing w:val="-19"/>
                <w:sz w:val="21"/>
                <w:szCs w:val="21"/>
              </w:rPr>
              <w:t> </w:t>
            </w:r>
            <w:r>
              <w:rPr>
                <w:rFonts w:ascii="Microsoft JhengHei" w:hAnsi="Microsoft JhengHei" w:cs="Microsoft JhengHei" w:eastAsia="Microsoft JhengHei" w:hint="default"/>
                <w:b/>
                <w:bCs/>
                <w:sz w:val="21"/>
                <w:szCs w:val="21"/>
              </w:rPr>
              <w:t>日股东权益（新会计</w:t>
            </w:r>
            <w:r>
              <w:rPr>
                <w:rFonts w:ascii="Microsoft JhengHei" w:hAnsi="Microsoft JhengHei" w:cs="Microsoft JhengHei" w:eastAsia="Microsoft JhengHei" w:hint="default"/>
                <w:sz w:val="21"/>
                <w:szCs w:val="21"/>
              </w:rPr>
            </w:r>
          </w:p>
          <w:p>
            <w:pPr>
              <w:pStyle w:val="TableParagraph"/>
              <w:spacing w:line="319" w:lineRule="exact"/>
              <w:ind w:left="9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准则）</w:t>
            </w:r>
            <w:r>
              <w:rPr>
                <w:rFonts w:ascii="Microsoft JhengHei" w:hAnsi="Microsoft JhengHei" w:cs="Microsoft JhengHei" w:eastAsia="Microsoft JhengHei" w:hint="default"/>
                <w:sz w:val="21"/>
                <w:szCs w:val="21"/>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9" w:right="0"/>
              <w:jc w:val="left"/>
              <w:rPr>
                <w:rFonts w:ascii="Times New Roman" w:hAnsi="Times New Roman" w:cs="Times New Roman" w:eastAsia="Times New Roman" w:hint="default"/>
                <w:sz w:val="21"/>
                <w:szCs w:val="21"/>
              </w:rPr>
            </w:pPr>
            <w:r>
              <w:rPr>
                <w:rFonts w:ascii="Times New Roman"/>
                <w:sz w:val="21"/>
              </w:rPr>
              <w:t>211,633,096.99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211,637,304.31</w:t>
            </w:r>
          </w:p>
        </w:tc>
        <w:tc>
          <w:tcPr>
            <w:tcW w:w="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4,207.32</w:t>
            </w:r>
          </w:p>
        </w:tc>
        <w:tc>
          <w:tcPr>
            <w:tcW w:w="95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3"/>
        <w:tabs>
          <w:tab w:pos="1757" w:val="left" w:leader="none"/>
        </w:tabs>
        <w:spacing w:line="368" w:lineRule="exact"/>
        <w:ind w:left="980" w:right="76"/>
        <w:jc w:val="left"/>
        <w:rPr>
          <w:b w:val="0"/>
          <w:bCs w:val="0"/>
        </w:rPr>
      </w:pPr>
      <w:r>
        <w:rPr>
          <w:w w:val="90"/>
        </w:rPr>
        <w:t>29、</w:t>
        <w:tab/>
      </w:r>
      <w:r>
        <w:rPr/>
        <w:t>前期差错</w:t>
      </w:r>
      <w:r>
        <w:rPr>
          <w:b w:val="0"/>
          <w:bCs w:val="0"/>
        </w:rPr>
      </w:r>
    </w:p>
    <w:p>
      <w:pPr>
        <w:pStyle w:val="BodyText"/>
        <w:spacing w:line="240" w:lineRule="auto" w:before="99"/>
        <w:ind w:left="977" w:right="76"/>
        <w:jc w:val="left"/>
      </w:pPr>
      <w:r>
        <w:rPr/>
        <w:t>本公司无应披露的前期会计差错。</w:t>
      </w:r>
    </w:p>
    <w:p>
      <w:pPr>
        <w:spacing w:line="295" w:lineRule="auto" w:before="170"/>
        <w:ind w:left="977" w:right="7257"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五、税项</w:t>
      </w:r>
      <w:r>
        <w:rPr>
          <w:rFonts w:ascii="Microsoft JhengHei" w:hAnsi="Microsoft JhengHei" w:cs="Microsoft JhengHei" w:eastAsia="Microsoft JhengHei" w:hint="default"/>
          <w:b/>
          <w:bCs/>
          <w:spacing w:val="-58"/>
          <w:sz w:val="24"/>
          <w:szCs w:val="24"/>
        </w:rPr>
        <w:t> </w:t>
      </w:r>
      <w:r>
        <w:rPr>
          <w:rFonts w:ascii="宋体" w:hAnsi="宋体" w:cs="宋体" w:eastAsia="宋体" w:hint="default"/>
          <w:spacing w:val="-2"/>
          <w:sz w:val="24"/>
          <w:szCs w:val="24"/>
        </w:rPr>
        <w:t>1、增值税</w:t>
      </w:r>
      <w:r>
        <w:rPr>
          <w:rFonts w:ascii="宋体" w:hAnsi="宋体" w:cs="宋体" w:eastAsia="宋体" w:hint="default"/>
          <w:sz w:val="24"/>
          <w:szCs w:val="24"/>
        </w:rPr>
      </w:r>
    </w:p>
    <w:p>
      <w:pPr>
        <w:pStyle w:val="BodyText"/>
        <w:spacing w:line="336" w:lineRule="auto" w:before="71"/>
        <w:ind w:left="497" w:right="512" w:firstLine="480"/>
        <w:jc w:val="both"/>
      </w:pPr>
      <w:r>
        <w:rPr>
          <w:spacing w:val="-5"/>
        </w:rPr>
        <w:t>本公司为增值税一般纳税人，增值税应纳税额为当期销项税额抵减可以抵扣</w:t>
      </w:r>
      <w:r>
        <w:rPr>
          <w:spacing w:val="-2"/>
          <w:w w:val="100"/>
        </w:rPr>
        <w:t> </w:t>
      </w:r>
      <w:r>
        <w:rPr>
          <w:spacing w:val="-2"/>
        </w:rPr>
        <w:t>的进项税额后的余额，增值税的销项税率为</w:t>
      </w:r>
      <w:r>
        <w:rPr>
          <w:spacing w:val="-36"/>
        </w:rPr>
        <w:t> </w:t>
      </w:r>
      <w:r>
        <w:rPr>
          <w:spacing w:val="-2"/>
        </w:rPr>
        <w:t>17%。</w:t>
      </w:r>
      <w:r>
        <w:rPr/>
      </w:r>
    </w:p>
    <w:p>
      <w:pPr>
        <w:pStyle w:val="BodyText"/>
        <w:spacing w:line="336" w:lineRule="auto" w:before="29"/>
        <w:ind w:left="977" w:right="5878"/>
        <w:jc w:val="left"/>
      </w:pPr>
      <w:r>
        <w:rPr/>
        <w:t>2、营业税</w:t>
      </w:r>
      <w:r>
        <w:rPr>
          <w:spacing w:val="-2"/>
          <w:w w:val="100"/>
        </w:rPr>
        <w:t> </w:t>
      </w:r>
      <w:r>
        <w:rPr/>
        <w:t>按应税收入的</w:t>
      </w:r>
      <w:r>
        <w:rPr>
          <w:spacing w:val="-71"/>
        </w:rPr>
        <w:t> </w:t>
      </w:r>
      <w:r>
        <w:rPr/>
        <w:t>5%计缴。</w:t>
      </w:r>
    </w:p>
    <w:p>
      <w:pPr>
        <w:pStyle w:val="BodyText"/>
        <w:spacing w:line="336" w:lineRule="auto"/>
        <w:ind w:left="977" w:right="4430"/>
        <w:jc w:val="left"/>
      </w:pPr>
      <w:r>
        <w:rPr/>
        <w:t>3、城市维护建设税、教育费附加</w:t>
      </w:r>
      <w:r>
        <w:rPr>
          <w:spacing w:val="-2"/>
          <w:w w:val="100"/>
        </w:rPr>
        <w:t> </w:t>
      </w:r>
      <w:r>
        <w:rPr/>
        <w:t>按应交流转税额的</w:t>
      </w:r>
      <w:r>
        <w:rPr>
          <w:spacing w:val="-63"/>
        </w:rPr>
        <w:t> </w:t>
      </w:r>
      <w:r>
        <w:rPr/>
        <w:t>7%(5%)、3%计缴。</w:t>
      </w:r>
      <w:r>
        <w:rPr>
          <w:spacing w:val="-1"/>
          <w:w w:val="100"/>
        </w:rPr>
        <w:t> </w:t>
      </w:r>
      <w:r>
        <w:rPr/>
        <w:t>4、企业所得税</w:t>
      </w:r>
    </w:p>
    <w:p>
      <w:pPr>
        <w:pStyle w:val="BodyText"/>
        <w:spacing w:line="336" w:lineRule="auto"/>
        <w:ind w:left="497" w:right="486" w:firstLine="480"/>
        <w:jc w:val="both"/>
      </w:pPr>
      <w:r>
        <w:rPr/>
        <w:t>本公司根据 2003 年济南市国家税务局济国税函（2003）240</w:t>
      </w:r>
      <w:r>
        <w:rPr>
          <w:spacing w:val="-75"/>
        </w:rPr>
        <w:t> </w:t>
      </w:r>
      <w:r>
        <w:rPr>
          <w:spacing w:val="-3"/>
        </w:rPr>
        <w:t>号《济南市国</w:t>
      </w:r>
      <w:r>
        <w:rPr>
          <w:spacing w:val="-1"/>
          <w:w w:val="100"/>
        </w:rPr>
        <w:t> </w:t>
      </w:r>
      <w:r>
        <w:rPr/>
        <w:t>家税务局关于济南东港安全印刷股份有限公司享受外商投资企业所得税优惠税</w:t>
      </w:r>
      <w:r>
        <w:rPr>
          <w:spacing w:val="19"/>
        </w:rPr>
        <w:t> </w:t>
      </w:r>
      <w:r>
        <w:rPr>
          <w:spacing w:val="19"/>
        </w:rPr>
      </w:r>
      <w:r>
        <w:rPr>
          <w:spacing w:val="-17"/>
          <w:w w:val="100"/>
        </w:rPr>
        <w:t>率问题的批复》，</w:t>
      </w:r>
      <w:r>
        <w:rPr>
          <w:spacing w:val="-1"/>
          <w:w w:val="100"/>
        </w:rPr>
        <w:t> 2003</w:t>
      </w:r>
      <w:r>
        <w:rPr>
          <w:spacing w:val="-61"/>
          <w:w w:val="100"/>
        </w:rPr>
        <w:t> </w:t>
      </w:r>
      <w:r>
        <w:rPr>
          <w:spacing w:val="-1"/>
          <w:w w:val="100"/>
        </w:rPr>
        <w:t>年和</w:t>
      </w:r>
      <w:r>
        <w:rPr>
          <w:spacing w:val="-62"/>
          <w:w w:val="100"/>
        </w:rPr>
        <w:t> </w:t>
      </w:r>
      <w:r>
        <w:rPr>
          <w:spacing w:val="-1"/>
          <w:w w:val="100"/>
        </w:rPr>
        <w:t>2004 年减按</w:t>
      </w:r>
      <w:r>
        <w:rPr>
          <w:spacing w:val="-62"/>
          <w:w w:val="100"/>
        </w:rPr>
        <w:t> </w:t>
      </w:r>
      <w:r>
        <w:rPr>
          <w:spacing w:val="-1"/>
          <w:w w:val="100"/>
        </w:rPr>
        <w:t>10%的税率缴纳外商投资企业所得税。</w:t>
      </w:r>
      <w:r>
        <w:rPr>
          <w:w w:val="100"/>
        </w:rPr>
      </w:r>
    </w:p>
    <w:p>
      <w:pPr>
        <w:pStyle w:val="BodyText"/>
        <w:spacing w:line="336" w:lineRule="auto"/>
        <w:ind w:left="497" w:right="501"/>
        <w:jc w:val="left"/>
      </w:pPr>
      <w:r>
        <w:rPr/>
        <w:t>2007 </w:t>
      </w:r>
      <w:r>
        <w:rPr>
          <w:spacing w:val="-5"/>
        </w:rPr>
        <w:t>年根据山东省科学技术厅鲁科函字（2007）71</w:t>
      </w:r>
      <w:r>
        <w:rPr>
          <w:spacing w:val="21"/>
        </w:rPr>
        <w:t> </w:t>
      </w:r>
      <w:r>
        <w:rPr/>
        <w:t>号批文本公司被认定为高新</w:t>
      </w:r>
      <w:r>
        <w:rPr>
          <w:spacing w:val="-1"/>
          <w:w w:val="100"/>
        </w:rPr>
        <w:t> </w:t>
      </w:r>
      <w:r>
        <w:rPr/>
        <w:t>技术企业，2007</w:t>
      </w:r>
      <w:r>
        <w:rPr>
          <w:spacing w:val="-2"/>
        </w:rPr>
        <w:t> </w:t>
      </w:r>
      <w:r>
        <w:rPr/>
        <w:t>年度和</w:t>
      </w:r>
      <w:r>
        <w:rPr>
          <w:spacing w:val="-62"/>
        </w:rPr>
        <w:t> </w:t>
      </w:r>
      <w:r>
        <w:rPr/>
        <w:t>2008</w:t>
      </w:r>
      <w:r>
        <w:rPr>
          <w:spacing w:val="-2"/>
        </w:rPr>
        <w:t> </w:t>
      </w:r>
      <w:r>
        <w:rPr/>
        <w:t>年度减按</w:t>
      </w:r>
      <w:r>
        <w:rPr>
          <w:spacing w:val="-62"/>
        </w:rPr>
        <w:t> </w:t>
      </w:r>
      <w:r>
        <w:rPr/>
        <w:t>15%的税率缴纳企业所得税。</w:t>
      </w:r>
    </w:p>
    <w:p>
      <w:pPr>
        <w:pStyle w:val="BodyText"/>
        <w:spacing w:line="336" w:lineRule="auto"/>
        <w:ind w:left="497" w:right="511" w:firstLine="480"/>
        <w:jc w:val="both"/>
      </w:pPr>
      <w:r>
        <w:rPr>
          <w:spacing w:val="-1"/>
        </w:rPr>
        <w:t>本公司之控股子公司郑州东港安全印刷有限公司根据郑国税函【2003】279</w:t>
      </w:r>
      <w:r>
        <w:rPr>
          <w:w w:val="100"/>
        </w:rPr>
        <w:t> </w:t>
      </w:r>
      <w:r>
        <w:rPr/>
        <w:t>号批复，从实际获利年度起享受企业所得税“两免三减”的优惠政策。2004</w:t>
      </w:r>
      <w:r>
        <w:rPr>
          <w:spacing w:val="2"/>
        </w:rPr>
        <w:t> </w:t>
      </w:r>
      <w:r>
        <w:rPr/>
        <w:t>年</w:t>
      </w:r>
      <w:r>
        <w:rPr>
          <w:w w:val="100"/>
        </w:rPr>
        <w:t> </w:t>
      </w:r>
      <w:r>
        <w:rPr/>
        <w:t>度为该公司实际获利年度，2004</w:t>
      </w:r>
      <w:r>
        <w:rPr>
          <w:spacing w:val="-10"/>
        </w:rPr>
        <w:t> </w:t>
      </w:r>
      <w:r>
        <w:rPr/>
        <w:t>年度和</w:t>
      </w:r>
      <w:r>
        <w:rPr>
          <w:spacing w:val="-66"/>
        </w:rPr>
        <w:t> </w:t>
      </w:r>
      <w:r>
        <w:rPr/>
        <w:t>2005</w:t>
      </w:r>
      <w:r>
        <w:rPr>
          <w:spacing w:val="-10"/>
        </w:rPr>
        <w:t> </w:t>
      </w:r>
      <w:r>
        <w:rPr/>
        <w:t>年度免征企业所得税。2006</w:t>
      </w:r>
      <w:r>
        <w:rPr>
          <w:spacing w:val="-10"/>
        </w:rPr>
        <w:t> </w:t>
      </w:r>
      <w:r>
        <w:rPr/>
        <w:t>年度</w:t>
      </w:r>
      <w:r>
        <w:rPr>
          <w:spacing w:val="-1"/>
          <w:w w:val="100"/>
        </w:rPr>
        <w:t> </w:t>
      </w:r>
      <w:r>
        <w:rPr/>
        <w:t>减按</w:t>
      </w:r>
      <w:r>
        <w:rPr>
          <w:spacing w:val="-61"/>
        </w:rPr>
        <w:t> </w:t>
      </w:r>
      <w:r>
        <w:rPr/>
        <w:t>7.5%的税率缴纳企业所得税。</w:t>
      </w:r>
    </w:p>
    <w:p>
      <w:pPr>
        <w:pStyle w:val="BodyText"/>
        <w:spacing w:line="240" w:lineRule="auto"/>
        <w:ind w:left="977" w:right="76"/>
        <w:jc w:val="left"/>
      </w:pPr>
      <w:r>
        <w:rPr/>
        <w:t>本公司之控股子公司北京东港安全印刷有限公司 2005 年度、2006</w:t>
      </w:r>
      <w:r>
        <w:rPr>
          <w:spacing w:val="3"/>
        </w:rPr>
        <w:t> </w:t>
      </w:r>
      <w:r>
        <w:rPr/>
        <w:t>年度免</w:t>
      </w:r>
    </w:p>
    <w:p>
      <w:pPr>
        <w:pStyle w:val="BodyText"/>
        <w:spacing w:line="240" w:lineRule="auto" w:before="125"/>
        <w:ind w:left="497" w:right="76"/>
        <w:jc w:val="left"/>
      </w:pPr>
      <w:r>
        <w:rPr/>
        <w:t>交企业所得税，2007 年度减按</w:t>
      </w:r>
      <w:r>
        <w:rPr>
          <w:spacing w:val="-63"/>
        </w:rPr>
        <w:t> </w:t>
      </w:r>
      <w:r>
        <w:rPr/>
        <w:t>7.5%的税率缴纳企业所得税。</w:t>
      </w:r>
    </w:p>
    <w:p>
      <w:pPr>
        <w:spacing w:after="0" w:line="240" w:lineRule="auto"/>
        <w:jc w:val="left"/>
        <w:sectPr>
          <w:headerReference w:type="default" r:id="rId44"/>
          <w:pgSz w:w="11910" w:h="16840"/>
          <w:pgMar w:header="915" w:footer="1712" w:top="1100" w:bottom="1900" w:left="1300" w:right="1280"/>
        </w:sectPr>
      </w:pPr>
    </w:p>
    <w:p>
      <w:pPr>
        <w:pStyle w:val="BodyText"/>
        <w:spacing w:line="336" w:lineRule="auto" w:before="123"/>
        <w:ind w:right="0" w:firstLine="480"/>
        <w:jc w:val="left"/>
      </w:pPr>
      <w:r>
        <w:rPr/>
        <w:pict>
          <v:group style="position:absolute;margin-left:88.019981pt;margin-top:41.999668pt;width:419.35pt;height:16.4pt;mso-position-horizontal-relative:page;mso-position-vertical-relative:page;z-index:244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t>本公司之控股子公司新疆东港安全印刷有限公司 2005 年度、2006</w:t>
      </w:r>
      <w:r>
        <w:rPr>
          <w:spacing w:val="2"/>
        </w:rPr>
        <w:t> </w:t>
      </w:r>
      <w:r>
        <w:rPr/>
        <w:t>年度、</w:t>
      </w:r>
      <w:r>
        <w:rPr>
          <w:spacing w:val="-1"/>
          <w:w w:val="100"/>
        </w:rPr>
        <w:t> </w:t>
      </w:r>
      <w:r>
        <w:rPr/>
        <w:t>2007</w:t>
      </w:r>
      <w:r>
        <w:rPr>
          <w:spacing w:val="-2"/>
        </w:rPr>
        <w:t> </w:t>
      </w:r>
      <w:r>
        <w:rPr/>
        <w:t>年度免交企业所得税。</w:t>
      </w:r>
    </w:p>
    <w:p>
      <w:pPr>
        <w:pStyle w:val="BodyText"/>
        <w:spacing w:line="336" w:lineRule="auto" w:before="29"/>
        <w:ind w:right="0" w:firstLine="480"/>
        <w:jc w:val="left"/>
      </w:pPr>
      <w:r>
        <w:rPr/>
        <w:t>本公司之控股子公司上海东港印刷有限公司 2007 年度以收入总额的</w:t>
      </w:r>
      <w:r>
        <w:rPr>
          <w:spacing w:val="3"/>
        </w:rPr>
        <w:t> </w:t>
      </w:r>
      <w:r>
        <w:rPr/>
        <w:t>7%核</w:t>
      </w:r>
      <w:r>
        <w:rPr>
          <w:spacing w:val="-1"/>
          <w:w w:val="100"/>
        </w:rPr>
        <w:t> </w:t>
      </w:r>
      <w:r>
        <w:rPr>
          <w:spacing w:val="-2"/>
        </w:rPr>
        <w:t>定应纳税所得额，按</w:t>
      </w:r>
      <w:r>
        <w:rPr>
          <w:spacing w:val="-36"/>
        </w:rPr>
        <w:t> </w:t>
      </w:r>
      <w:r>
        <w:rPr>
          <w:spacing w:val="-2"/>
        </w:rPr>
        <w:t>33%的税率缴纳企业所得税。</w:t>
      </w:r>
      <w:r>
        <w:rPr/>
      </w:r>
    </w:p>
    <w:p>
      <w:pPr>
        <w:pStyle w:val="BodyText"/>
        <w:spacing w:line="336" w:lineRule="auto"/>
        <w:ind w:right="0" w:firstLine="480"/>
        <w:jc w:val="left"/>
      </w:pPr>
      <w:r>
        <w:rPr/>
        <w:t>本公司之控股子公司青海东港安全印刷有限公司 2007 年度、2008</w:t>
      </w:r>
      <w:r>
        <w:rPr>
          <w:spacing w:val="2"/>
        </w:rPr>
        <w:t> </w:t>
      </w:r>
      <w:r>
        <w:rPr/>
        <w:t>年度免</w:t>
      </w:r>
      <w:r>
        <w:rPr>
          <w:spacing w:val="-1"/>
          <w:w w:val="100"/>
        </w:rPr>
        <w:t> </w:t>
      </w:r>
      <w:r>
        <w:rPr/>
        <w:t>交企业所得税。</w:t>
      </w:r>
    </w:p>
    <w:p>
      <w:pPr>
        <w:pStyle w:val="BodyText"/>
        <w:spacing w:line="336" w:lineRule="auto"/>
        <w:ind w:left="617" w:right="3579"/>
        <w:jc w:val="left"/>
      </w:pPr>
      <w:r>
        <w:rPr/>
        <w:t>6、土地增值税</w:t>
      </w:r>
      <w:r>
        <w:rPr>
          <w:spacing w:val="-2"/>
          <w:w w:val="100"/>
        </w:rPr>
        <w:t> </w:t>
      </w:r>
      <w:r>
        <w:rPr>
          <w:spacing w:val="-2"/>
        </w:rPr>
        <w:t>按增值额和规定的超率累进税率计缴。</w:t>
      </w:r>
      <w:r>
        <w:rPr>
          <w:spacing w:val="-101"/>
        </w:rPr>
        <w:t> </w:t>
      </w:r>
      <w:r>
        <w:rPr>
          <w:spacing w:val="-2"/>
        </w:rPr>
        <w:t>7、其它税项</w:t>
      </w:r>
      <w:r>
        <w:rPr>
          <w:spacing w:val="-114"/>
        </w:rPr>
        <w:t> </w:t>
      </w:r>
      <w:r>
        <w:rPr/>
        <w:t>按国家的有关具体规定计缴。</w:t>
      </w:r>
    </w:p>
    <w:p>
      <w:pPr>
        <w:pStyle w:val="Heading3"/>
        <w:spacing w:line="252" w:lineRule="auto" w:before="74"/>
        <w:ind w:right="4844"/>
        <w:jc w:val="left"/>
        <w:rPr>
          <w:b w:val="0"/>
          <w:bCs w:val="0"/>
        </w:rPr>
      </w:pPr>
      <w:r>
        <w:rPr/>
        <w:t>六、企业合并及合并财务报表</w:t>
      </w:r>
      <w:r>
        <w:rPr>
          <w:spacing w:val="-1"/>
          <w:w w:val="100"/>
        </w:rPr>
        <w:t> </w:t>
      </w:r>
      <w:r>
        <w:rPr/>
        <w:t>1、企业合并</w:t>
      </w:r>
      <w:r>
        <w:rPr>
          <w:b w:val="0"/>
          <w:bCs w:val="0"/>
        </w:rPr>
      </w:r>
    </w:p>
    <w:p>
      <w:pPr>
        <w:pStyle w:val="BodyText"/>
        <w:spacing w:line="240" w:lineRule="auto" w:before="83"/>
        <w:ind w:left="617" w:right="0"/>
        <w:jc w:val="left"/>
      </w:pPr>
      <w:r>
        <w:rPr/>
        <w:t>（1）同一控制下的企业合并</w:t>
      </w:r>
    </w:p>
    <w:p>
      <w:pPr>
        <w:pStyle w:val="BodyText"/>
        <w:spacing w:line="427" w:lineRule="auto" w:before="126"/>
        <w:ind w:left="617" w:right="0"/>
        <w:jc w:val="left"/>
      </w:pPr>
      <w:r>
        <w:rPr/>
        <w:t>①同一控制下的企业合并的界定</w:t>
      </w:r>
      <w:r>
        <w:rPr>
          <w:spacing w:val="-2"/>
          <w:w w:val="100"/>
        </w:rPr>
        <w:t> </w:t>
      </w:r>
      <w:r>
        <w:rPr/>
        <w:t>参与合并的企业在合并前后均受同一方或相同的多方最终控制且该控制并</w:t>
      </w:r>
    </w:p>
    <w:p>
      <w:pPr>
        <w:pStyle w:val="BodyText"/>
        <w:spacing w:line="253" w:lineRule="exact" w:before="0"/>
        <w:ind w:right="0"/>
        <w:jc w:val="left"/>
      </w:pPr>
      <w:r>
        <w:rPr>
          <w:spacing w:val="-5"/>
        </w:rPr>
        <w:t>非暂时性的，为同一控制下的企业合并。本公司同一控制下的企业合并的判断依</w:t>
      </w:r>
      <w:r>
        <w:rPr/>
      </w:r>
    </w:p>
    <w:p>
      <w:pPr>
        <w:pStyle w:val="BodyText"/>
        <w:spacing w:line="336" w:lineRule="auto" w:before="126"/>
        <w:ind w:right="0"/>
        <w:jc w:val="left"/>
      </w:pPr>
      <w:r>
        <w:rPr>
          <w:spacing w:val="-5"/>
        </w:rPr>
        <w:t>据包括：①合并各方在合并前后同受集团公司最终控制；②合并前，参与合并各</w:t>
      </w:r>
      <w:r>
        <w:rPr>
          <w:spacing w:val="-60"/>
        </w:rPr>
        <w:t> </w:t>
      </w:r>
      <w:r>
        <w:rPr>
          <w:spacing w:val="-60"/>
        </w:rPr>
      </w:r>
      <w:r>
        <w:rPr>
          <w:spacing w:val="-2"/>
          <w:w w:val="100"/>
        </w:rPr>
        <w:t>方受集团公司控制时间一般在</w:t>
      </w:r>
      <w:r>
        <w:rPr>
          <w:spacing w:val="-53"/>
          <w:w w:val="100"/>
        </w:rPr>
        <w:t> </w:t>
      </w:r>
      <w:r>
        <w:rPr>
          <w:w w:val="100"/>
        </w:rPr>
        <w:t>1</w:t>
      </w:r>
      <w:r>
        <w:rPr>
          <w:spacing w:val="-53"/>
          <w:w w:val="100"/>
        </w:rPr>
        <w:t> </w:t>
      </w:r>
      <w:r>
        <w:rPr>
          <w:spacing w:val="-2"/>
          <w:w w:val="100"/>
        </w:rPr>
        <w:t>年以上（含</w:t>
      </w:r>
      <w:r>
        <w:rPr>
          <w:spacing w:val="-53"/>
          <w:w w:val="100"/>
        </w:rPr>
        <w:t> </w:t>
      </w:r>
      <w:r>
        <w:rPr>
          <w:w w:val="100"/>
        </w:rPr>
        <w:t>1</w:t>
      </w:r>
      <w:r>
        <w:rPr>
          <w:spacing w:val="-54"/>
          <w:w w:val="100"/>
        </w:rPr>
        <w:t> </w:t>
      </w:r>
      <w:r>
        <w:rPr>
          <w:spacing w:val="-10"/>
          <w:w w:val="100"/>
        </w:rPr>
        <w:t>年），企业合并后所形成的报告主</w:t>
      </w:r>
      <w:r>
        <w:rPr>
          <w:w w:val="100"/>
        </w:rPr>
      </w:r>
    </w:p>
    <w:p>
      <w:pPr>
        <w:pStyle w:val="BodyText"/>
        <w:spacing w:line="336" w:lineRule="auto"/>
        <w:ind w:right="0"/>
        <w:jc w:val="left"/>
      </w:pPr>
      <w:r>
        <w:rPr>
          <w:spacing w:val="-2"/>
          <w:w w:val="100"/>
        </w:rPr>
        <w:t>体受集团公司控制时间也在</w:t>
      </w:r>
      <w:r>
        <w:rPr>
          <w:spacing w:val="-52"/>
          <w:w w:val="100"/>
        </w:rPr>
        <w:t> </w:t>
      </w:r>
      <w:r>
        <w:rPr>
          <w:w w:val="100"/>
        </w:rPr>
        <w:t>1</w:t>
      </w:r>
      <w:r>
        <w:rPr>
          <w:spacing w:val="-52"/>
          <w:w w:val="100"/>
        </w:rPr>
        <w:t> </w:t>
      </w:r>
      <w:r>
        <w:rPr>
          <w:spacing w:val="-2"/>
          <w:w w:val="100"/>
        </w:rPr>
        <w:t>年以上（含</w:t>
      </w:r>
      <w:r>
        <w:rPr>
          <w:spacing w:val="-52"/>
          <w:w w:val="100"/>
        </w:rPr>
        <w:t> </w:t>
      </w:r>
      <w:r>
        <w:rPr>
          <w:w w:val="100"/>
        </w:rPr>
        <w:t>1</w:t>
      </w:r>
      <w:r>
        <w:rPr>
          <w:spacing w:val="-52"/>
          <w:w w:val="100"/>
        </w:rPr>
        <w:t> </w:t>
      </w:r>
      <w:r>
        <w:rPr>
          <w:spacing w:val="-10"/>
          <w:w w:val="100"/>
        </w:rPr>
        <w:t>年）。同时满足上述两个条件的，本</w:t>
      </w:r>
      <w:r>
        <w:rPr>
          <w:spacing w:val="-2"/>
          <w:w w:val="100"/>
        </w:rPr>
        <w:t> </w:t>
      </w:r>
      <w:r>
        <w:rPr/>
        <w:t>公司界定为同一控制下的企业合并。</w:t>
      </w:r>
    </w:p>
    <w:p>
      <w:pPr>
        <w:pStyle w:val="BodyText"/>
        <w:spacing w:line="336" w:lineRule="auto" w:before="29"/>
        <w:ind w:right="0" w:firstLine="480"/>
        <w:jc w:val="left"/>
      </w:pPr>
      <w:r>
        <w:rPr>
          <w:spacing w:val="-5"/>
        </w:rPr>
        <w:t>同一控制下的企业合并，在合并日取得对其他参与合并企业控制权的一方为</w:t>
      </w:r>
      <w:r>
        <w:rPr>
          <w:spacing w:val="-2"/>
          <w:w w:val="100"/>
        </w:rPr>
        <w:t> </w:t>
      </w:r>
      <w:r>
        <w:rPr/>
        <w:t>合并方（指本公司），参与合并的其它企业为被合并方。</w:t>
      </w:r>
    </w:p>
    <w:p>
      <w:pPr>
        <w:pStyle w:val="BodyText"/>
        <w:spacing w:line="336" w:lineRule="auto"/>
        <w:ind w:left="617" w:right="0"/>
        <w:jc w:val="left"/>
      </w:pPr>
      <w:r>
        <w:rPr/>
        <w:t>②合并日的确定依据</w:t>
      </w:r>
      <w:r>
        <w:rPr>
          <w:spacing w:val="-2"/>
          <w:w w:val="100"/>
        </w:rPr>
        <w:t> </w:t>
      </w:r>
      <w:r>
        <w:rPr>
          <w:spacing w:val="-5"/>
        </w:rPr>
        <w:t>合并日是指本公司实际取得对被合并方控制权的日期。即被合并方净资产或</w:t>
      </w:r>
      <w:r>
        <w:rPr/>
      </w:r>
    </w:p>
    <w:p>
      <w:pPr>
        <w:pStyle w:val="BodyText"/>
        <w:spacing w:line="336" w:lineRule="auto"/>
        <w:ind w:right="0"/>
        <w:jc w:val="left"/>
      </w:pPr>
      <w:r>
        <w:rPr>
          <w:spacing w:val="-5"/>
        </w:rPr>
        <w:t>生产经营决策的控制权转移给本公司的日期。在同时满足以下条件的，认定为实</w:t>
      </w:r>
      <w:r>
        <w:rPr>
          <w:spacing w:val="-64"/>
        </w:rPr>
        <w:t> </w:t>
      </w:r>
      <w:r>
        <w:rPr>
          <w:spacing w:val="-64"/>
        </w:rPr>
      </w:r>
      <w:r>
        <w:rPr/>
        <w:t>现了控制权的转移：</w:t>
      </w:r>
    </w:p>
    <w:p>
      <w:pPr>
        <w:pStyle w:val="BodyText"/>
        <w:spacing w:line="336" w:lineRule="auto" w:before="29"/>
        <w:ind w:left="617" w:right="0"/>
        <w:jc w:val="left"/>
      </w:pPr>
      <w:r>
        <w:rPr/>
        <w:t>A.企业合并协议已获股东大会通过；</w:t>
      </w:r>
      <w:r>
        <w:rPr>
          <w:spacing w:val="-2"/>
          <w:w w:val="100"/>
        </w:rPr>
        <w:t> </w:t>
      </w:r>
      <w:r>
        <w:rPr>
          <w:spacing w:val="-5"/>
        </w:rPr>
        <w:t>B.企业合并事项需要经过国家有关部门实质性审批的，已取得有关主管部门</w:t>
      </w:r>
      <w:r>
        <w:rPr/>
      </w:r>
    </w:p>
    <w:p>
      <w:pPr>
        <w:pStyle w:val="BodyText"/>
        <w:spacing w:line="240" w:lineRule="auto"/>
        <w:ind w:right="0"/>
        <w:jc w:val="left"/>
      </w:pPr>
      <w:r>
        <w:rPr/>
        <w:t>的批准；</w:t>
      </w:r>
    </w:p>
    <w:p>
      <w:pPr>
        <w:pStyle w:val="BodyText"/>
        <w:spacing w:line="240" w:lineRule="auto" w:before="125"/>
        <w:ind w:left="617" w:right="0"/>
        <w:jc w:val="left"/>
      </w:pPr>
      <w:r>
        <w:rPr/>
        <w:t>C.参与合并各方已办理了必要的财产交接手续；</w:t>
      </w:r>
    </w:p>
    <w:p>
      <w:pPr>
        <w:spacing w:after="0" w:line="240" w:lineRule="auto"/>
        <w:jc w:val="left"/>
        <w:sectPr>
          <w:pgSz w:w="11910" w:h="16840"/>
          <w:pgMar w:header="915" w:footer="1712" w:top="1100" w:bottom="1900" w:left="1660" w:right="1640"/>
        </w:sectPr>
      </w:pPr>
    </w:p>
    <w:p>
      <w:pPr>
        <w:pStyle w:val="BodyText"/>
        <w:spacing w:line="336" w:lineRule="auto" w:before="71"/>
        <w:ind w:right="0" w:firstLine="480"/>
        <w:jc w:val="left"/>
      </w:pPr>
      <w:r>
        <w:rPr>
          <w:spacing w:val="-3"/>
          <w:w w:val="100"/>
        </w:rPr>
        <w:t>D.本公司已支付了合并价款的大部分（一般应超过</w:t>
      </w:r>
      <w:r>
        <w:rPr>
          <w:spacing w:val="-51"/>
          <w:w w:val="100"/>
        </w:rPr>
        <w:t> </w:t>
      </w:r>
      <w:r>
        <w:rPr>
          <w:spacing w:val="-14"/>
          <w:w w:val="100"/>
        </w:rPr>
        <w:t>50％），并且有能力支付</w:t>
      </w:r>
      <w:r>
        <w:rPr>
          <w:spacing w:val="-2"/>
          <w:w w:val="100"/>
        </w:rPr>
        <w:t> </w:t>
      </w:r>
      <w:r>
        <w:rPr/>
        <w:t>剩余款项；</w:t>
      </w:r>
    </w:p>
    <w:p>
      <w:pPr>
        <w:pStyle w:val="BodyText"/>
        <w:spacing w:line="336" w:lineRule="auto" w:before="29"/>
        <w:ind w:right="0" w:firstLine="480"/>
        <w:jc w:val="left"/>
      </w:pPr>
      <w:r>
        <w:rPr>
          <w:spacing w:val="-2"/>
        </w:rPr>
        <w:t>E.本公司实际上已经控制了被合并方的财务和经营政策，并享有相应的利</w:t>
      </w:r>
      <w:r>
        <w:rPr>
          <w:spacing w:val="-2"/>
          <w:w w:val="100"/>
        </w:rPr>
        <w:t> </w:t>
      </w:r>
      <w:r>
        <w:rPr/>
        <w:t>益、承担风险。</w:t>
      </w:r>
    </w:p>
    <w:p>
      <w:pPr>
        <w:pStyle w:val="BodyText"/>
        <w:spacing w:line="427" w:lineRule="auto"/>
        <w:ind w:left="617" w:right="0"/>
        <w:jc w:val="left"/>
      </w:pPr>
      <w:r>
        <w:rPr/>
        <w:t>③合并中取得资产、负债的入账价值的确定及合并差额的处理</w:t>
      </w:r>
      <w:r>
        <w:rPr>
          <w:spacing w:val="-2"/>
          <w:w w:val="100"/>
        </w:rPr>
        <w:t> </w:t>
      </w:r>
      <w:r>
        <w:rPr>
          <w:spacing w:val="-5"/>
        </w:rPr>
        <w:t>本公司在企业合并中取得的资产和负债，按照合并日被合并方的账面价值计</w:t>
      </w:r>
      <w:r>
        <w:rPr/>
      </w:r>
    </w:p>
    <w:p>
      <w:pPr>
        <w:pStyle w:val="BodyText"/>
        <w:spacing w:line="253" w:lineRule="exact" w:before="0"/>
        <w:ind w:right="0"/>
        <w:jc w:val="both"/>
      </w:pPr>
      <w:r>
        <w:rPr>
          <w:spacing w:val="-5"/>
        </w:rPr>
        <w:t>量。本公司取得的净资产账面价值与支付的合并对价账面价值（或发生股份面值</w:t>
      </w:r>
      <w:r>
        <w:rPr/>
      </w:r>
    </w:p>
    <w:p>
      <w:pPr>
        <w:pStyle w:val="BodyText"/>
        <w:spacing w:line="240" w:lineRule="auto" w:before="126"/>
        <w:ind w:right="0"/>
        <w:jc w:val="both"/>
      </w:pPr>
      <w:r>
        <w:rPr/>
        <w:t>总额）的差额，调整资本公积；资本公积不足冲减的，调整留存收益。</w:t>
      </w:r>
    </w:p>
    <w:p>
      <w:pPr>
        <w:spacing w:line="240" w:lineRule="auto" w:before="10"/>
        <w:rPr>
          <w:rFonts w:ascii="宋体" w:hAnsi="宋体" w:cs="宋体" w:eastAsia="宋体" w:hint="default"/>
          <w:sz w:val="18"/>
          <w:szCs w:val="18"/>
        </w:rPr>
      </w:pPr>
    </w:p>
    <w:p>
      <w:pPr>
        <w:pStyle w:val="BodyText"/>
        <w:spacing w:line="427" w:lineRule="auto" w:before="0"/>
        <w:ind w:left="617" w:right="0"/>
        <w:jc w:val="left"/>
      </w:pPr>
      <w:r>
        <w:rPr/>
        <w:t>④合并费用的处理方法</w:t>
      </w:r>
      <w:r>
        <w:rPr>
          <w:spacing w:val="-2"/>
          <w:w w:val="100"/>
        </w:rPr>
        <w:t> </w:t>
      </w:r>
      <w:r>
        <w:rPr>
          <w:spacing w:val="-5"/>
        </w:rPr>
        <w:t>本公司为进行企业合并发生的各项直接相关费用，包括为进行企业合并而支</w:t>
      </w:r>
      <w:r>
        <w:rPr/>
      </w:r>
    </w:p>
    <w:p>
      <w:pPr>
        <w:pStyle w:val="BodyText"/>
        <w:spacing w:line="253" w:lineRule="exact" w:before="0"/>
        <w:ind w:right="0"/>
        <w:jc w:val="both"/>
      </w:pPr>
      <w:r>
        <w:rPr>
          <w:spacing w:val="-5"/>
        </w:rPr>
        <w:t>付的审计费用、评估费用、法律服务费用等，于发生时计入当期损益。为企业合</w:t>
      </w:r>
      <w:r>
        <w:rPr/>
      </w:r>
    </w:p>
    <w:p>
      <w:pPr>
        <w:pStyle w:val="BodyText"/>
        <w:spacing w:line="336" w:lineRule="auto" w:before="125"/>
        <w:ind w:right="150"/>
        <w:jc w:val="both"/>
      </w:pPr>
      <w:r>
        <w:rPr>
          <w:spacing w:val="-5"/>
        </w:rPr>
        <w:t>并发行的债券或承担其它债务支付的手续费、佣金等，计入所发行债券及其它债</w:t>
      </w:r>
      <w:r>
        <w:rPr>
          <w:spacing w:val="-64"/>
        </w:rPr>
        <w:t> </w:t>
      </w:r>
      <w:r>
        <w:rPr>
          <w:spacing w:val="-64"/>
        </w:rPr>
      </w:r>
      <w:r>
        <w:rPr>
          <w:spacing w:val="-5"/>
        </w:rPr>
        <w:t>务的初始计量金额。企业合并中发行权益性证券发生的手续费、佣金等费用，抵</w:t>
      </w:r>
      <w:r>
        <w:rPr>
          <w:spacing w:val="-58"/>
        </w:rPr>
        <w:t> </w:t>
      </w:r>
      <w:r>
        <w:rPr>
          <w:spacing w:val="-58"/>
        </w:rPr>
      </w:r>
      <w:r>
        <w:rPr/>
        <w:t>减权益性证券溢价收入，溢价收入不足冲减的，冲减留存收益。</w:t>
      </w:r>
    </w:p>
    <w:p>
      <w:pPr>
        <w:pStyle w:val="BodyText"/>
        <w:spacing w:line="240" w:lineRule="auto" w:before="29"/>
        <w:ind w:left="617" w:right="0"/>
        <w:jc w:val="left"/>
      </w:pPr>
      <w:r>
        <w:rPr/>
        <w:t>（2）非同一控制下的企业合并</w:t>
      </w:r>
    </w:p>
    <w:p>
      <w:pPr>
        <w:spacing w:line="240" w:lineRule="auto" w:before="11"/>
        <w:rPr>
          <w:rFonts w:ascii="宋体" w:hAnsi="宋体" w:cs="宋体" w:eastAsia="宋体" w:hint="default"/>
          <w:sz w:val="18"/>
          <w:szCs w:val="18"/>
        </w:rPr>
      </w:pPr>
    </w:p>
    <w:p>
      <w:pPr>
        <w:pStyle w:val="BodyText"/>
        <w:spacing w:line="427" w:lineRule="auto" w:before="0"/>
        <w:ind w:left="617" w:right="0"/>
        <w:jc w:val="left"/>
      </w:pPr>
      <w:r>
        <w:rPr/>
        <w:t>①非同一控制下的企业合并的界定</w:t>
      </w:r>
      <w:r>
        <w:rPr>
          <w:spacing w:val="-2"/>
          <w:w w:val="100"/>
        </w:rPr>
        <w:t> </w:t>
      </w:r>
      <w:r>
        <w:rPr>
          <w:spacing w:val="-5"/>
        </w:rPr>
        <w:t>参与合并的各方在合并前后不受同一方或相同的多方最终控制的，为非同一</w:t>
      </w:r>
      <w:r>
        <w:rPr/>
      </w:r>
    </w:p>
    <w:p>
      <w:pPr>
        <w:pStyle w:val="BodyText"/>
        <w:spacing w:line="252" w:lineRule="exact" w:before="0"/>
        <w:ind w:right="0"/>
        <w:jc w:val="both"/>
      </w:pPr>
      <w:r>
        <w:rPr>
          <w:spacing w:val="-5"/>
        </w:rPr>
        <w:t>控制下的企业合并。非同一控制下的企业合并中，在购买日取得对其他参与合并</w:t>
      </w:r>
      <w:r>
        <w:rPr/>
      </w:r>
    </w:p>
    <w:p>
      <w:pPr>
        <w:pStyle w:val="BodyText"/>
        <w:spacing w:line="240" w:lineRule="auto" w:before="126"/>
        <w:ind w:right="0"/>
        <w:jc w:val="both"/>
      </w:pPr>
      <w:r>
        <w:rPr>
          <w:spacing w:val="-2"/>
          <w:w w:val="100"/>
        </w:rPr>
        <w:t>企业控制权的一方为购买方（指本公司</w:t>
      </w:r>
      <w:r>
        <w:rPr>
          <w:spacing w:val="-122"/>
          <w:w w:val="100"/>
        </w:rPr>
        <w:t>）</w:t>
      </w:r>
      <w:r>
        <w:rPr>
          <w:spacing w:val="-2"/>
          <w:w w:val="100"/>
        </w:rPr>
        <w:t>，参与合并的其它企业为被购买方。</w:t>
      </w:r>
      <w:r>
        <w:rPr>
          <w:w w:val="100"/>
        </w:rPr>
      </w:r>
    </w:p>
    <w:p>
      <w:pPr>
        <w:spacing w:line="240" w:lineRule="auto" w:before="11"/>
        <w:rPr>
          <w:rFonts w:ascii="宋体" w:hAnsi="宋体" w:cs="宋体" w:eastAsia="宋体" w:hint="default"/>
          <w:sz w:val="18"/>
          <w:szCs w:val="18"/>
        </w:rPr>
      </w:pPr>
    </w:p>
    <w:p>
      <w:pPr>
        <w:pStyle w:val="BodyText"/>
        <w:spacing w:line="336" w:lineRule="auto" w:before="0"/>
        <w:ind w:left="617" w:right="0"/>
        <w:jc w:val="left"/>
      </w:pPr>
      <w:r>
        <w:rPr/>
        <w:t>②购买日的确定依据</w:t>
      </w:r>
      <w:r>
        <w:rPr>
          <w:spacing w:val="-2"/>
          <w:w w:val="100"/>
        </w:rPr>
        <w:t> </w:t>
      </w:r>
      <w:r>
        <w:rPr>
          <w:spacing w:val="-5"/>
        </w:rPr>
        <w:t>购买日是指本公司实际取得对被购买方控制权的日期。即被购买方净资产或</w:t>
      </w:r>
      <w:r>
        <w:rPr/>
      </w:r>
    </w:p>
    <w:p>
      <w:pPr>
        <w:pStyle w:val="BodyText"/>
        <w:spacing w:line="336" w:lineRule="auto"/>
        <w:ind w:right="152"/>
        <w:jc w:val="both"/>
      </w:pPr>
      <w:r>
        <w:rPr>
          <w:spacing w:val="-5"/>
        </w:rPr>
        <w:t>生产经营决策的控制权转移给本公司的日期。购买日的确定依据与合并日的确定</w:t>
      </w:r>
      <w:r>
        <w:rPr>
          <w:spacing w:val="-63"/>
        </w:rPr>
        <w:t> </w:t>
      </w:r>
      <w:r>
        <w:rPr>
          <w:spacing w:val="-63"/>
        </w:rPr>
      </w:r>
      <w:r>
        <w:rPr/>
        <w:t>依据相同。</w:t>
      </w:r>
    </w:p>
    <w:p>
      <w:pPr>
        <w:pStyle w:val="BodyText"/>
        <w:spacing w:line="427" w:lineRule="auto" w:before="149"/>
        <w:ind w:left="617" w:right="0"/>
        <w:jc w:val="left"/>
      </w:pPr>
      <w:r>
        <w:rPr/>
        <w:t>③合并成本的确定</w:t>
      </w:r>
      <w:r>
        <w:rPr>
          <w:spacing w:val="-2"/>
          <w:w w:val="100"/>
        </w:rPr>
        <w:t> </w:t>
      </w:r>
      <w:r>
        <w:rPr>
          <w:spacing w:val="-5"/>
        </w:rPr>
        <w:t>A.一次交换交易实现的企业合并，合并成本为本公司在购买日为取得对被购</w:t>
      </w:r>
      <w:r>
        <w:rPr/>
      </w:r>
    </w:p>
    <w:p>
      <w:pPr>
        <w:pStyle w:val="BodyText"/>
        <w:spacing w:line="253" w:lineRule="exact" w:before="0"/>
        <w:ind w:right="0"/>
        <w:jc w:val="both"/>
      </w:pPr>
      <w:r>
        <w:rPr>
          <w:spacing w:val="-5"/>
        </w:rPr>
        <w:t>买方的控制权而付出的资产、发生或承担的负债以及发行的权益性证券的公允价</w:t>
      </w:r>
      <w:r>
        <w:rPr/>
      </w:r>
    </w:p>
    <w:p>
      <w:pPr>
        <w:pStyle w:val="BodyText"/>
        <w:spacing w:line="240" w:lineRule="auto" w:before="125"/>
        <w:ind w:right="0"/>
        <w:jc w:val="both"/>
      </w:pPr>
      <w:r>
        <w:rPr/>
        <w:t>值。</w:t>
      </w:r>
    </w:p>
    <w:p>
      <w:pPr>
        <w:pStyle w:val="BodyText"/>
        <w:spacing w:line="240" w:lineRule="auto" w:before="126"/>
        <w:ind w:left="617" w:right="0"/>
        <w:jc w:val="left"/>
      </w:pPr>
      <w:r>
        <w:rPr>
          <w:spacing w:val="-5"/>
        </w:rPr>
        <w:t>B.通过多次交换交易分步实现的企业合并，合并成本为每一单项交易成本之</w:t>
      </w:r>
      <w:r>
        <w:rPr/>
      </w:r>
    </w:p>
    <w:p>
      <w:pPr>
        <w:pStyle w:val="BodyText"/>
        <w:spacing w:line="240" w:lineRule="auto" w:before="126"/>
        <w:ind w:right="0"/>
        <w:jc w:val="left"/>
      </w:pPr>
      <w:r>
        <w:rPr/>
        <w:t>和。</w:t>
      </w:r>
    </w:p>
    <w:p>
      <w:pPr>
        <w:spacing w:after="0" w:line="240" w:lineRule="auto"/>
        <w:jc w:val="left"/>
        <w:sectPr>
          <w:headerReference w:type="default" r:id="rId45"/>
          <w:pgSz w:w="11910" w:h="16840"/>
          <w:pgMar w:header="840" w:footer="1712" w:top="1160" w:bottom="1900" w:left="1660" w:right="1640"/>
        </w:sectPr>
      </w:pPr>
    </w:p>
    <w:p>
      <w:pPr>
        <w:pStyle w:val="BodyText"/>
        <w:spacing w:line="336" w:lineRule="auto" w:before="71"/>
        <w:ind w:left="617" w:right="227"/>
        <w:jc w:val="left"/>
      </w:pPr>
      <w:r>
        <w:rPr/>
        <w:t>C.本公司为进行企业合并发生的各项直接相关费用计入企业合并成本。</w:t>
      </w:r>
      <w:r>
        <w:rPr>
          <w:spacing w:val="-2"/>
          <w:w w:val="100"/>
        </w:rPr>
        <w:t> </w:t>
      </w:r>
      <w:r>
        <w:rPr>
          <w:spacing w:val="-5"/>
        </w:rPr>
        <w:t>D.在合并合同或协议中对可能影响合并成本的未来事项作出约定的，购买日</w:t>
      </w:r>
      <w:r>
        <w:rPr/>
      </w:r>
    </w:p>
    <w:p>
      <w:pPr>
        <w:pStyle w:val="BodyText"/>
        <w:spacing w:line="336" w:lineRule="auto" w:before="29"/>
        <w:ind w:right="227"/>
        <w:jc w:val="left"/>
      </w:pPr>
      <w:r>
        <w:rPr>
          <w:spacing w:val="-5"/>
        </w:rPr>
        <w:t>如果估计未来事项很可能发生并且对合并成本的影响金额能够可靠计量的，本公</w:t>
      </w:r>
      <w:r>
        <w:rPr>
          <w:spacing w:val="-63"/>
        </w:rPr>
        <w:t> </w:t>
      </w:r>
      <w:r>
        <w:rPr>
          <w:spacing w:val="-63"/>
        </w:rPr>
      </w:r>
      <w:r>
        <w:rPr/>
        <w:t>司将其计入合并成本。</w:t>
      </w:r>
    </w:p>
    <w:p>
      <w:pPr>
        <w:pStyle w:val="BodyText"/>
        <w:spacing w:line="427" w:lineRule="auto"/>
        <w:ind w:left="617" w:right="227"/>
        <w:jc w:val="left"/>
      </w:pPr>
      <w:r>
        <w:rPr/>
        <w:t>④合并费用的处理方法</w:t>
      </w:r>
      <w:r>
        <w:rPr>
          <w:spacing w:val="-2"/>
          <w:w w:val="100"/>
        </w:rPr>
        <w:t> </w:t>
      </w:r>
      <w:r>
        <w:rPr>
          <w:spacing w:val="-5"/>
        </w:rPr>
        <w:t>本公司为进行企业合并发生的各项直接相关费用，包括为进行企业合并而支</w:t>
      </w:r>
      <w:r>
        <w:rPr/>
      </w:r>
    </w:p>
    <w:p>
      <w:pPr>
        <w:pStyle w:val="BodyText"/>
        <w:spacing w:line="253" w:lineRule="exact" w:before="0"/>
        <w:ind w:right="227"/>
        <w:jc w:val="left"/>
      </w:pPr>
      <w:r>
        <w:rPr>
          <w:spacing w:val="-5"/>
        </w:rPr>
        <w:t>付的审计费用、评估费用、法律服务费用等，于发生时计入企业合并成本。为企</w:t>
      </w:r>
      <w:r>
        <w:rPr/>
      </w:r>
    </w:p>
    <w:p>
      <w:pPr>
        <w:pStyle w:val="BodyText"/>
        <w:spacing w:line="336" w:lineRule="auto" w:before="126"/>
        <w:ind w:right="96"/>
        <w:jc w:val="left"/>
      </w:pPr>
      <w:r>
        <w:rPr>
          <w:spacing w:val="-5"/>
        </w:rPr>
        <w:t>业合并发行的债券或承担其它债务支付的手续费、佣金等，计入所发行债券及其</w:t>
      </w:r>
      <w:r>
        <w:rPr>
          <w:spacing w:val="-64"/>
        </w:rPr>
        <w:t> </w:t>
      </w:r>
      <w:r>
        <w:rPr>
          <w:spacing w:val="-64"/>
        </w:rPr>
      </w:r>
      <w:r>
        <w:rPr>
          <w:spacing w:val="-8"/>
          <w:w w:val="100"/>
        </w:rPr>
        <w:t>它债务的初始计量金额。企业合并中发行权益性证券发生的手续费、佣金等费用，</w:t>
      </w:r>
      <w:r>
        <w:rPr>
          <w:spacing w:val="-113"/>
          <w:w w:val="100"/>
        </w:rPr>
        <w:t> </w:t>
      </w:r>
      <w:r>
        <w:rPr>
          <w:spacing w:val="-113"/>
          <w:w w:val="100"/>
        </w:rPr>
      </w:r>
      <w:r>
        <w:rPr/>
        <w:t>抵减权益性证券溢价收入，溢价收入不足冲减的，冲减留存收益。</w:t>
      </w:r>
    </w:p>
    <w:p>
      <w:pPr>
        <w:pStyle w:val="BodyText"/>
        <w:spacing w:line="427" w:lineRule="auto"/>
        <w:ind w:left="617" w:right="227"/>
        <w:jc w:val="left"/>
      </w:pPr>
      <w:r>
        <w:rPr/>
        <w:t>⑤合并对价的计量</w:t>
      </w:r>
      <w:r>
        <w:rPr>
          <w:spacing w:val="-2"/>
          <w:w w:val="100"/>
        </w:rPr>
        <w:t> </w:t>
      </w:r>
      <w:r>
        <w:rPr>
          <w:spacing w:val="-5"/>
        </w:rPr>
        <w:t>本公司在购买日对作为企业合并对价付出的资产、发生或承担的负债按照公</w:t>
      </w:r>
      <w:r>
        <w:rPr/>
      </w:r>
    </w:p>
    <w:p>
      <w:pPr>
        <w:pStyle w:val="BodyText"/>
        <w:spacing w:line="253" w:lineRule="exact" w:before="0"/>
        <w:ind w:right="227"/>
        <w:jc w:val="left"/>
      </w:pPr>
      <w:r>
        <w:rPr/>
        <w:t>允价值计量，公允价值与其账面价值的差额，计入当期损益。</w:t>
      </w:r>
    </w:p>
    <w:p>
      <w:pPr>
        <w:spacing w:line="240" w:lineRule="auto" w:before="11"/>
        <w:rPr>
          <w:rFonts w:ascii="宋体" w:hAnsi="宋体" w:cs="宋体" w:eastAsia="宋体" w:hint="default"/>
          <w:sz w:val="18"/>
          <w:szCs w:val="18"/>
        </w:rPr>
      </w:pPr>
    </w:p>
    <w:p>
      <w:pPr>
        <w:pStyle w:val="BodyText"/>
        <w:spacing w:line="427" w:lineRule="auto" w:before="0"/>
        <w:ind w:left="617" w:right="227"/>
        <w:jc w:val="left"/>
      </w:pPr>
      <w:r>
        <w:rPr/>
        <w:t>⑥合并成本的分配</w:t>
      </w:r>
      <w:r>
        <w:rPr>
          <w:spacing w:val="-2"/>
          <w:w w:val="100"/>
        </w:rPr>
        <w:t> </w:t>
      </w:r>
      <w:r>
        <w:rPr>
          <w:spacing w:val="-5"/>
        </w:rPr>
        <w:t>本公司在购买日对合并成本进行分配，确认所取得的被购买方各项可辨认资</w:t>
      </w:r>
      <w:r>
        <w:rPr/>
      </w:r>
    </w:p>
    <w:p>
      <w:pPr>
        <w:pStyle w:val="BodyText"/>
        <w:spacing w:line="253" w:lineRule="exact" w:before="0"/>
        <w:ind w:right="227"/>
        <w:jc w:val="left"/>
      </w:pPr>
      <w:r>
        <w:rPr/>
        <w:t>产、负债及或有负债。</w:t>
      </w:r>
    </w:p>
    <w:p>
      <w:pPr>
        <w:spacing w:line="240" w:lineRule="auto" w:before="11"/>
        <w:rPr>
          <w:rFonts w:ascii="宋体" w:hAnsi="宋体" w:cs="宋体" w:eastAsia="宋体" w:hint="default"/>
          <w:sz w:val="18"/>
          <w:szCs w:val="18"/>
        </w:rPr>
      </w:pPr>
    </w:p>
    <w:p>
      <w:pPr>
        <w:pStyle w:val="BodyText"/>
        <w:spacing w:line="336" w:lineRule="auto" w:before="0"/>
        <w:ind w:right="227" w:firstLine="480"/>
        <w:jc w:val="both"/>
      </w:pPr>
      <w:r>
        <w:rPr/>
        <w:t>A.本公司对合并成本大于合并中取得的被购买方可辨认净资产公允价值份</w:t>
      </w:r>
      <w:r>
        <w:rPr>
          <w:spacing w:val="3"/>
          <w:w w:val="100"/>
        </w:rPr>
        <w:t> </w:t>
      </w:r>
      <w:r>
        <w:rPr/>
        <w:t>额的差额，确认为商誉；</w:t>
      </w:r>
    </w:p>
    <w:p>
      <w:pPr>
        <w:pStyle w:val="BodyText"/>
        <w:spacing w:line="336" w:lineRule="auto"/>
        <w:ind w:right="144" w:firstLine="480"/>
        <w:jc w:val="both"/>
      </w:pPr>
      <w:r>
        <w:rPr/>
        <w:t>B.本公司对合并成本小于合并中取得的被购买方可辨认净资产公允价值份</w:t>
      </w:r>
      <w:r>
        <w:rPr>
          <w:spacing w:val="3"/>
          <w:w w:val="100"/>
        </w:rPr>
        <w:t> </w:t>
      </w:r>
      <w:r>
        <w:rPr>
          <w:spacing w:val="-5"/>
        </w:rPr>
        <w:t>额的差额，按照以下规定处理：首先，对取得的被购买方的各项可辨认资产、负</w:t>
      </w:r>
      <w:r>
        <w:rPr>
          <w:spacing w:val="-58"/>
        </w:rPr>
        <w:t> </w:t>
      </w:r>
      <w:r>
        <w:rPr>
          <w:spacing w:val="-58"/>
        </w:rPr>
      </w:r>
      <w:r>
        <w:rPr>
          <w:spacing w:val="-5"/>
        </w:rPr>
        <w:t>债及或有负债的公允价值以及合并成本的计量进行复核；经复核后合并成本仍小</w:t>
      </w:r>
      <w:r>
        <w:rPr>
          <w:spacing w:val="-63"/>
        </w:rPr>
        <w:t> </w:t>
      </w:r>
      <w:r>
        <w:rPr>
          <w:spacing w:val="-63"/>
        </w:rPr>
      </w:r>
      <w:r>
        <w:rPr>
          <w:spacing w:val="-2"/>
        </w:rPr>
        <w:t>于合并中取得的被购买方可辨认净资产公允价值份额的，其差额计入当期损益。</w:t>
      </w:r>
      <w:r>
        <w:rPr/>
      </w:r>
    </w:p>
    <w:p>
      <w:pPr>
        <w:pStyle w:val="BodyText"/>
        <w:spacing w:line="427" w:lineRule="auto" w:before="150"/>
        <w:ind w:left="617" w:right="227"/>
        <w:jc w:val="left"/>
      </w:pPr>
      <w:r>
        <w:rPr/>
        <w:t>C.被购买方可辨认净资产公允价值的确认原则</w:t>
      </w:r>
      <w:r>
        <w:rPr>
          <w:spacing w:val="-2"/>
          <w:w w:val="100"/>
        </w:rPr>
        <w:t> </w:t>
      </w:r>
      <w:r>
        <w:rPr>
          <w:spacing w:val="-2"/>
        </w:rPr>
        <w:t>被购买方可辨认净资产公允价值为合并中取得的被购买方可辨认资产的公</w:t>
      </w:r>
      <w:r>
        <w:rPr/>
      </w:r>
    </w:p>
    <w:p>
      <w:pPr>
        <w:pStyle w:val="BodyText"/>
        <w:spacing w:line="253" w:lineRule="exact" w:before="0"/>
        <w:ind w:right="227"/>
        <w:jc w:val="left"/>
      </w:pPr>
      <w:r>
        <w:rPr>
          <w:spacing w:val="-5"/>
        </w:rPr>
        <w:t>允价值减去负债及或有负债公允价值后的余额。被购买方各项可辨认资产、负债</w:t>
      </w:r>
      <w:r>
        <w:rPr/>
      </w:r>
    </w:p>
    <w:p>
      <w:pPr>
        <w:pStyle w:val="BodyText"/>
        <w:spacing w:line="336" w:lineRule="auto" w:before="126"/>
        <w:ind w:left="617" w:right="227" w:hanging="480"/>
        <w:jc w:val="left"/>
      </w:pPr>
      <w:r>
        <w:rPr>
          <w:spacing w:val="-2"/>
        </w:rPr>
        <w:t>及或有负债，符合下列条件的，本公司单独予以确认：</w:t>
      </w:r>
      <w:r>
        <w:rPr>
          <w:spacing w:val="-93"/>
        </w:rPr>
        <w:t> </w:t>
      </w:r>
      <w:r>
        <w:rPr>
          <w:spacing w:val="-5"/>
        </w:rPr>
        <w:t>a.合并中取得的被购买方除无形资产以外的其它各项资产（不仅限于被购买</w:t>
      </w:r>
      <w:r>
        <w:rPr/>
      </w:r>
    </w:p>
    <w:p>
      <w:pPr>
        <w:pStyle w:val="BodyText"/>
        <w:spacing w:line="336" w:lineRule="auto"/>
        <w:ind w:right="227"/>
        <w:jc w:val="left"/>
      </w:pPr>
      <w:r>
        <w:rPr>
          <w:spacing w:val="-5"/>
        </w:rPr>
        <w:t>方原已确认的资产），其所带来的经济利益很可能流入企业且公允价值能够可靠</w:t>
      </w:r>
      <w:r>
        <w:rPr>
          <w:spacing w:val="-63"/>
        </w:rPr>
        <w:t> </w:t>
      </w:r>
      <w:r>
        <w:rPr>
          <w:spacing w:val="-63"/>
        </w:rPr>
      </w:r>
      <w:r>
        <w:rPr>
          <w:spacing w:val="-2"/>
        </w:rPr>
        <w:t>地计量的，本公司单独予以确认并按照公允价值计量；</w:t>
      </w:r>
      <w:r>
        <w:rPr/>
      </w:r>
    </w:p>
    <w:p>
      <w:pPr>
        <w:spacing w:after="0" w:line="336" w:lineRule="auto"/>
        <w:jc w:val="left"/>
        <w:sectPr>
          <w:pgSz w:w="11910" w:h="16840"/>
          <w:pgMar w:header="840" w:footer="1712" w:top="1160" w:bottom="1900" w:left="1660" w:right="1560"/>
        </w:sectPr>
      </w:pPr>
    </w:p>
    <w:p>
      <w:pPr>
        <w:pStyle w:val="BodyText"/>
        <w:spacing w:line="336" w:lineRule="auto" w:before="71"/>
        <w:ind w:right="233" w:firstLine="480"/>
        <w:jc w:val="both"/>
      </w:pPr>
      <w:r>
        <w:rPr>
          <w:spacing w:val="-5"/>
        </w:rPr>
        <w:t>合并中取得的无形资产，其公允价值能够可靠地计量的，本公司单独确认为</w:t>
      </w:r>
      <w:r>
        <w:rPr>
          <w:spacing w:val="-2"/>
          <w:w w:val="100"/>
        </w:rPr>
        <w:t> </w:t>
      </w:r>
      <w:r>
        <w:rPr/>
        <w:t>无形资产并按照公允价值计量；</w:t>
      </w:r>
    </w:p>
    <w:p>
      <w:pPr>
        <w:pStyle w:val="BodyText"/>
        <w:spacing w:line="336" w:lineRule="auto" w:before="29"/>
        <w:ind w:right="232" w:firstLine="480"/>
        <w:jc w:val="both"/>
      </w:pPr>
      <w:r>
        <w:rPr>
          <w:spacing w:val="-5"/>
        </w:rPr>
        <w:t>b.合并中取得的被购买方除或有负债以外的其它各项负债，履行有关的义务</w:t>
      </w:r>
      <w:r>
        <w:rPr>
          <w:spacing w:val="-2"/>
          <w:w w:val="100"/>
        </w:rPr>
        <w:t> </w:t>
      </w:r>
      <w:r>
        <w:rPr>
          <w:spacing w:val="-5"/>
        </w:rPr>
        <w:t>很可能导致经济利益流出企业且公允价值能够可靠地计量的，本公司单独予以确</w:t>
      </w:r>
      <w:r>
        <w:rPr>
          <w:spacing w:val="-63"/>
        </w:rPr>
        <w:t> </w:t>
      </w:r>
      <w:r>
        <w:rPr>
          <w:spacing w:val="-63"/>
        </w:rPr>
      </w:r>
      <w:r>
        <w:rPr/>
        <w:t>认并按照公允价值计量。</w:t>
      </w:r>
    </w:p>
    <w:p>
      <w:pPr>
        <w:pStyle w:val="BodyText"/>
        <w:spacing w:line="336" w:lineRule="auto" w:before="29"/>
        <w:ind w:right="231" w:firstLine="480"/>
        <w:jc w:val="both"/>
      </w:pPr>
      <w:r>
        <w:rPr>
          <w:spacing w:val="-5"/>
        </w:rPr>
        <w:t>c.合并中取得的被购买方或有负债，其公允价值能够可靠地计量的，本公司</w:t>
      </w:r>
      <w:r>
        <w:rPr>
          <w:spacing w:val="-2"/>
          <w:w w:val="100"/>
        </w:rPr>
        <w:t> </w:t>
      </w:r>
      <w:r>
        <w:rPr>
          <w:spacing w:val="-5"/>
        </w:rPr>
        <w:t>单独确认为负债并按照公允价值计量。或有负债在初始确认后，按照《</w:t>
      </w:r>
      <w:r>
        <w:rPr>
          <w:spacing w:val="-5"/>
          <w:u w:val="single" w:color="000000"/>
        </w:rPr>
        <w:t>企业会计</w:t>
      </w:r>
      <w:r>
        <w:rPr>
          <w:spacing w:val="-60"/>
          <w:u w:val="single" w:color="000000"/>
        </w:rPr>
        <w:t> </w:t>
      </w:r>
      <w:r>
        <w:rPr>
          <w:spacing w:val="-60"/>
        </w:rPr>
      </w:r>
      <w:r>
        <w:rPr>
          <w:spacing w:val="-60"/>
        </w:rPr>
      </w:r>
      <w:r>
        <w:rPr>
          <w:u w:val="single" w:color="000000"/>
        </w:rPr>
        <w:t>准则第</w:t>
      </w:r>
      <w:r>
        <w:rPr>
          <w:spacing w:val="-45"/>
          <w:u w:val="single" w:color="000000"/>
        </w:rPr>
        <w:t> </w:t>
      </w:r>
      <w:r>
        <w:rPr>
          <w:u w:val="single" w:color="000000"/>
        </w:rPr>
        <w:t>13</w:t>
      </w:r>
      <w:r>
        <w:rPr>
          <w:spacing w:val="-43"/>
          <w:u w:val="single" w:color="000000"/>
        </w:rPr>
        <w:t> </w:t>
      </w:r>
      <w:r>
        <w:rPr>
          <w:spacing w:val="-5"/>
          <w:u w:val="single" w:color="000000"/>
        </w:rPr>
        <w:t>号-或有事项</w:t>
      </w:r>
      <w:r>
        <w:rPr>
          <w:spacing w:val="-5"/>
        </w:rPr>
        <w:t>》确认的金额与初始确认金额减去按照《</w:t>
      </w:r>
      <w:r>
        <w:rPr>
          <w:spacing w:val="-5"/>
          <w:u w:val="single" w:color="000000"/>
        </w:rPr>
        <w:t>企业会计准则第</w:t>
      </w:r>
      <w:r>
        <w:rPr>
          <w:spacing w:val="-110"/>
          <w:u w:val="single" w:color="000000"/>
        </w:rPr>
        <w:t> </w:t>
      </w:r>
      <w:r>
        <w:rPr>
          <w:spacing w:val="-110"/>
        </w:rPr>
      </w:r>
      <w:r>
        <w:rPr>
          <w:spacing w:val="-110"/>
        </w:rPr>
      </w:r>
      <w:r>
        <w:rPr>
          <w:spacing w:val="-1"/>
          <w:u w:val="single" w:color="000000"/>
        </w:rPr>
        <w:t>14</w:t>
      </w:r>
      <w:r>
        <w:rPr>
          <w:spacing w:val="-22"/>
          <w:u w:val="single" w:color="000000"/>
        </w:rPr>
        <w:t> </w:t>
      </w:r>
      <w:r>
        <w:rPr>
          <w:spacing w:val="-2"/>
          <w:u w:val="single" w:color="000000"/>
        </w:rPr>
        <w:t>号-收入</w:t>
      </w:r>
      <w:r>
        <w:rPr>
          <w:spacing w:val="-2"/>
        </w:rPr>
        <w:t>》的原则确认的累计摊销额后的余额两者孰高进行后续计量。</w:t>
      </w:r>
      <w:r>
        <w:rPr/>
      </w:r>
    </w:p>
    <w:p>
      <w:pPr>
        <w:pStyle w:val="BodyText"/>
        <w:spacing w:line="336" w:lineRule="auto"/>
        <w:ind w:left="617" w:right="2519"/>
        <w:jc w:val="left"/>
      </w:pPr>
      <w:r>
        <w:rPr>
          <w:spacing w:val="-2"/>
        </w:rPr>
        <w:t>⑦商誉的金额及其确定方法</w:t>
      </w:r>
      <w:r>
        <w:rPr>
          <w:spacing w:val="-107"/>
        </w:rPr>
        <w:t> </w:t>
      </w:r>
      <w:r>
        <w:rPr>
          <w:spacing w:val="-2"/>
        </w:rPr>
        <w:t>商誉的确定方法见附注四、14。</w:t>
      </w:r>
      <w:r>
        <w:rPr/>
      </w:r>
    </w:p>
    <w:p>
      <w:pPr>
        <w:pStyle w:val="BodyText"/>
        <w:spacing w:line="336" w:lineRule="auto" w:before="29"/>
        <w:ind w:left="617" w:right="227"/>
        <w:jc w:val="left"/>
      </w:pPr>
      <w:r>
        <w:rPr/>
        <w:t>⑧合并成本的构成及其账面价值、公允价值及公允价值的确定方法。</w:t>
      </w:r>
      <w:r>
        <w:rPr>
          <w:spacing w:val="-2"/>
          <w:w w:val="100"/>
        </w:rPr>
        <w:t> </w:t>
      </w:r>
      <w:r>
        <w:rPr>
          <w:spacing w:val="-5"/>
        </w:rPr>
        <w:t>合并成本包括本公司为进行企业合并支付的现金或非现金资产、发生或承担</w:t>
      </w:r>
      <w:r>
        <w:rPr/>
      </w:r>
    </w:p>
    <w:p>
      <w:pPr>
        <w:pStyle w:val="BodyText"/>
        <w:spacing w:line="336" w:lineRule="auto"/>
        <w:ind w:right="232"/>
        <w:jc w:val="both"/>
      </w:pPr>
      <w:r>
        <w:rPr>
          <w:spacing w:val="-5"/>
        </w:rPr>
        <w:t>的负债、发行的权益性证券等在购买日的公允价值以及企业合并中发生的各项直</w:t>
      </w:r>
      <w:r>
        <w:rPr>
          <w:spacing w:val="-63"/>
        </w:rPr>
        <w:t> </w:t>
      </w:r>
      <w:r>
        <w:rPr>
          <w:spacing w:val="-63"/>
        </w:rPr>
      </w:r>
      <w:r>
        <w:rPr>
          <w:spacing w:val="-5"/>
        </w:rPr>
        <w:t>接相关费用之和。作为合并成本的资产、负债账面价值及公允价值披露可以列表</w:t>
      </w:r>
      <w:r>
        <w:rPr>
          <w:spacing w:val="-64"/>
        </w:rPr>
        <w:t> </w:t>
      </w:r>
      <w:r>
        <w:rPr>
          <w:spacing w:val="-64"/>
        </w:rPr>
      </w:r>
      <w:r>
        <w:rPr/>
        <w:t>或文字描述方式披露。公允价值的确定方法可参照下列规定披露：</w:t>
      </w:r>
    </w:p>
    <w:p>
      <w:pPr>
        <w:pStyle w:val="BodyText"/>
        <w:spacing w:line="336" w:lineRule="auto"/>
        <w:ind w:left="617" w:right="227"/>
        <w:jc w:val="left"/>
      </w:pPr>
      <w:r>
        <w:rPr/>
        <w:t>A.货币资金，按照购买日的账面余额确定。</w:t>
      </w:r>
      <w:r>
        <w:rPr>
          <w:spacing w:val="-2"/>
          <w:w w:val="100"/>
        </w:rPr>
        <w:t> </w:t>
      </w:r>
      <w:r>
        <w:rPr>
          <w:spacing w:val="-5"/>
        </w:rPr>
        <w:t>B.有活跃市场的股票、债券、基金等金融工具，按照购买日活跃市场中的市</w:t>
      </w:r>
      <w:r>
        <w:rPr/>
      </w:r>
    </w:p>
    <w:p>
      <w:pPr>
        <w:pStyle w:val="BodyText"/>
        <w:spacing w:line="240" w:lineRule="auto"/>
        <w:ind w:right="0"/>
        <w:jc w:val="both"/>
      </w:pPr>
      <w:r>
        <w:rPr>
          <w:spacing w:val="-2"/>
        </w:rPr>
        <w:t>场价值确定。</w:t>
      </w:r>
      <w:r>
        <w:rPr/>
      </w:r>
    </w:p>
    <w:p>
      <w:pPr>
        <w:pStyle w:val="BodyText"/>
        <w:spacing w:line="336" w:lineRule="auto" w:before="126"/>
        <w:ind w:right="232" w:firstLine="480"/>
        <w:jc w:val="both"/>
      </w:pPr>
      <w:r>
        <w:rPr>
          <w:spacing w:val="-5"/>
        </w:rPr>
        <w:t>C.应收款项，其中短期应收款项一般按照应收取的金额作为公允价值；长期</w:t>
      </w:r>
      <w:r>
        <w:rPr>
          <w:spacing w:val="-2"/>
          <w:w w:val="100"/>
        </w:rPr>
        <w:t> </w:t>
      </w:r>
      <w:r>
        <w:rPr>
          <w:spacing w:val="-5"/>
        </w:rPr>
        <w:t>应收款项，按照适当的利率折现后的现值确定其公允价值。在确定应收款项的公</w:t>
      </w:r>
      <w:r>
        <w:rPr>
          <w:spacing w:val="-64"/>
        </w:rPr>
        <w:t> </w:t>
      </w:r>
      <w:r>
        <w:rPr>
          <w:spacing w:val="-64"/>
        </w:rPr>
      </w:r>
      <w:r>
        <w:rPr>
          <w:spacing w:val="-2"/>
        </w:rPr>
        <w:t>允价值时，要考虑发生坏账的可能性及相关收款费用。</w:t>
      </w:r>
      <w:r>
        <w:rPr/>
      </w:r>
    </w:p>
    <w:p>
      <w:pPr>
        <w:pStyle w:val="BodyText"/>
        <w:spacing w:line="336" w:lineRule="auto"/>
        <w:ind w:right="227" w:firstLine="480"/>
        <w:jc w:val="both"/>
      </w:pPr>
      <w:r>
        <w:rPr>
          <w:spacing w:val="-5"/>
        </w:rPr>
        <w:t>D.存货，对于其中的产成品和商品按其估计售价减去估计的销售费用、相关</w:t>
      </w:r>
      <w:r>
        <w:rPr>
          <w:spacing w:val="-2"/>
          <w:w w:val="100"/>
        </w:rPr>
        <w:t> </w:t>
      </w:r>
      <w:r>
        <w:rPr>
          <w:spacing w:val="-5"/>
        </w:rPr>
        <w:t>税费以及出售类似产成品或商品估计可能实现的利润确定；在产品按完工产品的</w:t>
      </w:r>
      <w:r>
        <w:rPr>
          <w:spacing w:val="-64"/>
        </w:rPr>
        <w:t> </w:t>
      </w:r>
      <w:r>
        <w:rPr>
          <w:spacing w:val="-64"/>
        </w:rPr>
      </w:r>
      <w:r>
        <w:rPr>
          <w:spacing w:val="-5"/>
        </w:rPr>
        <w:t>估计售价减去至完工仍将发生的成本、估计销售费用、相关税费以及基于同类或</w:t>
      </w:r>
      <w:r>
        <w:rPr>
          <w:spacing w:val="-64"/>
        </w:rPr>
        <w:t> </w:t>
      </w:r>
      <w:r>
        <w:rPr>
          <w:spacing w:val="-64"/>
        </w:rPr>
      </w:r>
      <w:r>
        <w:rPr/>
        <w:t>类似产成品的基础上估计出售可能实现的利润确定；原材料按现行重置成本确</w:t>
      </w:r>
      <w:r>
        <w:rPr>
          <w:spacing w:val="19"/>
        </w:rPr>
        <w:t> </w:t>
      </w:r>
      <w:r>
        <w:rPr>
          <w:spacing w:val="19"/>
        </w:rPr>
      </w:r>
      <w:r>
        <w:rPr/>
        <w:t>定。</w:t>
      </w:r>
    </w:p>
    <w:p>
      <w:pPr>
        <w:pStyle w:val="BodyText"/>
        <w:spacing w:line="336" w:lineRule="auto"/>
        <w:ind w:right="234" w:firstLine="480"/>
        <w:jc w:val="both"/>
      </w:pPr>
      <w:r>
        <w:rPr/>
        <w:t>E.不存在活跃市场的金融工具如权益性投资等，参照《企业会计准则第</w:t>
      </w:r>
      <w:r>
        <w:rPr>
          <w:spacing w:val="3"/>
        </w:rPr>
        <w:t> </w:t>
      </w:r>
      <w:r>
        <w:rPr/>
        <w:t>22</w:t>
      </w:r>
      <w:r>
        <w:rPr>
          <w:w w:val="100"/>
        </w:rPr>
        <w:t> </w:t>
      </w:r>
      <w:r>
        <w:rPr/>
        <w:t>号-金融工具确认和计量》的规定，采用估值技术确定其公允价值。</w:t>
      </w:r>
    </w:p>
    <w:p>
      <w:pPr>
        <w:pStyle w:val="BodyText"/>
        <w:spacing w:line="336" w:lineRule="auto" w:before="29"/>
        <w:ind w:right="96" w:firstLine="480"/>
        <w:jc w:val="left"/>
      </w:pPr>
      <w:r>
        <w:rPr>
          <w:spacing w:val="-5"/>
        </w:rPr>
        <w:t>F.房屋建筑物、机器设备、无形资产，存在活跃市场的，以购买日的市场价</w:t>
      </w:r>
      <w:r>
        <w:rPr>
          <w:spacing w:val="-2"/>
          <w:w w:val="100"/>
        </w:rPr>
        <w:t> </w:t>
      </w:r>
      <w:r>
        <w:rPr>
          <w:spacing w:val="-8"/>
          <w:w w:val="100"/>
        </w:rPr>
        <w:t>格为基础确定其公允价值；不存在活跃市场，但同类或类似资产存在活跃市场的，</w:t>
      </w:r>
      <w:r>
        <w:rPr>
          <w:w w:val="100"/>
        </w:rPr>
      </w:r>
    </w:p>
    <w:p>
      <w:pPr>
        <w:spacing w:after="0" w:line="336" w:lineRule="auto"/>
        <w:jc w:val="left"/>
        <w:sectPr>
          <w:pgSz w:w="11910" w:h="16840"/>
          <w:pgMar w:header="840" w:footer="1712" w:top="1160" w:bottom="1900" w:left="1660" w:right="1560"/>
        </w:sectPr>
      </w:pPr>
    </w:p>
    <w:p>
      <w:pPr>
        <w:pStyle w:val="BodyText"/>
        <w:spacing w:line="336" w:lineRule="auto" w:before="71"/>
        <w:ind w:right="227"/>
        <w:jc w:val="left"/>
      </w:pPr>
      <w:r>
        <w:rPr>
          <w:spacing w:val="-5"/>
        </w:rPr>
        <w:t>参照同类或类似资产的市场价格确定其公允价值；同类或类似资产不存在活跃市</w:t>
      </w:r>
      <w:r>
        <w:rPr>
          <w:spacing w:val="-63"/>
        </w:rPr>
        <w:t> </w:t>
      </w:r>
      <w:r>
        <w:rPr>
          <w:spacing w:val="-63"/>
        </w:rPr>
      </w:r>
      <w:r>
        <w:rPr/>
        <w:t>场，采用估值技术确定其公允价值。</w:t>
      </w:r>
    </w:p>
    <w:p>
      <w:pPr>
        <w:pStyle w:val="BodyText"/>
        <w:spacing w:line="336" w:lineRule="auto" w:before="29"/>
        <w:ind w:right="233" w:firstLine="480"/>
        <w:jc w:val="both"/>
      </w:pPr>
      <w:r>
        <w:rPr>
          <w:spacing w:val="-5"/>
        </w:rPr>
        <w:t>G.发行的权益性证券的公允价值，所发行的权益性证券存在公开市场，有明</w:t>
      </w:r>
      <w:r>
        <w:rPr>
          <w:spacing w:val="-2"/>
          <w:w w:val="100"/>
        </w:rPr>
        <w:t> </w:t>
      </w:r>
      <w:r>
        <w:rPr>
          <w:spacing w:val="-5"/>
        </w:rPr>
        <w:t>确市价可供遵循的，以该证券的市价作为确定其公允价值的依据，同时应考虑该</w:t>
      </w:r>
      <w:r>
        <w:rPr>
          <w:spacing w:val="-64"/>
        </w:rPr>
        <w:t> </w:t>
      </w:r>
      <w:r>
        <w:rPr>
          <w:spacing w:val="-64"/>
        </w:rPr>
      </w:r>
      <w:r>
        <w:rPr>
          <w:spacing w:val="-5"/>
        </w:rPr>
        <w:t>证券的交易量、是否存在限制性条款等因素的影响；发行的权益性证券不存在公</w:t>
      </w:r>
      <w:r>
        <w:rPr>
          <w:spacing w:val="-64"/>
        </w:rPr>
        <w:t> </w:t>
      </w:r>
      <w:r>
        <w:rPr>
          <w:spacing w:val="-64"/>
        </w:rPr>
      </w:r>
      <w:r>
        <w:rPr>
          <w:spacing w:val="-5"/>
        </w:rPr>
        <w:t>开市场。没有明确市价可供遵循的，则考虑以购买方或被购买方的公允价值为基</w:t>
      </w:r>
      <w:r>
        <w:rPr>
          <w:spacing w:val="-64"/>
        </w:rPr>
        <w:t> </w:t>
      </w:r>
      <w:r>
        <w:rPr>
          <w:spacing w:val="-64"/>
        </w:rPr>
      </w:r>
      <w:r>
        <w:rPr>
          <w:spacing w:val="-5"/>
        </w:rPr>
        <w:t>础确定权益性证券的价值。在确定所发行权益性证券的公允价值时，应考虑达成</w:t>
      </w:r>
      <w:r>
        <w:rPr>
          <w:spacing w:val="-64"/>
        </w:rPr>
        <w:t> </w:t>
      </w:r>
      <w:r>
        <w:rPr>
          <w:spacing w:val="-64"/>
        </w:rPr>
      </w:r>
      <w:r>
        <w:rPr/>
        <w:t>企业合并协议并且公开宣布前后一段合理的时间内该权益性证券的市场价格。</w:t>
      </w:r>
    </w:p>
    <w:p>
      <w:pPr>
        <w:pStyle w:val="BodyText"/>
        <w:spacing w:line="336" w:lineRule="auto" w:before="29"/>
        <w:ind w:right="232" w:firstLine="480"/>
        <w:jc w:val="both"/>
      </w:pPr>
      <w:r>
        <w:rPr>
          <w:spacing w:val="-5"/>
        </w:rPr>
        <w:t>H.因企业合并发生或承担的债务的公允价值，采用按照适用利率计算的未来</w:t>
      </w:r>
      <w:r>
        <w:rPr>
          <w:spacing w:val="-2"/>
          <w:w w:val="100"/>
        </w:rPr>
        <w:t> </w:t>
      </w:r>
      <w:r>
        <w:rPr/>
        <w:t>现金流量的现值作为其公允价值。</w:t>
      </w:r>
    </w:p>
    <w:p>
      <w:pPr>
        <w:pStyle w:val="BodyText"/>
        <w:spacing w:line="336" w:lineRule="auto"/>
        <w:ind w:left="617" w:right="96"/>
        <w:jc w:val="left"/>
      </w:pPr>
      <w:r>
        <w:rPr/>
        <w:t>（3）吸收合并</w:t>
      </w:r>
      <w:r>
        <w:rPr>
          <w:spacing w:val="-2"/>
          <w:w w:val="100"/>
        </w:rPr>
        <w:t> </w:t>
      </w:r>
      <w:r>
        <w:rPr>
          <w:spacing w:val="-9"/>
          <w:w w:val="100"/>
        </w:rPr>
        <w:t>本公司发生吸收合并时，合并中取得的资产、负债入账价值的确定方法如下：</w:t>
      </w:r>
      <w:r>
        <w:rPr>
          <w:w w:val="100"/>
        </w:rPr>
      </w:r>
    </w:p>
    <w:p>
      <w:pPr>
        <w:pStyle w:val="BodyText"/>
        <w:spacing w:line="336" w:lineRule="auto"/>
        <w:ind w:right="96" w:firstLine="480"/>
        <w:jc w:val="left"/>
      </w:pPr>
      <w:r>
        <w:rPr>
          <w:spacing w:val="-9"/>
          <w:w w:val="100"/>
        </w:rPr>
        <w:t>①同一控制下的吸收合并，本公司在合并日取得的资产、负债按照相关资产、</w:t>
      </w:r>
      <w:r>
        <w:rPr>
          <w:spacing w:val="-2"/>
          <w:w w:val="100"/>
        </w:rPr>
        <w:t> </w:t>
      </w:r>
      <w:r>
        <w:rPr>
          <w:spacing w:val="-5"/>
        </w:rPr>
        <w:t>负债在被合并方的原账面价值入账。如果被合并方采用的会计政策与本公司不一</w:t>
      </w:r>
      <w:r>
        <w:rPr>
          <w:spacing w:val="-63"/>
        </w:rPr>
        <w:t> </w:t>
      </w:r>
      <w:r>
        <w:rPr>
          <w:spacing w:val="-63"/>
        </w:rPr>
      </w:r>
      <w:r>
        <w:rPr>
          <w:spacing w:val="-5"/>
        </w:rPr>
        <w:t>致的，本公司基于重要性原则，在合并日按照本公司会计政策对被合并方的相关</w:t>
      </w:r>
      <w:r>
        <w:rPr>
          <w:spacing w:val="-64"/>
        </w:rPr>
        <w:t> </w:t>
      </w:r>
      <w:r>
        <w:rPr>
          <w:spacing w:val="-64"/>
        </w:rPr>
      </w:r>
      <w:r>
        <w:rPr>
          <w:spacing w:val="-5"/>
        </w:rPr>
        <w:t>资产、负债的账面价值进行调整，在此基础上确定合并中取得的资产、负债的入</w:t>
      </w:r>
      <w:r>
        <w:rPr>
          <w:spacing w:val="-60"/>
        </w:rPr>
        <w:t> </w:t>
      </w:r>
      <w:r>
        <w:rPr>
          <w:spacing w:val="-60"/>
        </w:rPr>
      </w:r>
      <w:r>
        <w:rPr/>
        <w:t>账价值。</w:t>
      </w:r>
    </w:p>
    <w:p>
      <w:pPr>
        <w:pStyle w:val="BodyText"/>
        <w:spacing w:line="336" w:lineRule="auto" w:before="29"/>
        <w:ind w:right="146" w:firstLine="480"/>
        <w:jc w:val="both"/>
      </w:pPr>
      <w:r>
        <w:rPr>
          <w:spacing w:val="-5"/>
        </w:rPr>
        <w:t>②非同一控制下的吸收合并，本公司在购买日将合并中取得的符合确认条件</w:t>
      </w:r>
      <w:r>
        <w:rPr>
          <w:spacing w:val="-2"/>
          <w:w w:val="100"/>
        </w:rPr>
        <w:t> </w:t>
      </w:r>
      <w:r>
        <w:rPr>
          <w:spacing w:val="-5"/>
        </w:rPr>
        <w:t>的各项可辨认资产、负债，按其公允价值确认为本公司的资产和负债。各项可辨</w:t>
      </w:r>
      <w:r>
        <w:rPr>
          <w:spacing w:val="-60"/>
        </w:rPr>
        <w:t> </w:t>
      </w:r>
      <w:r>
        <w:rPr>
          <w:spacing w:val="-60"/>
        </w:rPr>
      </w:r>
      <w:r>
        <w:rPr>
          <w:spacing w:val="-2"/>
        </w:rPr>
        <w:t>认资产、负债的确认条件见六、1、（2）之⑥。公允价值的具体确定方法如下：</w:t>
      </w:r>
      <w:r>
        <w:rPr/>
      </w:r>
    </w:p>
    <w:p>
      <w:pPr>
        <w:pStyle w:val="BodyText"/>
        <w:spacing w:line="336" w:lineRule="auto" w:before="29"/>
        <w:ind w:left="617" w:right="227"/>
        <w:jc w:val="left"/>
      </w:pPr>
      <w:r>
        <w:rPr/>
        <w:t>A.货币资金，按照购买日阴被购买方的账面余额确定。</w:t>
      </w:r>
      <w:r>
        <w:rPr>
          <w:spacing w:val="-2"/>
          <w:w w:val="100"/>
        </w:rPr>
        <w:t> </w:t>
      </w:r>
      <w:r>
        <w:rPr>
          <w:spacing w:val="-5"/>
        </w:rPr>
        <w:t>B.有活跃市场的股票、债券、基金等金融工具，按照购买日活跃市场中的市</w:t>
      </w:r>
      <w:r>
        <w:rPr/>
      </w:r>
    </w:p>
    <w:p>
      <w:pPr>
        <w:pStyle w:val="BodyText"/>
        <w:spacing w:line="240" w:lineRule="auto"/>
        <w:ind w:right="227"/>
        <w:jc w:val="left"/>
      </w:pPr>
      <w:r>
        <w:rPr>
          <w:spacing w:val="-2"/>
        </w:rPr>
        <w:t>场价值确定。</w:t>
      </w:r>
      <w:r>
        <w:rPr/>
      </w:r>
    </w:p>
    <w:p>
      <w:pPr>
        <w:pStyle w:val="BodyText"/>
        <w:spacing w:line="336" w:lineRule="auto" w:before="125"/>
        <w:ind w:right="232" w:firstLine="480"/>
        <w:jc w:val="both"/>
      </w:pPr>
      <w:r>
        <w:rPr>
          <w:spacing w:val="-5"/>
        </w:rPr>
        <w:t>C.应收款项，其中短期应收款项一般按照应收取的金额作为公允价值；长期</w:t>
      </w:r>
      <w:r>
        <w:rPr>
          <w:spacing w:val="-2"/>
          <w:w w:val="100"/>
        </w:rPr>
        <w:t> </w:t>
      </w:r>
      <w:r>
        <w:rPr>
          <w:spacing w:val="-5"/>
        </w:rPr>
        <w:t>应收款项，按照适当的利率折现后的现值确定其公允价值。在确定应收款项的公</w:t>
      </w:r>
      <w:r>
        <w:rPr>
          <w:spacing w:val="-64"/>
        </w:rPr>
        <w:t> </w:t>
      </w:r>
      <w:r>
        <w:rPr>
          <w:spacing w:val="-64"/>
        </w:rPr>
      </w:r>
      <w:r>
        <w:rPr>
          <w:spacing w:val="-2"/>
        </w:rPr>
        <w:t>允价值时，要考虑发生坏账的可能性及相关收款费用。</w:t>
      </w:r>
      <w:r>
        <w:rPr/>
      </w:r>
    </w:p>
    <w:p>
      <w:pPr>
        <w:pStyle w:val="BodyText"/>
        <w:spacing w:line="336" w:lineRule="auto" w:before="29"/>
        <w:ind w:right="227" w:firstLine="480"/>
        <w:jc w:val="both"/>
      </w:pPr>
      <w:r>
        <w:rPr>
          <w:spacing w:val="-5"/>
        </w:rPr>
        <w:t>D.存货，对于其中的产成品和商品按其估计售价减去估计的销售费用、相关</w:t>
      </w:r>
      <w:r>
        <w:rPr>
          <w:spacing w:val="-2"/>
          <w:w w:val="100"/>
        </w:rPr>
        <w:t> </w:t>
      </w:r>
      <w:r>
        <w:rPr>
          <w:spacing w:val="-5"/>
        </w:rPr>
        <w:t>税费以及出售类似产成品或商品估计可能实现的利润确定；在产品按完工产品的</w:t>
      </w:r>
      <w:r>
        <w:rPr>
          <w:spacing w:val="-64"/>
        </w:rPr>
        <w:t> </w:t>
      </w:r>
      <w:r>
        <w:rPr>
          <w:spacing w:val="-64"/>
        </w:rPr>
      </w:r>
      <w:r>
        <w:rPr>
          <w:spacing w:val="-5"/>
        </w:rPr>
        <w:t>估计售价减去至完工仍将发生的成本、估计销售费用、相关税费以及基于同类或</w:t>
      </w:r>
      <w:r>
        <w:rPr>
          <w:spacing w:val="-64"/>
        </w:rPr>
        <w:t> </w:t>
      </w:r>
      <w:r>
        <w:rPr>
          <w:spacing w:val="-64"/>
        </w:rPr>
      </w:r>
      <w:r>
        <w:rPr/>
        <w:t>类似产成品的基础上估计出售可能实现的利润确定；原材料按现行重置成本确</w:t>
      </w:r>
      <w:r>
        <w:rPr>
          <w:spacing w:val="19"/>
        </w:rPr>
        <w:t> </w:t>
      </w:r>
      <w:r>
        <w:rPr>
          <w:spacing w:val="19"/>
        </w:rPr>
      </w:r>
      <w:r>
        <w:rPr/>
        <w:t>定。</w:t>
      </w:r>
    </w:p>
    <w:p>
      <w:pPr>
        <w:spacing w:after="0" w:line="336" w:lineRule="auto"/>
        <w:jc w:val="both"/>
        <w:sectPr>
          <w:pgSz w:w="11910" w:h="16840"/>
          <w:pgMar w:header="840" w:footer="1712" w:top="1160" w:bottom="1900" w:left="1660" w:right="1560"/>
        </w:sectPr>
      </w:pPr>
    </w:p>
    <w:p>
      <w:pPr>
        <w:pStyle w:val="BodyText"/>
        <w:spacing w:line="336" w:lineRule="auto" w:before="71"/>
        <w:ind w:right="234" w:firstLine="480"/>
        <w:jc w:val="both"/>
      </w:pPr>
      <w:r>
        <w:rPr/>
        <w:t>E.不存在活跃市场的金融工具如权益性投资等，参照《企业会计准则第</w:t>
      </w:r>
      <w:r>
        <w:rPr>
          <w:spacing w:val="3"/>
        </w:rPr>
        <w:t> </w:t>
      </w:r>
      <w:r>
        <w:rPr/>
        <w:t>22</w:t>
      </w:r>
      <w:r>
        <w:rPr>
          <w:w w:val="100"/>
        </w:rPr>
        <w:t> </w:t>
      </w:r>
      <w:r>
        <w:rPr/>
        <w:t>号-金融工具确认和计量》的规定，采用估值技术确定其公允价值。</w:t>
      </w:r>
    </w:p>
    <w:p>
      <w:pPr>
        <w:pStyle w:val="BodyText"/>
        <w:spacing w:line="336" w:lineRule="auto" w:before="29"/>
        <w:ind w:right="96" w:firstLine="480"/>
        <w:jc w:val="left"/>
      </w:pPr>
      <w:r>
        <w:rPr>
          <w:spacing w:val="-5"/>
        </w:rPr>
        <w:t>F.房屋建筑物、机器设备、无形资产，存在活跃市场的，以购买日的市场价</w:t>
      </w:r>
      <w:r>
        <w:rPr>
          <w:spacing w:val="-2"/>
          <w:w w:val="100"/>
        </w:rPr>
        <w:t> </w:t>
      </w:r>
      <w:r>
        <w:rPr>
          <w:spacing w:val="-8"/>
          <w:w w:val="100"/>
        </w:rPr>
        <w:t>格为基础确定其公允价值；不存在活跃市场，但同类或类似资产存在活跃市场的，</w:t>
      </w:r>
      <w:r>
        <w:rPr>
          <w:spacing w:val="-113"/>
          <w:w w:val="100"/>
        </w:rPr>
        <w:t> </w:t>
      </w:r>
      <w:r>
        <w:rPr>
          <w:spacing w:val="-113"/>
          <w:w w:val="100"/>
        </w:rPr>
      </w:r>
      <w:r>
        <w:rPr>
          <w:spacing w:val="-5"/>
        </w:rPr>
        <w:t>参照同类或类似资产的市场价格确定其公允价值；同类或类似资产不存在活跃市</w:t>
      </w:r>
      <w:r>
        <w:rPr>
          <w:spacing w:val="-64"/>
        </w:rPr>
        <w:t> </w:t>
      </w:r>
      <w:r>
        <w:rPr>
          <w:spacing w:val="-64"/>
        </w:rPr>
      </w:r>
      <w:r>
        <w:rPr/>
        <w:t>场，采用估值技术确定其公允价值。</w:t>
      </w:r>
    </w:p>
    <w:p>
      <w:pPr>
        <w:pStyle w:val="BodyText"/>
        <w:spacing w:line="336" w:lineRule="auto"/>
        <w:ind w:right="231" w:firstLine="480"/>
        <w:jc w:val="both"/>
      </w:pPr>
      <w:r>
        <w:rPr>
          <w:spacing w:val="-5"/>
        </w:rPr>
        <w:t>G.应付账款、应付票据、应付职工薪酬、应付债券、长期应付款，其中的短</w:t>
      </w:r>
      <w:r>
        <w:rPr>
          <w:spacing w:val="-2"/>
          <w:w w:val="100"/>
        </w:rPr>
        <w:t> </w:t>
      </w:r>
      <w:r>
        <w:rPr>
          <w:spacing w:val="-5"/>
        </w:rPr>
        <w:t>期负债，一般按照应支付的金额确定其公允价值；长期负债，按照适当的折现率</w:t>
      </w:r>
      <w:r>
        <w:rPr>
          <w:spacing w:val="-60"/>
        </w:rPr>
        <w:t> </w:t>
      </w:r>
      <w:r>
        <w:rPr>
          <w:spacing w:val="-60"/>
        </w:rPr>
      </w:r>
      <w:r>
        <w:rPr/>
        <w:t>折现后的现值作为其公允价值。</w:t>
      </w:r>
    </w:p>
    <w:p>
      <w:pPr>
        <w:pStyle w:val="BodyText"/>
        <w:spacing w:line="336" w:lineRule="auto"/>
        <w:ind w:right="233" w:firstLine="480"/>
        <w:jc w:val="both"/>
      </w:pPr>
      <w:r>
        <w:rPr>
          <w:spacing w:val="-5"/>
        </w:rPr>
        <w:t>H.取得的被购买方的或有负债，其公允价值在购买日能够可靠计量的，单独</w:t>
      </w:r>
      <w:r>
        <w:rPr>
          <w:spacing w:val="-2"/>
          <w:w w:val="100"/>
        </w:rPr>
        <w:t> </w:t>
      </w:r>
      <w:r>
        <w:rPr>
          <w:spacing w:val="-5"/>
        </w:rPr>
        <w:t>确认为预计负债。此项负债按照假定第三方愿意代购买方承担该项义务，就其所</w:t>
      </w:r>
      <w:r>
        <w:rPr>
          <w:spacing w:val="-64"/>
        </w:rPr>
        <w:t> </w:t>
      </w:r>
      <w:r>
        <w:rPr>
          <w:spacing w:val="-64"/>
        </w:rPr>
      </w:r>
      <w:r>
        <w:rPr/>
        <w:t>承担义务需要购买方支付的金额作为其公允价值。</w:t>
      </w:r>
    </w:p>
    <w:p>
      <w:pPr>
        <w:pStyle w:val="BodyText"/>
        <w:spacing w:line="336" w:lineRule="auto"/>
        <w:ind w:right="233" w:firstLine="480"/>
        <w:jc w:val="both"/>
      </w:pPr>
      <w:r>
        <w:rPr>
          <w:spacing w:val="-5"/>
        </w:rPr>
        <w:t>I.递延所得税资产和递延所得税负债，取得的被购买方各项可辨认资产、负</w:t>
      </w:r>
      <w:r>
        <w:rPr>
          <w:w w:val="100"/>
        </w:rPr>
        <w:t> </w:t>
      </w:r>
      <w:r>
        <w:rPr>
          <w:spacing w:val="-5"/>
        </w:rPr>
        <w:t>债及或有负债的公允价值与其计税基础之间存在差额的，应当按照《企业会计准</w:t>
      </w:r>
      <w:r>
        <w:rPr>
          <w:spacing w:val="-64"/>
        </w:rPr>
        <w:t> </w:t>
      </w:r>
      <w:r>
        <w:rPr>
          <w:spacing w:val="-64"/>
        </w:rPr>
      </w:r>
      <w:r>
        <w:rPr/>
        <w:t>则第</w:t>
      </w:r>
      <w:r>
        <w:rPr>
          <w:spacing w:val="-46"/>
        </w:rPr>
        <w:t> </w:t>
      </w:r>
      <w:r>
        <w:rPr/>
        <w:t>18</w:t>
      </w:r>
      <w:r>
        <w:rPr>
          <w:spacing w:val="-45"/>
        </w:rPr>
        <w:t> </w:t>
      </w:r>
      <w:r>
        <w:rPr>
          <w:spacing w:val="-5"/>
        </w:rPr>
        <w:t>号-所得税》的规定确认相应的递延所得税资产或递延所得税负债，所确</w:t>
      </w:r>
      <w:r>
        <w:rPr>
          <w:spacing w:val="-110"/>
        </w:rPr>
        <w:t> </w:t>
      </w:r>
      <w:r>
        <w:rPr>
          <w:spacing w:val="-110"/>
        </w:rPr>
      </w:r>
      <w:r>
        <w:rPr>
          <w:spacing w:val="-2"/>
        </w:rPr>
        <w:t>认的递延所得税资产或递延所得税负债的金额不折现。</w:t>
      </w:r>
      <w:r>
        <w:rPr/>
      </w:r>
    </w:p>
    <w:p>
      <w:pPr>
        <w:pStyle w:val="Heading3"/>
        <w:spacing w:line="372" w:lineRule="exact"/>
        <w:ind w:right="227"/>
        <w:jc w:val="left"/>
        <w:rPr>
          <w:b w:val="0"/>
          <w:bCs w:val="0"/>
        </w:rPr>
      </w:pPr>
      <w:r>
        <w:rPr/>
        <w:t>2、合并财务报表</w:t>
      </w:r>
      <w:r>
        <w:rPr>
          <w:b w:val="0"/>
          <w:bCs w:val="0"/>
        </w:rPr>
      </w:r>
    </w:p>
    <w:p>
      <w:pPr>
        <w:pStyle w:val="BodyText"/>
        <w:spacing w:line="240" w:lineRule="auto" w:before="98"/>
        <w:ind w:left="617" w:right="227"/>
        <w:jc w:val="left"/>
      </w:pPr>
      <w:r>
        <w:rPr/>
        <w:t>（1）合并范围</w:t>
      </w:r>
    </w:p>
    <w:p>
      <w:pPr>
        <w:pStyle w:val="BodyText"/>
        <w:spacing w:line="336" w:lineRule="auto" w:before="126"/>
        <w:ind w:left="617" w:right="227"/>
        <w:jc w:val="left"/>
      </w:pPr>
      <w:r>
        <w:rPr/>
        <w:t>①确定原则</w:t>
      </w:r>
      <w:r>
        <w:rPr>
          <w:spacing w:val="-2"/>
          <w:w w:val="100"/>
        </w:rPr>
        <w:t> </w:t>
      </w:r>
      <w:r>
        <w:rPr>
          <w:spacing w:val="-5"/>
        </w:rPr>
        <w:t>合并财务报表的合并范围以控制为基础予以确定。控制是指本公司能够决定</w:t>
      </w:r>
      <w:r>
        <w:rPr/>
      </w:r>
    </w:p>
    <w:p>
      <w:pPr>
        <w:pStyle w:val="BodyText"/>
        <w:spacing w:line="336" w:lineRule="auto" w:before="29"/>
        <w:ind w:right="230"/>
        <w:jc w:val="both"/>
      </w:pPr>
      <w:r>
        <w:rPr>
          <w:spacing w:val="-1"/>
        </w:rPr>
        <w:t>被投资单位的财务和经营政策,并能据以从被投资单位的经营活动中获取利益的</w:t>
      </w:r>
      <w:r>
        <w:rPr>
          <w:spacing w:val="-81"/>
        </w:rPr>
        <w:t> </w:t>
      </w:r>
      <w:r>
        <w:rPr/>
        <w:t>权力。本公司对其他单位投资占被投资单位有表决权资本总额</w:t>
      </w:r>
      <w:r>
        <w:rPr>
          <w:spacing w:val="2"/>
        </w:rPr>
        <w:t> </w:t>
      </w:r>
      <w:r>
        <w:rPr/>
        <w:t>50％以上（不含</w:t>
      </w:r>
      <w:r>
        <w:rPr>
          <w:spacing w:val="-1"/>
          <w:w w:val="100"/>
        </w:rPr>
        <w:t> </w:t>
      </w:r>
      <w:r>
        <w:rPr/>
        <w:t>50%）,或虽不足</w:t>
      </w:r>
      <w:r>
        <w:rPr>
          <w:spacing w:val="-62"/>
        </w:rPr>
        <w:t> </w:t>
      </w:r>
      <w:r>
        <w:rPr/>
        <w:t>50%但有实质控制权的,全部纳入合并范围。</w:t>
      </w:r>
    </w:p>
    <w:p>
      <w:pPr>
        <w:pStyle w:val="BodyText"/>
        <w:spacing w:line="336" w:lineRule="auto" w:before="29"/>
        <w:ind w:right="231" w:firstLine="480"/>
        <w:jc w:val="both"/>
      </w:pPr>
      <w:r>
        <w:rPr/>
        <w:t>2006</w:t>
      </w:r>
      <w:r>
        <w:rPr>
          <w:spacing w:val="-38"/>
        </w:rPr>
        <w:t> </w:t>
      </w:r>
      <w:r>
        <w:rPr>
          <w:spacing w:val="-7"/>
        </w:rPr>
        <w:t>年度本公司合并范围的确定原则是：根据财政部发布的《关于印发〈合</w:t>
      </w:r>
      <w:r>
        <w:rPr>
          <w:spacing w:val="-2"/>
          <w:w w:val="100"/>
        </w:rPr>
        <w:t> </w:t>
      </w:r>
      <w:r>
        <w:rPr/>
        <w:t>并会计报表暂行规定〉的通知》[财会字（1995）11 号]的规定，凡母公司拥有</w:t>
      </w:r>
      <w:r>
        <w:rPr>
          <w:spacing w:val="-1"/>
          <w:w w:val="100"/>
        </w:rPr>
        <w:t> </w:t>
      </w:r>
      <w:r>
        <w:rPr>
          <w:spacing w:val="-5"/>
        </w:rPr>
        <w:t>过半数以上（不包括半数）权益性资本的被投资企业和其它被母公司控制的被投</w:t>
      </w:r>
      <w:r>
        <w:rPr>
          <w:spacing w:val="-64"/>
        </w:rPr>
        <w:t> </w:t>
      </w:r>
      <w:r>
        <w:rPr>
          <w:spacing w:val="-64"/>
        </w:rPr>
      </w:r>
      <w:r>
        <w:rPr/>
        <w:t>资企业纳入合并范围。但下列情况不纳入合并范围：</w:t>
      </w:r>
    </w:p>
    <w:p>
      <w:pPr>
        <w:pStyle w:val="BodyText"/>
        <w:spacing w:line="336" w:lineRule="auto"/>
        <w:ind w:left="617" w:right="575"/>
        <w:jc w:val="left"/>
      </w:pPr>
      <w:r>
        <w:rPr>
          <w:spacing w:val="-2"/>
        </w:rPr>
        <w:t>A.处于以下几种情况的子公司，不纳入合并财务报表的合并范围：</w:t>
      </w:r>
      <w:r>
        <w:rPr>
          <w:spacing w:val="-87"/>
        </w:rPr>
        <w:t> </w:t>
      </w:r>
      <w:r>
        <w:rPr/>
        <w:t>a.已准备关停并转的子公司；</w:t>
      </w:r>
      <w:r>
        <w:rPr>
          <w:spacing w:val="-2"/>
          <w:w w:val="100"/>
        </w:rPr>
        <w:t> </w:t>
      </w:r>
      <w:r>
        <w:rPr/>
        <w:t>b.按照破产程序，已宣告被清理整顿的子公司；</w:t>
      </w:r>
      <w:r>
        <w:rPr>
          <w:spacing w:val="-2"/>
          <w:w w:val="100"/>
        </w:rPr>
        <w:t> </w:t>
      </w:r>
      <w:r>
        <w:rPr>
          <w:spacing w:val="-2"/>
        </w:rPr>
        <w:t>c.已宣告破产的子公司；</w:t>
      </w:r>
      <w:r>
        <w:rPr/>
      </w:r>
    </w:p>
    <w:p>
      <w:pPr>
        <w:spacing w:after="0" w:line="336" w:lineRule="auto"/>
        <w:jc w:val="left"/>
        <w:sectPr>
          <w:pgSz w:w="11910" w:h="16840"/>
          <w:pgMar w:header="840" w:footer="1712" w:top="1160" w:bottom="1900" w:left="1660" w:right="1560"/>
        </w:sectPr>
      </w:pPr>
    </w:p>
    <w:p>
      <w:pPr>
        <w:pStyle w:val="BodyText"/>
        <w:spacing w:line="336" w:lineRule="auto" w:before="71"/>
        <w:ind w:left="617" w:right="0"/>
        <w:jc w:val="left"/>
      </w:pPr>
      <w:r>
        <w:rPr/>
        <w:t>d.准备近期售出而短期持有其半数以上权益性资本的子公司；</w:t>
      </w:r>
      <w:r>
        <w:rPr>
          <w:spacing w:val="-2"/>
          <w:w w:val="100"/>
        </w:rPr>
        <w:t> </w:t>
      </w:r>
      <w:r>
        <w:rPr/>
        <w:t>e.非持续经营的所有者权益为负数的子公司；</w:t>
      </w:r>
      <w:r>
        <w:rPr>
          <w:spacing w:val="-2"/>
          <w:w w:val="100"/>
        </w:rPr>
        <w:t> </w:t>
      </w:r>
      <w:r>
        <w:rPr/>
        <w:t>f.受所在国外汇管制及其它管制，资金调度受到限制的境外子公司。</w:t>
      </w:r>
      <w:r>
        <w:rPr>
          <w:spacing w:val="-2"/>
          <w:w w:val="100"/>
        </w:rPr>
        <w:t> </w:t>
      </w:r>
      <w:r>
        <w:rPr>
          <w:spacing w:val="-2"/>
        </w:rPr>
        <w:t>B.符合财政部发布的《关于合并会计报表合并范围请示的复函》[财会二字</w:t>
      </w:r>
      <w:r>
        <w:rPr/>
      </w:r>
    </w:p>
    <w:p>
      <w:pPr>
        <w:pStyle w:val="BodyText"/>
        <w:spacing w:line="240" w:lineRule="auto"/>
        <w:ind w:right="0"/>
        <w:jc w:val="left"/>
      </w:pPr>
      <w:r>
        <w:rPr>
          <w:spacing w:val="-2"/>
        </w:rPr>
        <w:t>（1996）2</w:t>
      </w:r>
      <w:r>
        <w:rPr>
          <w:spacing w:val="-25"/>
        </w:rPr>
        <w:t> </w:t>
      </w:r>
      <w:r>
        <w:rPr>
          <w:spacing w:val="-2"/>
        </w:rPr>
        <w:t>号]规定的子公司，可以不纳入合并财务报表的合并范围。</w:t>
      </w:r>
      <w:r>
        <w:rPr/>
      </w:r>
    </w:p>
    <w:p>
      <w:pPr>
        <w:pStyle w:val="BodyText"/>
        <w:spacing w:line="240" w:lineRule="auto" w:before="125"/>
        <w:ind w:left="617" w:right="0"/>
        <w:jc w:val="left"/>
      </w:pPr>
      <w:r>
        <w:rPr>
          <w:spacing w:val="-2"/>
        </w:rPr>
        <w:t>②2007</w:t>
      </w:r>
      <w:r>
        <w:rPr>
          <w:spacing w:val="-36"/>
        </w:rPr>
        <w:t> </w:t>
      </w:r>
      <w:r>
        <w:rPr>
          <w:spacing w:val="-2"/>
        </w:rPr>
        <w:t>年度的重要子公司情况及合并范围的确定</w:t>
      </w:r>
      <w:r>
        <w:rPr/>
      </w:r>
    </w:p>
    <w:p>
      <w:pPr>
        <w:spacing w:after="0" w:line="240" w:lineRule="auto"/>
        <w:jc w:val="left"/>
        <w:sectPr>
          <w:pgSz w:w="11910" w:h="16840"/>
          <w:pgMar w:header="840" w:footer="1712" w:top="1160" w:bottom="1900" w:left="1660" w:right="1640"/>
        </w:sectPr>
      </w:pPr>
    </w:p>
    <w:p>
      <w:pPr>
        <w:tabs>
          <w:tab w:pos="1962" w:val="left" w:leader="none"/>
          <w:tab w:pos="2926" w:val="left" w:leader="none"/>
          <w:tab w:pos="4140" w:val="left" w:leader="none"/>
        </w:tabs>
        <w:spacing w:before="86"/>
        <w:ind w:left="581" w:right="0" w:firstLine="0"/>
        <w:jc w:val="left"/>
        <w:rPr>
          <w:rFonts w:ascii="宋体" w:hAnsi="宋体" w:cs="宋体" w:eastAsia="宋体" w:hint="default"/>
          <w:sz w:val="20"/>
          <w:szCs w:val="20"/>
        </w:rPr>
      </w:pPr>
      <w:r>
        <w:rPr/>
        <w:pict>
          <v:shape style="position:absolute;margin-left:90.18pt;margin-top:19.621931pt;width:438.6pt;height:315.0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00"/>
                    <w:gridCol w:w="1236"/>
                    <w:gridCol w:w="1190"/>
                    <w:gridCol w:w="2802"/>
                    <w:gridCol w:w="1044"/>
                  </w:tblGrid>
                  <w:tr>
                    <w:trPr>
                      <w:trHeight w:val="254" w:hRule="exact"/>
                    </w:trPr>
                    <w:tc>
                      <w:tcPr>
                        <w:tcW w:w="3736" w:type="dxa"/>
                        <w:gridSpan w:val="2"/>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single" w:sz="8" w:space="0" w:color="000000"/>
                          <w:right w:val="nil" w:sz="6" w:space="0" w:color="auto"/>
                        </w:tcBorders>
                      </w:tcPr>
                      <w:p>
                        <w:pPr>
                          <w:pStyle w:val="TableParagraph"/>
                          <w:spacing w:line="199" w:lineRule="exact"/>
                          <w:ind w:left="359" w:right="0"/>
                          <w:jc w:val="left"/>
                          <w:rPr>
                            <w:rFonts w:ascii="宋体" w:hAnsi="宋体" w:cs="宋体" w:eastAsia="宋体" w:hint="default"/>
                            <w:sz w:val="20"/>
                            <w:szCs w:val="20"/>
                          </w:rPr>
                        </w:pPr>
                        <w:r>
                          <w:rPr>
                            <w:rFonts w:ascii="宋体" w:hAnsi="宋体" w:cs="宋体" w:eastAsia="宋体" w:hint="default"/>
                            <w:sz w:val="20"/>
                            <w:szCs w:val="20"/>
                          </w:rPr>
                          <w:t>(万元)</w:t>
                        </w:r>
                      </w:p>
                    </w:tc>
                    <w:tc>
                      <w:tcPr>
                        <w:tcW w:w="2802" w:type="dxa"/>
                        <w:tcBorders>
                          <w:top w:val="nil" w:sz="6" w:space="0" w:color="auto"/>
                          <w:left w:val="nil" w:sz="6" w:space="0" w:color="auto"/>
                          <w:bottom w:val="single" w:sz="8" w:space="0" w:color="000000"/>
                          <w:right w:val="nil" w:sz="6" w:space="0" w:color="auto"/>
                        </w:tcBorders>
                      </w:tcPr>
                      <w:p>
                        <w:pPr/>
                      </w:p>
                    </w:tc>
                    <w:tc>
                      <w:tcPr>
                        <w:tcW w:w="1044" w:type="dxa"/>
                        <w:tcBorders>
                          <w:top w:val="nil" w:sz="6" w:space="0" w:color="auto"/>
                          <w:left w:val="nil" w:sz="6" w:space="0" w:color="auto"/>
                          <w:bottom w:val="single" w:sz="8" w:space="0" w:color="000000"/>
                          <w:right w:val="nil" w:sz="6" w:space="0" w:color="auto"/>
                        </w:tcBorders>
                      </w:tcPr>
                      <w:p>
                        <w:pPr>
                          <w:pStyle w:val="TableParagraph"/>
                          <w:spacing w:line="199" w:lineRule="exact"/>
                          <w:ind w:left="109" w:right="0"/>
                          <w:jc w:val="center"/>
                          <w:rPr>
                            <w:rFonts w:ascii="宋体" w:hAnsi="宋体" w:cs="宋体" w:eastAsia="宋体" w:hint="default"/>
                            <w:sz w:val="20"/>
                            <w:szCs w:val="20"/>
                          </w:rPr>
                        </w:pPr>
                        <w:r>
                          <w:rPr>
                            <w:rFonts w:ascii="宋体" w:hAnsi="宋体" w:cs="宋体" w:eastAsia="宋体" w:hint="default"/>
                            <w:w w:val="96"/>
                            <w:sz w:val="20"/>
                            <w:szCs w:val="20"/>
                          </w:rPr>
                          <w:t>人</w:t>
                        </w:r>
                        <w:r>
                          <w:rPr>
                            <w:rFonts w:ascii="宋体" w:hAnsi="宋体" w:cs="宋体" w:eastAsia="宋体" w:hint="default"/>
                            <w:sz w:val="20"/>
                            <w:szCs w:val="20"/>
                          </w:rPr>
                        </w:r>
                      </w:p>
                    </w:tc>
                  </w:tr>
                  <w:tr>
                    <w:trPr>
                      <w:trHeight w:val="3360" w:hRule="exact"/>
                    </w:trPr>
                    <w:tc>
                      <w:tcPr>
                        <w:tcW w:w="2500" w:type="dxa"/>
                        <w:tcBorders>
                          <w:top w:val="single" w:sz="8" w:space="0" w:color="000000"/>
                          <w:left w:val="nil" w:sz="6" w:space="0" w:color="auto"/>
                          <w:bottom w:val="nil" w:sz="6" w:space="0" w:color="auto"/>
                          <w:right w:val="nil" w:sz="6" w:space="0" w:color="auto"/>
                        </w:tcBorders>
                      </w:tcPr>
                      <w:p>
                        <w:pPr>
                          <w:pStyle w:val="TableParagraph"/>
                          <w:spacing w:line="170" w:lineRule="auto" w:before="30"/>
                          <w:ind w:left="36" w:right="883"/>
                          <w:jc w:val="both"/>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w w:val="95"/>
                            <w:sz w:val="20"/>
                            <w:szCs w:val="20"/>
                          </w:rPr>
                          <w:t>一、通过同一控制</w:t>
                        </w:r>
                        <w:r>
                          <w:rPr>
                            <w:rFonts w:ascii="Microsoft JhengHei" w:hAnsi="Microsoft JhengHei" w:cs="Microsoft JhengHei" w:eastAsia="Microsoft JhengHei" w:hint="default"/>
                            <w:b/>
                            <w:bCs/>
                            <w:spacing w:val="-19"/>
                            <w:w w:val="95"/>
                            <w:sz w:val="20"/>
                            <w:szCs w:val="20"/>
                          </w:rPr>
                          <w:t> </w:t>
                        </w:r>
                        <w:r>
                          <w:rPr>
                            <w:rFonts w:ascii="Microsoft JhengHei" w:hAnsi="Microsoft JhengHei" w:cs="Microsoft JhengHei" w:eastAsia="Microsoft JhengHei" w:hint="default"/>
                            <w:b/>
                            <w:bCs/>
                            <w:spacing w:val="-19"/>
                            <w:w w:val="95"/>
                            <w:sz w:val="20"/>
                            <w:szCs w:val="20"/>
                          </w:rPr>
                        </w:r>
                        <w:r>
                          <w:rPr>
                            <w:rFonts w:ascii="Microsoft JhengHei" w:hAnsi="Microsoft JhengHei" w:cs="Microsoft JhengHei" w:eastAsia="Microsoft JhengHei" w:hint="default"/>
                            <w:b/>
                            <w:bCs/>
                            <w:spacing w:val="3"/>
                            <w:w w:val="95"/>
                            <w:sz w:val="20"/>
                            <w:szCs w:val="20"/>
                          </w:rPr>
                          <w:t>下的企业合并取得</w:t>
                        </w:r>
                        <w:r>
                          <w:rPr>
                            <w:rFonts w:ascii="Microsoft JhengHei" w:hAnsi="Microsoft JhengHei" w:cs="Microsoft JhengHei" w:eastAsia="Microsoft JhengHei" w:hint="default"/>
                            <w:b/>
                            <w:bCs/>
                            <w:spacing w:val="-19"/>
                            <w:w w:val="95"/>
                            <w:sz w:val="20"/>
                            <w:szCs w:val="20"/>
                          </w:rPr>
                          <w:t> </w:t>
                        </w:r>
                        <w:r>
                          <w:rPr>
                            <w:rFonts w:ascii="Microsoft JhengHei" w:hAnsi="Microsoft JhengHei" w:cs="Microsoft JhengHei" w:eastAsia="Microsoft JhengHei" w:hint="default"/>
                            <w:b/>
                            <w:bCs/>
                            <w:spacing w:val="-19"/>
                            <w:w w:val="95"/>
                            <w:sz w:val="20"/>
                            <w:szCs w:val="20"/>
                          </w:rPr>
                        </w:r>
                        <w:r>
                          <w:rPr>
                            <w:rFonts w:ascii="Microsoft JhengHei" w:hAnsi="Microsoft JhengHei" w:cs="Microsoft JhengHei" w:eastAsia="Microsoft JhengHei" w:hint="default"/>
                            <w:b/>
                            <w:bCs/>
                            <w:spacing w:val="3"/>
                            <w:sz w:val="20"/>
                            <w:szCs w:val="20"/>
                          </w:rPr>
                          <w:t>的子公司</w:t>
                        </w:r>
                        <w:r>
                          <w:rPr>
                            <w:rFonts w:ascii="Microsoft JhengHei" w:hAnsi="Microsoft JhengHei" w:cs="Microsoft JhengHei" w:eastAsia="Microsoft JhengHei" w:hint="default"/>
                            <w:sz w:val="20"/>
                            <w:szCs w:val="20"/>
                          </w:rPr>
                        </w:r>
                      </w:p>
                      <w:p>
                        <w:pPr>
                          <w:pStyle w:val="TableParagraph"/>
                          <w:spacing w:line="240" w:lineRule="auto" w:before="68"/>
                          <w:ind w:left="36" w:right="0"/>
                          <w:jc w:val="both"/>
                          <w:rPr>
                            <w:rFonts w:ascii="宋体" w:hAnsi="宋体" w:cs="宋体" w:eastAsia="宋体" w:hint="default"/>
                            <w:sz w:val="20"/>
                            <w:szCs w:val="20"/>
                          </w:rPr>
                        </w:pPr>
                        <w:r>
                          <w:rPr>
                            <w:rFonts w:ascii="宋体" w:hAnsi="宋体" w:cs="宋体" w:eastAsia="宋体" w:hint="default"/>
                            <w:w w:val="96"/>
                            <w:sz w:val="20"/>
                            <w:szCs w:val="20"/>
                          </w:rPr>
                          <w:t>无</w:t>
                        </w:r>
                        <w:r>
                          <w:rPr>
                            <w:rFonts w:ascii="宋体" w:hAnsi="宋体" w:cs="宋体" w:eastAsia="宋体" w:hint="default"/>
                            <w:sz w:val="20"/>
                            <w:szCs w:val="20"/>
                          </w:rPr>
                        </w:r>
                      </w:p>
                      <w:p>
                        <w:pPr>
                          <w:pStyle w:val="TableParagraph"/>
                          <w:spacing w:line="170" w:lineRule="auto" w:before="105"/>
                          <w:ind w:left="36" w:right="883"/>
                          <w:jc w:val="both"/>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w w:val="95"/>
                            <w:sz w:val="20"/>
                            <w:szCs w:val="20"/>
                          </w:rPr>
                          <w:t>二、通过非同一控</w:t>
                        </w:r>
                        <w:r>
                          <w:rPr>
                            <w:rFonts w:ascii="Microsoft JhengHei" w:hAnsi="Microsoft JhengHei" w:cs="Microsoft JhengHei" w:eastAsia="Microsoft JhengHei" w:hint="default"/>
                            <w:b/>
                            <w:bCs/>
                            <w:spacing w:val="-19"/>
                            <w:w w:val="95"/>
                            <w:sz w:val="20"/>
                            <w:szCs w:val="20"/>
                          </w:rPr>
                          <w:t> </w:t>
                        </w:r>
                        <w:r>
                          <w:rPr>
                            <w:rFonts w:ascii="Microsoft JhengHei" w:hAnsi="Microsoft JhengHei" w:cs="Microsoft JhengHei" w:eastAsia="Microsoft JhengHei" w:hint="default"/>
                            <w:b/>
                            <w:bCs/>
                            <w:spacing w:val="-19"/>
                            <w:w w:val="95"/>
                            <w:sz w:val="20"/>
                            <w:szCs w:val="20"/>
                          </w:rPr>
                        </w:r>
                        <w:r>
                          <w:rPr>
                            <w:rFonts w:ascii="Microsoft JhengHei" w:hAnsi="Microsoft JhengHei" w:cs="Microsoft JhengHei" w:eastAsia="Microsoft JhengHei" w:hint="default"/>
                            <w:b/>
                            <w:bCs/>
                            <w:spacing w:val="3"/>
                            <w:w w:val="95"/>
                            <w:sz w:val="20"/>
                            <w:szCs w:val="20"/>
                          </w:rPr>
                          <w:t>制下的企业合并取</w:t>
                        </w:r>
                        <w:r>
                          <w:rPr>
                            <w:rFonts w:ascii="Microsoft JhengHei" w:hAnsi="Microsoft JhengHei" w:cs="Microsoft JhengHei" w:eastAsia="Microsoft JhengHei" w:hint="default"/>
                            <w:b/>
                            <w:bCs/>
                            <w:spacing w:val="-19"/>
                            <w:w w:val="95"/>
                            <w:sz w:val="20"/>
                            <w:szCs w:val="20"/>
                          </w:rPr>
                          <w:t> </w:t>
                        </w:r>
                        <w:r>
                          <w:rPr>
                            <w:rFonts w:ascii="Microsoft JhengHei" w:hAnsi="Microsoft JhengHei" w:cs="Microsoft JhengHei" w:eastAsia="Microsoft JhengHei" w:hint="default"/>
                            <w:b/>
                            <w:bCs/>
                            <w:spacing w:val="-19"/>
                            <w:w w:val="95"/>
                            <w:sz w:val="20"/>
                            <w:szCs w:val="20"/>
                          </w:rPr>
                        </w:r>
                        <w:r>
                          <w:rPr>
                            <w:rFonts w:ascii="Microsoft JhengHei" w:hAnsi="Microsoft JhengHei" w:cs="Microsoft JhengHei" w:eastAsia="Microsoft JhengHei" w:hint="default"/>
                            <w:b/>
                            <w:bCs/>
                            <w:spacing w:val="3"/>
                            <w:sz w:val="20"/>
                            <w:szCs w:val="20"/>
                          </w:rPr>
                          <w:t>得的子公司</w:t>
                        </w:r>
                        <w:r>
                          <w:rPr>
                            <w:rFonts w:ascii="Microsoft JhengHei" w:hAnsi="Microsoft JhengHei" w:cs="Microsoft JhengHei" w:eastAsia="Microsoft JhengHei" w:hint="default"/>
                            <w:spacing w:val="3"/>
                            <w:sz w:val="20"/>
                            <w:szCs w:val="20"/>
                          </w:rPr>
                        </w:r>
                      </w:p>
                      <w:p>
                        <w:pPr>
                          <w:pStyle w:val="TableParagraph"/>
                          <w:spacing w:line="192" w:lineRule="auto" w:before="128"/>
                          <w:ind w:left="35" w:right="883"/>
                          <w:jc w:val="left"/>
                          <w:rPr>
                            <w:rFonts w:ascii="Microsoft JhengHei" w:hAnsi="Microsoft JhengHei" w:cs="Microsoft JhengHei" w:eastAsia="Microsoft JhengHei" w:hint="default"/>
                            <w:sz w:val="20"/>
                            <w:szCs w:val="20"/>
                          </w:rPr>
                        </w:pPr>
                        <w:r>
                          <w:rPr>
                            <w:rFonts w:ascii="宋体" w:hAnsi="宋体" w:cs="宋体" w:eastAsia="宋体" w:hint="default"/>
                            <w:sz w:val="20"/>
                            <w:szCs w:val="20"/>
                          </w:rPr>
                          <w:t>无</w:t>
                        </w:r>
                        <w:r>
                          <w:rPr>
                            <w:rFonts w:ascii="宋体" w:hAnsi="宋体" w:cs="宋体" w:eastAsia="宋体" w:hint="default"/>
                            <w:w w:val="96"/>
                            <w:sz w:val="20"/>
                            <w:szCs w:val="20"/>
                          </w:rPr>
                          <w:t> </w:t>
                        </w:r>
                        <w:r>
                          <w:rPr>
                            <w:rFonts w:ascii="Microsoft JhengHei" w:hAnsi="Microsoft JhengHei" w:cs="Microsoft JhengHei" w:eastAsia="Microsoft JhengHei" w:hint="default"/>
                            <w:b/>
                            <w:bCs/>
                            <w:spacing w:val="3"/>
                            <w:w w:val="95"/>
                            <w:sz w:val="20"/>
                            <w:szCs w:val="20"/>
                          </w:rPr>
                          <w:t>三、通过其他方式</w:t>
                        </w:r>
                        <w:r>
                          <w:rPr>
                            <w:rFonts w:ascii="Microsoft JhengHei" w:hAnsi="Microsoft JhengHei" w:cs="Microsoft JhengHei" w:eastAsia="Microsoft JhengHei" w:hint="default"/>
                            <w:b/>
                            <w:bCs/>
                            <w:spacing w:val="-19"/>
                            <w:w w:val="95"/>
                            <w:sz w:val="20"/>
                            <w:szCs w:val="20"/>
                          </w:rPr>
                          <w:t> </w:t>
                        </w:r>
                        <w:r>
                          <w:rPr>
                            <w:rFonts w:ascii="Microsoft JhengHei" w:hAnsi="Microsoft JhengHei" w:cs="Microsoft JhengHei" w:eastAsia="Microsoft JhengHei" w:hint="default"/>
                            <w:b/>
                            <w:bCs/>
                            <w:spacing w:val="-19"/>
                            <w:w w:val="95"/>
                            <w:sz w:val="20"/>
                            <w:szCs w:val="20"/>
                          </w:rPr>
                        </w:r>
                        <w:r>
                          <w:rPr>
                            <w:rFonts w:ascii="Microsoft JhengHei" w:hAnsi="Microsoft JhengHei" w:cs="Microsoft JhengHei" w:eastAsia="Microsoft JhengHei" w:hint="default"/>
                            <w:b/>
                            <w:bCs/>
                            <w:spacing w:val="3"/>
                            <w:sz w:val="20"/>
                            <w:szCs w:val="20"/>
                          </w:rPr>
                          <w:t>取得的子公司</w:t>
                        </w:r>
                        <w:r>
                          <w:rPr>
                            <w:rFonts w:ascii="Microsoft JhengHei" w:hAnsi="Microsoft JhengHei" w:cs="Microsoft JhengHei" w:eastAsia="Microsoft JhengHei" w:hint="default"/>
                            <w:sz w:val="20"/>
                            <w:szCs w:val="20"/>
                          </w:rPr>
                        </w:r>
                      </w:p>
                      <w:p>
                        <w:pPr>
                          <w:pStyle w:val="TableParagraph"/>
                          <w:spacing w:line="240" w:lineRule="auto" w:before="4"/>
                          <w:ind w:right="0"/>
                          <w:jc w:val="left"/>
                          <w:rPr>
                            <w:rFonts w:ascii="宋体" w:hAnsi="宋体" w:cs="宋体" w:eastAsia="宋体" w:hint="default"/>
                            <w:sz w:val="16"/>
                            <w:szCs w:val="16"/>
                          </w:rPr>
                        </w:pPr>
                      </w:p>
                      <w:p>
                        <w:pPr>
                          <w:pStyle w:val="TableParagraph"/>
                          <w:tabs>
                            <w:tab w:pos="1918" w:val="left" w:leader="none"/>
                          </w:tabs>
                          <w:spacing w:line="115" w:lineRule="auto"/>
                          <w:ind w:left="35" w:right="187"/>
                          <w:jc w:val="left"/>
                          <w:rPr>
                            <w:rFonts w:ascii="宋体" w:hAnsi="宋体" w:cs="宋体" w:eastAsia="宋体" w:hint="default"/>
                            <w:sz w:val="20"/>
                            <w:szCs w:val="20"/>
                          </w:rPr>
                        </w:pPr>
                        <w:r>
                          <w:rPr>
                            <w:rFonts w:ascii="宋体" w:hAnsi="宋体" w:cs="宋体" w:eastAsia="宋体" w:hint="default"/>
                            <w:sz w:val="20"/>
                            <w:szCs w:val="20"/>
                          </w:rPr>
                          <w:t>郑州东港安全印刷</w:t>
                        </w:r>
                        <w:r>
                          <w:rPr>
                            <w:rFonts w:ascii="宋体" w:hAnsi="宋体" w:cs="宋体" w:eastAsia="宋体" w:hint="default"/>
                            <w:spacing w:val="2"/>
                            <w:w w:val="96"/>
                            <w:sz w:val="20"/>
                            <w:szCs w:val="20"/>
                          </w:rPr>
                          <w:t> </w:t>
                        </w:r>
                        <w:r>
                          <w:rPr>
                            <w:rFonts w:ascii="宋体" w:hAnsi="宋体" w:cs="宋体" w:eastAsia="宋体" w:hint="default"/>
                            <w:w w:val="95"/>
                            <w:sz w:val="20"/>
                            <w:szCs w:val="20"/>
                          </w:rPr>
                          <w:t>有限公司</w:t>
                          <w:tab/>
                        </w:r>
                        <w:r>
                          <w:rPr>
                            <w:rFonts w:ascii="宋体" w:hAnsi="宋体" w:cs="宋体" w:eastAsia="宋体" w:hint="default"/>
                            <w:w w:val="95"/>
                            <w:position w:val="12"/>
                            <w:sz w:val="20"/>
                            <w:szCs w:val="20"/>
                          </w:rPr>
                          <w:t>郑州</w:t>
                        </w:r>
                        <w:r>
                          <w:rPr>
                            <w:rFonts w:ascii="宋体" w:hAnsi="宋体" w:cs="宋体" w:eastAsia="宋体" w:hint="default"/>
                            <w:sz w:val="20"/>
                            <w:szCs w:val="20"/>
                          </w:rPr>
                        </w:r>
                      </w:p>
                    </w:tc>
                    <w:tc>
                      <w:tcPr>
                        <w:tcW w:w="1236"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66"/>
                          <w:jc w:val="right"/>
                          <w:rPr>
                            <w:rFonts w:ascii="宋体" w:hAnsi="宋体" w:cs="宋体" w:eastAsia="宋体" w:hint="default"/>
                            <w:sz w:val="20"/>
                            <w:szCs w:val="20"/>
                          </w:rPr>
                        </w:pPr>
                        <w:r>
                          <w:rPr>
                            <w:rFonts w:ascii="宋体" w:hAnsi="宋体" w:cs="宋体" w:eastAsia="宋体" w:hint="default"/>
                            <w:spacing w:val="2"/>
                            <w:w w:val="95"/>
                            <w:sz w:val="20"/>
                            <w:szCs w:val="20"/>
                          </w:rPr>
                          <w:t>生产型</w:t>
                        </w:r>
                        <w:r>
                          <w:rPr>
                            <w:rFonts w:ascii="宋体" w:hAnsi="宋体" w:cs="宋体" w:eastAsia="宋体" w:hint="default"/>
                            <w:sz w:val="20"/>
                            <w:szCs w:val="20"/>
                          </w:rPr>
                        </w:r>
                      </w:p>
                    </w:tc>
                    <w:tc>
                      <w:tcPr>
                        <w:tcW w:w="1190"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08" w:right="0"/>
                          <w:jc w:val="left"/>
                          <w:rPr>
                            <w:rFonts w:ascii="宋体" w:hAnsi="宋体" w:cs="宋体" w:eastAsia="宋体" w:hint="default"/>
                            <w:sz w:val="20"/>
                            <w:szCs w:val="20"/>
                          </w:rPr>
                        </w:pPr>
                        <w:r>
                          <w:rPr>
                            <w:rFonts w:ascii="宋体"/>
                            <w:sz w:val="20"/>
                          </w:rPr>
                          <w:t>3,000</w:t>
                        </w:r>
                      </w:p>
                    </w:tc>
                    <w:tc>
                      <w:tcPr>
                        <w:tcW w:w="2802"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6" w:lineRule="exact"/>
                          <w:ind w:left="135" w:right="131"/>
                          <w:jc w:val="left"/>
                          <w:rPr>
                            <w:rFonts w:ascii="宋体" w:hAnsi="宋体" w:cs="宋体" w:eastAsia="宋体" w:hint="default"/>
                            <w:sz w:val="20"/>
                            <w:szCs w:val="20"/>
                          </w:rPr>
                        </w:pPr>
                        <w:r>
                          <w:rPr>
                            <w:rFonts w:ascii="宋体" w:hAnsi="宋体" w:cs="宋体" w:eastAsia="宋体" w:hint="default"/>
                            <w:w w:val="95"/>
                            <w:sz w:val="20"/>
                            <w:szCs w:val="20"/>
                          </w:rPr>
                          <w:t>高档纸（不含新闻纸）及纸制</w:t>
                        </w:r>
                        <w:r>
                          <w:rPr>
                            <w:rFonts w:ascii="宋体" w:hAnsi="宋体" w:cs="宋体" w:eastAsia="宋体" w:hint="default"/>
                            <w:spacing w:val="-40"/>
                            <w:w w:val="95"/>
                            <w:sz w:val="20"/>
                            <w:szCs w:val="20"/>
                          </w:rPr>
                          <w:t> </w:t>
                        </w:r>
                        <w:r>
                          <w:rPr>
                            <w:rFonts w:ascii="宋体" w:hAnsi="宋体" w:cs="宋体" w:eastAsia="宋体" w:hint="default"/>
                            <w:spacing w:val="-40"/>
                            <w:w w:val="95"/>
                            <w:sz w:val="20"/>
                            <w:szCs w:val="20"/>
                          </w:rPr>
                        </w:r>
                        <w:r>
                          <w:rPr>
                            <w:rFonts w:ascii="宋体" w:hAnsi="宋体" w:cs="宋体" w:eastAsia="宋体" w:hint="default"/>
                            <w:w w:val="95"/>
                            <w:sz w:val="20"/>
                            <w:szCs w:val="20"/>
                          </w:rPr>
                          <w:t>品生产加工、印刷（不含期刊</w:t>
                        </w:r>
                        <w:r>
                          <w:rPr>
                            <w:rFonts w:ascii="宋体" w:hAnsi="宋体" w:cs="宋体" w:eastAsia="宋体" w:hint="default"/>
                            <w:sz w:val="20"/>
                            <w:szCs w:val="20"/>
                          </w:rPr>
                        </w:r>
                      </w:p>
                    </w:tc>
                    <w:tc>
                      <w:tcPr>
                        <w:tcW w:w="1044"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6" w:lineRule="exact"/>
                          <w:ind w:left="133" w:right="130"/>
                          <w:jc w:val="left"/>
                          <w:rPr>
                            <w:rFonts w:ascii="宋体" w:hAnsi="宋体" w:cs="宋体" w:eastAsia="宋体" w:hint="default"/>
                            <w:sz w:val="20"/>
                            <w:szCs w:val="20"/>
                          </w:rPr>
                        </w:pPr>
                        <w:r>
                          <w:rPr>
                            <w:rFonts w:ascii="宋体" w:hAnsi="宋体" w:cs="宋体" w:eastAsia="宋体" w:hint="default"/>
                            <w:w w:val="95"/>
                            <w:sz w:val="20"/>
                            <w:szCs w:val="20"/>
                          </w:rPr>
                          <w:t>东港安全</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w w:val="95"/>
                            <w:sz w:val="20"/>
                            <w:szCs w:val="20"/>
                          </w:rPr>
                          <w:t>印刷股份</w:t>
                        </w:r>
                        <w:r>
                          <w:rPr>
                            <w:rFonts w:ascii="宋体" w:hAnsi="宋体" w:cs="宋体" w:eastAsia="宋体" w:hint="default"/>
                            <w:sz w:val="20"/>
                            <w:szCs w:val="20"/>
                          </w:rPr>
                        </w:r>
                      </w:p>
                    </w:tc>
                  </w:tr>
                  <w:tr>
                    <w:trPr>
                      <w:trHeight w:val="490"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02"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北京东港安全印刷</w:t>
                        </w:r>
                      </w:p>
                    </w:tc>
                    <w:tc>
                      <w:tcPr>
                        <w:tcW w:w="1236"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2802" w:type="dxa"/>
                        <w:tcBorders>
                          <w:top w:val="nil" w:sz="6" w:space="0" w:color="auto"/>
                          <w:left w:val="nil" w:sz="6" w:space="0" w:color="auto"/>
                          <w:bottom w:val="nil" w:sz="6" w:space="0" w:color="auto"/>
                          <w:right w:val="nil" w:sz="6" w:space="0" w:color="auto"/>
                        </w:tcBorders>
                      </w:tcPr>
                      <w:p>
                        <w:pPr>
                          <w:pStyle w:val="TableParagraph"/>
                          <w:spacing w:line="244" w:lineRule="exact"/>
                          <w:ind w:left="135" w:right="131"/>
                          <w:jc w:val="left"/>
                          <w:rPr>
                            <w:rFonts w:ascii="宋体" w:hAnsi="宋体" w:cs="宋体" w:eastAsia="宋体" w:hint="default"/>
                            <w:sz w:val="20"/>
                            <w:szCs w:val="20"/>
                          </w:rPr>
                        </w:pPr>
                        <w:r>
                          <w:rPr>
                            <w:rFonts w:ascii="宋体" w:hAnsi="宋体" w:cs="宋体" w:eastAsia="宋体" w:hint="default"/>
                            <w:sz w:val="20"/>
                            <w:szCs w:val="20"/>
                          </w:rPr>
                          <w:t>、报纸），销售本公司产品</w:t>
                        </w:r>
                        <w:r>
                          <w:rPr>
                            <w:rFonts w:ascii="宋体" w:hAnsi="宋体" w:cs="宋体" w:eastAsia="宋体" w:hint="default"/>
                            <w:spacing w:val="2"/>
                            <w:w w:val="96"/>
                            <w:sz w:val="20"/>
                            <w:szCs w:val="20"/>
                          </w:rPr>
                          <w:t> </w:t>
                        </w:r>
                        <w:r>
                          <w:rPr>
                            <w:rFonts w:ascii="宋体" w:hAnsi="宋体" w:cs="宋体" w:eastAsia="宋体" w:hint="default"/>
                            <w:w w:val="95"/>
                            <w:sz w:val="20"/>
                            <w:szCs w:val="20"/>
                          </w:rPr>
                          <w:t>包装装潢印刷品印刷，其他印</w:t>
                        </w:r>
                        <w:r>
                          <w:rPr>
                            <w:rFonts w:ascii="宋体" w:hAnsi="宋体" w:cs="宋体" w:eastAsia="宋体" w:hint="default"/>
                            <w:sz w:val="20"/>
                            <w:szCs w:val="20"/>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4" w:lineRule="exact"/>
                          <w:ind w:left="133" w:right="130"/>
                          <w:jc w:val="left"/>
                          <w:rPr>
                            <w:rFonts w:ascii="宋体" w:hAnsi="宋体" w:cs="宋体" w:eastAsia="宋体" w:hint="default"/>
                            <w:sz w:val="20"/>
                            <w:szCs w:val="20"/>
                          </w:rPr>
                        </w:pPr>
                        <w:r>
                          <w:rPr>
                            <w:rFonts w:ascii="宋体" w:hAnsi="宋体" w:cs="宋体" w:eastAsia="宋体" w:hint="default"/>
                            <w:w w:val="95"/>
                            <w:sz w:val="20"/>
                            <w:szCs w:val="20"/>
                          </w:rPr>
                          <w:t>有限公司</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w w:val="95"/>
                            <w:sz w:val="20"/>
                            <w:szCs w:val="20"/>
                          </w:rPr>
                          <w:t>东港安全</w:t>
                        </w:r>
                        <w:r>
                          <w:rPr>
                            <w:rFonts w:ascii="宋体" w:hAnsi="宋体" w:cs="宋体" w:eastAsia="宋体" w:hint="default"/>
                            <w:sz w:val="20"/>
                            <w:szCs w:val="20"/>
                          </w:rPr>
                        </w:r>
                      </w:p>
                    </w:tc>
                  </w:tr>
                  <w:tr>
                    <w:trPr>
                      <w:trHeight w:val="248" w:hRule="exact"/>
                    </w:trPr>
                    <w:tc>
                      <w:tcPr>
                        <w:tcW w:w="2500" w:type="dxa"/>
                        <w:tcBorders>
                          <w:top w:val="nil" w:sz="6" w:space="0" w:color="auto"/>
                          <w:left w:val="nil" w:sz="6" w:space="0" w:color="auto"/>
                          <w:bottom w:val="nil" w:sz="6" w:space="0" w:color="auto"/>
                          <w:right w:val="nil" w:sz="6" w:space="0" w:color="auto"/>
                        </w:tcBorders>
                      </w:tcPr>
                      <w:p>
                        <w:pPr>
                          <w:pStyle w:val="TableParagraph"/>
                          <w:tabs>
                            <w:tab w:pos="1918" w:val="left" w:leader="none"/>
                          </w:tabs>
                          <w:spacing w:line="288"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有限公司</w:t>
                          <w:tab/>
                        </w:r>
                        <w:r>
                          <w:rPr>
                            <w:rFonts w:ascii="宋体" w:hAnsi="宋体" w:cs="宋体" w:eastAsia="宋体" w:hint="default"/>
                            <w:position w:val="12"/>
                            <w:sz w:val="20"/>
                            <w:szCs w:val="20"/>
                          </w:rPr>
                          <w:t>北京</w:t>
                        </w:r>
                        <w:r>
                          <w:rPr>
                            <w:rFonts w:ascii="宋体" w:hAnsi="宋体" w:cs="宋体" w:eastAsia="宋体" w:hint="default"/>
                            <w:sz w:val="20"/>
                            <w:szCs w:val="20"/>
                          </w:rPr>
                        </w:r>
                      </w:p>
                    </w:tc>
                    <w:tc>
                      <w:tcPr>
                        <w:tcW w:w="1236" w:type="dxa"/>
                        <w:tcBorders>
                          <w:top w:val="nil" w:sz="6" w:space="0" w:color="auto"/>
                          <w:left w:val="nil" w:sz="6" w:space="0" w:color="auto"/>
                          <w:bottom w:val="nil" w:sz="6" w:space="0" w:color="auto"/>
                          <w:right w:val="nil" w:sz="6" w:space="0" w:color="auto"/>
                        </w:tcBorders>
                      </w:tcPr>
                      <w:p>
                        <w:pPr>
                          <w:pStyle w:val="TableParagraph"/>
                          <w:spacing w:line="222" w:lineRule="exact"/>
                          <w:ind w:right="266"/>
                          <w:jc w:val="right"/>
                          <w:rPr>
                            <w:rFonts w:ascii="宋体" w:hAnsi="宋体" w:cs="宋体" w:eastAsia="宋体" w:hint="default"/>
                            <w:sz w:val="20"/>
                            <w:szCs w:val="20"/>
                          </w:rPr>
                        </w:pPr>
                        <w:r>
                          <w:rPr>
                            <w:rFonts w:ascii="宋体" w:hAnsi="宋体" w:cs="宋体" w:eastAsia="宋体" w:hint="default"/>
                            <w:spacing w:val="2"/>
                            <w:w w:val="95"/>
                            <w:sz w:val="20"/>
                            <w:szCs w:val="20"/>
                          </w:rPr>
                          <w:t>生产型</w:t>
                        </w:r>
                        <w:r>
                          <w:rPr>
                            <w:rFonts w:ascii="宋体" w:hAnsi="宋体" w:cs="宋体" w:eastAsia="宋体" w:hint="default"/>
                            <w:sz w:val="20"/>
                            <w:szCs w:val="20"/>
                          </w:rPr>
                        </w:r>
                      </w:p>
                    </w:tc>
                    <w:tc>
                      <w:tcPr>
                        <w:tcW w:w="1190" w:type="dxa"/>
                        <w:tcBorders>
                          <w:top w:val="nil" w:sz="6" w:space="0" w:color="auto"/>
                          <w:left w:val="nil" w:sz="6" w:space="0" w:color="auto"/>
                          <w:bottom w:val="nil" w:sz="6" w:space="0" w:color="auto"/>
                          <w:right w:val="nil" w:sz="6" w:space="0" w:color="auto"/>
                        </w:tcBorders>
                      </w:tcPr>
                      <w:p>
                        <w:pPr>
                          <w:pStyle w:val="TableParagraph"/>
                          <w:spacing w:line="222" w:lineRule="exact"/>
                          <w:ind w:left="408" w:right="0"/>
                          <w:jc w:val="left"/>
                          <w:rPr>
                            <w:rFonts w:ascii="宋体" w:hAnsi="宋体" w:cs="宋体" w:eastAsia="宋体" w:hint="default"/>
                            <w:sz w:val="20"/>
                            <w:szCs w:val="20"/>
                          </w:rPr>
                        </w:pPr>
                        <w:r>
                          <w:rPr>
                            <w:rFonts w:ascii="宋体"/>
                            <w:sz w:val="20"/>
                          </w:rPr>
                          <w:t>3,000</w:t>
                        </w:r>
                      </w:p>
                    </w:tc>
                    <w:tc>
                      <w:tcPr>
                        <w:tcW w:w="2802" w:type="dxa"/>
                        <w:tcBorders>
                          <w:top w:val="nil" w:sz="6" w:space="0" w:color="auto"/>
                          <w:left w:val="nil" w:sz="6" w:space="0" w:color="auto"/>
                          <w:bottom w:val="nil" w:sz="6" w:space="0" w:color="auto"/>
                          <w:right w:val="nil" w:sz="6" w:space="0" w:color="auto"/>
                        </w:tcBorders>
                      </w:tcPr>
                      <w:p>
                        <w:pPr>
                          <w:pStyle w:val="TableParagraph"/>
                          <w:spacing w:line="224" w:lineRule="exact"/>
                          <w:ind w:left="135" w:right="0"/>
                          <w:jc w:val="left"/>
                          <w:rPr>
                            <w:rFonts w:ascii="宋体" w:hAnsi="宋体" w:cs="宋体" w:eastAsia="宋体" w:hint="default"/>
                            <w:sz w:val="20"/>
                            <w:szCs w:val="20"/>
                          </w:rPr>
                        </w:pPr>
                        <w:r>
                          <w:rPr>
                            <w:rFonts w:ascii="宋体" w:hAnsi="宋体" w:cs="宋体" w:eastAsia="宋体" w:hint="default"/>
                            <w:sz w:val="20"/>
                            <w:szCs w:val="20"/>
                          </w:rPr>
                          <w:t>刷品印刷；软件产品的开发生</w:t>
                        </w:r>
                      </w:p>
                    </w:tc>
                    <w:tc>
                      <w:tcPr>
                        <w:tcW w:w="1044" w:type="dxa"/>
                        <w:tcBorders>
                          <w:top w:val="nil" w:sz="6" w:space="0" w:color="auto"/>
                          <w:left w:val="nil" w:sz="6" w:space="0" w:color="auto"/>
                          <w:bottom w:val="nil" w:sz="6" w:space="0" w:color="auto"/>
                          <w:right w:val="nil" w:sz="6" w:space="0" w:color="auto"/>
                        </w:tcBorders>
                      </w:tcPr>
                      <w:p>
                        <w:pPr>
                          <w:pStyle w:val="TableParagraph"/>
                          <w:spacing w:line="224" w:lineRule="exact"/>
                          <w:ind w:left="1" w:right="0"/>
                          <w:jc w:val="center"/>
                          <w:rPr>
                            <w:rFonts w:ascii="宋体" w:hAnsi="宋体" w:cs="宋体" w:eastAsia="宋体" w:hint="default"/>
                            <w:sz w:val="20"/>
                            <w:szCs w:val="20"/>
                          </w:rPr>
                        </w:pPr>
                        <w:r>
                          <w:rPr>
                            <w:rFonts w:ascii="宋体" w:hAnsi="宋体" w:cs="宋体" w:eastAsia="宋体" w:hint="default"/>
                            <w:sz w:val="20"/>
                            <w:szCs w:val="20"/>
                          </w:rPr>
                          <w:t>印刷股份</w:t>
                        </w:r>
                      </w:p>
                    </w:tc>
                  </w:tr>
                  <w:tr>
                    <w:trPr>
                      <w:trHeight w:val="488" w:hRule="exact"/>
                    </w:trPr>
                    <w:tc>
                      <w:tcPr>
                        <w:tcW w:w="2500"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2802" w:type="dxa"/>
                        <w:tcBorders>
                          <w:top w:val="nil" w:sz="6" w:space="0" w:color="auto"/>
                          <w:left w:val="nil" w:sz="6" w:space="0" w:color="auto"/>
                          <w:bottom w:val="nil" w:sz="6" w:space="0" w:color="auto"/>
                          <w:right w:val="nil" w:sz="6" w:space="0" w:color="auto"/>
                        </w:tcBorders>
                      </w:tcPr>
                      <w:p>
                        <w:pPr>
                          <w:pStyle w:val="TableParagraph"/>
                          <w:spacing w:line="242" w:lineRule="exact"/>
                          <w:ind w:left="135" w:right="131"/>
                          <w:jc w:val="left"/>
                          <w:rPr>
                            <w:rFonts w:ascii="宋体" w:hAnsi="宋体" w:cs="宋体" w:eastAsia="宋体" w:hint="default"/>
                            <w:sz w:val="20"/>
                            <w:szCs w:val="20"/>
                          </w:rPr>
                        </w:pPr>
                        <w:r>
                          <w:rPr>
                            <w:rFonts w:ascii="宋体" w:hAnsi="宋体" w:cs="宋体" w:eastAsia="宋体" w:hint="default"/>
                            <w:sz w:val="20"/>
                            <w:szCs w:val="20"/>
                          </w:rPr>
                          <w:t>产</w:t>
                        </w:r>
                        <w:r>
                          <w:rPr>
                            <w:rFonts w:ascii="宋体" w:hAnsi="宋体" w:cs="宋体" w:eastAsia="宋体" w:hint="default"/>
                            <w:w w:val="96"/>
                            <w:sz w:val="20"/>
                            <w:szCs w:val="20"/>
                          </w:rPr>
                          <w:t> </w:t>
                        </w:r>
                        <w:r>
                          <w:rPr>
                            <w:rFonts w:ascii="宋体" w:hAnsi="宋体" w:cs="宋体" w:eastAsia="宋体" w:hint="default"/>
                            <w:w w:val="95"/>
                            <w:sz w:val="20"/>
                            <w:szCs w:val="20"/>
                          </w:rPr>
                          <w:t>自治区区域内的其他印刷品印</w:t>
                        </w:r>
                        <w:r>
                          <w:rPr>
                            <w:rFonts w:ascii="宋体" w:hAnsi="宋体" w:cs="宋体" w:eastAsia="宋体" w:hint="default"/>
                            <w:sz w:val="20"/>
                            <w:szCs w:val="20"/>
                          </w:rPr>
                        </w:r>
                      </w:p>
                    </w:tc>
                    <w:tc>
                      <w:tcPr>
                        <w:tcW w:w="1044" w:type="dxa"/>
                        <w:tcBorders>
                          <w:top w:val="nil" w:sz="6" w:space="0" w:color="auto"/>
                          <w:left w:val="nil" w:sz="6" w:space="0" w:color="auto"/>
                          <w:bottom w:val="nil" w:sz="6" w:space="0" w:color="auto"/>
                          <w:right w:val="nil" w:sz="6" w:space="0" w:color="auto"/>
                        </w:tcBorders>
                      </w:tcPr>
                      <w:p>
                        <w:pPr>
                          <w:pStyle w:val="TableParagraph"/>
                          <w:spacing w:line="223" w:lineRule="exact"/>
                          <w:ind w:left="1" w:right="0"/>
                          <w:jc w:val="center"/>
                          <w:rPr>
                            <w:rFonts w:ascii="宋体" w:hAnsi="宋体" w:cs="宋体" w:eastAsia="宋体" w:hint="default"/>
                            <w:sz w:val="20"/>
                            <w:szCs w:val="20"/>
                          </w:rPr>
                        </w:pPr>
                        <w:r>
                          <w:rPr>
                            <w:rFonts w:ascii="宋体" w:hAnsi="宋体" w:cs="宋体" w:eastAsia="宋体" w:hint="default"/>
                            <w:sz w:val="20"/>
                            <w:szCs w:val="20"/>
                          </w:rPr>
                          <w:t>有限公司</w:t>
                        </w:r>
                      </w:p>
                    </w:tc>
                  </w:tr>
                  <w:tr>
                    <w:trPr>
                      <w:trHeight w:val="247" w:hRule="exact"/>
                    </w:trPr>
                    <w:tc>
                      <w:tcPr>
                        <w:tcW w:w="2500"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2802" w:type="dxa"/>
                        <w:tcBorders>
                          <w:top w:val="nil" w:sz="6" w:space="0" w:color="auto"/>
                          <w:left w:val="nil" w:sz="6" w:space="0" w:color="auto"/>
                          <w:bottom w:val="nil" w:sz="6" w:space="0" w:color="auto"/>
                          <w:right w:val="nil" w:sz="6" w:space="0" w:color="auto"/>
                        </w:tcBorders>
                      </w:tcPr>
                      <w:p>
                        <w:pPr>
                          <w:pStyle w:val="TableParagraph"/>
                          <w:spacing w:line="223" w:lineRule="exact"/>
                          <w:ind w:left="135" w:right="0"/>
                          <w:jc w:val="left"/>
                          <w:rPr>
                            <w:rFonts w:ascii="宋体" w:hAnsi="宋体" w:cs="宋体" w:eastAsia="宋体" w:hint="default"/>
                            <w:sz w:val="20"/>
                            <w:szCs w:val="20"/>
                          </w:rPr>
                        </w:pPr>
                        <w:r>
                          <w:rPr>
                            <w:rFonts w:ascii="宋体" w:hAnsi="宋体" w:cs="宋体" w:eastAsia="宋体" w:hint="default"/>
                            <w:sz w:val="20"/>
                            <w:szCs w:val="20"/>
                          </w:rPr>
                          <w:t>刷（票证）。纸制品的生产、</w:t>
                        </w:r>
                      </w:p>
                    </w:tc>
                    <w:tc>
                      <w:tcPr>
                        <w:tcW w:w="1044" w:type="dxa"/>
                        <w:tcBorders>
                          <w:top w:val="nil" w:sz="6" w:space="0" w:color="auto"/>
                          <w:left w:val="nil" w:sz="6" w:space="0" w:color="auto"/>
                          <w:bottom w:val="nil" w:sz="6" w:space="0" w:color="auto"/>
                          <w:right w:val="nil" w:sz="6" w:space="0" w:color="auto"/>
                        </w:tcBorders>
                      </w:tcPr>
                      <w:p>
                        <w:pPr/>
                      </w:p>
                    </w:tc>
                  </w:tr>
                  <w:tr>
                    <w:trPr>
                      <w:trHeight w:val="247"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04" w:lineRule="exact" w:before="82"/>
                          <w:ind w:left="35" w:right="0"/>
                          <w:jc w:val="left"/>
                          <w:rPr>
                            <w:rFonts w:ascii="宋体" w:hAnsi="宋体" w:cs="宋体" w:eastAsia="宋体" w:hint="default"/>
                            <w:sz w:val="20"/>
                            <w:szCs w:val="20"/>
                          </w:rPr>
                        </w:pPr>
                        <w:r>
                          <w:rPr>
                            <w:rFonts w:ascii="宋体" w:hAnsi="宋体" w:cs="宋体" w:eastAsia="宋体" w:hint="default"/>
                            <w:sz w:val="20"/>
                            <w:szCs w:val="20"/>
                          </w:rPr>
                          <w:t>新疆东港安全印刷</w:t>
                        </w:r>
                      </w:p>
                    </w:tc>
                    <w:tc>
                      <w:tcPr>
                        <w:tcW w:w="1236"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2802" w:type="dxa"/>
                        <w:tcBorders>
                          <w:top w:val="nil" w:sz="6" w:space="0" w:color="auto"/>
                          <w:left w:val="nil" w:sz="6" w:space="0" w:color="auto"/>
                          <w:bottom w:val="nil" w:sz="6" w:space="0" w:color="auto"/>
                          <w:right w:val="nil" w:sz="6" w:space="0" w:color="auto"/>
                        </w:tcBorders>
                      </w:tcPr>
                      <w:p>
                        <w:pPr>
                          <w:pStyle w:val="TableParagraph"/>
                          <w:spacing w:line="223" w:lineRule="exact"/>
                          <w:ind w:left="135" w:right="0"/>
                          <w:jc w:val="left"/>
                          <w:rPr>
                            <w:rFonts w:ascii="宋体" w:hAnsi="宋体" w:cs="宋体" w:eastAsia="宋体" w:hint="default"/>
                            <w:sz w:val="20"/>
                            <w:szCs w:val="20"/>
                          </w:rPr>
                        </w:pPr>
                        <w:r>
                          <w:rPr>
                            <w:rFonts w:ascii="宋体" w:hAnsi="宋体" w:cs="宋体" w:eastAsia="宋体" w:hint="default"/>
                            <w:sz w:val="20"/>
                            <w:szCs w:val="20"/>
                          </w:rPr>
                          <w:t>销售；高档纸的防伪处理、销</w:t>
                        </w:r>
                      </w:p>
                    </w:tc>
                    <w:tc>
                      <w:tcPr>
                        <w:tcW w:w="1044" w:type="dxa"/>
                        <w:tcBorders>
                          <w:top w:val="nil" w:sz="6" w:space="0" w:color="auto"/>
                          <w:left w:val="nil" w:sz="6" w:space="0" w:color="auto"/>
                          <w:bottom w:val="nil" w:sz="6" w:space="0" w:color="auto"/>
                          <w:right w:val="nil" w:sz="6" w:space="0" w:color="auto"/>
                        </w:tcBorders>
                      </w:tcPr>
                      <w:p>
                        <w:pPr>
                          <w:pStyle w:val="TableParagraph"/>
                          <w:spacing w:line="223" w:lineRule="exact"/>
                          <w:ind w:left="1" w:right="0"/>
                          <w:jc w:val="center"/>
                          <w:rPr>
                            <w:rFonts w:ascii="宋体" w:hAnsi="宋体" w:cs="宋体" w:eastAsia="宋体" w:hint="default"/>
                            <w:sz w:val="20"/>
                            <w:szCs w:val="20"/>
                          </w:rPr>
                        </w:pPr>
                        <w:r>
                          <w:rPr>
                            <w:rFonts w:ascii="宋体" w:hAnsi="宋体" w:cs="宋体" w:eastAsia="宋体" w:hint="default"/>
                            <w:sz w:val="20"/>
                            <w:szCs w:val="20"/>
                          </w:rPr>
                          <w:t>东港安全</w:t>
                        </w:r>
                      </w:p>
                    </w:tc>
                  </w:tr>
                  <w:tr>
                    <w:trPr>
                      <w:trHeight w:val="246" w:hRule="exact"/>
                    </w:trPr>
                    <w:tc>
                      <w:tcPr>
                        <w:tcW w:w="2500" w:type="dxa"/>
                        <w:tcBorders>
                          <w:top w:val="nil" w:sz="6" w:space="0" w:color="auto"/>
                          <w:left w:val="nil" w:sz="6" w:space="0" w:color="auto"/>
                          <w:bottom w:val="nil" w:sz="6" w:space="0" w:color="auto"/>
                          <w:right w:val="nil" w:sz="6" w:space="0" w:color="auto"/>
                        </w:tcBorders>
                      </w:tcPr>
                      <w:p>
                        <w:pPr>
                          <w:pStyle w:val="TableParagraph"/>
                          <w:tabs>
                            <w:tab w:pos="1918" w:val="left" w:leader="none"/>
                          </w:tabs>
                          <w:spacing w:line="286" w:lineRule="exact"/>
                          <w:ind w:left="35" w:right="0"/>
                          <w:jc w:val="left"/>
                          <w:rPr>
                            <w:rFonts w:ascii="宋体" w:hAnsi="宋体" w:cs="宋体" w:eastAsia="宋体" w:hint="default"/>
                            <w:sz w:val="20"/>
                            <w:szCs w:val="20"/>
                          </w:rPr>
                        </w:pPr>
                        <w:r>
                          <w:rPr>
                            <w:rFonts w:ascii="宋体" w:hAnsi="宋体" w:cs="宋体" w:eastAsia="宋体" w:hint="default"/>
                            <w:w w:val="95"/>
                            <w:sz w:val="20"/>
                            <w:szCs w:val="20"/>
                          </w:rPr>
                          <w:t>有限公司</w:t>
                          <w:tab/>
                        </w:r>
                        <w:r>
                          <w:rPr>
                            <w:rFonts w:ascii="宋体" w:hAnsi="宋体" w:cs="宋体" w:eastAsia="宋体" w:hint="default"/>
                            <w:position w:val="12"/>
                            <w:sz w:val="20"/>
                            <w:szCs w:val="20"/>
                          </w:rPr>
                          <w:t>新疆</w:t>
                        </w:r>
                        <w:r>
                          <w:rPr>
                            <w:rFonts w:ascii="宋体" w:hAnsi="宋体" w:cs="宋体" w:eastAsia="宋体" w:hint="default"/>
                            <w:sz w:val="20"/>
                            <w:szCs w:val="20"/>
                          </w:rPr>
                        </w:r>
                      </w:p>
                    </w:tc>
                    <w:tc>
                      <w:tcPr>
                        <w:tcW w:w="1236" w:type="dxa"/>
                        <w:tcBorders>
                          <w:top w:val="nil" w:sz="6" w:space="0" w:color="auto"/>
                          <w:left w:val="nil" w:sz="6" w:space="0" w:color="auto"/>
                          <w:bottom w:val="nil" w:sz="6" w:space="0" w:color="auto"/>
                          <w:right w:val="nil" w:sz="6" w:space="0" w:color="auto"/>
                        </w:tcBorders>
                      </w:tcPr>
                      <w:p>
                        <w:pPr>
                          <w:pStyle w:val="TableParagraph"/>
                          <w:spacing w:line="223" w:lineRule="exact"/>
                          <w:ind w:right="267"/>
                          <w:jc w:val="right"/>
                          <w:rPr>
                            <w:rFonts w:ascii="宋体" w:hAnsi="宋体" w:cs="宋体" w:eastAsia="宋体" w:hint="default"/>
                            <w:sz w:val="20"/>
                            <w:szCs w:val="20"/>
                          </w:rPr>
                        </w:pPr>
                        <w:r>
                          <w:rPr>
                            <w:rFonts w:ascii="宋体" w:hAnsi="宋体" w:cs="宋体" w:eastAsia="宋体" w:hint="default"/>
                            <w:spacing w:val="2"/>
                            <w:w w:val="95"/>
                            <w:sz w:val="20"/>
                            <w:szCs w:val="20"/>
                          </w:rPr>
                          <w:t>生产型</w:t>
                        </w:r>
                        <w:r>
                          <w:rPr>
                            <w:rFonts w:ascii="宋体" w:hAnsi="宋体" w:cs="宋体" w:eastAsia="宋体" w:hint="default"/>
                            <w:sz w:val="20"/>
                            <w:szCs w:val="20"/>
                          </w:rPr>
                        </w:r>
                      </w:p>
                    </w:tc>
                    <w:tc>
                      <w:tcPr>
                        <w:tcW w:w="1190" w:type="dxa"/>
                        <w:tcBorders>
                          <w:top w:val="nil" w:sz="6" w:space="0" w:color="auto"/>
                          <w:left w:val="nil" w:sz="6" w:space="0" w:color="auto"/>
                          <w:bottom w:val="nil" w:sz="6" w:space="0" w:color="auto"/>
                          <w:right w:val="nil" w:sz="6" w:space="0" w:color="auto"/>
                        </w:tcBorders>
                      </w:tcPr>
                      <w:p>
                        <w:pPr>
                          <w:pStyle w:val="TableParagraph"/>
                          <w:spacing w:line="223" w:lineRule="exact"/>
                          <w:ind w:left="504" w:right="0"/>
                          <w:jc w:val="left"/>
                          <w:rPr>
                            <w:rFonts w:ascii="宋体" w:hAnsi="宋体" w:cs="宋体" w:eastAsia="宋体" w:hint="default"/>
                            <w:sz w:val="20"/>
                            <w:szCs w:val="20"/>
                          </w:rPr>
                        </w:pPr>
                        <w:r>
                          <w:rPr>
                            <w:rFonts w:ascii="宋体"/>
                            <w:sz w:val="20"/>
                          </w:rPr>
                          <w:t>500</w:t>
                        </w:r>
                      </w:p>
                    </w:tc>
                    <w:tc>
                      <w:tcPr>
                        <w:tcW w:w="2802" w:type="dxa"/>
                        <w:tcBorders>
                          <w:top w:val="nil" w:sz="6" w:space="0" w:color="auto"/>
                          <w:left w:val="nil" w:sz="6" w:space="0" w:color="auto"/>
                          <w:bottom w:val="nil" w:sz="6" w:space="0" w:color="auto"/>
                          <w:right w:val="nil" w:sz="6" w:space="0" w:color="auto"/>
                        </w:tcBorders>
                      </w:tcPr>
                      <w:p>
                        <w:pPr>
                          <w:pStyle w:val="TableParagraph"/>
                          <w:spacing w:line="223" w:lineRule="exact"/>
                          <w:ind w:left="135" w:right="0"/>
                          <w:jc w:val="left"/>
                          <w:rPr>
                            <w:rFonts w:ascii="宋体" w:hAnsi="宋体" w:cs="宋体" w:eastAsia="宋体" w:hint="default"/>
                            <w:sz w:val="20"/>
                            <w:szCs w:val="20"/>
                          </w:rPr>
                        </w:pPr>
                        <w:r>
                          <w:rPr>
                            <w:rFonts w:ascii="宋体" w:hAnsi="宋体" w:cs="宋体" w:eastAsia="宋体" w:hint="default"/>
                            <w:sz w:val="20"/>
                            <w:szCs w:val="20"/>
                          </w:rPr>
                          <w:t>售；数据打印系统的开发、生</w:t>
                        </w:r>
                      </w:p>
                    </w:tc>
                    <w:tc>
                      <w:tcPr>
                        <w:tcW w:w="1044" w:type="dxa"/>
                        <w:tcBorders>
                          <w:top w:val="nil" w:sz="6" w:space="0" w:color="auto"/>
                          <w:left w:val="nil" w:sz="6" w:space="0" w:color="auto"/>
                          <w:bottom w:val="nil" w:sz="6" w:space="0" w:color="auto"/>
                          <w:right w:val="nil" w:sz="6" w:space="0" w:color="auto"/>
                        </w:tcBorders>
                      </w:tcPr>
                      <w:p>
                        <w:pPr>
                          <w:pStyle w:val="TableParagraph"/>
                          <w:spacing w:line="223" w:lineRule="exact"/>
                          <w:ind w:left="1" w:right="0"/>
                          <w:jc w:val="center"/>
                          <w:rPr>
                            <w:rFonts w:ascii="宋体" w:hAnsi="宋体" w:cs="宋体" w:eastAsia="宋体" w:hint="default"/>
                            <w:sz w:val="20"/>
                            <w:szCs w:val="20"/>
                          </w:rPr>
                        </w:pPr>
                        <w:r>
                          <w:rPr>
                            <w:rFonts w:ascii="宋体" w:hAnsi="宋体" w:cs="宋体" w:eastAsia="宋体" w:hint="default"/>
                            <w:sz w:val="20"/>
                            <w:szCs w:val="20"/>
                          </w:rPr>
                          <w:t>印刷股份</w:t>
                        </w:r>
                      </w:p>
                    </w:tc>
                  </w:tr>
                  <w:tr>
                    <w:trPr>
                      <w:trHeight w:val="247" w:hRule="exact"/>
                    </w:trPr>
                    <w:tc>
                      <w:tcPr>
                        <w:tcW w:w="2500"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2802" w:type="dxa"/>
                        <w:tcBorders>
                          <w:top w:val="nil" w:sz="6" w:space="0" w:color="auto"/>
                          <w:left w:val="nil" w:sz="6" w:space="0" w:color="auto"/>
                          <w:bottom w:val="nil" w:sz="6" w:space="0" w:color="auto"/>
                          <w:right w:val="nil" w:sz="6" w:space="0" w:color="auto"/>
                        </w:tcBorders>
                      </w:tcPr>
                      <w:p>
                        <w:pPr>
                          <w:pStyle w:val="TableParagraph"/>
                          <w:spacing w:line="223" w:lineRule="exact"/>
                          <w:ind w:left="135" w:right="0"/>
                          <w:jc w:val="left"/>
                          <w:rPr>
                            <w:rFonts w:ascii="宋体" w:hAnsi="宋体" w:cs="宋体" w:eastAsia="宋体" w:hint="default"/>
                            <w:sz w:val="20"/>
                            <w:szCs w:val="20"/>
                          </w:rPr>
                        </w:pPr>
                        <w:r>
                          <w:rPr>
                            <w:rFonts w:ascii="宋体" w:hAnsi="宋体" w:cs="宋体" w:eastAsia="宋体" w:hint="default"/>
                            <w:sz w:val="20"/>
                            <w:szCs w:val="20"/>
                          </w:rPr>
                          <w:t>产；科技信息咨询服务；IC卡</w:t>
                        </w:r>
                      </w:p>
                    </w:tc>
                    <w:tc>
                      <w:tcPr>
                        <w:tcW w:w="1044" w:type="dxa"/>
                        <w:tcBorders>
                          <w:top w:val="nil" w:sz="6" w:space="0" w:color="auto"/>
                          <w:left w:val="nil" w:sz="6" w:space="0" w:color="auto"/>
                          <w:bottom w:val="nil" w:sz="6" w:space="0" w:color="auto"/>
                          <w:right w:val="nil" w:sz="6" w:space="0" w:color="auto"/>
                        </w:tcBorders>
                      </w:tcPr>
                      <w:p>
                        <w:pPr>
                          <w:pStyle w:val="TableParagraph"/>
                          <w:spacing w:line="223" w:lineRule="exact"/>
                          <w:ind w:left="1" w:right="0"/>
                          <w:jc w:val="center"/>
                          <w:rPr>
                            <w:rFonts w:ascii="宋体" w:hAnsi="宋体" w:cs="宋体" w:eastAsia="宋体" w:hint="default"/>
                            <w:sz w:val="20"/>
                            <w:szCs w:val="20"/>
                          </w:rPr>
                        </w:pPr>
                        <w:r>
                          <w:rPr>
                            <w:rFonts w:ascii="宋体" w:hAnsi="宋体" w:cs="宋体" w:eastAsia="宋体" w:hint="default"/>
                            <w:sz w:val="20"/>
                            <w:szCs w:val="20"/>
                          </w:rPr>
                          <w:t>有限公司</w:t>
                        </w:r>
                      </w:p>
                    </w:tc>
                  </w:tr>
                  <w:tr>
                    <w:trPr>
                      <w:trHeight w:val="247" w:hRule="exact"/>
                    </w:trPr>
                    <w:tc>
                      <w:tcPr>
                        <w:tcW w:w="2500"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2802" w:type="dxa"/>
                        <w:tcBorders>
                          <w:top w:val="nil" w:sz="6" w:space="0" w:color="auto"/>
                          <w:left w:val="nil" w:sz="6" w:space="0" w:color="auto"/>
                          <w:bottom w:val="nil" w:sz="6" w:space="0" w:color="auto"/>
                          <w:right w:val="nil" w:sz="6" w:space="0" w:color="auto"/>
                        </w:tcBorders>
                      </w:tcPr>
                      <w:p>
                        <w:pPr>
                          <w:pStyle w:val="TableParagraph"/>
                          <w:spacing w:line="223" w:lineRule="exact"/>
                          <w:ind w:left="135" w:right="0"/>
                          <w:jc w:val="left"/>
                          <w:rPr>
                            <w:rFonts w:ascii="宋体" w:hAnsi="宋体" w:cs="宋体" w:eastAsia="宋体" w:hint="default"/>
                            <w:sz w:val="20"/>
                            <w:szCs w:val="20"/>
                          </w:rPr>
                        </w:pPr>
                        <w:r>
                          <w:rPr>
                            <w:rFonts w:ascii="宋体" w:hAnsi="宋体" w:cs="宋体" w:eastAsia="宋体" w:hint="default"/>
                            <w:sz w:val="20"/>
                            <w:szCs w:val="20"/>
                          </w:rPr>
                          <w:t>产品、智能标签产品的生产、</w:t>
                        </w:r>
                      </w:p>
                    </w:tc>
                    <w:tc>
                      <w:tcPr>
                        <w:tcW w:w="1044" w:type="dxa"/>
                        <w:tcBorders>
                          <w:top w:val="nil" w:sz="6" w:space="0" w:color="auto"/>
                          <w:left w:val="nil" w:sz="6" w:space="0" w:color="auto"/>
                          <w:bottom w:val="nil" w:sz="6" w:space="0" w:color="auto"/>
                          <w:right w:val="nil" w:sz="6" w:space="0" w:color="auto"/>
                        </w:tcBorders>
                      </w:tcPr>
                      <w:p>
                        <w:pPr/>
                      </w:p>
                    </w:tc>
                  </w:tr>
                  <w:tr>
                    <w:trPr>
                      <w:trHeight w:val="228" w:hRule="exact"/>
                    </w:trPr>
                    <w:tc>
                      <w:tcPr>
                        <w:tcW w:w="2500"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c>
                      <w:tcPr>
                        <w:tcW w:w="2802" w:type="dxa"/>
                        <w:tcBorders>
                          <w:top w:val="nil" w:sz="6" w:space="0" w:color="auto"/>
                          <w:left w:val="nil" w:sz="6" w:space="0" w:color="auto"/>
                          <w:bottom w:val="nil" w:sz="6" w:space="0" w:color="auto"/>
                          <w:right w:val="nil" w:sz="6" w:space="0" w:color="auto"/>
                        </w:tcBorders>
                      </w:tcPr>
                      <w:p>
                        <w:pPr>
                          <w:pStyle w:val="TableParagraph"/>
                          <w:spacing w:line="223" w:lineRule="exact"/>
                          <w:ind w:left="135" w:right="0"/>
                          <w:jc w:val="left"/>
                          <w:rPr>
                            <w:rFonts w:ascii="宋体" w:hAnsi="宋体" w:cs="宋体" w:eastAsia="宋体" w:hint="default"/>
                            <w:sz w:val="20"/>
                            <w:szCs w:val="20"/>
                          </w:rPr>
                        </w:pPr>
                        <w:r>
                          <w:rPr>
                            <w:rFonts w:ascii="宋体" w:hAnsi="宋体" w:cs="宋体" w:eastAsia="宋体" w:hint="default"/>
                            <w:sz w:val="20"/>
                            <w:szCs w:val="20"/>
                          </w:rPr>
                          <w:t>销售。</w:t>
                        </w:r>
                      </w:p>
                    </w:tc>
                    <w:tc>
                      <w:tcPr>
                        <w:tcW w:w="104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20"/>
          <w:szCs w:val="20"/>
        </w:rPr>
        <w:t>公司名称</w:t>
        <w:tab/>
        <w:t>注册地</w:t>
        <w:tab/>
        <w:t>业务性质</w:t>
        <w:tab/>
      </w:r>
      <w:r>
        <w:rPr>
          <w:rFonts w:ascii="宋体" w:hAnsi="宋体" w:cs="宋体" w:eastAsia="宋体" w:hint="default"/>
          <w:w w:val="95"/>
          <w:position w:val="12"/>
          <w:sz w:val="20"/>
          <w:szCs w:val="20"/>
        </w:rPr>
        <w:t>注册资本</w:t>
      </w:r>
      <w:r>
        <w:rPr>
          <w:rFonts w:ascii="宋体" w:hAnsi="宋体" w:cs="宋体" w:eastAsia="宋体" w:hint="default"/>
          <w:sz w:val="20"/>
          <w:szCs w:val="20"/>
        </w:rPr>
      </w:r>
    </w:p>
    <w:p>
      <w:pPr>
        <w:tabs>
          <w:tab w:pos="2488" w:val="left" w:leader="none"/>
        </w:tabs>
        <w:spacing w:before="84"/>
        <w:ind w:left="581"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position w:val="-11"/>
          <w:sz w:val="20"/>
          <w:szCs w:val="20"/>
        </w:rPr>
        <w:t>经营范围</w:t>
        <w:tab/>
      </w:r>
      <w:r>
        <w:rPr>
          <w:rFonts w:ascii="宋体" w:hAnsi="宋体" w:cs="宋体" w:eastAsia="宋体" w:hint="default"/>
          <w:sz w:val="20"/>
          <w:szCs w:val="20"/>
        </w:rPr>
        <w:t>实际控制</w:t>
      </w:r>
    </w:p>
    <w:p>
      <w:pPr>
        <w:spacing w:after="0"/>
        <w:jc w:val="left"/>
        <w:rPr>
          <w:rFonts w:ascii="宋体" w:hAnsi="宋体" w:cs="宋体" w:eastAsia="宋体" w:hint="default"/>
          <w:sz w:val="20"/>
          <w:szCs w:val="20"/>
        </w:rPr>
        <w:sectPr>
          <w:headerReference w:type="default" r:id="rId46"/>
          <w:pgSz w:w="11910" w:h="16840"/>
          <w:pgMar w:header="915" w:footer="1712" w:top="1100" w:bottom="1900" w:left="1660" w:right="1220"/>
          <w:cols w:num="2" w:equalWidth="0">
            <w:col w:w="4923" w:space="648"/>
            <w:col w:w="3459"/>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460" w:left="1660" w:right="1220"/>
        </w:sectPr>
      </w:pPr>
    </w:p>
    <w:p>
      <w:pPr>
        <w:spacing w:line="240" w:lineRule="auto" w:before="3"/>
        <w:rPr>
          <w:rFonts w:ascii="宋体" w:hAnsi="宋体" w:cs="宋体" w:eastAsia="宋体" w:hint="default"/>
          <w:sz w:val="23"/>
          <w:szCs w:val="23"/>
        </w:rPr>
      </w:pPr>
    </w:p>
    <w:p>
      <w:pPr>
        <w:spacing w:line="192" w:lineRule="exact" w:before="0"/>
        <w:ind w:left="179" w:right="0" w:firstLine="0"/>
        <w:jc w:val="left"/>
        <w:rPr>
          <w:rFonts w:ascii="宋体" w:hAnsi="宋体" w:cs="宋体" w:eastAsia="宋体" w:hint="default"/>
          <w:sz w:val="20"/>
          <w:szCs w:val="20"/>
        </w:rPr>
      </w:pPr>
      <w:r>
        <w:rPr>
          <w:rFonts w:ascii="宋体" w:hAnsi="宋体" w:cs="宋体" w:eastAsia="宋体" w:hint="default"/>
          <w:sz w:val="20"/>
          <w:szCs w:val="20"/>
        </w:rPr>
        <w:t>上海东港印刷有限</w:t>
      </w:r>
    </w:p>
    <w:p>
      <w:pPr>
        <w:tabs>
          <w:tab w:pos="2062" w:val="left" w:leader="none"/>
          <w:tab w:pos="3023" w:val="left" w:leader="none"/>
          <w:tab w:pos="4287" w:val="left" w:leader="none"/>
        </w:tabs>
        <w:spacing w:line="312" w:lineRule="exact" w:before="0"/>
        <w:ind w:left="179" w:right="0" w:firstLine="0"/>
        <w:jc w:val="left"/>
        <w:rPr>
          <w:rFonts w:ascii="宋体" w:hAnsi="宋体" w:cs="宋体" w:eastAsia="宋体" w:hint="default"/>
          <w:sz w:val="20"/>
          <w:szCs w:val="20"/>
        </w:rPr>
      </w:pPr>
      <w:r>
        <w:rPr>
          <w:rFonts w:ascii="宋体" w:hAnsi="宋体" w:cs="宋体" w:eastAsia="宋体" w:hint="default"/>
          <w:w w:val="95"/>
          <w:position w:val="-11"/>
          <w:sz w:val="20"/>
          <w:szCs w:val="20"/>
        </w:rPr>
        <w:t>公司</w:t>
        <w:tab/>
      </w:r>
      <w:r>
        <w:rPr>
          <w:rFonts w:ascii="宋体" w:hAnsi="宋体" w:cs="宋体" w:eastAsia="宋体" w:hint="default"/>
          <w:w w:val="95"/>
          <w:sz w:val="20"/>
          <w:szCs w:val="20"/>
        </w:rPr>
        <w:t>上海</w:t>
        <w:tab/>
        <w:t>生产型</w:t>
        <w:tab/>
      </w:r>
      <w:r>
        <w:rPr>
          <w:rFonts w:ascii="宋体" w:hAnsi="宋体" w:cs="宋体" w:eastAsia="宋体" w:hint="default"/>
          <w:sz w:val="20"/>
          <w:szCs w:val="20"/>
        </w:rPr>
        <w:t>3,000</w:t>
      </w:r>
    </w:p>
    <w:p>
      <w:pPr>
        <w:spacing w:line="192" w:lineRule="exact" w:before="234"/>
        <w:ind w:left="179" w:right="0" w:firstLine="0"/>
        <w:jc w:val="left"/>
        <w:rPr>
          <w:rFonts w:ascii="宋体" w:hAnsi="宋体" w:cs="宋体" w:eastAsia="宋体" w:hint="default"/>
          <w:sz w:val="20"/>
          <w:szCs w:val="20"/>
        </w:rPr>
      </w:pPr>
      <w:r>
        <w:rPr>
          <w:rFonts w:ascii="宋体" w:hAnsi="宋体" w:cs="宋体" w:eastAsia="宋体" w:hint="default"/>
          <w:sz w:val="20"/>
          <w:szCs w:val="20"/>
        </w:rPr>
        <w:t>青海东港安全印刷</w:t>
      </w:r>
    </w:p>
    <w:p>
      <w:pPr>
        <w:tabs>
          <w:tab w:pos="2062" w:val="left" w:leader="none"/>
          <w:tab w:pos="3023" w:val="left" w:leader="none"/>
          <w:tab w:pos="4676" w:val="right" w:leader="none"/>
        </w:tabs>
        <w:spacing w:line="312" w:lineRule="exact" w:before="0"/>
        <w:ind w:left="179" w:right="0" w:firstLine="0"/>
        <w:jc w:val="left"/>
        <w:rPr>
          <w:rFonts w:ascii="宋体" w:hAnsi="宋体" w:cs="宋体" w:eastAsia="宋体" w:hint="default"/>
          <w:sz w:val="20"/>
          <w:szCs w:val="20"/>
        </w:rPr>
      </w:pPr>
      <w:r>
        <w:rPr>
          <w:rFonts w:ascii="宋体" w:hAnsi="宋体" w:cs="宋体" w:eastAsia="宋体" w:hint="default"/>
          <w:w w:val="95"/>
          <w:position w:val="-11"/>
          <w:sz w:val="20"/>
          <w:szCs w:val="20"/>
        </w:rPr>
        <w:t>有限公司</w:t>
        <w:tab/>
      </w:r>
      <w:r>
        <w:rPr>
          <w:rFonts w:ascii="宋体" w:hAnsi="宋体" w:cs="宋体" w:eastAsia="宋体" w:hint="default"/>
          <w:w w:val="95"/>
          <w:sz w:val="20"/>
          <w:szCs w:val="20"/>
        </w:rPr>
        <w:t>青海</w:t>
        <w:tab/>
      </w:r>
      <w:r>
        <w:rPr>
          <w:rFonts w:ascii="宋体" w:hAnsi="宋体" w:cs="宋体" w:eastAsia="宋体" w:hint="default"/>
          <w:spacing w:val="2"/>
          <w:sz w:val="20"/>
          <w:szCs w:val="20"/>
        </w:rPr>
        <w:t>生产型</w:t>
      </w:r>
      <w:r>
        <w:rPr>
          <w:rFonts w:ascii="Times New Roman" w:hAnsi="Times New Roman" w:cs="Times New Roman" w:eastAsia="Times New Roman" w:hint="default"/>
          <w:spacing w:val="2"/>
          <w:sz w:val="20"/>
          <w:szCs w:val="20"/>
        </w:rPr>
        <w:tab/>
      </w:r>
      <w:r>
        <w:rPr>
          <w:rFonts w:ascii="宋体" w:hAnsi="宋体" w:cs="宋体" w:eastAsia="宋体" w:hint="default"/>
          <w:sz w:val="20"/>
          <w:szCs w:val="20"/>
        </w:rPr>
        <w:t>500</w:t>
      </w:r>
    </w:p>
    <w:p>
      <w:pPr>
        <w:spacing w:line="240" w:lineRule="auto" w:before="6"/>
        <w:rPr>
          <w:rFonts w:ascii="宋体" w:hAnsi="宋体" w:cs="宋体" w:eastAsia="宋体" w:hint="default"/>
          <w:sz w:val="36"/>
          <w:szCs w:val="36"/>
        </w:rPr>
      </w:pPr>
    </w:p>
    <w:p>
      <w:pPr>
        <w:spacing w:line="193" w:lineRule="exact" w:before="0"/>
        <w:ind w:left="179" w:right="0" w:firstLine="0"/>
        <w:jc w:val="left"/>
        <w:rPr>
          <w:rFonts w:ascii="宋体" w:hAnsi="宋体" w:cs="宋体" w:eastAsia="宋体" w:hint="default"/>
          <w:sz w:val="20"/>
          <w:szCs w:val="20"/>
        </w:rPr>
      </w:pPr>
      <w:r>
        <w:rPr>
          <w:rFonts w:ascii="宋体" w:hAnsi="宋体" w:cs="宋体" w:eastAsia="宋体" w:hint="default"/>
          <w:sz w:val="20"/>
          <w:szCs w:val="20"/>
        </w:rPr>
        <w:t>北京东港嘉华安全</w:t>
      </w:r>
    </w:p>
    <w:p>
      <w:pPr>
        <w:tabs>
          <w:tab w:pos="2062" w:val="left" w:leader="none"/>
          <w:tab w:pos="3023" w:val="left" w:leader="none"/>
          <w:tab w:pos="4092" w:val="left" w:leader="none"/>
        </w:tabs>
        <w:spacing w:line="313" w:lineRule="exact" w:before="0"/>
        <w:ind w:left="179" w:right="0" w:firstLine="0"/>
        <w:jc w:val="left"/>
        <w:rPr>
          <w:rFonts w:ascii="宋体" w:hAnsi="宋体" w:cs="宋体" w:eastAsia="宋体" w:hint="default"/>
          <w:sz w:val="20"/>
          <w:szCs w:val="20"/>
        </w:rPr>
      </w:pPr>
      <w:r>
        <w:rPr>
          <w:rFonts w:ascii="宋体" w:hAnsi="宋体" w:cs="宋体" w:eastAsia="宋体" w:hint="default"/>
          <w:w w:val="95"/>
          <w:position w:val="-11"/>
          <w:sz w:val="20"/>
          <w:szCs w:val="20"/>
        </w:rPr>
        <w:t>信息技术有限公司</w:t>
        <w:tab/>
      </w:r>
      <w:r>
        <w:rPr>
          <w:rFonts w:ascii="宋体" w:hAnsi="宋体" w:cs="宋体" w:eastAsia="宋体" w:hint="default"/>
          <w:w w:val="95"/>
          <w:sz w:val="20"/>
          <w:szCs w:val="20"/>
        </w:rPr>
        <w:t>北京</w:t>
        <w:tab/>
        <w:t>生产型</w:t>
        <w:tab/>
        <w:t>700万美元</w:t>
      </w:r>
      <w:r>
        <w:rPr>
          <w:rFonts w:ascii="宋体" w:hAnsi="宋体" w:cs="宋体" w:eastAsia="宋体" w:hint="default"/>
          <w:sz w:val="20"/>
          <w:szCs w:val="20"/>
        </w:rPr>
      </w:r>
    </w:p>
    <w:p>
      <w:pPr>
        <w:spacing w:line="240" w:lineRule="auto" w:before="6"/>
        <w:rPr>
          <w:rFonts w:ascii="宋体" w:hAnsi="宋体" w:cs="宋体" w:eastAsia="宋体" w:hint="default"/>
          <w:sz w:val="36"/>
          <w:szCs w:val="36"/>
        </w:rPr>
      </w:pPr>
    </w:p>
    <w:p>
      <w:pPr>
        <w:spacing w:line="192" w:lineRule="exact" w:before="0"/>
        <w:ind w:left="179" w:right="0" w:firstLine="0"/>
        <w:jc w:val="left"/>
        <w:rPr>
          <w:rFonts w:ascii="宋体" w:hAnsi="宋体" w:cs="宋体" w:eastAsia="宋体" w:hint="default"/>
          <w:sz w:val="20"/>
          <w:szCs w:val="20"/>
        </w:rPr>
      </w:pPr>
      <w:r>
        <w:rPr>
          <w:rFonts w:ascii="宋体" w:hAnsi="宋体" w:cs="宋体" w:eastAsia="宋体" w:hint="default"/>
          <w:sz w:val="20"/>
          <w:szCs w:val="20"/>
        </w:rPr>
        <w:t>广州东港安全印刷</w:t>
      </w:r>
    </w:p>
    <w:p>
      <w:pPr>
        <w:tabs>
          <w:tab w:pos="2062" w:val="left" w:leader="none"/>
          <w:tab w:pos="3023" w:val="left" w:leader="none"/>
          <w:tab w:pos="4287" w:val="left" w:leader="none"/>
        </w:tabs>
        <w:spacing w:line="312" w:lineRule="exact" w:before="0"/>
        <w:ind w:left="179" w:right="0" w:firstLine="0"/>
        <w:jc w:val="left"/>
        <w:rPr>
          <w:rFonts w:ascii="宋体" w:hAnsi="宋体" w:cs="宋体" w:eastAsia="宋体" w:hint="default"/>
          <w:sz w:val="20"/>
          <w:szCs w:val="20"/>
        </w:rPr>
      </w:pPr>
      <w:r>
        <w:rPr>
          <w:rFonts w:ascii="宋体" w:hAnsi="宋体" w:cs="宋体" w:eastAsia="宋体" w:hint="default"/>
          <w:w w:val="95"/>
          <w:position w:val="-11"/>
          <w:sz w:val="20"/>
          <w:szCs w:val="20"/>
        </w:rPr>
        <w:t>有限公司</w:t>
        <w:tab/>
      </w:r>
      <w:r>
        <w:rPr>
          <w:rFonts w:ascii="宋体" w:hAnsi="宋体" w:cs="宋体" w:eastAsia="宋体" w:hint="default"/>
          <w:w w:val="95"/>
          <w:sz w:val="20"/>
          <w:szCs w:val="20"/>
        </w:rPr>
        <w:t>广州</w:t>
        <w:tab/>
        <w:t>生产型</w:t>
        <w:tab/>
      </w:r>
      <w:r>
        <w:rPr>
          <w:rFonts w:ascii="宋体" w:hAnsi="宋体" w:cs="宋体" w:eastAsia="宋体" w:hint="default"/>
          <w:sz w:val="20"/>
          <w:szCs w:val="20"/>
        </w:rPr>
        <w:t>1,000</w:t>
      </w:r>
    </w:p>
    <w:p>
      <w:pPr>
        <w:spacing w:line="240" w:lineRule="auto" w:before="2"/>
        <w:rPr>
          <w:rFonts w:ascii="宋体" w:hAnsi="宋体" w:cs="宋体" w:eastAsia="宋体" w:hint="default"/>
          <w:sz w:val="27"/>
          <w:szCs w:val="27"/>
        </w:rPr>
      </w:pPr>
    </w:p>
    <w:p>
      <w:pPr>
        <w:spacing w:line="193" w:lineRule="exact" w:before="0"/>
        <w:ind w:left="179" w:right="0" w:firstLine="0"/>
        <w:jc w:val="left"/>
        <w:rPr>
          <w:rFonts w:ascii="宋体" w:hAnsi="宋体" w:cs="宋体" w:eastAsia="宋体" w:hint="default"/>
          <w:sz w:val="20"/>
          <w:szCs w:val="20"/>
        </w:rPr>
      </w:pPr>
      <w:r>
        <w:rPr>
          <w:rFonts w:ascii="宋体" w:hAnsi="宋体" w:cs="宋体" w:eastAsia="宋体" w:hint="default"/>
          <w:sz w:val="20"/>
          <w:szCs w:val="20"/>
        </w:rPr>
        <w:t>成都东港安全印刷</w:t>
      </w:r>
    </w:p>
    <w:p>
      <w:pPr>
        <w:tabs>
          <w:tab w:pos="2062" w:val="left" w:leader="none"/>
          <w:tab w:pos="3023" w:val="left" w:leader="none"/>
          <w:tab w:pos="4383" w:val="left" w:leader="none"/>
        </w:tabs>
        <w:spacing w:line="313" w:lineRule="exact" w:before="0"/>
        <w:ind w:left="179" w:right="0" w:firstLine="0"/>
        <w:jc w:val="left"/>
        <w:rPr>
          <w:rFonts w:ascii="宋体" w:hAnsi="宋体" w:cs="宋体" w:eastAsia="宋体" w:hint="default"/>
          <w:sz w:val="20"/>
          <w:szCs w:val="20"/>
        </w:rPr>
      </w:pPr>
      <w:r>
        <w:rPr>
          <w:rFonts w:ascii="宋体" w:hAnsi="宋体" w:cs="宋体" w:eastAsia="宋体" w:hint="default"/>
          <w:spacing w:val="1"/>
          <w:w w:val="95"/>
          <w:position w:val="-11"/>
          <w:sz w:val="20"/>
          <w:szCs w:val="20"/>
        </w:rPr>
        <w:t>有限公司</w:t>
        <w:tab/>
      </w:r>
      <w:r>
        <w:rPr>
          <w:rFonts w:ascii="宋体" w:hAnsi="宋体" w:cs="宋体" w:eastAsia="宋体" w:hint="default"/>
          <w:spacing w:val="1"/>
          <w:w w:val="95"/>
          <w:sz w:val="20"/>
          <w:szCs w:val="20"/>
        </w:rPr>
        <w:t>成都</w:t>
        <w:tab/>
      </w:r>
      <w:r>
        <w:rPr>
          <w:rFonts w:ascii="宋体" w:hAnsi="宋体" w:cs="宋体" w:eastAsia="宋体" w:hint="default"/>
          <w:spacing w:val="2"/>
          <w:w w:val="95"/>
          <w:sz w:val="20"/>
          <w:szCs w:val="20"/>
        </w:rPr>
        <w:t>生产型</w:t>
      </w:r>
      <w:r>
        <w:rPr>
          <w:rFonts w:ascii="Times New Roman" w:hAnsi="Times New Roman" w:cs="Times New Roman" w:eastAsia="Times New Roman" w:hint="default"/>
          <w:spacing w:val="2"/>
          <w:w w:val="95"/>
          <w:sz w:val="20"/>
          <w:szCs w:val="20"/>
        </w:rPr>
        <w:tab/>
      </w:r>
      <w:r>
        <w:rPr>
          <w:rFonts w:ascii="宋体" w:hAnsi="宋体" w:cs="宋体" w:eastAsia="宋体" w:hint="default"/>
          <w:sz w:val="20"/>
          <w:szCs w:val="20"/>
        </w:rPr>
        <w:t>500</w:t>
      </w:r>
    </w:p>
    <w:p>
      <w:pPr>
        <w:spacing w:line="240" w:lineRule="auto" w:before="0"/>
        <w:rPr>
          <w:rFonts w:ascii="宋体" w:hAnsi="宋体" w:cs="宋体" w:eastAsia="宋体" w:hint="default"/>
          <w:sz w:val="32"/>
          <w:szCs w:val="32"/>
        </w:rPr>
      </w:pPr>
    </w:p>
    <w:p>
      <w:pPr>
        <w:spacing w:line="246" w:lineRule="exact" w:before="218"/>
        <w:ind w:left="179" w:right="2492" w:firstLine="0"/>
        <w:jc w:val="left"/>
        <w:rPr>
          <w:rFonts w:ascii="宋体" w:hAnsi="宋体" w:cs="宋体" w:eastAsia="宋体" w:hint="default"/>
          <w:sz w:val="20"/>
          <w:szCs w:val="20"/>
        </w:rPr>
      </w:pPr>
      <w:r>
        <w:rPr>
          <w:rFonts w:ascii="宋体" w:hAnsi="宋体" w:cs="宋体" w:eastAsia="宋体" w:hint="default"/>
          <w:w w:val="95"/>
          <w:sz w:val="20"/>
          <w:szCs w:val="20"/>
        </w:rPr>
        <w:t>山东东港安全印刷</w:t>
      </w:r>
      <w:r>
        <w:rPr>
          <w:rFonts w:ascii="宋体" w:hAnsi="宋体" w:cs="宋体" w:eastAsia="宋体" w:hint="default"/>
          <w:spacing w:val="-59"/>
          <w:w w:val="95"/>
          <w:sz w:val="20"/>
          <w:szCs w:val="20"/>
        </w:rPr>
        <w:t> </w:t>
      </w:r>
      <w:r>
        <w:rPr>
          <w:rFonts w:ascii="宋体" w:hAnsi="宋体" w:cs="宋体" w:eastAsia="宋体" w:hint="default"/>
          <w:spacing w:val="-59"/>
          <w:w w:val="95"/>
          <w:sz w:val="20"/>
          <w:szCs w:val="20"/>
        </w:rPr>
      </w:r>
      <w:r>
        <w:rPr>
          <w:rFonts w:ascii="宋体" w:hAnsi="宋体" w:cs="宋体" w:eastAsia="宋体" w:hint="default"/>
          <w:sz w:val="20"/>
          <w:szCs w:val="20"/>
        </w:rPr>
        <w:t>有限公司</w:t>
      </w:r>
    </w:p>
    <w:p>
      <w:pPr>
        <w:spacing w:line="240" w:lineRule="auto" w:before="12"/>
        <w:rPr>
          <w:rFonts w:ascii="宋体" w:hAnsi="宋体" w:cs="宋体" w:eastAsia="宋体" w:hint="default"/>
          <w:sz w:val="25"/>
          <w:szCs w:val="25"/>
        </w:rPr>
      </w:pPr>
      <w:r>
        <w:rPr/>
        <w:br w:type="column"/>
      </w:r>
      <w:r>
        <w:rPr>
          <w:rFonts w:ascii="宋体"/>
          <w:sz w:val="25"/>
        </w:rPr>
      </w:r>
    </w:p>
    <w:p>
      <w:pPr>
        <w:spacing w:line="248" w:lineRule="exact" w:before="0"/>
        <w:ind w:left="179" w:right="0" w:firstLine="0"/>
        <w:jc w:val="left"/>
        <w:rPr>
          <w:rFonts w:ascii="宋体" w:hAnsi="宋体" w:cs="宋体" w:eastAsia="宋体" w:hint="default"/>
          <w:sz w:val="20"/>
          <w:szCs w:val="20"/>
        </w:rPr>
      </w:pPr>
      <w:r>
        <w:rPr>
          <w:rFonts w:ascii="宋体" w:hAnsi="宋体" w:cs="宋体" w:eastAsia="宋体" w:hint="default"/>
          <w:w w:val="95"/>
          <w:sz w:val="20"/>
          <w:szCs w:val="20"/>
        </w:rPr>
        <w:t>包装装潢印刷，零件印刷，计</w:t>
      </w:r>
      <w:r>
        <w:rPr>
          <w:rFonts w:ascii="宋体" w:hAnsi="宋体" w:cs="宋体" w:eastAsia="宋体" w:hint="default"/>
          <w:spacing w:val="-40"/>
          <w:w w:val="95"/>
          <w:sz w:val="20"/>
          <w:szCs w:val="20"/>
        </w:rPr>
        <w:t> </w:t>
      </w:r>
      <w:r>
        <w:rPr>
          <w:rFonts w:ascii="宋体" w:hAnsi="宋体" w:cs="宋体" w:eastAsia="宋体" w:hint="default"/>
          <w:spacing w:val="-40"/>
          <w:w w:val="95"/>
          <w:sz w:val="20"/>
          <w:szCs w:val="20"/>
        </w:rPr>
      </w:r>
      <w:r>
        <w:rPr>
          <w:rFonts w:ascii="宋体" w:hAnsi="宋体" w:cs="宋体" w:eastAsia="宋体" w:hint="default"/>
          <w:sz w:val="20"/>
          <w:szCs w:val="20"/>
        </w:rPr>
        <w:t>算机软件开发</w:t>
      </w:r>
    </w:p>
    <w:p>
      <w:pPr>
        <w:spacing w:line="240" w:lineRule="auto" w:before="9"/>
        <w:rPr>
          <w:rFonts w:ascii="宋体" w:hAnsi="宋体" w:cs="宋体" w:eastAsia="宋体" w:hint="default"/>
          <w:sz w:val="18"/>
          <w:szCs w:val="18"/>
        </w:rPr>
      </w:pPr>
    </w:p>
    <w:p>
      <w:pPr>
        <w:spacing w:line="246" w:lineRule="exact" w:before="0"/>
        <w:ind w:left="179" w:right="0" w:firstLine="0"/>
        <w:jc w:val="left"/>
        <w:rPr>
          <w:rFonts w:ascii="宋体" w:hAnsi="宋体" w:cs="宋体" w:eastAsia="宋体" w:hint="default"/>
          <w:sz w:val="20"/>
          <w:szCs w:val="20"/>
        </w:rPr>
      </w:pPr>
      <w:r>
        <w:rPr>
          <w:rFonts w:ascii="宋体" w:hAnsi="宋体" w:cs="宋体" w:eastAsia="宋体" w:hint="default"/>
          <w:w w:val="95"/>
          <w:sz w:val="20"/>
          <w:szCs w:val="20"/>
        </w:rPr>
        <w:t>包装装潢印刷和其他印刷品印</w:t>
      </w:r>
      <w:r>
        <w:rPr>
          <w:rFonts w:ascii="宋体" w:hAnsi="宋体" w:cs="宋体" w:eastAsia="宋体" w:hint="default"/>
          <w:spacing w:val="-40"/>
          <w:w w:val="95"/>
          <w:sz w:val="20"/>
          <w:szCs w:val="20"/>
        </w:rPr>
        <w:t> </w:t>
      </w:r>
      <w:r>
        <w:rPr>
          <w:rFonts w:ascii="宋体" w:hAnsi="宋体" w:cs="宋体" w:eastAsia="宋体" w:hint="default"/>
          <w:spacing w:val="-40"/>
          <w:w w:val="95"/>
          <w:sz w:val="20"/>
          <w:szCs w:val="20"/>
        </w:rPr>
      </w:r>
      <w:r>
        <w:rPr>
          <w:rFonts w:ascii="宋体" w:hAnsi="宋体" w:cs="宋体" w:eastAsia="宋体" w:hint="default"/>
          <w:sz w:val="20"/>
          <w:szCs w:val="20"/>
        </w:rPr>
        <w:t>刷，软件的开发、生产</w:t>
      </w:r>
    </w:p>
    <w:p>
      <w:pPr>
        <w:spacing w:line="225" w:lineRule="auto" w:before="97"/>
        <w:ind w:left="179" w:right="0" w:firstLine="0"/>
        <w:jc w:val="left"/>
        <w:rPr>
          <w:rFonts w:ascii="宋体" w:hAnsi="宋体" w:cs="宋体" w:eastAsia="宋体" w:hint="default"/>
          <w:sz w:val="20"/>
          <w:szCs w:val="20"/>
        </w:rPr>
      </w:pPr>
      <w:r>
        <w:rPr>
          <w:rFonts w:ascii="宋体" w:hAnsi="宋体" w:cs="宋体" w:eastAsia="宋体" w:hint="default"/>
          <w:w w:val="95"/>
          <w:sz w:val="20"/>
          <w:szCs w:val="20"/>
        </w:rPr>
        <w:t>开发、生产喷墨打印设备、智</w:t>
      </w:r>
      <w:r>
        <w:rPr>
          <w:rFonts w:ascii="宋体" w:hAnsi="宋体" w:cs="宋体" w:eastAsia="宋体" w:hint="default"/>
          <w:spacing w:val="-40"/>
          <w:w w:val="95"/>
          <w:sz w:val="20"/>
          <w:szCs w:val="20"/>
        </w:rPr>
        <w:t> </w:t>
      </w:r>
      <w:r>
        <w:rPr>
          <w:rFonts w:ascii="宋体" w:hAnsi="宋体" w:cs="宋体" w:eastAsia="宋体" w:hint="default"/>
          <w:spacing w:val="-40"/>
          <w:w w:val="95"/>
          <w:sz w:val="20"/>
          <w:szCs w:val="20"/>
        </w:rPr>
      </w:r>
      <w:r>
        <w:rPr>
          <w:rFonts w:ascii="宋体" w:hAnsi="宋体" w:cs="宋体" w:eastAsia="宋体" w:hint="default"/>
          <w:sz w:val="20"/>
          <w:szCs w:val="20"/>
        </w:rPr>
        <w:t>能电子标签及专用计算机软</w:t>
      </w:r>
      <w:r>
        <w:rPr>
          <w:rFonts w:ascii="宋体" w:hAnsi="宋体" w:cs="宋体" w:eastAsia="宋体" w:hint="default"/>
          <w:w w:val="96"/>
          <w:sz w:val="20"/>
          <w:szCs w:val="20"/>
        </w:rPr>
        <w:t> </w:t>
      </w:r>
      <w:r>
        <w:rPr>
          <w:rFonts w:ascii="宋体" w:hAnsi="宋体" w:cs="宋体" w:eastAsia="宋体" w:hint="default"/>
          <w:w w:val="95"/>
          <w:sz w:val="20"/>
          <w:szCs w:val="20"/>
        </w:rPr>
        <w:t>件；销售资产产品；提供数据</w:t>
      </w:r>
      <w:r>
        <w:rPr>
          <w:rFonts w:ascii="宋体" w:hAnsi="宋体" w:cs="宋体" w:eastAsia="宋体" w:hint="default"/>
          <w:spacing w:val="-40"/>
          <w:w w:val="95"/>
          <w:sz w:val="20"/>
          <w:szCs w:val="20"/>
        </w:rPr>
        <w:t> </w:t>
      </w:r>
      <w:r>
        <w:rPr>
          <w:rFonts w:ascii="宋体" w:hAnsi="宋体" w:cs="宋体" w:eastAsia="宋体" w:hint="default"/>
          <w:spacing w:val="-40"/>
          <w:w w:val="95"/>
          <w:sz w:val="20"/>
          <w:szCs w:val="20"/>
        </w:rPr>
      </w:r>
      <w:r>
        <w:rPr>
          <w:rFonts w:ascii="宋体" w:hAnsi="宋体" w:cs="宋体" w:eastAsia="宋体" w:hint="default"/>
          <w:w w:val="95"/>
          <w:sz w:val="20"/>
          <w:szCs w:val="20"/>
        </w:rPr>
        <w:t>处理服务及资产产品技术咨询</w:t>
      </w:r>
      <w:r>
        <w:rPr>
          <w:rFonts w:ascii="宋体" w:hAnsi="宋体" w:cs="宋体" w:eastAsia="宋体" w:hint="default"/>
          <w:sz w:val="20"/>
          <w:szCs w:val="20"/>
        </w:rPr>
      </w:r>
    </w:p>
    <w:p>
      <w:pPr>
        <w:spacing w:line="248" w:lineRule="exact" w:before="0"/>
        <w:ind w:left="179" w:right="0" w:firstLine="0"/>
        <w:jc w:val="left"/>
        <w:rPr>
          <w:rFonts w:ascii="宋体" w:hAnsi="宋体" w:cs="宋体" w:eastAsia="宋体" w:hint="default"/>
          <w:sz w:val="20"/>
          <w:szCs w:val="20"/>
        </w:rPr>
      </w:pPr>
      <w:r>
        <w:rPr>
          <w:rFonts w:ascii="宋体" w:hAnsi="宋体" w:cs="宋体" w:eastAsia="宋体" w:hint="default"/>
          <w:sz w:val="20"/>
          <w:szCs w:val="20"/>
        </w:rPr>
        <w:t>、技术服务。</w:t>
      </w:r>
    </w:p>
    <w:p>
      <w:pPr>
        <w:spacing w:line="248" w:lineRule="exact" w:before="139"/>
        <w:ind w:left="179" w:right="0" w:firstLine="0"/>
        <w:jc w:val="left"/>
        <w:rPr>
          <w:rFonts w:ascii="宋体" w:hAnsi="宋体" w:cs="宋体" w:eastAsia="宋体" w:hint="default"/>
          <w:sz w:val="20"/>
          <w:szCs w:val="20"/>
        </w:rPr>
      </w:pPr>
      <w:r>
        <w:rPr>
          <w:rFonts w:ascii="宋体" w:hAnsi="宋体" w:cs="宋体" w:eastAsia="宋体" w:hint="default"/>
          <w:sz w:val="20"/>
          <w:szCs w:val="20"/>
        </w:rPr>
        <w:t>包装装潢及其他类印刷品印</w:t>
      </w:r>
      <w:r>
        <w:rPr>
          <w:rFonts w:ascii="宋体" w:hAnsi="宋体" w:cs="宋体" w:eastAsia="宋体" w:hint="default"/>
          <w:w w:val="96"/>
          <w:sz w:val="20"/>
          <w:szCs w:val="20"/>
        </w:rPr>
        <w:t> </w:t>
      </w:r>
      <w:r>
        <w:rPr>
          <w:rFonts w:ascii="宋体" w:hAnsi="宋体" w:cs="宋体" w:eastAsia="宋体" w:hint="default"/>
          <w:sz w:val="20"/>
          <w:szCs w:val="20"/>
        </w:rPr>
        <w:t>刷，软件的开发及生产。</w:t>
      </w:r>
    </w:p>
    <w:p>
      <w:pPr>
        <w:spacing w:line="246" w:lineRule="exact" w:before="122"/>
        <w:ind w:left="179" w:right="0" w:firstLine="0"/>
        <w:jc w:val="left"/>
        <w:rPr>
          <w:rFonts w:ascii="宋体" w:hAnsi="宋体" w:cs="宋体" w:eastAsia="宋体" w:hint="default"/>
          <w:sz w:val="20"/>
          <w:szCs w:val="20"/>
        </w:rPr>
      </w:pPr>
      <w:r>
        <w:rPr>
          <w:rFonts w:ascii="宋体" w:hAnsi="宋体" w:cs="宋体" w:eastAsia="宋体" w:hint="default"/>
          <w:w w:val="95"/>
          <w:sz w:val="20"/>
          <w:szCs w:val="20"/>
        </w:rPr>
        <w:t>其他印刷品印刷；计算机软件</w:t>
      </w:r>
      <w:r>
        <w:rPr>
          <w:rFonts w:ascii="宋体" w:hAnsi="宋体" w:cs="宋体" w:eastAsia="宋体" w:hint="default"/>
          <w:spacing w:val="-40"/>
          <w:w w:val="95"/>
          <w:sz w:val="20"/>
          <w:szCs w:val="20"/>
        </w:rPr>
        <w:t> </w:t>
      </w:r>
      <w:r>
        <w:rPr>
          <w:rFonts w:ascii="宋体" w:hAnsi="宋体" w:cs="宋体" w:eastAsia="宋体" w:hint="default"/>
          <w:spacing w:val="-40"/>
          <w:w w:val="95"/>
          <w:sz w:val="20"/>
          <w:szCs w:val="20"/>
        </w:rPr>
      </w:r>
      <w:r>
        <w:rPr>
          <w:rFonts w:ascii="宋体" w:hAnsi="宋体" w:cs="宋体" w:eastAsia="宋体" w:hint="default"/>
          <w:w w:val="95"/>
          <w:sz w:val="20"/>
          <w:szCs w:val="20"/>
        </w:rPr>
        <w:t>的开发、生产；销售电子标签</w:t>
      </w:r>
      <w:r>
        <w:rPr>
          <w:rFonts w:ascii="宋体" w:hAnsi="宋体" w:cs="宋体" w:eastAsia="宋体" w:hint="default"/>
          <w:sz w:val="20"/>
          <w:szCs w:val="20"/>
        </w:rPr>
      </w:r>
    </w:p>
    <w:p>
      <w:pPr>
        <w:spacing w:line="226" w:lineRule="exact" w:before="0"/>
        <w:ind w:left="179" w:right="0" w:firstLine="0"/>
        <w:jc w:val="left"/>
        <w:rPr>
          <w:rFonts w:ascii="宋体" w:hAnsi="宋体" w:cs="宋体" w:eastAsia="宋体" w:hint="default"/>
          <w:sz w:val="20"/>
          <w:szCs w:val="20"/>
        </w:rPr>
      </w:pPr>
      <w:r>
        <w:rPr>
          <w:rFonts w:ascii="宋体" w:hAnsi="宋体" w:cs="宋体" w:eastAsia="宋体" w:hint="default"/>
          <w:w w:val="95"/>
          <w:sz w:val="20"/>
          <w:szCs w:val="20"/>
        </w:rPr>
        <w:t>、纸制品、纸张、印刷器材；</w:t>
      </w:r>
      <w:r>
        <w:rPr>
          <w:rFonts w:ascii="宋体" w:hAnsi="宋体" w:cs="宋体" w:eastAsia="宋体" w:hint="default"/>
          <w:sz w:val="20"/>
          <w:szCs w:val="20"/>
        </w:rPr>
      </w:r>
    </w:p>
    <w:p>
      <w:pPr>
        <w:spacing w:line="240" w:lineRule="auto" w:before="1"/>
        <w:rPr>
          <w:rFonts w:ascii="宋体" w:hAnsi="宋体" w:cs="宋体" w:eastAsia="宋体" w:hint="default"/>
          <w:sz w:val="15"/>
          <w:szCs w:val="15"/>
        </w:rPr>
      </w:pPr>
      <w:r>
        <w:rPr/>
        <w:br w:type="column"/>
      </w:r>
      <w:r>
        <w:rPr>
          <w:rFonts w:ascii="宋体"/>
          <w:sz w:val="15"/>
        </w:rPr>
      </w:r>
    </w:p>
    <w:p>
      <w:pPr>
        <w:spacing w:line="225" w:lineRule="auto" w:before="0"/>
        <w:ind w:left="179" w:right="239" w:firstLine="0"/>
        <w:jc w:val="both"/>
        <w:rPr>
          <w:rFonts w:ascii="宋体" w:hAnsi="宋体" w:cs="宋体" w:eastAsia="宋体" w:hint="default"/>
          <w:sz w:val="20"/>
          <w:szCs w:val="20"/>
        </w:rPr>
      </w:pPr>
      <w:r>
        <w:rPr>
          <w:rFonts w:ascii="宋体" w:hAnsi="宋体" w:cs="宋体" w:eastAsia="宋体" w:hint="default"/>
          <w:w w:val="95"/>
          <w:sz w:val="20"/>
          <w:szCs w:val="20"/>
        </w:rPr>
        <w:t>东港安全</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w w:val="95"/>
          <w:sz w:val="20"/>
          <w:szCs w:val="20"/>
        </w:rPr>
        <w:t>印刷股份</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w w:val="95"/>
          <w:sz w:val="20"/>
          <w:szCs w:val="20"/>
        </w:rPr>
        <w:t>有限公司</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w w:val="95"/>
          <w:sz w:val="20"/>
          <w:szCs w:val="20"/>
        </w:rPr>
        <w:t>东港安全</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w w:val="95"/>
          <w:sz w:val="20"/>
          <w:szCs w:val="20"/>
        </w:rPr>
        <w:t>印刷股份</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w w:val="95"/>
          <w:sz w:val="20"/>
          <w:szCs w:val="20"/>
        </w:rPr>
        <w:t>有限公司</w:t>
      </w:r>
      <w:r>
        <w:rPr>
          <w:rFonts w:ascii="宋体" w:hAnsi="宋体" w:cs="宋体" w:eastAsia="宋体" w:hint="default"/>
          <w:sz w:val="20"/>
          <w:szCs w:val="20"/>
        </w:rPr>
      </w:r>
    </w:p>
    <w:p>
      <w:pPr>
        <w:spacing w:line="240" w:lineRule="auto" w:before="7"/>
        <w:rPr>
          <w:rFonts w:ascii="宋体" w:hAnsi="宋体" w:cs="宋体" w:eastAsia="宋体" w:hint="default"/>
          <w:sz w:val="18"/>
          <w:szCs w:val="18"/>
        </w:rPr>
      </w:pPr>
    </w:p>
    <w:p>
      <w:pPr>
        <w:spacing w:line="225" w:lineRule="auto" w:before="0"/>
        <w:ind w:left="179" w:right="239" w:firstLine="0"/>
        <w:jc w:val="both"/>
        <w:rPr>
          <w:rFonts w:ascii="宋体" w:hAnsi="宋体" w:cs="宋体" w:eastAsia="宋体" w:hint="default"/>
          <w:sz w:val="20"/>
          <w:szCs w:val="20"/>
        </w:rPr>
      </w:pPr>
      <w:r>
        <w:rPr>
          <w:rFonts w:ascii="宋体" w:hAnsi="宋体" w:cs="宋体" w:eastAsia="宋体" w:hint="default"/>
          <w:w w:val="95"/>
          <w:sz w:val="20"/>
          <w:szCs w:val="20"/>
        </w:rPr>
        <w:t>东港安全</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w w:val="95"/>
          <w:sz w:val="20"/>
          <w:szCs w:val="20"/>
        </w:rPr>
        <w:t>印刷股份</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w w:val="95"/>
          <w:sz w:val="20"/>
          <w:szCs w:val="20"/>
        </w:rPr>
        <w:t>有限公司</w:t>
      </w:r>
      <w:r>
        <w:rPr>
          <w:rFonts w:ascii="宋体" w:hAnsi="宋体" w:cs="宋体" w:eastAsia="宋体" w:hint="default"/>
          <w:sz w:val="20"/>
          <w:szCs w:val="20"/>
        </w:rPr>
      </w:r>
    </w:p>
    <w:p>
      <w:pPr>
        <w:spacing w:line="240" w:lineRule="auto" w:before="6"/>
        <w:rPr>
          <w:rFonts w:ascii="宋体" w:hAnsi="宋体" w:cs="宋体" w:eastAsia="宋体" w:hint="default"/>
          <w:sz w:val="20"/>
          <w:szCs w:val="20"/>
        </w:rPr>
      </w:pPr>
    </w:p>
    <w:p>
      <w:pPr>
        <w:spacing w:line="246" w:lineRule="exact" w:before="0"/>
        <w:ind w:left="179" w:right="239" w:firstLine="0"/>
        <w:jc w:val="both"/>
        <w:rPr>
          <w:rFonts w:ascii="宋体" w:hAnsi="宋体" w:cs="宋体" w:eastAsia="宋体" w:hint="default"/>
          <w:sz w:val="20"/>
          <w:szCs w:val="20"/>
        </w:rPr>
      </w:pPr>
      <w:r>
        <w:rPr>
          <w:rFonts w:ascii="宋体" w:hAnsi="宋体" w:cs="宋体" w:eastAsia="宋体" w:hint="default"/>
          <w:w w:val="95"/>
          <w:sz w:val="20"/>
          <w:szCs w:val="20"/>
        </w:rPr>
        <w:t>东港安全</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w w:val="95"/>
          <w:sz w:val="20"/>
          <w:szCs w:val="20"/>
        </w:rPr>
        <w:t>印刷股份</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w w:val="95"/>
          <w:sz w:val="20"/>
          <w:szCs w:val="20"/>
        </w:rPr>
        <w:t>有限公司</w:t>
      </w:r>
      <w:r>
        <w:rPr>
          <w:rFonts w:ascii="宋体" w:hAnsi="宋体" w:cs="宋体" w:eastAsia="宋体" w:hint="default"/>
          <w:sz w:val="20"/>
          <w:szCs w:val="20"/>
        </w:rPr>
      </w:r>
    </w:p>
    <w:p>
      <w:pPr>
        <w:spacing w:line="246" w:lineRule="exact" w:before="121"/>
        <w:ind w:left="179" w:right="239" w:firstLine="0"/>
        <w:jc w:val="both"/>
        <w:rPr>
          <w:rFonts w:ascii="宋体" w:hAnsi="宋体" w:cs="宋体" w:eastAsia="宋体" w:hint="default"/>
          <w:sz w:val="20"/>
          <w:szCs w:val="20"/>
        </w:rPr>
      </w:pPr>
      <w:r>
        <w:rPr/>
        <w:pict>
          <v:shape style="position:absolute;margin-left:184.369675pt;margin-top:38.194180pt;width:339.55pt;height:76.350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1"/>
                    <w:gridCol w:w="1210"/>
                    <w:gridCol w:w="1041"/>
                    <w:gridCol w:w="2882"/>
                    <w:gridCol w:w="947"/>
                  </w:tblGrid>
                  <w:tr>
                    <w:trPr>
                      <w:trHeight w:val="465" w:hRule="exact"/>
                    </w:trPr>
                    <w:tc>
                      <w:tcPr>
                        <w:tcW w:w="2962" w:type="dxa"/>
                        <w:gridSpan w:val="3"/>
                        <w:vMerge w:val="restart"/>
                        <w:tcBorders>
                          <w:top w:val="nil" w:sz="6" w:space="0" w:color="auto"/>
                          <w:left w:val="nil" w:sz="6" w:space="0" w:color="auto"/>
                          <w:right w:val="nil" w:sz="6" w:space="0" w:color="auto"/>
                        </w:tcBorders>
                      </w:tcPr>
                      <w:p>
                        <w:pPr/>
                      </w:p>
                    </w:tc>
                    <w:tc>
                      <w:tcPr>
                        <w:tcW w:w="2882" w:type="dxa"/>
                        <w:tcBorders>
                          <w:top w:val="nil" w:sz="6" w:space="0" w:color="auto"/>
                          <w:left w:val="nil" w:sz="6" w:space="0" w:color="auto"/>
                          <w:bottom w:val="nil" w:sz="6" w:space="0" w:color="auto"/>
                          <w:right w:val="nil" w:sz="6" w:space="0" w:color="auto"/>
                        </w:tcBorders>
                      </w:tcPr>
                      <w:p>
                        <w:pPr>
                          <w:pStyle w:val="TableParagraph"/>
                          <w:spacing w:line="189" w:lineRule="exact"/>
                          <w:ind w:left="215" w:right="0"/>
                          <w:jc w:val="left"/>
                          <w:rPr>
                            <w:rFonts w:ascii="宋体" w:hAnsi="宋体" w:cs="宋体" w:eastAsia="宋体" w:hint="default"/>
                            <w:sz w:val="20"/>
                            <w:szCs w:val="20"/>
                          </w:rPr>
                        </w:pPr>
                        <w:r>
                          <w:rPr>
                            <w:rFonts w:ascii="宋体" w:hAnsi="宋体" w:cs="宋体" w:eastAsia="宋体" w:hint="default"/>
                            <w:sz w:val="20"/>
                            <w:szCs w:val="20"/>
                          </w:rPr>
                          <w:t>印刷技术咨询服务</w:t>
                        </w:r>
                      </w:p>
                      <w:p>
                        <w:pPr>
                          <w:pStyle w:val="TableParagraph"/>
                          <w:spacing w:line="252" w:lineRule="exact"/>
                          <w:ind w:left="215" w:right="0"/>
                          <w:jc w:val="left"/>
                          <w:rPr>
                            <w:rFonts w:ascii="宋体" w:hAnsi="宋体" w:cs="宋体" w:eastAsia="宋体" w:hint="default"/>
                            <w:sz w:val="20"/>
                            <w:szCs w:val="20"/>
                          </w:rPr>
                        </w:pPr>
                        <w:r>
                          <w:rPr>
                            <w:rFonts w:ascii="宋体" w:hAnsi="宋体" w:cs="宋体" w:eastAsia="宋体" w:hint="default"/>
                            <w:sz w:val="20"/>
                            <w:szCs w:val="20"/>
                          </w:rPr>
                          <w:t>包装装潢印刷品印刷，其他印</w:t>
                        </w:r>
                      </w:p>
                    </w:tc>
                    <w:tc>
                      <w:tcPr>
                        <w:tcW w:w="947" w:type="dxa"/>
                        <w:tcBorders>
                          <w:top w:val="nil" w:sz="6" w:space="0" w:color="auto"/>
                          <w:left w:val="nil" w:sz="6" w:space="0" w:color="auto"/>
                          <w:bottom w:val="nil" w:sz="6" w:space="0" w:color="auto"/>
                          <w:right w:val="nil" w:sz="6" w:space="0" w:color="auto"/>
                        </w:tcBorders>
                      </w:tcPr>
                      <w:p>
                        <w:pPr/>
                      </w:p>
                    </w:tc>
                  </w:tr>
                  <w:tr>
                    <w:trPr>
                      <w:trHeight w:val="247" w:hRule="exact"/>
                    </w:trPr>
                    <w:tc>
                      <w:tcPr>
                        <w:tcW w:w="2962" w:type="dxa"/>
                        <w:gridSpan w:val="3"/>
                        <w:vMerge/>
                        <w:tcBorders>
                          <w:left w:val="nil" w:sz="6" w:space="0" w:color="auto"/>
                          <w:bottom w:val="nil" w:sz="6" w:space="0" w:color="auto"/>
                          <w:right w:val="nil" w:sz="6" w:space="0" w:color="auto"/>
                        </w:tcBorders>
                      </w:tcPr>
                      <w:p>
                        <w:pPr/>
                      </w:p>
                    </w:tc>
                    <w:tc>
                      <w:tcPr>
                        <w:tcW w:w="2882" w:type="dxa"/>
                        <w:tcBorders>
                          <w:top w:val="nil" w:sz="6" w:space="0" w:color="auto"/>
                          <w:left w:val="nil" w:sz="6" w:space="0" w:color="auto"/>
                          <w:bottom w:val="nil" w:sz="6" w:space="0" w:color="auto"/>
                          <w:right w:val="nil" w:sz="6" w:space="0" w:color="auto"/>
                        </w:tcBorders>
                      </w:tcPr>
                      <w:p>
                        <w:pPr>
                          <w:pStyle w:val="TableParagraph"/>
                          <w:spacing w:line="223" w:lineRule="exact"/>
                          <w:ind w:left="215" w:right="0"/>
                          <w:jc w:val="left"/>
                          <w:rPr>
                            <w:rFonts w:ascii="宋体" w:hAnsi="宋体" w:cs="宋体" w:eastAsia="宋体" w:hint="default"/>
                            <w:sz w:val="20"/>
                            <w:szCs w:val="20"/>
                          </w:rPr>
                        </w:pPr>
                        <w:r>
                          <w:rPr>
                            <w:rFonts w:ascii="宋体" w:hAnsi="宋体" w:cs="宋体" w:eastAsia="宋体" w:hint="default"/>
                            <w:sz w:val="20"/>
                            <w:szCs w:val="20"/>
                          </w:rPr>
                          <w:t>刷品印刷；软件开发、生产销</w:t>
                        </w:r>
                      </w:p>
                    </w:tc>
                    <w:tc>
                      <w:tcPr>
                        <w:tcW w:w="947"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宋体" w:hAnsi="宋体" w:cs="宋体" w:eastAsia="宋体" w:hint="default"/>
                            <w:sz w:val="20"/>
                            <w:szCs w:val="20"/>
                          </w:rPr>
                        </w:pPr>
                        <w:r>
                          <w:rPr>
                            <w:rFonts w:ascii="宋体" w:hAnsi="宋体" w:cs="宋体" w:eastAsia="宋体" w:hint="default"/>
                            <w:w w:val="95"/>
                            <w:sz w:val="20"/>
                            <w:szCs w:val="20"/>
                          </w:rPr>
                          <w:t>东港安全</w:t>
                        </w:r>
                        <w:r>
                          <w:rPr>
                            <w:rFonts w:ascii="宋体" w:hAnsi="宋体" w:cs="宋体" w:eastAsia="宋体" w:hint="default"/>
                            <w:sz w:val="20"/>
                            <w:szCs w:val="20"/>
                          </w:rPr>
                        </w:r>
                      </w:p>
                    </w:tc>
                  </w:tr>
                  <w:tr>
                    <w:trPr>
                      <w:trHeight w:val="247"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20"/>
                            <w:szCs w:val="20"/>
                          </w:rPr>
                        </w:pPr>
                        <w:r>
                          <w:rPr>
                            <w:rFonts w:ascii="宋体" w:hAnsi="宋体" w:cs="宋体" w:eastAsia="宋体" w:hint="default"/>
                            <w:sz w:val="20"/>
                            <w:szCs w:val="20"/>
                          </w:rPr>
                          <w:t>济南</w:t>
                        </w:r>
                      </w:p>
                    </w:tc>
                    <w:tc>
                      <w:tcPr>
                        <w:tcW w:w="1210" w:type="dxa"/>
                        <w:tcBorders>
                          <w:top w:val="nil" w:sz="6" w:space="0" w:color="auto"/>
                          <w:left w:val="nil" w:sz="6" w:space="0" w:color="auto"/>
                          <w:bottom w:val="nil" w:sz="6" w:space="0" w:color="auto"/>
                          <w:right w:val="nil" w:sz="6" w:space="0" w:color="auto"/>
                        </w:tcBorders>
                      </w:tcPr>
                      <w:p>
                        <w:pPr>
                          <w:pStyle w:val="TableParagraph"/>
                          <w:spacing w:line="223" w:lineRule="exact"/>
                          <w:ind w:left="284" w:right="0"/>
                          <w:jc w:val="left"/>
                          <w:rPr>
                            <w:rFonts w:ascii="宋体" w:hAnsi="宋体" w:cs="宋体" w:eastAsia="宋体" w:hint="default"/>
                            <w:sz w:val="20"/>
                            <w:szCs w:val="20"/>
                          </w:rPr>
                        </w:pPr>
                        <w:r>
                          <w:rPr>
                            <w:rFonts w:ascii="宋体" w:hAnsi="宋体" w:cs="宋体" w:eastAsia="宋体" w:hint="default"/>
                            <w:spacing w:val="2"/>
                            <w:sz w:val="20"/>
                            <w:szCs w:val="20"/>
                          </w:rPr>
                          <w:t>生产型</w:t>
                        </w:r>
                        <w:r>
                          <w:rPr>
                            <w:rFonts w:ascii="宋体" w:hAnsi="宋体" w:cs="宋体" w:eastAsia="宋体" w:hint="default"/>
                            <w:sz w:val="20"/>
                            <w:szCs w:val="20"/>
                          </w:rPr>
                        </w:r>
                      </w:p>
                    </w:tc>
                    <w:tc>
                      <w:tcPr>
                        <w:tcW w:w="1041" w:type="dxa"/>
                        <w:tcBorders>
                          <w:top w:val="nil" w:sz="6" w:space="0" w:color="auto"/>
                          <w:left w:val="nil" w:sz="6" w:space="0" w:color="auto"/>
                          <w:bottom w:val="nil" w:sz="6" w:space="0" w:color="auto"/>
                          <w:right w:val="nil" w:sz="6" w:space="0" w:color="auto"/>
                        </w:tcBorders>
                      </w:tcPr>
                      <w:p>
                        <w:pPr>
                          <w:pStyle w:val="TableParagraph"/>
                          <w:spacing w:line="223" w:lineRule="exact"/>
                          <w:ind w:left="338" w:right="0"/>
                          <w:jc w:val="left"/>
                          <w:rPr>
                            <w:rFonts w:ascii="宋体" w:hAnsi="宋体" w:cs="宋体" w:eastAsia="宋体" w:hint="default"/>
                            <w:sz w:val="20"/>
                            <w:szCs w:val="20"/>
                          </w:rPr>
                        </w:pPr>
                        <w:r>
                          <w:rPr>
                            <w:rFonts w:ascii="宋体"/>
                            <w:sz w:val="20"/>
                          </w:rPr>
                          <w:t>3,000</w:t>
                        </w:r>
                      </w:p>
                    </w:tc>
                    <w:tc>
                      <w:tcPr>
                        <w:tcW w:w="2882" w:type="dxa"/>
                        <w:tcBorders>
                          <w:top w:val="nil" w:sz="6" w:space="0" w:color="auto"/>
                          <w:left w:val="nil" w:sz="6" w:space="0" w:color="auto"/>
                          <w:bottom w:val="nil" w:sz="6" w:space="0" w:color="auto"/>
                          <w:right w:val="nil" w:sz="6" w:space="0" w:color="auto"/>
                        </w:tcBorders>
                      </w:tcPr>
                      <w:p>
                        <w:pPr>
                          <w:pStyle w:val="TableParagraph"/>
                          <w:spacing w:line="223" w:lineRule="exact"/>
                          <w:ind w:left="215" w:right="0"/>
                          <w:jc w:val="left"/>
                          <w:rPr>
                            <w:rFonts w:ascii="宋体" w:hAnsi="宋体" w:cs="宋体" w:eastAsia="宋体" w:hint="default"/>
                            <w:sz w:val="20"/>
                            <w:szCs w:val="20"/>
                          </w:rPr>
                        </w:pPr>
                        <w:r>
                          <w:rPr>
                            <w:rFonts w:ascii="宋体" w:hAnsi="宋体" w:cs="宋体" w:eastAsia="宋体" w:hint="default"/>
                            <w:sz w:val="20"/>
                            <w:szCs w:val="20"/>
                          </w:rPr>
                          <w:t>售；纸制品加工、销售；纸张</w:t>
                        </w:r>
                      </w:p>
                    </w:tc>
                    <w:tc>
                      <w:tcPr>
                        <w:tcW w:w="947"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宋体" w:hAnsi="宋体" w:cs="宋体" w:eastAsia="宋体" w:hint="default"/>
                            <w:sz w:val="20"/>
                            <w:szCs w:val="20"/>
                          </w:rPr>
                        </w:pPr>
                        <w:r>
                          <w:rPr>
                            <w:rFonts w:ascii="宋体" w:hAnsi="宋体" w:cs="宋体" w:eastAsia="宋体" w:hint="default"/>
                            <w:w w:val="95"/>
                            <w:sz w:val="20"/>
                            <w:szCs w:val="20"/>
                          </w:rPr>
                          <w:t>印刷股份</w:t>
                        </w:r>
                        <w:r>
                          <w:rPr>
                            <w:rFonts w:ascii="宋体" w:hAnsi="宋体" w:cs="宋体" w:eastAsia="宋体" w:hint="default"/>
                            <w:sz w:val="20"/>
                            <w:szCs w:val="20"/>
                          </w:rPr>
                        </w:r>
                      </w:p>
                    </w:tc>
                  </w:tr>
                  <w:tr>
                    <w:trPr>
                      <w:trHeight w:val="246" w:hRule="exact"/>
                    </w:trPr>
                    <w:tc>
                      <w:tcPr>
                        <w:tcW w:w="711"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c>
                      <w:tcPr>
                        <w:tcW w:w="2882" w:type="dxa"/>
                        <w:tcBorders>
                          <w:top w:val="nil" w:sz="6" w:space="0" w:color="auto"/>
                          <w:left w:val="nil" w:sz="6" w:space="0" w:color="auto"/>
                          <w:bottom w:val="nil" w:sz="6" w:space="0" w:color="auto"/>
                          <w:right w:val="nil" w:sz="6" w:space="0" w:color="auto"/>
                        </w:tcBorders>
                      </w:tcPr>
                      <w:p>
                        <w:pPr>
                          <w:pStyle w:val="TableParagraph"/>
                          <w:spacing w:line="223" w:lineRule="exact"/>
                          <w:ind w:left="215" w:right="0"/>
                          <w:jc w:val="left"/>
                          <w:rPr>
                            <w:rFonts w:ascii="宋体" w:hAnsi="宋体" w:cs="宋体" w:eastAsia="宋体" w:hint="default"/>
                            <w:sz w:val="20"/>
                            <w:szCs w:val="20"/>
                          </w:rPr>
                        </w:pPr>
                        <w:r>
                          <w:rPr>
                            <w:rFonts w:ascii="宋体" w:hAnsi="宋体" w:cs="宋体" w:eastAsia="宋体" w:hint="default"/>
                            <w:sz w:val="20"/>
                            <w:szCs w:val="20"/>
                          </w:rPr>
                          <w:t>油墨、油墨、印刷机械的销</w:t>
                        </w:r>
                      </w:p>
                    </w:tc>
                    <w:tc>
                      <w:tcPr>
                        <w:tcW w:w="947"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宋体" w:hAnsi="宋体" w:cs="宋体" w:eastAsia="宋体" w:hint="default"/>
                            <w:sz w:val="20"/>
                            <w:szCs w:val="20"/>
                          </w:rPr>
                        </w:pPr>
                        <w:r>
                          <w:rPr>
                            <w:rFonts w:ascii="宋体" w:hAnsi="宋体" w:cs="宋体" w:eastAsia="宋体" w:hint="default"/>
                            <w:w w:val="95"/>
                            <w:sz w:val="20"/>
                            <w:szCs w:val="20"/>
                          </w:rPr>
                          <w:t>有限公司</w:t>
                        </w:r>
                        <w:r>
                          <w:rPr>
                            <w:rFonts w:ascii="宋体" w:hAnsi="宋体" w:cs="宋体" w:eastAsia="宋体" w:hint="default"/>
                            <w:sz w:val="20"/>
                            <w:szCs w:val="20"/>
                          </w:rPr>
                        </w:r>
                      </w:p>
                    </w:tc>
                  </w:tr>
                  <w:tr>
                    <w:trPr>
                      <w:trHeight w:val="322" w:hRule="exact"/>
                    </w:trPr>
                    <w:tc>
                      <w:tcPr>
                        <w:tcW w:w="711"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041" w:type="dxa"/>
                        <w:tcBorders>
                          <w:top w:val="nil" w:sz="6" w:space="0" w:color="auto"/>
                          <w:left w:val="nil" w:sz="6" w:space="0" w:color="auto"/>
                          <w:bottom w:val="nil" w:sz="6" w:space="0" w:color="auto"/>
                          <w:right w:val="nil" w:sz="6" w:space="0" w:color="auto"/>
                        </w:tcBorders>
                      </w:tcPr>
                      <w:p>
                        <w:pPr/>
                      </w:p>
                    </w:tc>
                    <w:tc>
                      <w:tcPr>
                        <w:tcW w:w="2882" w:type="dxa"/>
                        <w:tcBorders>
                          <w:top w:val="nil" w:sz="6" w:space="0" w:color="auto"/>
                          <w:left w:val="nil" w:sz="6" w:space="0" w:color="auto"/>
                          <w:bottom w:val="nil" w:sz="6" w:space="0" w:color="auto"/>
                          <w:right w:val="nil" w:sz="6" w:space="0" w:color="auto"/>
                        </w:tcBorders>
                      </w:tcPr>
                      <w:p>
                        <w:pPr>
                          <w:pStyle w:val="TableParagraph"/>
                          <w:spacing w:line="223" w:lineRule="exact"/>
                          <w:ind w:left="215" w:right="0"/>
                          <w:jc w:val="left"/>
                          <w:rPr>
                            <w:rFonts w:ascii="宋体" w:hAnsi="宋体" w:cs="宋体" w:eastAsia="宋体" w:hint="default"/>
                            <w:sz w:val="20"/>
                            <w:szCs w:val="20"/>
                          </w:rPr>
                        </w:pPr>
                        <w:r>
                          <w:rPr>
                            <w:rFonts w:ascii="宋体" w:hAnsi="宋体" w:cs="宋体" w:eastAsia="宋体" w:hint="default"/>
                            <w:sz w:val="20"/>
                            <w:szCs w:val="20"/>
                          </w:rPr>
                          <w:t>售；科技信息咨询服务</w:t>
                        </w:r>
                      </w:p>
                    </w:tc>
                    <w:tc>
                      <w:tcPr>
                        <w:tcW w:w="94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20"/>
          <w:szCs w:val="20"/>
        </w:rPr>
        <w:t>东港安全</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w w:val="95"/>
          <w:sz w:val="20"/>
          <w:szCs w:val="20"/>
        </w:rPr>
        <w:t>印刷股份</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w w:val="95"/>
          <w:sz w:val="20"/>
          <w:szCs w:val="20"/>
        </w:rPr>
        <w:t>有限公司</w:t>
      </w:r>
      <w:r>
        <w:rPr>
          <w:rFonts w:ascii="宋体" w:hAnsi="宋体" w:cs="宋体" w:eastAsia="宋体" w:hint="default"/>
          <w:sz w:val="20"/>
          <w:szCs w:val="20"/>
        </w:rPr>
      </w:r>
    </w:p>
    <w:p>
      <w:pPr>
        <w:spacing w:after="0" w:line="246" w:lineRule="exact"/>
        <w:jc w:val="both"/>
        <w:rPr>
          <w:rFonts w:ascii="宋体" w:hAnsi="宋体" w:cs="宋体" w:eastAsia="宋体" w:hint="default"/>
          <w:sz w:val="20"/>
          <w:szCs w:val="20"/>
        </w:rPr>
        <w:sectPr>
          <w:type w:val="continuous"/>
          <w:pgSz w:w="11910" w:h="16840"/>
          <w:pgMar w:top="1060" w:bottom="1460" w:left="1660" w:right="1220"/>
          <w:cols w:num="3" w:equalWidth="0">
            <w:col w:w="4972" w:space="54"/>
            <w:col w:w="2713" w:space="87"/>
            <w:col w:w="1204"/>
          </w:cols>
        </w:sectPr>
      </w:pPr>
    </w:p>
    <w:p>
      <w:pPr>
        <w:spacing w:line="240" w:lineRule="auto" w:before="0"/>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594304"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p>
    <w:p>
      <w:pPr>
        <w:spacing w:line="240" w:lineRule="auto" w:before="11"/>
        <w:rPr>
          <w:rFonts w:ascii="宋体" w:hAnsi="宋体" w:cs="宋体" w:eastAsia="宋体" w:hint="default"/>
          <w:sz w:val="26"/>
          <w:szCs w:val="26"/>
        </w:rPr>
      </w:pPr>
    </w:p>
    <w:p>
      <w:pPr>
        <w:pStyle w:val="BodyText"/>
        <w:spacing w:line="240" w:lineRule="auto" w:before="27"/>
        <w:ind w:left="199" w:right="219"/>
        <w:jc w:val="left"/>
      </w:pPr>
      <w:r>
        <w:rPr>
          <w:spacing w:val="-2"/>
        </w:rPr>
        <w:t>（续）</w:t>
      </w:r>
      <w:r>
        <w:rPr/>
      </w:r>
    </w:p>
    <w:p>
      <w:pPr>
        <w:spacing w:after="0" w:line="240" w:lineRule="auto"/>
        <w:jc w:val="left"/>
        <w:sectPr>
          <w:type w:val="continuous"/>
          <w:pgSz w:w="11910" w:h="16840"/>
          <w:pgMar w:top="1060" w:bottom="1460" w:left="1660" w:right="1220"/>
        </w:sectPr>
      </w:pP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15" w:footer="1712" w:top="1100" w:bottom="1900" w:left="1660" w:right="1200"/>
        </w:sectPr>
      </w:pPr>
    </w:p>
    <w:p>
      <w:pPr>
        <w:spacing w:line="240" w:lineRule="auto" w:before="4"/>
        <w:rPr>
          <w:rFonts w:ascii="宋体" w:hAnsi="宋体" w:cs="宋体" w:eastAsia="宋体" w:hint="default"/>
          <w:sz w:val="18"/>
          <w:szCs w:val="18"/>
        </w:rPr>
      </w:pPr>
    </w:p>
    <w:p>
      <w:pPr>
        <w:tabs>
          <w:tab w:pos="2836" w:val="left" w:leader="none"/>
        </w:tabs>
        <w:spacing w:line="156" w:lineRule="auto" w:before="0"/>
        <w:ind w:left="3226" w:right="0" w:hanging="2192"/>
        <w:jc w:val="left"/>
        <w:rPr>
          <w:rFonts w:ascii="宋体" w:hAnsi="宋体" w:cs="宋体" w:eastAsia="宋体" w:hint="default"/>
          <w:sz w:val="19"/>
          <w:szCs w:val="19"/>
        </w:rPr>
      </w:pPr>
      <w:r>
        <w:rPr>
          <w:rFonts w:ascii="宋体" w:hAnsi="宋体" w:cs="宋体" w:eastAsia="宋体" w:hint="default"/>
          <w:position w:val="-11"/>
          <w:sz w:val="19"/>
          <w:szCs w:val="19"/>
        </w:rPr>
        <w:t>公司名称</w:t>
        <w:tab/>
      </w:r>
      <w:r>
        <w:rPr>
          <w:rFonts w:ascii="宋体" w:hAnsi="宋体" w:cs="宋体" w:eastAsia="宋体" w:hint="default"/>
          <w:sz w:val="19"/>
          <w:szCs w:val="19"/>
        </w:rPr>
        <w:t>本公司实际投资金</w:t>
      </w:r>
      <w:r>
        <w:rPr>
          <w:rFonts w:ascii="宋体" w:hAnsi="宋体" w:cs="宋体" w:eastAsia="宋体" w:hint="default"/>
          <w:spacing w:val="-61"/>
          <w:sz w:val="19"/>
          <w:szCs w:val="19"/>
        </w:rPr>
        <w:t> </w:t>
      </w:r>
      <w:r>
        <w:rPr>
          <w:rFonts w:ascii="宋体" w:hAnsi="宋体" w:cs="宋体" w:eastAsia="宋体" w:hint="default"/>
          <w:spacing w:val="-61"/>
          <w:sz w:val="19"/>
          <w:szCs w:val="19"/>
        </w:rPr>
      </w:r>
      <w:r>
        <w:rPr>
          <w:rFonts w:ascii="宋体" w:hAnsi="宋体" w:cs="宋体" w:eastAsia="宋体" w:hint="default"/>
          <w:sz w:val="19"/>
          <w:szCs w:val="19"/>
        </w:rPr>
        <w:t>额（元）</w:t>
      </w:r>
    </w:p>
    <w:p>
      <w:pPr>
        <w:spacing w:line="230" w:lineRule="auto" w:before="52"/>
        <w:ind w:left="169" w:right="0" w:firstLine="0"/>
        <w:jc w:val="center"/>
        <w:rPr>
          <w:rFonts w:ascii="宋体" w:hAnsi="宋体" w:cs="宋体" w:eastAsia="宋体" w:hint="default"/>
          <w:sz w:val="19"/>
          <w:szCs w:val="19"/>
        </w:rPr>
      </w:pPr>
      <w:r>
        <w:rPr/>
        <w:br w:type="column"/>
      </w:r>
      <w:r>
        <w:rPr>
          <w:rFonts w:ascii="宋体" w:hAnsi="宋体" w:cs="宋体" w:eastAsia="宋体" w:hint="default"/>
          <w:sz w:val="19"/>
          <w:szCs w:val="19"/>
        </w:rPr>
        <w:t>实质上构成对子</w:t>
      </w:r>
      <w:r>
        <w:rPr>
          <w:rFonts w:ascii="宋体" w:hAnsi="宋体" w:cs="宋体" w:eastAsia="宋体" w:hint="default"/>
          <w:spacing w:val="-69"/>
          <w:sz w:val="19"/>
          <w:szCs w:val="19"/>
        </w:rPr>
        <w:t> </w:t>
      </w:r>
      <w:r>
        <w:rPr>
          <w:rFonts w:ascii="宋体" w:hAnsi="宋体" w:cs="宋体" w:eastAsia="宋体" w:hint="default"/>
          <w:spacing w:val="-69"/>
          <w:sz w:val="19"/>
          <w:szCs w:val="19"/>
        </w:rPr>
      </w:r>
      <w:r>
        <w:rPr>
          <w:rFonts w:ascii="宋体" w:hAnsi="宋体" w:cs="宋体" w:eastAsia="宋体" w:hint="default"/>
          <w:sz w:val="19"/>
          <w:szCs w:val="19"/>
        </w:rPr>
        <w:t>公司的净投资的</w:t>
      </w:r>
      <w:r>
        <w:rPr>
          <w:rFonts w:ascii="宋体" w:hAnsi="宋体" w:cs="宋体" w:eastAsia="宋体" w:hint="default"/>
          <w:spacing w:val="-69"/>
          <w:sz w:val="19"/>
          <w:szCs w:val="19"/>
        </w:rPr>
        <w:t> </w:t>
      </w:r>
      <w:r>
        <w:rPr>
          <w:rFonts w:ascii="宋体" w:hAnsi="宋体" w:cs="宋体" w:eastAsia="宋体" w:hint="default"/>
          <w:spacing w:val="-69"/>
          <w:sz w:val="19"/>
          <w:szCs w:val="19"/>
        </w:rPr>
      </w:r>
      <w:r>
        <w:rPr>
          <w:rFonts w:ascii="宋体" w:hAnsi="宋体" w:cs="宋体" w:eastAsia="宋体" w:hint="default"/>
          <w:sz w:val="19"/>
          <w:szCs w:val="19"/>
        </w:rPr>
        <w:t>余额(元)</w:t>
      </w:r>
    </w:p>
    <w:p>
      <w:pPr>
        <w:spacing w:line="230" w:lineRule="auto" w:before="52"/>
        <w:ind w:left="243" w:right="0" w:firstLine="0"/>
        <w:jc w:val="both"/>
        <w:rPr>
          <w:rFonts w:ascii="宋体" w:hAnsi="宋体" w:cs="宋体" w:eastAsia="宋体" w:hint="default"/>
          <w:sz w:val="19"/>
          <w:szCs w:val="19"/>
        </w:rPr>
      </w:pPr>
      <w:r>
        <w:rPr/>
        <w:br w:type="column"/>
      </w:r>
      <w:r>
        <w:rPr>
          <w:rFonts w:ascii="宋体" w:hAnsi="宋体" w:cs="宋体" w:eastAsia="宋体" w:hint="default"/>
          <w:sz w:val="19"/>
          <w:szCs w:val="19"/>
        </w:rPr>
        <w:t>本公司</w:t>
      </w:r>
      <w:r>
        <w:rPr>
          <w:rFonts w:ascii="宋体" w:hAnsi="宋体" w:cs="宋体" w:eastAsia="宋体" w:hint="default"/>
          <w:spacing w:val="-84"/>
          <w:sz w:val="19"/>
          <w:szCs w:val="19"/>
        </w:rPr>
        <w:t> </w:t>
      </w:r>
      <w:r>
        <w:rPr>
          <w:rFonts w:ascii="宋体" w:hAnsi="宋体" w:cs="宋体" w:eastAsia="宋体" w:hint="default"/>
          <w:spacing w:val="-84"/>
          <w:sz w:val="19"/>
          <w:szCs w:val="19"/>
        </w:rPr>
      </w:r>
      <w:r>
        <w:rPr>
          <w:rFonts w:ascii="宋体" w:hAnsi="宋体" w:cs="宋体" w:eastAsia="宋体" w:hint="default"/>
          <w:sz w:val="19"/>
          <w:szCs w:val="19"/>
        </w:rPr>
        <w:t>合计持</w:t>
      </w:r>
      <w:r>
        <w:rPr>
          <w:rFonts w:ascii="宋体" w:hAnsi="宋体" w:cs="宋体" w:eastAsia="宋体" w:hint="default"/>
          <w:spacing w:val="-84"/>
          <w:sz w:val="19"/>
          <w:szCs w:val="19"/>
        </w:rPr>
        <w:t> </w:t>
      </w:r>
      <w:r>
        <w:rPr>
          <w:rFonts w:ascii="宋体" w:hAnsi="宋体" w:cs="宋体" w:eastAsia="宋体" w:hint="default"/>
          <w:spacing w:val="-84"/>
          <w:sz w:val="19"/>
          <w:szCs w:val="19"/>
        </w:rPr>
      </w:r>
      <w:r>
        <w:rPr>
          <w:rFonts w:ascii="宋体" w:hAnsi="宋体" w:cs="宋体" w:eastAsia="宋体" w:hint="default"/>
          <w:sz w:val="19"/>
          <w:szCs w:val="19"/>
        </w:rPr>
        <w:t>股比例</w:t>
      </w:r>
    </w:p>
    <w:p>
      <w:pPr>
        <w:tabs>
          <w:tab w:pos="1587" w:val="left" w:leader="none"/>
        </w:tabs>
        <w:spacing w:line="156" w:lineRule="auto" w:before="121"/>
        <w:ind w:left="301" w:right="192" w:firstLine="0"/>
        <w:jc w:val="left"/>
        <w:rPr>
          <w:rFonts w:ascii="宋体" w:hAnsi="宋体" w:cs="宋体" w:eastAsia="宋体" w:hint="default"/>
          <w:sz w:val="19"/>
          <w:szCs w:val="19"/>
        </w:rPr>
      </w:pPr>
      <w:r>
        <w:rPr/>
        <w:br w:type="column"/>
      </w:r>
      <w:r>
        <w:rPr>
          <w:rFonts w:ascii="宋体" w:hAnsi="宋体" w:cs="宋体" w:eastAsia="宋体" w:hint="default"/>
          <w:sz w:val="19"/>
          <w:szCs w:val="19"/>
        </w:rPr>
        <w:t>本公司合计</w:t>
        <w:tab/>
      </w:r>
      <w:r>
        <w:rPr>
          <w:rFonts w:ascii="宋体" w:hAnsi="宋体" w:cs="宋体" w:eastAsia="宋体" w:hint="default"/>
          <w:position w:val="-11"/>
          <w:sz w:val="19"/>
          <w:szCs w:val="19"/>
        </w:rPr>
        <w:t>是否</w:t>
      </w:r>
      <w:r>
        <w:rPr>
          <w:rFonts w:ascii="宋体" w:hAnsi="宋体" w:cs="宋体" w:eastAsia="宋体" w:hint="default"/>
          <w:spacing w:val="-88"/>
          <w:position w:val="-11"/>
          <w:sz w:val="19"/>
          <w:szCs w:val="19"/>
        </w:rPr>
        <w:t> </w:t>
      </w:r>
      <w:r>
        <w:rPr>
          <w:rFonts w:ascii="宋体" w:hAnsi="宋体" w:cs="宋体" w:eastAsia="宋体" w:hint="default"/>
          <w:spacing w:val="-88"/>
          <w:position w:val="-11"/>
          <w:sz w:val="19"/>
          <w:szCs w:val="19"/>
        </w:rPr>
      </w:r>
      <w:r>
        <w:rPr>
          <w:rFonts w:ascii="宋体" w:hAnsi="宋体" w:cs="宋体" w:eastAsia="宋体" w:hint="default"/>
          <w:sz w:val="19"/>
          <w:szCs w:val="19"/>
        </w:rPr>
        <w:t>拥有的表决</w:t>
        <w:tab/>
      </w:r>
      <w:r>
        <w:rPr>
          <w:rFonts w:ascii="宋体" w:hAnsi="宋体" w:cs="宋体" w:eastAsia="宋体" w:hint="default"/>
          <w:position w:val="-11"/>
          <w:sz w:val="19"/>
          <w:szCs w:val="19"/>
        </w:rPr>
        <w:t>合并</w:t>
      </w:r>
      <w:r>
        <w:rPr>
          <w:rFonts w:ascii="宋体" w:hAnsi="宋体" w:cs="宋体" w:eastAsia="宋体" w:hint="default"/>
          <w:sz w:val="19"/>
          <w:szCs w:val="19"/>
        </w:rPr>
      </w:r>
    </w:p>
    <w:p>
      <w:pPr>
        <w:spacing w:line="171" w:lineRule="exact" w:before="0"/>
        <w:ind w:left="495" w:right="192" w:firstLine="0"/>
        <w:jc w:val="left"/>
        <w:rPr>
          <w:rFonts w:ascii="宋体" w:hAnsi="宋体" w:cs="宋体" w:eastAsia="宋体" w:hint="default"/>
          <w:sz w:val="19"/>
          <w:szCs w:val="19"/>
        </w:rPr>
      </w:pPr>
      <w:r>
        <w:rPr>
          <w:rFonts w:ascii="宋体" w:hAnsi="宋体" w:cs="宋体" w:eastAsia="宋体" w:hint="default"/>
          <w:sz w:val="19"/>
          <w:szCs w:val="19"/>
        </w:rPr>
        <w:t>权比例</w:t>
      </w:r>
    </w:p>
    <w:p>
      <w:pPr>
        <w:spacing w:after="0" w:line="171" w:lineRule="exact"/>
        <w:jc w:val="left"/>
        <w:rPr>
          <w:rFonts w:ascii="宋体" w:hAnsi="宋体" w:cs="宋体" w:eastAsia="宋体" w:hint="default"/>
          <w:sz w:val="19"/>
          <w:szCs w:val="19"/>
        </w:rPr>
        <w:sectPr>
          <w:type w:val="continuous"/>
          <w:pgSz w:w="11910" w:h="16840"/>
          <w:pgMar w:top="1060" w:bottom="1460" w:left="1660" w:right="1200"/>
          <w:cols w:num="4" w:equalWidth="0">
            <w:col w:w="4395" w:space="40"/>
            <w:col w:w="1533" w:space="40"/>
            <w:col w:w="827" w:space="40"/>
            <w:col w:w="2175"/>
          </w:cols>
        </w:sectPr>
      </w:pPr>
    </w:p>
    <w:p>
      <w:pPr>
        <w:spacing w:line="240" w:lineRule="auto" w:before="6"/>
        <w:rPr>
          <w:rFonts w:ascii="宋体" w:hAnsi="宋体" w:cs="宋体" w:eastAsia="宋体" w:hint="default"/>
          <w:sz w:val="23"/>
          <w:szCs w:val="23"/>
        </w:rPr>
      </w:pPr>
      <w:r>
        <w:rPr/>
        <w:pict>
          <v:group style="position:absolute;margin-left:88.019981pt;margin-top:41.999668pt;width:419.35pt;height:16.4pt;mso-position-horizontal-relative:page;mso-position-vertical-relative:page;z-index:253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p>
    <w:tbl>
      <w:tblPr>
        <w:tblW w:w="0" w:type="auto"/>
        <w:jc w:val="left"/>
        <w:tblInd w:w="147" w:type="dxa"/>
        <w:tblLayout w:type="fixed"/>
        <w:tblCellMar>
          <w:top w:w="0" w:type="dxa"/>
          <w:left w:w="0" w:type="dxa"/>
          <w:bottom w:w="0" w:type="dxa"/>
          <w:right w:w="0" w:type="dxa"/>
        </w:tblCellMar>
        <w:tblLook w:val="01E0"/>
      </w:tblPr>
      <w:tblGrid>
        <w:gridCol w:w="2543"/>
        <w:gridCol w:w="1742"/>
        <w:gridCol w:w="1597"/>
        <w:gridCol w:w="914"/>
        <w:gridCol w:w="1321"/>
        <w:gridCol w:w="668"/>
      </w:tblGrid>
      <w:tr>
        <w:trPr>
          <w:trHeight w:val="529" w:hRule="exact"/>
        </w:trPr>
        <w:tc>
          <w:tcPr>
            <w:tcW w:w="2543" w:type="dxa"/>
            <w:tcBorders>
              <w:top w:val="single" w:sz="8" w:space="0" w:color="000000"/>
              <w:left w:val="nil" w:sz="6" w:space="0" w:color="auto"/>
              <w:bottom w:val="nil" w:sz="6" w:space="0" w:color="auto"/>
              <w:right w:val="nil" w:sz="6" w:space="0" w:color="auto"/>
            </w:tcBorders>
          </w:tcPr>
          <w:p>
            <w:pPr>
              <w:pStyle w:val="TableParagraph"/>
              <w:spacing w:line="175" w:lineRule="auto"/>
              <w:ind w:left="35" w:right="141"/>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pacing w:val="2"/>
                <w:sz w:val="19"/>
                <w:szCs w:val="19"/>
              </w:rPr>
              <w:t>一、通过同一控制下的企业</w:t>
            </w:r>
            <w:r>
              <w:rPr>
                <w:rFonts w:ascii="Microsoft JhengHei" w:hAnsi="Microsoft JhengHei" w:cs="Microsoft JhengHei" w:eastAsia="Microsoft JhengHei" w:hint="default"/>
                <w:b/>
                <w:bCs/>
                <w:spacing w:val="6"/>
                <w:sz w:val="19"/>
                <w:szCs w:val="19"/>
              </w:rPr>
              <w:t> </w:t>
            </w:r>
            <w:r>
              <w:rPr>
                <w:rFonts w:ascii="Microsoft JhengHei" w:hAnsi="Microsoft JhengHei" w:cs="Microsoft JhengHei" w:eastAsia="Microsoft JhengHei" w:hint="default"/>
                <w:b/>
                <w:bCs/>
                <w:spacing w:val="6"/>
                <w:sz w:val="19"/>
                <w:szCs w:val="19"/>
              </w:rPr>
            </w:r>
            <w:r>
              <w:rPr>
                <w:rFonts w:ascii="Microsoft JhengHei" w:hAnsi="Microsoft JhengHei" w:cs="Microsoft JhengHei" w:eastAsia="Microsoft JhengHei" w:hint="default"/>
                <w:b/>
                <w:bCs/>
                <w:spacing w:val="2"/>
                <w:sz w:val="19"/>
                <w:szCs w:val="19"/>
              </w:rPr>
              <w:t>合并取得的子公司</w:t>
            </w:r>
            <w:r>
              <w:rPr>
                <w:rFonts w:ascii="Microsoft JhengHei" w:hAnsi="Microsoft JhengHei" w:cs="Microsoft JhengHei" w:eastAsia="Microsoft JhengHei" w:hint="default"/>
                <w:sz w:val="19"/>
                <w:szCs w:val="19"/>
              </w:rPr>
            </w:r>
          </w:p>
        </w:tc>
        <w:tc>
          <w:tcPr>
            <w:tcW w:w="6244" w:type="dxa"/>
            <w:gridSpan w:val="5"/>
            <w:tcBorders>
              <w:top w:val="nil" w:sz="6" w:space="0" w:color="auto"/>
              <w:left w:val="nil" w:sz="6" w:space="0" w:color="auto"/>
              <w:bottom w:val="nil" w:sz="6" w:space="0" w:color="auto"/>
              <w:right w:val="nil" w:sz="6" w:space="0" w:color="auto"/>
            </w:tcBorders>
          </w:tcPr>
          <w:p>
            <w:pPr/>
          </w:p>
        </w:tc>
      </w:tr>
      <w:tr>
        <w:trPr>
          <w:trHeight w:val="313"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9"/>
                <w:szCs w:val="19"/>
              </w:rPr>
            </w:pPr>
            <w:r>
              <w:rPr>
                <w:rFonts w:ascii="宋体" w:hAnsi="宋体" w:cs="宋体" w:eastAsia="宋体" w:hint="default"/>
                <w:w w:val="101"/>
                <w:sz w:val="19"/>
                <w:szCs w:val="19"/>
              </w:rPr>
              <w:t>无</w:t>
            </w:r>
            <w:r>
              <w:rPr>
                <w:rFonts w:ascii="宋体" w:hAnsi="宋体" w:cs="宋体" w:eastAsia="宋体" w:hint="default"/>
                <w:sz w:val="19"/>
                <w:szCs w:val="19"/>
              </w:rPr>
            </w:r>
          </w:p>
        </w:tc>
        <w:tc>
          <w:tcPr>
            <w:tcW w:w="174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r>
      <w:tr>
        <w:trPr>
          <w:trHeight w:val="552"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172" w:lineRule="auto" w:before="23"/>
              <w:ind w:left="35" w:right="141"/>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pacing w:val="2"/>
                <w:sz w:val="19"/>
                <w:szCs w:val="19"/>
              </w:rPr>
              <w:t>二、通过非同一控制下的企</w:t>
            </w:r>
            <w:r>
              <w:rPr>
                <w:rFonts w:ascii="Microsoft JhengHei" w:hAnsi="Microsoft JhengHei" w:cs="Microsoft JhengHei" w:eastAsia="Microsoft JhengHei" w:hint="default"/>
                <w:b/>
                <w:bCs/>
                <w:spacing w:val="6"/>
                <w:sz w:val="19"/>
                <w:szCs w:val="19"/>
              </w:rPr>
              <w:t> </w:t>
            </w:r>
            <w:r>
              <w:rPr>
                <w:rFonts w:ascii="Microsoft JhengHei" w:hAnsi="Microsoft JhengHei" w:cs="Microsoft JhengHei" w:eastAsia="Microsoft JhengHei" w:hint="default"/>
                <w:b/>
                <w:bCs/>
                <w:spacing w:val="6"/>
                <w:sz w:val="19"/>
                <w:szCs w:val="19"/>
              </w:rPr>
            </w:r>
            <w:r>
              <w:rPr>
                <w:rFonts w:ascii="Microsoft JhengHei" w:hAnsi="Microsoft JhengHei" w:cs="Microsoft JhengHei" w:eastAsia="Microsoft JhengHei" w:hint="default"/>
                <w:b/>
                <w:bCs/>
                <w:spacing w:val="2"/>
                <w:sz w:val="19"/>
                <w:szCs w:val="19"/>
              </w:rPr>
              <w:t>业合并取得的子公司</w:t>
            </w:r>
            <w:r>
              <w:rPr>
                <w:rFonts w:ascii="Microsoft JhengHei" w:hAnsi="Microsoft JhengHei" w:cs="Microsoft JhengHei" w:eastAsia="Microsoft JhengHei" w:hint="default"/>
                <w:spacing w:val="2"/>
                <w:sz w:val="19"/>
                <w:szCs w:val="19"/>
              </w:rPr>
            </w:r>
          </w:p>
        </w:tc>
        <w:tc>
          <w:tcPr>
            <w:tcW w:w="174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r>
      <w:tr>
        <w:trPr>
          <w:trHeight w:val="320"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9"/>
                <w:szCs w:val="19"/>
              </w:rPr>
            </w:pPr>
            <w:r>
              <w:rPr>
                <w:rFonts w:ascii="宋体" w:hAnsi="宋体" w:cs="宋体" w:eastAsia="宋体" w:hint="default"/>
                <w:w w:val="101"/>
                <w:sz w:val="19"/>
                <w:szCs w:val="19"/>
              </w:rPr>
              <w:t>无</w:t>
            </w:r>
            <w:r>
              <w:rPr>
                <w:rFonts w:ascii="宋体" w:hAnsi="宋体" w:cs="宋体" w:eastAsia="宋体" w:hint="default"/>
                <w:sz w:val="19"/>
                <w:szCs w:val="19"/>
              </w:rPr>
            </w:r>
          </w:p>
        </w:tc>
        <w:tc>
          <w:tcPr>
            <w:tcW w:w="174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r>
      <w:tr>
        <w:trPr>
          <w:trHeight w:val="599"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172" w:lineRule="auto" w:before="30"/>
              <w:ind w:left="35" w:right="141"/>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pacing w:val="2"/>
                <w:sz w:val="19"/>
                <w:szCs w:val="19"/>
              </w:rPr>
              <w:t>二、通过其他方式取得的子</w:t>
            </w:r>
            <w:r>
              <w:rPr>
                <w:rFonts w:ascii="Microsoft JhengHei" w:hAnsi="Microsoft JhengHei" w:cs="Microsoft JhengHei" w:eastAsia="Microsoft JhengHei" w:hint="default"/>
                <w:b/>
                <w:bCs/>
                <w:spacing w:val="6"/>
                <w:sz w:val="19"/>
                <w:szCs w:val="19"/>
              </w:rPr>
              <w:t> </w:t>
            </w:r>
            <w:r>
              <w:rPr>
                <w:rFonts w:ascii="Microsoft JhengHei" w:hAnsi="Microsoft JhengHei" w:cs="Microsoft JhengHei" w:eastAsia="Microsoft JhengHei" w:hint="default"/>
                <w:b/>
                <w:bCs/>
                <w:spacing w:val="6"/>
                <w:sz w:val="19"/>
                <w:szCs w:val="19"/>
              </w:rPr>
            </w:r>
            <w:r>
              <w:rPr>
                <w:rFonts w:ascii="Microsoft JhengHei" w:hAnsi="Microsoft JhengHei" w:cs="Microsoft JhengHei" w:eastAsia="Microsoft JhengHei" w:hint="default"/>
                <w:b/>
                <w:bCs/>
                <w:sz w:val="19"/>
                <w:szCs w:val="19"/>
              </w:rPr>
              <w:t>公司</w:t>
            </w:r>
            <w:r>
              <w:rPr>
                <w:rFonts w:ascii="Microsoft JhengHei" w:hAnsi="Microsoft JhengHei" w:cs="Microsoft JhengHei" w:eastAsia="Microsoft JhengHei" w:hint="default"/>
                <w:sz w:val="19"/>
                <w:szCs w:val="19"/>
              </w:rPr>
            </w:r>
          </w:p>
        </w:tc>
        <w:tc>
          <w:tcPr>
            <w:tcW w:w="1742"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r>
    </w:tbl>
    <w:p>
      <w:pPr>
        <w:tabs>
          <w:tab w:pos="3273" w:val="left" w:leader="none"/>
          <w:tab w:pos="4822" w:val="left" w:leader="none"/>
          <w:tab w:pos="6551" w:val="left" w:leader="none"/>
          <w:tab w:pos="7775" w:val="left" w:leader="none"/>
          <w:tab w:pos="8560" w:val="left" w:leader="none"/>
        </w:tabs>
        <w:spacing w:before="81"/>
        <w:ind w:left="183" w:right="222" w:firstLine="0"/>
        <w:jc w:val="left"/>
        <w:rPr>
          <w:rFonts w:ascii="宋体" w:hAnsi="宋体" w:cs="宋体" w:eastAsia="宋体" w:hint="default"/>
          <w:sz w:val="19"/>
          <w:szCs w:val="19"/>
        </w:rPr>
      </w:pPr>
      <w:r>
        <w:rPr>
          <w:rFonts w:ascii="宋体" w:hAnsi="宋体" w:cs="宋体" w:eastAsia="宋体" w:hint="default"/>
          <w:sz w:val="19"/>
          <w:szCs w:val="19"/>
        </w:rPr>
        <w:t>郑州东港安全印刷有限公司</w:t>
        <w:tab/>
      </w:r>
      <w:r>
        <w:rPr>
          <w:rFonts w:ascii="Times New Roman" w:hAnsi="Times New Roman" w:cs="Times New Roman" w:eastAsia="Times New Roman" w:hint="default"/>
          <w:position w:val="1"/>
          <w:sz w:val="19"/>
          <w:szCs w:val="19"/>
        </w:rPr>
        <w:t>20,803,266.00</w:t>
        <w:tab/>
        <w:t>20,803,266.00</w:t>
        <w:tab/>
        <w:t>90%</w:t>
        <w:tab/>
        <w:t>100%</w:t>
        <w:tab/>
      </w:r>
      <w:r>
        <w:rPr>
          <w:rFonts w:ascii="宋体" w:hAnsi="宋体" w:cs="宋体" w:eastAsia="宋体" w:hint="default"/>
          <w:sz w:val="19"/>
          <w:szCs w:val="19"/>
        </w:rPr>
        <w:t>是</w:t>
      </w:r>
    </w:p>
    <w:p>
      <w:pPr>
        <w:spacing w:line="240" w:lineRule="auto" w:before="2"/>
        <w:rPr>
          <w:rFonts w:ascii="宋体" w:hAnsi="宋体" w:cs="宋体" w:eastAsia="宋体" w:hint="default"/>
          <w:sz w:val="26"/>
          <w:szCs w:val="26"/>
        </w:rPr>
      </w:pPr>
    </w:p>
    <w:p>
      <w:pPr>
        <w:tabs>
          <w:tab w:pos="3273" w:val="left" w:leader="none"/>
          <w:tab w:pos="5115" w:val="left" w:leader="none"/>
          <w:tab w:pos="6551" w:val="left" w:leader="none"/>
          <w:tab w:pos="7775" w:val="left" w:leader="none"/>
          <w:tab w:pos="8560" w:val="left" w:leader="none"/>
        </w:tabs>
        <w:spacing w:before="0"/>
        <w:ind w:left="183" w:right="222" w:firstLine="0"/>
        <w:jc w:val="left"/>
        <w:rPr>
          <w:rFonts w:ascii="宋体" w:hAnsi="宋体" w:cs="宋体" w:eastAsia="宋体" w:hint="default"/>
          <w:sz w:val="19"/>
          <w:szCs w:val="19"/>
        </w:rPr>
      </w:pPr>
      <w:r>
        <w:rPr>
          <w:rFonts w:ascii="宋体" w:hAnsi="宋体" w:cs="宋体" w:eastAsia="宋体" w:hint="default"/>
          <w:sz w:val="19"/>
          <w:szCs w:val="19"/>
        </w:rPr>
        <w:t>北京东港安全印刷有限公司</w:t>
        <w:tab/>
      </w:r>
      <w:r>
        <w:rPr>
          <w:rFonts w:ascii="Times New Roman" w:hAnsi="Times New Roman" w:cs="Times New Roman" w:eastAsia="Times New Roman" w:hint="default"/>
          <w:position w:val="1"/>
          <w:sz w:val="19"/>
          <w:szCs w:val="19"/>
        </w:rPr>
        <w:t>22,500,000.00</w:t>
        <w:tab/>
        <w:t>22,500,000</w:t>
        <w:tab/>
        <w:t>75%</w:t>
        <w:tab/>
        <w:t>100%</w:t>
        <w:tab/>
      </w:r>
      <w:r>
        <w:rPr>
          <w:rFonts w:ascii="宋体" w:hAnsi="宋体" w:cs="宋体" w:eastAsia="宋体" w:hint="default"/>
          <w:sz w:val="19"/>
          <w:szCs w:val="19"/>
        </w:rPr>
        <w:t>是</w:t>
      </w:r>
    </w:p>
    <w:p>
      <w:pPr>
        <w:spacing w:line="240" w:lineRule="auto" w:before="1"/>
        <w:rPr>
          <w:rFonts w:ascii="宋体" w:hAnsi="宋体" w:cs="宋体" w:eastAsia="宋体" w:hint="default"/>
          <w:sz w:val="26"/>
          <w:szCs w:val="26"/>
        </w:rPr>
      </w:pPr>
    </w:p>
    <w:p>
      <w:pPr>
        <w:tabs>
          <w:tab w:pos="3370" w:val="left" w:leader="none"/>
          <w:tab w:pos="5212" w:val="left" w:leader="none"/>
          <w:tab w:pos="6551" w:val="left" w:leader="none"/>
          <w:tab w:pos="7775" w:val="left" w:leader="none"/>
          <w:tab w:pos="8560" w:val="left" w:leader="none"/>
        </w:tabs>
        <w:spacing w:before="0"/>
        <w:ind w:left="183" w:right="222" w:firstLine="0"/>
        <w:jc w:val="left"/>
        <w:rPr>
          <w:rFonts w:ascii="宋体" w:hAnsi="宋体" w:cs="宋体" w:eastAsia="宋体" w:hint="default"/>
          <w:sz w:val="19"/>
          <w:szCs w:val="19"/>
        </w:rPr>
      </w:pPr>
      <w:r>
        <w:rPr>
          <w:rFonts w:ascii="宋体" w:hAnsi="宋体" w:cs="宋体" w:eastAsia="宋体" w:hint="default"/>
          <w:sz w:val="19"/>
          <w:szCs w:val="19"/>
        </w:rPr>
        <w:t>新疆东港安全印刷有限公司</w:t>
        <w:tab/>
      </w:r>
      <w:r>
        <w:rPr>
          <w:rFonts w:ascii="Times New Roman" w:hAnsi="Times New Roman" w:cs="Times New Roman" w:eastAsia="Times New Roman" w:hint="default"/>
          <w:position w:val="1"/>
          <w:sz w:val="19"/>
          <w:szCs w:val="19"/>
        </w:rPr>
        <w:t>4,700,000.00</w:t>
        <w:tab/>
        <w:t>4,700,000</w:t>
        <w:tab/>
        <w:t>94%</w:t>
        <w:tab/>
        <w:t>100%</w:t>
        <w:tab/>
      </w:r>
      <w:r>
        <w:rPr>
          <w:rFonts w:ascii="宋体" w:hAnsi="宋体" w:cs="宋体" w:eastAsia="宋体" w:hint="default"/>
          <w:sz w:val="19"/>
          <w:szCs w:val="19"/>
        </w:rPr>
        <w:t>是</w:t>
      </w:r>
    </w:p>
    <w:p>
      <w:pPr>
        <w:spacing w:line="240" w:lineRule="auto" w:before="2"/>
        <w:rPr>
          <w:rFonts w:ascii="宋体" w:hAnsi="宋体" w:cs="宋体" w:eastAsia="宋体" w:hint="default"/>
          <w:sz w:val="26"/>
          <w:szCs w:val="26"/>
        </w:rPr>
      </w:pPr>
    </w:p>
    <w:p>
      <w:pPr>
        <w:tabs>
          <w:tab w:pos="3273" w:val="left" w:leader="none"/>
          <w:tab w:pos="5115" w:val="left" w:leader="none"/>
          <w:tab w:pos="6551" w:val="left" w:leader="none"/>
          <w:tab w:pos="7775" w:val="left" w:leader="none"/>
          <w:tab w:pos="8560" w:val="left" w:leader="none"/>
        </w:tabs>
        <w:spacing w:before="0"/>
        <w:ind w:left="183" w:right="222" w:firstLine="0"/>
        <w:jc w:val="left"/>
        <w:rPr>
          <w:rFonts w:ascii="宋体" w:hAnsi="宋体" w:cs="宋体" w:eastAsia="宋体" w:hint="default"/>
          <w:sz w:val="19"/>
          <w:szCs w:val="19"/>
        </w:rPr>
      </w:pPr>
      <w:r>
        <w:rPr>
          <w:rFonts w:ascii="宋体" w:hAnsi="宋体" w:cs="宋体" w:eastAsia="宋体" w:hint="default"/>
          <w:sz w:val="19"/>
          <w:szCs w:val="19"/>
        </w:rPr>
        <w:t>上海东港印刷有限公司</w:t>
        <w:tab/>
      </w:r>
      <w:r>
        <w:rPr>
          <w:rFonts w:ascii="Times New Roman" w:hAnsi="Times New Roman" w:cs="Times New Roman" w:eastAsia="Times New Roman" w:hint="default"/>
          <w:position w:val="1"/>
          <w:sz w:val="19"/>
          <w:szCs w:val="19"/>
        </w:rPr>
        <w:t>28,200,000.00</w:t>
        <w:tab/>
        <w:t>28,200,000</w:t>
        <w:tab/>
        <w:t>94%</w:t>
        <w:tab/>
        <w:t>100%</w:t>
        <w:tab/>
      </w:r>
      <w:r>
        <w:rPr>
          <w:rFonts w:ascii="宋体" w:hAnsi="宋体" w:cs="宋体" w:eastAsia="宋体" w:hint="default"/>
          <w:sz w:val="19"/>
          <w:szCs w:val="19"/>
        </w:rPr>
        <w:t>是</w:t>
      </w:r>
    </w:p>
    <w:p>
      <w:pPr>
        <w:tabs>
          <w:tab w:pos="3370" w:val="left" w:leader="none"/>
          <w:tab w:pos="5212" w:val="left" w:leader="none"/>
          <w:tab w:pos="6551" w:val="left" w:leader="none"/>
          <w:tab w:pos="7775" w:val="left" w:leader="none"/>
          <w:tab w:pos="8560" w:val="left" w:leader="none"/>
        </w:tabs>
        <w:spacing w:line="470" w:lineRule="atLeast" w:before="125"/>
        <w:ind w:left="183" w:right="289" w:firstLine="0"/>
        <w:jc w:val="left"/>
        <w:rPr>
          <w:rFonts w:ascii="宋体" w:hAnsi="宋体" w:cs="宋体" w:eastAsia="宋体" w:hint="default"/>
          <w:sz w:val="19"/>
          <w:szCs w:val="19"/>
        </w:rPr>
      </w:pPr>
      <w:r>
        <w:rPr>
          <w:rFonts w:ascii="宋体" w:hAnsi="宋体" w:cs="宋体" w:eastAsia="宋体" w:hint="default"/>
          <w:sz w:val="19"/>
          <w:szCs w:val="19"/>
        </w:rPr>
        <w:t>青海东港安全印刷有限公司</w:t>
        <w:tab/>
      </w:r>
      <w:r>
        <w:rPr>
          <w:rFonts w:ascii="Times New Roman" w:hAnsi="Times New Roman" w:cs="Times New Roman" w:eastAsia="Times New Roman" w:hint="default"/>
          <w:position w:val="1"/>
          <w:sz w:val="19"/>
          <w:szCs w:val="19"/>
        </w:rPr>
        <w:t>4,700,000.00</w:t>
        <w:tab/>
        <w:t>4,700,000</w:t>
        <w:tab/>
        <w:t>94%</w:t>
        <w:tab/>
        <w:t>100%</w:t>
        <w:tab/>
      </w:r>
      <w:r>
        <w:rPr>
          <w:rFonts w:ascii="宋体" w:hAnsi="宋体" w:cs="宋体" w:eastAsia="宋体" w:hint="default"/>
          <w:sz w:val="19"/>
          <w:szCs w:val="19"/>
        </w:rPr>
        <w:t>是</w:t>
      </w:r>
      <w:r>
        <w:rPr>
          <w:rFonts w:ascii="宋体" w:hAnsi="宋体" w:cs="宋体" w:eastAsia="宋体" w:hint="default"/>
          <w:spacing w:val="-93"/>
          <w:sz w:val="19"/>
          <w:szCs w:val="19"/>
        </w:rPr>
        <w:t> </w:t>
      </w:r>
      <w:r>
        <w:rPr>
          <w:rFonts w:ascii="宋体" w:hAnsi="宋体" w:cs="宋体" w:eastAsia="宋体" w:hint="default"/>
          <w:sz w:val="19"/>
          <w:szCs w:val="19"/>
        </w:rPr>
        <w:t>北京东港嘉华安全信息技术</w:t>
      </w:r>
    </w:p>
    <w:p>
      <w:pPr>
        <w:tabs>
          <w:tab w:pos="3370" w:val="left" w:leader="none"/>
          <w:tab w:pos="5212" w:val="left" w:leader="none"/>
          <w:tab w:pos="6551" w:val="left" w:leader="none"/>
          <w:tab w:pos="7775" w:val="left" w:leader="none"/>
          <w:tab w:pos="8560" w:val="left" w:leader="none"/>
        </w:tabs>
        <w:spacing w:line="239" w:lineRule="exact" w:before="0"/>
        <w:ind w:left="183" w:right="222" w:firstLine="0"/>
        <w:jc w:val="left"/>
        <w:rPr>
          <w:rFonts w:ascii="宋体" w:hAnsi="宋体" w:cs="宋体" w:eastAsia="宋体" w:hint="default"/>
          <w:sz w:val="19"/>
          <w:szCs w:val="19"/>
        </w:rPr>
      </w:pPr>
      <w:r>
        <w:rPr>
          <w:rFonts w:ascii="宋体" w:hAnsi="宋体" w:cs="宋体" w:eastAsia="宋体" w:hint="default"/>
          <w:position w:val="-11"/>
          <w:sz w:val="19"/>
          <w:szCs w:val="19"/>
        </w:rPr>
        <w:t>有限公司</w:t>
        <w:tab/>
      </w:r>
      <w:r>
        <w:rPr>
          <w:rFonts w:ascii="Times New Roman" w:hAnsi="Times New Roman" w:cs="Times New Roman" w:eastAsia="Times New Roman" w:hint="default"/>
          <w:position w:val="1"/>
          <w:sz w:val="19"/>
          <w:szCs w:val="19"/>
        </w:rPr>
        <w:t>6,079,500.00</w:t>
        <w:tab/>
        <w:t>6,079,500</w:t>
        <w:tab/>
        <w:t>75%</w:t>
        <w:tab/>
        <w:t>100%</w:t>
        <w:tab/>
      </w:r>
      <w:r>
        <w:rPr>
          <w:rFonts w:ascii="宋体" w:hAnsi="宋体" w:cs="宋体" w:eastAsia="宋体" w:hint="default"/>
          <w:sz w:val="19"/>
          <w:szCs w:val="19"/>
        </w:rPr>
        <w:t>是</w:t>
      </w:r>
    </w:p>
    <w:p>
      <w:pPr>
        <w:tabs>
          <w:tab w:pos="3370" w:val="left" w:leader="none"/>
          <w:tab w:pos="5212" w:val="left" w:leader="none"/>
          <w:tab w:pos="6551" w:val="left" w:leader="none"/>
          <w:tab w:pos="7775" w:val="left" w:leader="none"/>
          <w:tab w:pos="8560" w:val="left" w:leader="none"/>
        </w:tabs>
        <w:spacing w:before="226"/>
        <w:ind w:left="183" w:right="222" w:firstLine="0"/>
        <w:jc w:val="left"/>
        <w:rPr>
          <w:rFonts w:ascii="宋体" w:hAnsi="宋体" w:cs="宋体" w:eastAsia="宋体" w:hint="default"/>
          <w:sz w:val="19"/>
          <w:szCs w:val="19"/>
        </w:rPr>
      </w:pPr>
      <w:r>
        <w:rPr>
          <w:rFonts w:ascii="宋体" w:hAnsi="宋体" w:cs="宋体" w:eastAsia="宋体" w:hint="default"/>
          <w:sz w:val="19"/>
          <w:szCs w:val="19"/>
        </w:rPr>
        <w:t>广州东港安全印刷有限公司</w:t>
        <w:tab/>
      </w:r>
      <w:r>
        <w:rPr>
          <w:rFonts w:ascii="Times New Roman" w:hAnsi="Times New Roman" w:cs="Times New Roman" w:eastAsia="Times New Roman" w:hint="default"/>
          <w:position w:val="1"/>
          <w:sz w:val="19"/>
          <w:szCs w:val="19"/>
        </w:rPr>
        <w:t>7,500,000.00</w:t>
        <w:tab/>
        <w:t>7,500,000</w:t>
        <w:tab/>
        <w:t>75%</w:t>
        <w:tab/>
        <w:t>100%</w:t>
        <w:tab/>
      </w:r>
      <w:r>
        <w:rPr>
          <w:rFonts w:ascii="宋体" w:hAnsi="宋体" w:cs="宋体" w:eastAsia="宋体" w:hint="default"/>
          <w:sz w:val="19"/>
          <w:szCs w:val="19"/>
        </w:rPr>
        <w:t>是</w:t>
      </w:r>
    </w:p>
    <w:p>
      <w:pPr>
        <w:spacing w:line="240" w:lineRule="auto" w:before="2"/>
        <w:rPr>
          <w:rFonts w:ascii="宋体" w:hAnsi="宋体" w:cs="宋体" w:eastAsia="宋体" w:hint="default"/>
          <w:sz w:val="26"/>
          <w:szCs w:val="26"/>
        </w:rPr>
      </w:pPr>
    </w:p>
    <w:p>
      <w:pPr>
        <w:tabs>
          <w:tab w:pos="3370" w:val="left" w:leader="none"/>
          <w:tab w:pos="4919" w:val="left" w:leader="none"/>
          <w:tab w:pos="6454" w:val="left" w:leader="none"/>
          <w:tab w:pos="7775" w:val="left" w:leader="none"/>
          <w:tab w:pos="8560" w:val="left" w:leader="none"/>
        </w:tabs>
        <w:spacing w:before="0"/>
        <w:ind w:left="183" w:right="222" w:firstLine="0"/>
        <w:jc w:val="left"/>
        <w:rPr>
          <w:rFonts w:ascii="宋体" w:hAnsi="宋体" w:cs="宋体" w:eastAsia="宋体" w:hint="default"/>
          <w:sz w:val="19"/>
          <w:szCs w:val="19"/>
        </w:rPr>
      </w:pPr>
      <w:r>
        <w:rPr>
          <w:rFonts w:ascii="宋体" w:hAnsi="宋体" w:cs="宋体" w:eastAsia="宋体" w:hint="default"/>
          <w:sz w:val="19"/>
          <w:szCs w:val="19"/>
        </w:rPr>
        <w:t>成都东港安全印刷有限公司</w:t>
        <w:tab/>
      </w:r>
      <w:r>
        <w:rPr>
          <w:rFonts w:ascii="Times New Roman" w:hAnsi="Times New Roman" w:cs="Times New Roman" w:eastAsia="Times New Roman" w:hint="default"/>
          <w:position w:val="1"/>
          <w:sz w:val="19"/>
          <w:szCs w:val="19"/>
        </w:rPr>
        <w:t>5,000,000.00</w:t>
        <w:tab/>
        <w:t>5,000,000.00</w:t>
        <w:tab/>
        <w:t>100%</w:t>
        <w:tab/>
        <w:t>100%</w:t>
        <w:tab/>
      </w:r>
      <w:r>
        <w:rPr>
          <w:rFonts w:ascii="宋体" w:hAnsi="宋体" w:cs="宋体" w:eastAsia="宋体" w:hint="default"/>
          <w:sz w:val="19"/>
          <w:szCs w:val="19"/>
        </w:rPr>
        <w:t>是</w:t>
      </w:r>
    </w:p>
    <w:p>
      <w:pPr>
        <w:spacing w:line="240" w:lineRule="auto" w:before="2"/>
        <w:rPr>
          <w:rFonts w:ascii="宋体" w:hAnsi="宋体" w:cs="宋体" w:eastAsia="宋体" w:hint="default"/>
          <w:sz w:val="26"/>
          <w:szCs w:val="26"/>
        </w:rPr>
      </w:pPr>
    </w:p>
    <w:p>
      <w:pPr>
        <w:tabs>
          <w:tab w:pos="3273" w:val="left" w:leader="none"/>
          <w:tab w:pos="4822" w:val="left" w:leader="none"/>
          <w:tab w:pos="6454" w:val="left" w:leader="none"/>
          <w:tab w:pos="7775" w:val="left" w:leader="none"/>
          <w:tab w:pos="8560" w:val="left" w:leader="none"/>
        </w:tabs>
        <w:spacing w:before="0"/>
        <w:ind w:left="183" w:right="222" w:firstLine="0"/>
        <w:jc w:val="left"/>
        <w:rPr>
          <w:rFonts w:ascii="宋体" w:hAnsi="宋体" w:cs="宋体" w:eastAsia="宋体" w:hint="default"/>
          <w:sz w:val="19"/>
          <w:szCs w:val="19"/>
        </w:rPr>
      </w:pPr>
      <w:r>
        <w:rPr>
          <w:rFonts w:ascii="宋体" w:hAnsi="宋体" w:cs="宋体" w:eastAsia="宋体" w:hint="default"/>
          <w:sz w:val="19"/>
          <w:szCs w:val="19"/>
        </w:rPr>
        <w:t>山东东港安全印刷有限公司</w:t>
        <w:tab/>
      </w:r>
      <w:r>
        <w:rPr>
          <w:rFonts w:ascii="Times New Roman" w:hAnsi="Times New Roman" w:cs="Times New Roman" w:eastAsia="Times New Roman" w:hint="default"/>
          <w:position w:val="1"/>
          <w:sz w:val="19"/>
          <w:szCs w:val="19"/>
        </w:rPr>
        <w:t>30,000,000.00</w:t>
        <w:tab/>
        <w:t>30,000,000.00</w:t>
        <w:tab/>
        <w:t>100%</w:t>
        <w:tab/>
        <w:t>100%</w:t>
        <w:tab/>
      </w:r>
      <w:r>
        <w:rPr>
          <w:rFonts w:ascii="宋体" w:hAnsi="宋体" w:cs="宋体" w:eastAsia="宋体" w:hint="default"/>
          <w:sz w:val="19"/>
          <w:szCs w:val="19"/>
        </w:rPr>
        <w:t>是</w:t>
      </w:r>
    </w:p>
    <w:p>
      <w:pPr>
        <w:spacing w:line="240" w:lineRule="auto" w:before="0"/>
        <w:rPr>
          <w:rFonts w:ascii="宋体" w:hAnsi="宋体" w:cs="宋体" w:eastAsia="宋体" w:hint="default"/>
          <w:sz w:val="20"/>
          <w:szCs w:val="20"/>
        </w:rPr>
      </w:pPr>
    </w:p>
    <w:p>
      <w:pPr>
        <w:pStyle w:val="BodyText"/>
        <w:spacing w:line="237" w:lineRule="auto" w:before="207"/>
        <w:ind w:right="222" w:firstLine="480"/>
        <w:jc w:val="left"/>
      </w:pPr>
      <w:r>
        <w:rPr/>
        <w:t>注：1、济南东港安全印刷股份有限公司持有北京东港安全印刷有限公司、</w:t>
      </w:r>
      <w:r>
        <w:rPr>
          <w:spacing w:val="-1"/>
          <w:w w:val="100"/>
        </w:rPr>
        <w:t> </w:t>
      </w:r>
      <w:r>
        <w:rPr>
          <w:spacing w:val="-2"/>
        </w:rPr>
        <w:t>郑州东港安全印刷有限公司、新疆东港安全印刷有限公司、上海东港印刷公司、</w:t>
      </w:r>
      <w:r>
        <w:rPr>
          <w:spacing w:val="-81"/>
        </w:rPr>
        <w:t> </w:t>
      </w:r>
      <w:r>
        <w:rPr>
          <w:spacing w:val="-81"/>
        </w:rPr>
      </w:r>
      <w:r>
        <w:rPr>
          <w:spacing w:val="-5"/>
        </w:rPr>
        <w:t>青海东港安全印刷有限公司、北京东港嘉华安全信息技术有限公司、广州东港安</w:t>
      </w:r>
      <w:r>
        <w:rPr>
          <w:spacing w:val="-64"/>
        </w:rPr>
        <w:t> </w:t>
      </w:r>
      <w:r>
        <w:rPr>
          <w:spacing w:val="-64"/>
        </w:rPr>
      </w:r>
      <w:r>
        <w:rPr/>
        <w:t>全印刷有限公司各</w:t>
      </w:r>
      <w:r>
        <w:rPr>
          <w:spacing w:val="-75"/>
        </w:rPr>
        <w:t> </w:t>
      </w:r>
      <w:r>
        <w:rPr/>
        <w:t>75%的股权。</w:t>
      </w:r>
    </w:p>
    <w:p>
      <w:pPr>
        <w:pStyle w:val="BodyText"/>
        <w:spacing w:line="312" w:lineRule="exact" w:before="27"/>
        <w:ind w:right="222" w:firstLine="540"/>
        <w:jc w:val="left"/>
      </w:pPr>
      <w:r>
        <w:rPr>
          <w:spacing w:val="-3"/>
        </w:rPr>
        <w:t>2、济南东港安全印刷股份有限公司持有成都东港安全印刷有限公司、山东</w:t>
      </w:r>
      <w:r>
        <w:rPr>
          <w:spacing w:val="-2"/>
          <w:w w:val="100"/>
        </w:rPr>
        <w:t> </w:t>
      </w:r>
      <w:r>
        <w:rPr/>
        <w:t>东港安全印刷有限公司各</w:t>
      </w:r>
      <w:r>
        <w:rPr>
          <w:spacing w:val="-61"/>
        </w:rPr>
        <w:t> </w:t>
      </w:r>
      <w:r>
        <w:rPr/>
        <w:t>100%的股权。</w:t>
      </w:r>
    </w:p>
    <w:p>
      <w:pPr>
        <w:pStyle w:val="BodyText"/>
        <w:spacing w:line="281" w:lineRule="exact" w:before="0"/>
        <w:ind w:left="677" w:right="222"/>
        <w:jc w:val="left"/>
      </w:pPr>
      <w:r>
        <w:rPr>
          <w:spacing w:val="-5"/>
        </w:rPr>
        <w:t>3、北京东港安全印刷有限公司持有郑州东港安全印刷有限公司</w:t>
      </w:r>
      <w:r>
        <w:rPr>
          <w:spacing w:val="-39"/>
        </w:rPr>
        <w:t> </w:t>
      </w:r>
      <w:r>
        <w:rPr/>
        <w:t>20%的股权，</w:t>
      </w:r>
    </w:p>
    <w:p>
      <w:pPr>
        <w:pStyle w:val="BodyText"/>
        <w:spacing w:line="310" w:lineRule="exact" w:before="31"/>
        <w:ind w:right="222"/>
        <w:jc w:val="left"/>
      </w:pPr>
      <w:r>
        <w:rPr>
          <w:spacing w:val="-5"/>
        </w:rPr>
        <w:t>持有新疆东港安全印刷有限公司、上海东港印刷公司、青海东港安全印刷有限公</w:t>
      </w:r>
      <w:r>
        <w:rPr>
          <w:spacing w:val="-64"/>
        </w:rPr>
        <w:t> </w:t>
      </w:r>
      <w:r>
        <w:rPr>
          <w:spacing w:val="-64"/>
        </w:rPr>
      </w:r>
      <w:r>
        <w:rPr/>
        <w:t>司各</w:t>
      </w:r>
      <w:r>
        <w:rPr>
          <w:spacing w:val="-62"/>
        </w:rPr>
        <w:t> </w:t>
      </w:r>
      <w:r>
        <w:rPr/>
        <w:t>25%的股权。</w:t>
      </w:r>
    </w:p>
    <w:p>
      <w:pPr>
        <w:pStyle w:val="BodyText"/>
        <w:spacing w:line="283" w:lineRule="exact" w:before="0"/>
        <w:ind w:left="617" w:right="222"/>
        <w:jc w:val="left"/>
      </w:pPr>
      <w:r>
        <w:rPr/>
        <w:t>③合并范围的变更情况</w:t>
      </w:r>
    </w:p>
    <w:p>
      <w:pPr>
        <w:pStyle w:val="BodyText"/>
        <w:spacing w:line="240" w:lineRule="auto" w:before="108"/>
        <w:ind w:left="617" w:right="222"/>
        <w:jc w:val="left"/>
      </w:pPr>
      <w:r>
        <w:rPr/>
        <w:t>A.合并范围的变更原因</w:t>
      </w:r>
    </w:p>
    <w:p>
      <w:pPr>
        <w:pStyle w:val="BodyText"/>
        <w:spacing w:line="240" w:lineRule="auto" w:before="125"/>
        <w:ind w:left="617" w:right="222"/>
        <w:jc w:val="left"/>
      </w:pPr>
      <w:r>
        <w:rPr/>
        <w:t>2007 年合并范围增加北京东港嘉华安全信息技术有限公司，该公司于</w:t>
      </w:r>
      <w:r>
        <w:rPr>
          <w:spacing w:val="-90"/>
        </w:rPr>
        <w:t> </w:t>
      </w:r>
      <w:r>
        <w:rPr/>
        <w:t>2007</w:t>
      </w:r>
    </w:p>
    <w:p>
      <w:pPr>
        <w:pStyle w:val="BodyText"/>
        <w:spacing w:line="240" w:lineRule="auto" w:before="126"/>
        <w:ind w:right="222"/>
        <w:jc w:val="left"/>
      </w:pPr>
      <w:r>
        <w:rPr/>
        <w:t>年 2</w:t>
      </w:r>
      <w:r>
        <w:rPr>
          <w:spacing w:val="-62"/>
        </w:rPr>
        <w:t> </w:t>
      </w:r>
      <w:r>
        <w:rPr/>
        <w:t>月成立。</w:t>
      </w:r>
    </w:p>
    <w:p>
      <w:pPr>
        <w:spacing w:after="0" w:line="240" w:lineRule="auto"/>
        <w:jc w:val="left"/>
        <w:sectPr>
          <w:type w:val="continuous"/>
          <w:pgSz w:w="11910" w:h="16840"/>
          <w:pgMar w:top="1060" w:bottom="1460" w:left="1660" w:right="1200"/>
        </w:sectPr>
      </w:pPr>
    </w:p>
    <w:p>
      <w:pPr>
        <w:pStyle w:val="BodyText"/>
        <w:spacing w:line="336" w:lineRule="auto" w:before="71"/>
        <w:ind w:right="152" w:firstLine="480"/>
        <w:jc w:val="both"/>
      </w:pPr>
      <w:r>
        <w:rPr/>
        <w:t>2007</w:t>
      </w:r>
      <w:r>
        <w:rPr>
          <w:spacing w:val="-7"/>
        </w:rPr>
        <w:t> </w:t>
      </w:r>
      <w:r>
        <w:rPr/>
        <w:t>年合并范围增加广州东港安全印刷有限公司，该公司于</w:t>
      </w:r>
      <w:r>
        <w:rPr>
          <w:spacing w:val="-49"/>
        </w:rPr>
        <w:t> </w:t>
      </w:r>
      <w:r>
        <w:rPr/>
        <w:t>2007</w:t>
      </w:r>
      <w:r>
        <w:rPr>
          <w:spacing w:val="-6"/>
        </w:rPr>
        <w:t> </w:t>
      </w:r>
      <w:r>
        <w:rPr/>
        <w:t>年</w:t>
      </w:r>
      <w:r>
        <w:rPr>
          <w:spacing w:val="-49"/>
        </w:rPr>
        <w:t> </w:t>
      </w:r>
      <w:r>
        <w:rPr/>
        <w:t>3</w:t>
      </w:r>
      <w:r>
        <w:rPr>
          <w:spacing w:val="-6"/>
        </w:rPr>
        <w:t> </w:t>
      </w:r>
      <w:r>
        <w:rPr/>
        <w:t>月</w:t>
      </w:r>
      <w:r>
        <w:rPr>
          <w:w w:val="100"/>
        </w:rPr>
        <w:t> </w:t>
      </w:r>
      <w:r>
        <w:rPr>
          <w:spacing w:val="-2"/>
        </w:rPr>
        <w:t>成立。</w:t>
      </w:r>
      <w:r>
        <w:rPr/>
      </w:r>
    </w:p>
    <w:p>
      <w:pPr>
        <w:pStyle w:val="BodyText"/>
        <w:spacing w:line="336" w:lineRule="auto" w:before="29"/>
        <w:ind w:right="151" w:firstLine="480"/>
        <w:jc w:val="both"/>
      </w:pPr>
      <w:r>
        <w:rPr/>
        <w:t>2007</w:t>
      </w:r>
      <w:r>
        <w:rPr>
          <w:spacing w:val="7"/>
        </w:rPr>
        <w:t> </w:t>
      </w:r>
      <w:r>
        <w:rPr>
          <w:spacing w:val="-5"/>
        </w:rPr>
        <w:t>年合并范围增加成都东港安全印刷有限公司，该公司于</w:t>
      </w:r>
      <w:r>
        <w:rPr>
          <w:spacing w:val="-58"/>
        </w:rPr>
        <w:t> </w:t>
      </w:r>
      <w:r>
        <w:rPr/>
        <w:t>2007</w:t>
      </w:r>
      <w:r>
        <w:rPr>
          <w:spacing w:val="8"/>
        </w:rPr>
        <w:t> </w:t>
      </w:r>
      <w:r>
        <w:rPr/>
        <w:t>年</w:t>
      </w:r>
      <w:r>
        <w:rPr>
          <w:spacing w:val="-58"/>
        </w:rPr>
        <w:t> </w:t>
      </w:r>
      <w:r>
        <w:rPr/>
        <w:t>12</w:t>
      </w:r>
      <w:r>
        <w:rPr>
          <w:spacing w:val="8"/>
        </w:rPr>
        <w:t> </w:t>
      </w:r>
      <w:r>
        <w:rPr/>
        <w:t>月</w:t>
      </w:r>
      <w:r>
        <w:rPr>
          <w:w w:val="100"/>
        </w:rPr>
        <w:t> </w:t>
      </w:r>
      <w:r>
        <w:rPr>
          <w:spacing w:val="-2"/>
        </w:rPr>
        <w:t>成立。</w:t>
      </w:r>
      <w:r>
        <w:rPr/>
      </w:r>
    </w:p>
    <w:p>
      <w:pPr>
        <w:pStyle w:val="BodyText"/>
        <w:spacing w:line="336" w:lineRule="auto"/>
        <w:ind w:right="151" w:firstLine="480"/>
        <w:jc w:val="both"/>
      </w:pPr>
      <w:r>
        <w:rPr/>
        <w:t>2007</w:t>
      </w:r>
      <w:r>
        <w:rPr>
          <w:spacing w:val="7"/>
        </w:rPr>
        <w:t> </w:t>
      </w:r>
      <w:r>
        <w:rPr>
          <w:spacing w:val="-5"/>
        </w:rPr>
        <w:t>年合并范围增加山东东港安全印刷有限公司，该公司于</w:t>
      </w:r>
      <w:r>
        <w:rPr>
          <w:spacing w:val="-58"/>
        </w:rPr>
        <w:t> </w:t>
      </w:r>
      <w:r>
        <w:rPr/>
        <w:t>2007</w:t>
      </w:r>
      <w:r>
        <w:rPr>
          <w:spacing w:val="8"/>
        </w:rPr>
        <w:t> </w:t>
      </w:r>
      <w:r>
        <w:rPr/>
        <w:t>年</w:t>
      </w:r>
      <w:r>
        <w:rPr>
          <w:spacing w:val="-58"/>
        </w:rPr>
        <w:t> </w:t>
      </w:r>
      <w:r>
        <w:rPr/>
        <w:t>12</w:t>
      </w:r>
      <w:r>
        <w:rPr>
          <w:spacing w:val="8"/>
        </w:rPr>
        <w:t> </w:t>
      </w:r>
      <w:r>
        <w:rPr/>
        <w:t>月</w:t>
      </w:r>
      <w:r>
        <w:rPr>
          <w:w w:val="100"/>
        </w:rPr>
        <w:t> </w:t>
      </w:r>
      <w:r>
        <w:rPr>
          <w:spacing w:val="-2"/>
        </w:rPr>
        <w:t>成立。</w:t>
      </w:r>
      <w:r>
        <w:rPr/>
      </w:r>
    </w:p>
    <w:p>
      <w:pPr>
        <w:pStyle w:val="BodyText"/>
        <w:spacing w:line="240" w:lineRule="auto"/>
        <w:ind w:left="617" w:right="0"/>
        <w:jc w:val="left"/>
      </w:pPr>
      <w:r>
        <w:rPr>
          <w:spacing w:val="-2"/>
          <w:w w:val="100"/>
        </w:rPr>
        <w:t>B.报告期内纳入合并范围的子公司的情况分别见六、2</w:t>
      </w:r>
      <w:r>
        <w:rPr>
          <w:spacing w:val="-122"/>
          <w:w w:val="100"/>
        </w:rPr>
        <w:t>、</w:t>
      </w:r>
      <w:r>
        <w:rPr>
          <w:spacing w:val="-2"/>
          <w:w w:val="100"/>
        </w:rPr>
        <w:t>（1）之②。</w:t>
      </w:r>
      <w:r>
        <w:rPr>
          <w:w w:val="100"/>
        </w:rPr>
      </w:r>
    </w:p>
    <w:p>
      <w:pPr>
        <w:pStyle w:val="BodyText"/>
        <w:spacing w:line="240" w:lineRule="auto" w:before="126"/>
        <w:ind w:left="617" w:right="0"/>
        <w:jc w:val="left"/>
      </w:pPr>
      <w:r>
        <w:rPr/>
        <w:t>（2）合并财务报表编制方法</w:t>
      </w:r>
    </w:p>
    <w:p>
      <w:pPr>
        <w:pStyle w:val="BodyText"/>
        <w:spacing w:line="336" w:lineRule="auto" w:before="125"/>
        <w:ind w:left="617" w:right="0"/>
        <w:jc w:val="left"/>
      </w:pPr>
      <w:r>
        <w:rPr/>
        <w:t>①合并财务报表基本编制方法</w:t>
      </w:r>
      <w:r>
        <w:rPr>
          <w:spacing w:val="-2"/>
          <w:w w:val="100"/>
        </w:rPr>
        <w:t> </w:t>
      </w:r>
      <w:r>
        <w:rPr>
          <w:spacing w:val="-2"/>
        </w:rPr>
        <w:t>合并财务报表以母公司和纳入合并范围的子公司的财务报表为基础,根据其</w:t>
      </w:r>
      <w:r>
        <w:rPr/>
      </w:r>
    </w:p>
    <w:p>
      <w:pPr>
        <w:pStyle w:val="BodyText"/>
        <w:spacing w:line="336" w:lineRule="auto"/>
        <w:ind w:right="145"/>
        <w:jc w:val="both"/>
      </w:pPr>
      <w:r>
        <w:rPr/>
        <w:t>它有关资料,按照权益法调整对子公司的长期股权投资,在抵销母公司权益性资</w:t>
      </w:r>
      <w:r>
        <w:rPr>
          <w:spacing w:val="22"/>
        </w:rPr>
        <w:t> </w:t>
      </w:r>
      <w:r>
        <w:rPr>
          <w:spacing w:val="22"/>
        </w:rPr>
      </w:r>
      <w:r>
        <w:rPr/>
        <w:t>本投资与子公司所有者权益中母公司所持有的份额和公司内部之间重大交易及</w:t>
      </w:r>
      <w:r>
        <w:rPr>
          <w:spacing w:val="19"/>
        </w:rPr>
        <w:t> </w:t>
      </w:r>
      <w:r>
        <w:rPr>
          <w:spacing w:val="19"/>
        </w:rPr>
      </w:r>
      <w:r>
        <w:rPr>
          <w:spacing w:val="-1"/>
        </w:rPr>
        <w:t>内部往来后编制而成。少数股东权益,在合并资产负债表中所有者权益项目下以</w:t>
      </w:r>
      <w:r>
        <w:rPr>
          <w:spacing w:val="-80"/>
        </w:rPr>
        <w:t> </w:t>
      </w:r>
      <w:r>
        <w:rPr>
          <w:spacing w:val="-80"/>
        </w:rPr>
      </w:r>
      <w:r>
        <w:rPr>
          <w:spacing w:val="-8"/>
        </w:rPr>
        <w:t>“少数股东权益”项目列示。少数股东损益,在合并利润表中净利润项目下以“少</w:t>
      </w:r>
      <w:r>
        <w:rPr>
          <w:spacing w:val="-71"/>
        </w:rPr>
        <w:t> </w:t>
      </w:r>
      <w:r>
        <w:rPr>
          <w:spacing w:val="-71"/>
        </w:rPr>
      </w:r>
      <w:r>
        <w:rPr/>
        <w:t>数股东收益”项目列示。</w:t>
      </w:r>
    </w:p>
    <w:p>
      <w:pPr>
        <w:pStyle w:val="BodyText"/>
        <w:spacing w:line="336" w:lineRule="auto"/>
        <w:ind w:left="617" w:right="0"/>
        <w:jc w:val="left"/>
      </w:pPr>
      <w:r>
        <w:rPr/>
        <w:t>②报告期内增加或处置子公司的处理方法</w:t>
      </w:r>
      <w:r>
        <w:rPr>
          <w:spacing w:val="-2"/>
          <w:w w:val="100"/>
        </w:rPr>
        <w:t> </w:t>
      </w:r>
      <w:r>
        <w:rPr>
          <w:spacing w:val="-5"/>
        </w:rPr>
        <w:t>母公司在报告期内因同一控制下企业合并增加的子公司，编制合并资产负债</w:t>
      </w:r>
      <w:r>
        <w:rPr/>
      </w:r>
    </w:p>
    <w:p>
      <w:pPr>
        <w:pStyle w:val="BodyText"/>
        <w:spacing w:line="336" w:lineRule="auto" w:before="29"/>
        <w:ind w:right="151"/>
        <w:jc w:val="both"/>
      </w:pPr>
      <w:r>
        <w:rPr>
          <w:spacing w:val="-5"/>
        </w:rPr>
        <w:t>表时，应当调整合并资产负债表的期初数。因非同一控制下企业合并增加的子公</w:t>
      </w:r>
      <w:r>
        <w:rPr>
          <w:spacing w:val="-64"/>
        </w:rPr>
        <w:t> </w:t>
      </w:r>
      <w:r>
        <w:rPr>
          <w:spacing w:val="-64"/>
        </w:rPr>
      </w:r>
      <w:r>
        <w:rPr>
          <w:spacing w:val="-5"/>
        </w:rPr>
        <w:t>司，编制合并资产负债表时，不调整合并资产负债表的期初数。母公司在报告期</w:t>
      </w:r>
      <w:r>
        <w:rPr>
          <w:spacing w:val="-60"/>
        </w:rPr>
        <w:t> </w:t>
      </w:r>
      <w:r>
        <w:rPr>
          <w:spacing w:val="-60"/>
        </w:rPr>
      </w:r>
      <w:r>
        <w:rPr/>
        <w:t>内处置子公司，编制合并资产负债表时，不调整合并资产负债表的期初数。</w:t>
      </w:r>
    </w:p>
    <w:p>
      <w:pPr>
        <w:pStyle w:val="BodyText"/>
        <w:spacing w:line="336" w:lineRule="auto" w:before="29"/>
        <w:ind w:right="149" w:firstLine="480"/>
        <w:jc w:val="both"/>
      </w:pPr>
      <w:r>
        <w:rPr>
          <w:spacing w:val="-2"/>
        </w:rPr>
        <w:t>母公司在报告期内因同一控制下企业合并增加的子公司,将该子公司合并当</w:t>
      </w:r>
      <w:r>
        <w:rPr>
          <w:spacing w:val="-1"/>
          <w:w w:val="100"/>
        </w:rPr>
        <w:t> </w:t>
      </w:r>
      <w:r>
        <w:rPr>
          <w:spacing w:val="-5"/>
        </w:rPr>
        <w:t>期期初至报告期末的收入、费用、利润纳入合并利润表。因非同一控制下企业合</w:t>
      </w:r>
      <w:r>
        <w:rPr>
          <w:spacing w:val="-62"/>
        </w:rPr>
        <w:t> </w:t>
      </w:r>
      <w:r>
        <w:rPr>
          <w:spacing w:val="-62"/>
        </w:rPr>
      </w:r>
      <w:r>
        <w:rPr>
          <w:spacing w:val="-1"/>
        </w:rPr>
        <w:t>并增加的子公司,将该子公司购买日至报告期末的收入、费用、利润纳入合并利</w:t>
      </w:r>
      <w:r>
        <w:rPr>
          <w:spacing w:val="-82"/>
        </w:rPr>
        <w:t> </w:t>
      </w:r>
      <w:r>
        <w:rPr>
          <w:spacing w:val="-82"/>
        </w:rPr>
      </w:r>
      <w:r>
        <w:rPr>
          <w:spacing w:val="-1"/>
        </w:rPr>
        <w:t>润表。母公司在报告期内处置子公司,将该子公司期初至处置日的收入、费用、</w:t>
      </w:r>
      <w:r>
        <w:rPr>
          <w:spacing w:val="-80"/>
        </w:rPr>
        <w:t> </w:t>
      </w:r>
      <w:r>
        <w:rPr>
          <w:spacing w:val="-80"/>
        </w:rPr>
      </w:r>
      <w:r>
        <w:rPr/>
        <w:t>利润纳入合并利润表。</w:t>
      </w:r>
    </w:p>
    <w:p>
      <w:pPr>
        <w:pStyle w:val="BodyText"/>
        <w:spacing w:line="336" w:lineRule="auto"/>
        <w:ind w:right="150" w:firstLine="480"/>
        <w:jc w:val="both"/>
      </w:pPr>
      <w:r>
        <w:rPr>
          <w:spacing w:val="-2"/>
        </w:rPr>
        <w:t>母公司在报告期内因同一控制下企业合并增加的子公司,将该子公司合并当</w:t>
      </w:r>
      <w:r>
        <w:rPr>
          <w:spacing w:val="-1"/>
          <w:w w:val="100"/>
        </w:rPr>
        <w:t> </w:t>
      </w:r>
      <w:r>
        <w:rPr>
          <w:spacing w:val="-5"/>
        </w:rPr>
        <w:t>期期初至报告期末的现金流量纳入合并现金流量表。因非同一控制下企业合并增</w:t>
      </w:r>
      <w:r>
        <w:rPr>
          <w:spacing w:val="-63"/>
        </w:rPr>
        <w:t> </w:t>
      </w:r>
      <w:r>
        <w:rPr>
          <w:spacing w:val="-63"/>
        </w:rPr>
      </w:r>
      <w:r>
        <w:rPr>
          <w:spacing w:val="-1"/>
        </w:rPr>
        <w:t>加的子公司,将该子公司购买日至报告期末的现金流量纳入合并现金流量表。母</w:t>
      </w:r>
      <w:r>
        <w:rPr>
          <w:spacing w:val="-82"/>
        </w:rPr>
        <w:t> </w:t>
      </w:r>
      <w:r>
        <w:rPr>
          <w:spacing w:val="-82"/>
        </w:rPr>
      </w:r>
      <w:r>
        <w:rPr>
          <w:spacing w:val="-1"/>
        </w:rPr>
        <w:t>公司在报告期内处置子公司,将该子公司期初至处置日的现金流量纳入合并现金</w:t>
      </w:r>
      <w:r>
        <w:rPr>
          <w:spacing w:val="-82"/>
        </w:rPr>
        <w:t> </w:t>
      </w:r>
      <w:r>
        <w:rPr>
          <w:spacing w:val="-82"/>
        </w:rPr>
      </w:r>
      <w:r>
        <w:rPr/>
        <w:t>流量表。</w:t>
      </w:r>
    </w:p>
    <w:p>
      <w:pPr>
        <w:pStyle w:val="BodyText"/>
        <w:spacing w:line="240" w:lineRule="auto"/>
        <w:ind w:left="617" w:right="0"/>
        <w:jc w:val="left"/>
      </w:pPr>
      <w:r>
        <w:rPr/>
        <w:t>③母公司与子公司的会计政策与会计期间不同的处理方法</w:t>
      </w:r>
    </w:p>
    <w:p>
      <w:pPr>
        <w:spacing w:after="0" w:line="240" w:lineRule="auto"/>
        <w:jc w:val="left"/>
        <w:sectPr>
          <w:headerReference w:type="default" r:id="rId47"/>
          <w:pgSz w:w="11910" w:h="16840"/>
          <w:pgMar w:header="840" w:footer="1712" w:top="1160" w:bottom="1900" w:left="1660" w:right="1640"/>
        </w:sectPr>
      </w:pPr>
    </w:p>
    <w:p>
      <w:pPr>
        <w:pStyle w:val="BodyText"/>
        <w:spacing w:line="336" w:lineRule="auto" w:before="71"/>
        <w:ind w:right="1252" w:firstLine="480"/>
        <w:jc w:val="both"/>
      </w:pPr>
      <w:r>
        <w:rPr>
          <w:spacing w:val="-5"/>
        </w:rPr>
        <w:t>本公司在编制合并财务报表时，如果子公司所采用的会计政策、会计期间与</w:t>
      </w:r>
      <w:r>
        <w:rPr>
          <w:spacing w:val="-2"/>
          <w:w w:val="100"/>
        </w:rPr>
        <w:t> </w:t>
      </w:r>
      <w:r>
        <w:rPr>
          <w:spacing w:val="-5"/>
        </w:rPr>
        <w:t>母公司不一致的，需要按照母公司的会计政策和会计期间对子公司财务报表进行</w:t>
      </w:r>
      <w:r>
        <w:rPr>
          <w:spacing w:val="-63"/>
        </w:rPr>
        <w:t> </w:t>
      </w:r>
      <w:r>
        <w:rPr>
          <w:spacing w:val="-63"/>
        </w:rPr>
      </w:r>
      <w:r>
        <w:rPr>
          <w:spacing w:val="-5"/>
        </w:rPr>
        <w:t>必要的调整；或者要求子公司按照母公司的会计政策和会计期间另行编报财务报</w:t>
      </w:r>
      <w:r>
        <w:rPr>
          <w:spacing w:val="-63"/>
        </w:rPr>
        <w:t> </w:t>
      </w:r>
      <w:r>
        <w:rPr>
          <w:spacing w:val="-63"/>
        </w:rPr>
      </w:r>
      <w:r>
        <w:rPr/>
        <w:t>表。</w:t>
      </w:r>
    </w:p>
    <w:p>
      <w:pPr>
        <w:pStyle w:val="BodyText"/>
        <w:spacing w:line="336" w:lineRule="auto"/>
        <w:ind w:left="617" w:right="4687"/>
        <w:jc w:val="left"/>
      </w:pPr>
      <w:r>
        <w:rPr/>
        <w:pict>
          <v:shape style="position:absolute;margin-left:90.419998pt;margin-top:41.99815pt;width:410.25pt;height:114.9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25"/>
                    <w:gridCol w:w="506"/>
                    <w:gridCol w:w="2203"/>
                    <w:gridCol w:w="506"/>
                    <w:gridCol w:w="1963"/>
                  </w:tblGrid>
                  <w:tr>
                    <w:trPr>
                      <w:trHeight w:val="360" w:hRule="exact"/>
                    </w:trPr>
                    <w:tc>
                      <w:tcPr>
                        <w:tcW w:w="3025"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4" w:right="0"/>
                          <w:jc w:val="center"/>
                          <w:rPr>
                            <w:rFonts w:ascii="宋体" w:hAnsi="宋体" w:cs="宋体" w:eastAsia="宋体" w:hint="default"/>
                            <w:sz w:val="20"/>
                            <w:szCs w:val="20"/>
                          </w:rPr>
                        </w:pPr>
                        <w:r>
                          <w:rPr>
                            <w:rFonts w:ascii="宋体" w:hAnsi="宋体" w:cs="宋体" w:eastAsia="宋体" w:hint="default"/>
                            <w:sz w:val="20"/>
                            <w:szCs w:val="20"/>
                          </w:rPr>
                          <w:t>公司名称</w:t>
                        </w:r>
                      </w:p>
                    </w:tc>
                    <w:tc>
                      <w:tcPr>
                        <w:tcW w:w="506"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2" w:right="0"/>
                          <w:jc w:val="center"/>
                          <w:rPr>
                            <w:rFonts w:ascii="宋体" w:hAnsi="宋体" w:cs="宋体" w:eastAsia="宋体" w:hint="default"/>
                            <w:sz w:val="20"/>
                            <w:szCs w:val="20"/>
                          </w:rPr>
                        </w:pPr>
                        <w:r>
                          <w:rPr>
                            <w:rFonts w:ascii="宋体" w:hAnsi="宋体" w:cs="宋体" w:eastAsia="宋体" w:hint="default"/>
                            <w:sz w:val="20"/>
                            <w:szCs w:val="20"/>
                          </w:rPr>
                          <w:t>年末数</w:t>
                        </w:r>
                      </w:p>
                    </w:tc>
                    <w:tc>
                      <w:tcPr>
                        <w:tcW w:w="506"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2"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63" w:hRule="exact"/>
                    </w:trPr>
                    <w:tc>
                      <w:tcPr>
                        <w:tcW w:w="3025" w:type="dxa"/>
                        <w:tcBorders>
                          <w:top w:val="single" w:sz="8" w:space="0" w:color="000000"/>
                          <w:left w:val="nil" w:sz="6" w:space="0" w:color="auto"/>
                          <w:bottom w:val="nil" w:sz="6" w:space="0" w:color="auto"/>
                          <w:right w:val="nil" w:sz="6" w:space="0" w:color="auto"/>
                        </w:tcBorders>
                      </w:tcPr>
                      <w:p>
                        <w:pPr>
                          <w:pStyle w:val="TableParagraph"/>
                          <w:spacing w:line="240" w:lineRule="auto" w:before="18"/>
                          <w:ind w:left="36" w:right="0"/>
                          <w:jc w:val="left"/>
                          <w:rPr>
                            <w:rFonts w:ascii="宋体" w:hAnsi="宋体" w:cs="宋体" w:eastAsia="宋体" w:hint="default"/>
                            <w:sz w:val="20"/>
                            <w:szCs w:val="20"/>
                          </w:rPr>
                        </w:pPr>
                        <w:r>
                          <w:rPr>
                            <w:rFonts w:ascii="宋体" w:hAnsi="宋体" w:cs="宋体" w:eastAsia="宋体" w:hint="default"/>
                            <w:sz w:val="20"/>
                            <w:szCs w:val="20"/>
                          </w:rPr>
                          <w:t>北京东港安全印刷有限公司</w:t>
                        </w:r>
                      </w:p>
                    </w:tc>
                    <w:tc>
                      <w:tcPr>
                        <w:tcW w:w="506" w:type="dxa"/>
                        <w:tcBorders>
                          <w:top w:val="nil" w:sz="6" w:space="0" w:color="auto"/>
                          <w:left w:val="nil" w:sz="6" w:space="0" w:color="auto"/>
                          <w:bottom w:val="nil" w:sz="6" w:space="0" w:color="auto"/>
                          <w:right w:val="nil" w:sz="6" w:space="0" w:color="auto"/>
                        </w:tcBorders>
                      </w:tcPr>
                      <w:p>
                        <w:pPr/>
                      </w:p>
                    </w:tc>
                    <w:tc>
                      <w:tcPr>
                        <w:tcW w:w="2203" w:type="dxa"/>
                        <w:tcBorders>
                          <w:top w:val="single" w:sz="8" w:space="0" w:color="000000"/>
                          <w:left w:val="nil" w:sz="6" w:space="0" w:color="auto"/>
                          <w:bottom w:val="nil" w:sz="6" w:space="0" w:color="auto"/>
                          <w:right w:val="nil" w:sz="6" w:space="0" w:color="auto"/>
                        </w:tcBorders>
                      </w:tcPr>
                      <w:p>
                        <w:pPr>
                          <w:pStyle w:val="TableParagraph"/>
                          <w:spacing w:line="240" w:lineRule="auto" w:before="48"/>
                          <w:ind w:right="86"/>
                          <w:jc w:val="right"/>
                          <w:rPr>
                            <w:rFonts w:ascii="Times New Roman" w:hAnsi="Times New Roman" w:cs="Times New Roman" w:eastAsia="Times New Roman" w:hint="default"/>
                            <w:sz w:val="20"/>
                            <w:szCs w:val="20"/>
                          </w:rPr>
                        </w:pPr>
                        <w:r>
                          <w:rPr>
                            <w:rFonts w:ascii="Times New Roman"/>
                            <w:sz w:val="20"/>
                          </w:rPr>
                          <w:t>16,279,430.97</w:t>
                        </w:r>
                      </w:p>
                    </w:tc>
                    <w:tc>
                      <w:tcPr>
                        <w:tcW w:w="506" w:type="dxa"/>
                        <w:tcBorders>
                          <w:top w:val="nil" w:sz="6" w:space="0" w:color="auto"/>
                          <w:left w:val="nil" w:sz="6" w:space="0" w:color="auto"/>
                          <w:bottom w:val="nil" w:sz="6" w:space="0" w:color="auto"/>
                          <w:right w:val="nil" w:sz="6" w:space="0" w:color="auto"/>
                        </w:tcBorders>
                      </w:tcPr>
                      <w:p>
                        <w:pPr/>
                      </w:p>
                    </w:tc>
                    <w:tc>
                      <w:tcPr>
                        <w:tcW w:w="1963" w:type="dxa"/>
                        <w:tcBorders>
                          <w:top w:val="single" w:sz="8" w:space="0" w:color="000000"/>
                          <w:left w:val="nil" w:sz="6" w:space="0" w:color="auto"/>
                          <w:bottom w:val="nil" w:sz="6" w:space="0" w:color="auto"/>
                          <w:right w:val="nil" w:sz="6" w:space="0" w:color="auto"/>
                        </w:tcBorders>
                      </w:tcPr>
                      <w:p>
                        <w:pPr>
                          <w:pStyle w:val="TableParagraph"/>
                          <w:spacing w:line="240" w:lineRule="auto" w:before="48"/>
                          <w:ind w:right="90"/>
                          <w:jc w:val="right"/>
                          <w:rPr>
                            <w:rFonts w:ascii="Times New Roman" w:hAnsi="Times New Roman" w:cs="Times New Roman" w:eastAsia="Times New Roman" w:hint="default"/>
                            <w:sz w:val="20"/>
                            <w:szCs w:val="20"/>
                          </w:rPr>
                        </w:pPr>
                        <w:r>
                          <w:rPr>
                            <w:rFonts w:ascii="Times New Roman"/>
                            <w:w w:val="95"/>
                            <w:sz w:val="20"/>
                          </w:rPr>
                          <w:t>11,642,193.79</w:t>
                        </w:r>
                        <w:r>
                          <w:rPr>
                            <w:rFonts w:ascii="Times New Roman"/>
                            <w:sz w:val="20"/>
                          </w:rPr>
                        </w:r>
                      </w:p>
                    </w:tc>
                  </w:tr>
                  <w:tr>
                    <w:trPr>
                      <w:trHeight w:val="278"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0"/>
                            <w:szCs w:val="20"/>
                          </w:rPr>
                        </w:pPr>
                        <w:r>
                          <w:rPr>
                            <w:rFonts w:ascii="宋体" w:hAnsi="宋体" w:cs="宋体" w:eastAsia="宋体" w:hint="default"/>
                            <w:sz w:val="20"/>
                            <w:szCs w:val="20"/>
                          </w:rPr>
                          <w:t>郑州东港安全印刷有限公司</w:t>
                        </w:r>
                      </w:p>
                    </w:tc>
                    <w:tc>
                      <w:tcPr>
                        <w:tcW w:w="506"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6"/>
                          <w:jc w:val="right"/>
                          <w:rPr>
                            <w:rFonts w:ascii="Times New Roman" w:hAnsi="Times New Roman" w:cs="Times New Roman" w:eastAsia="Times New Roman" w:hint="default"/>
                            <w:sz w:val="20"/>
                            <w:szCs w:val="20"/>
                          </w:rPr>
                        </w:pPr>
                        <w:r>
                          <w:rPr>
                            <w:rFonts w:ascii="Times New Roman"/>
                            <w:sz w:val="20"/>
                          </w:rPr>
                          <w:t>1,876,309.99</w:t>
                        </w:r>
                      </w:p>
                    </w:tc>
                    <w:tc>
                      <w:tcPr>
                        <w:tcW w:w="506"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0"/>
                          <w:jc w:val="right"/>
                          <w:rPr>
                            <w:rFonts w:ascii="Times New Roman" w:hAnsi="Times New Roman" w:cs="Times New Roman" w:eastAsia="Times New Roman" w:hint="default"/>
                            <w:sz w:val="20"/>
                            <w:szCs w:val="20"/>
                          </w:rPr>
                        </w:pPr>
                        <w:r>
                          <w:rPr>
                            <w:rFonts w:ascii="Times New Roman"/>
                            <w:spacing w:val="-1"/>
                            <w:sz w:val="20"/>
                          </w:rPr>
                          <w:t>1,729,281.70</w:t>
                        </w:r>
                      </w:p>
                    </w:tc>
                  </w:tr>
                  <w:tr>
                    <w:trPr>
                      <w:trHeight w:val="324"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20"/>
                            <w:szCs w:val="20"/>
                          </w:rPr>
                        </w:pPr>
                        <w:r>
                          <w:rPr>
                            <w:rFonts w:ascii="宋体" w:hAnsi="宋体" w:cs="宋体" w:eastAsia="宋体" w:hint="default"/>
                            <w:sz w:val="20"/>
                            <w:szCs w:val="20"/>
                          </w:rPr>
                          <w:t>北京东港嘉华安全信息技术有限</w:t>
                        </w:r>
                      </w:p>
                    </w:tc>
                    <w:tc>
                      <w:tcPr>
                        <w:tcW w:w="506"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
                    </w:tc>
                  </w:tr>
                  <w:tr>
                    <w:trPr>
                      <w:trHeight w:val="269" w:hRule="exact"/>
                    </w:trPr>
                    <w:tc>
                      <w:tcPr>
                        <w:tcW w:w="3532"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20"/>
                            <w:szCs w:val="20"/>
                          </w:rPr>
                        </w:pPr>
                        <w:r>
                          <w:rPr>
                            <w:rFonts w:ascii="宋体" w:hAnsi="宋体" w:cs="宋体" w:eastAsia="宋体" w:hint="default"/>
                            <w:sz w:val="20"/>
                            <w:szCs w:val="20"/>
                          </w:rPr>
                          <w:t>公司</w:t>
                        </w:r>
                      </w:p>
                    </w:tc>
                    <w:tc>
                      <w:tcPr>
                        <w:tcW w:w="2203" w:type="dxa"/>
                        <w:tcBorders>
                          <w:top w:val="nil" w:sz="6" w:space="0" w:color="auto"/>
                          <w:left w:val="nil" w:sz="6" w:space="0" w:color="auto"/>
                          <w:bottom w:val="nil" w:sz="6" w:space="0" w:color="auto"/>
                          <w:right w:val="nil" w:sz="6" w:space="0" w:color="auto"/>
                        </w:tcBorders>
                      </w:tcPr>
                      <w:p>
                        <w:pPr>
                          <w:pStyle w:val="TableParagraph"/>
                          <w:spacing w:line="97" w:lineRule="exact"/>
                          <w:ind w:right="86"/>
                          <w:jc w:val="right"/>
                          <w:rPr>
                            <w:rFonts w:ascii="Times New Roman" w:hAnsi="Times New Roman" w:cs="Times New Roman" w:eastAsia="Times New Roman" w:hint="default"/>
                            <w:sz w:val="20"/>
                            <w:szCs w:val="20"/>
                          </w:rPr>
                        </w:pPr>
                        <w:r>
                          <w:rPr>
                            <w:rFonts w:ascii="Times New Roman"/>
                            <w:sz w:val="20"/>
                          </w:rPr>
                          <w:t>1,939,403.95</w:t>
                        </w:r>
                      </w:p>
                    </w:tc>
                    <w:tc>
                      <w:tcPr>
                        <w:tcW w:w="506"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nil" w:sz="6" w:space="0" w:color="auto"/>
                          <w:right w:val="nil" w:sz="6" w:space="0" w:color="auto"/>
                        </w:tcBorders>
                      </w:tcPr>
                      <w:p>
                        <w:pPr/>
                      </w:p>
                    </w:tc>
                  </w:tr>
                  <w:tr>
                    <w:trPr>
                      <w:trHeight w:val="313" w:hRule="exact"/>
                    </w:trPr>
                    <w:tc>
                      <w:tcPr>
                        <w:tcW w:w="3532" w:type="dxa"/>
                        <w:gridSpan w:val="2"/>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20"/>
                            <w:szCs w:val="20"/>
                          </w:rPr>
                        </w:pPr>
                        <w:r>
                          <w:rPr>
                            <w:rFonts w:ascii="宋体" w:hAnsi="宋体" w:cs="宋体" w:eastAsia="宋体" w:hint="default"/>
                            <w:sz w:val="20"/>
                            <w:szCs w:val="20"/>
                          </w:rPr>
                          <w:t>广州东港安全印刷有限公司</w:t>
                        </w:r>
                      </w:p>
                    </w:tc>
                    <w:tc>
                      <w:tcPr>
                        <w:tcW w:w="2203"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86"/>
                          <w:jc w:val="right"/>
                          <w:rPr>
                            <w:rFonts w:ascii="Times New Roman" w:hAnsi="Times New Roman" w:cs="Times New Roman" w:eastAsia="Times New Roman" w:hint="default"/>
                            <w:sz w:val="20"/>
                            <w:szCs w:val="20"/>
                          </w:rPr>
                        </w:pPr>
                        <w:r>
                          <w:rPr>
                            <w:rFonts w:ascii="Times New Roman"/>
                            <w:sz w:val="20"/>
                          </w:rPr>
                          <w:t>2,330,348.17</w:t>
                        </w:r>
                      </w:p>
                    </w:tc>
                    <w:tc>
                      <w:tcPr>
                        <w:tcW w:w="506" w:type="dxa"/>
                        <w:tcBorders>
                          <w:top w:val="nil" w:sz="6" w:space="0" w:color="auto"/>
                          <w:left w:val="nil" w:sz="6" w:space="0" w:color="auto"/>
                          <w:bottom w:val="nil" w:sz="6" w:space="0" w:color="auto"/>
                          <w:right w:val="nil" w:sz="6" w:space="0" w:color="auto"/>
                        </w:tcBorders>
                      </w:tcPr>
                      <w:p>
                        <w:pPr/>
                      </w:p>
                    </w:tc>
                    <w:tc>
                      <w:tcPr>
                        <w:tcW w:w="1963" w:type="dxa"/>
                        <w:tcBorders>
                          <w:top w:val="nil" w:sz="6" w:space="0" w:color="auto"/>
                          <w:left w:val="nil" w:sz="6" w:space="0" w:color="auto"/>
                          <w:bottom w:val="single" w:sz="8" w:space="0" w:color="000000"/>
                          <w:right w:val="nil" w:sz="6" w:space="0" w:color="auto"/>
                        </w:tcBorders>
                      </w:tcPr>
                      <w:p>
                        <w:pPr/>
                      </w:p>
                    </w:tc>
                  </w:tr>
                  <w:tr>
                    <w:trPr>
                      <w:trHeight w:val="371" w:hRule="exact"/>
                    </w:trPr>
                    <w:tc>
                      <w:tcPr>
                        <w:tcW w:w="3532" w:type="dxa"/>
                        <w:gridSpan w:val="2"/>
                        <w:tcBorders>
                          <w:top w:val="nil" w:sz="6" w:space="0" w:color="auto"/>
                          <w:left w:val="nil" w:sz="6" w:space="0" w:color="auto"/>
                          <w:bottom w:val="nil" w:sz="6" w:space="0" w:color="auto"/>
                          <w:right w:val="nil" w:sz="6" w:space="0" w:color="auto"/>
                        </w:tcBorders>
                      </w:tcPr>
                      <w:p>
                        <w:pPr>
                          <w:pStyle w:val="TableParagraph"/>
                          <w:tabs>
                            <w:tab w:pos="1670" w:val="left" w:leader="none"/>
                          </w:tabs>
                          <w:spacing w:line="240" w:lineRule="auto" w:before="28"/>
                          <w:ind w:left="1167"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203" w:type="dxa"/>
                        <w:tcBorders>
                          <w:top w:val="single" w:sz="8" w:space="0" w:color="000000"/>
                          <w:left w:val="nil" w:sz="6" w:space="0" w:color="auto"/>
                          <w:bottom w:val="single" w:sz="8" w:space="0" w:color="000000"/>
                          <w:right w:val="nil" w:sz="6" w:space="0" w:color="auto"/>
                        </w:tcBorders>
                      </w:tcPr>
                      <w:p>
                        <w:pPr>
                          <w:pStyle w:val="TableParagraph"/>
                          <w:spacing w:line="240" w:lineRule="auto" w:before="48"/>
                          <w:ind w:right="86"/>
                          <w:jc w:val="right"/>
                          <w:rPr>
                            <w:rFonts w:ascii="Times New Roman" w:hAnsi="Times New Roman" w:cs="Times New Roman" w:eastAsia="Times New Roman" w:hint="default"/>
                            <w:sz w:val="20"/>
                            <w:szCs w:val="20"/>
                          </w:rPr>
                        </w:pPr>
                        <w:r>
                          <w:rPr>
                            <w:rFonts w:ascii="Times New Roman"/>
                            <w:sz w:val="20"/>
                          </w:rPr>
                          <w:t>22,425,493.08</w:t>
                        </w:r>
                      </w:p>
                    </w:tc>
                    <w:tc>
                      <w:tcPr>
                        <w:tcW w:w="506" w:type="dxa"/>
                        <w:tcBorders>
                          <w:top w:val="nil" w:sz="6" w:space="0" w:color="auto"/>
                          <w:left w:val="nil" w:sz="6" w:space="0" w:color="auto"/>
                          <w:bottom w:val="nil" w:sz="6" w:space="0" w:color="auto"/>
                          <w:right w:val="nil" w:sz="6" w:space="0" w:color="auto"/>
                        </w:tcBorders>
                      </w:tcPr>
                      <w:p>
                        <w:pPr/>
                      </w:p>
                    </w:tc>
                    <w:tc>
                      <w:tcPr>
                        <w:tcW w:w="1963" w:type="dxa"/>
                        <w:tcBorders>
                          <w:top w:val="single" w:sz="8" w:space="0" w:color="000000"/>
                          <w:left w:val="nil" w:sz="6" w:space="0" w:color="auto"/>
                          <w:bottom w:val="single" w:sz="8" w:space="0" w:color="000000"/>
                          <w:right w:val="nil" w:sz="6" w:space="0" w:color="auto"/>
                        </w:tcBorders>
                      </w:tcPr>
                      <w:p>
                        <w:pPr>
                          <w:pStyle w:val="TableParagraph"/>
                          <w:spacing w:line="240" w:lineRule="auto" w:before="48"/>
                          <w:ind w:right="90"/>
                          <w:jc w:val="right"/>
                          <w:rPr>
                            <w:rFonts w:ascii="Times New Roman" w:hAnsi="Times New Roman" w:cs="Times New Roman" w:eastAsia="Times New Roman" w:hint="default"/>
                            <w:sz w:val="20"/>
                            <w:szCs w:val="20"/>
                          </w:rPr>
                        </w:pPr>
                        <w:r>
                          <w:rPr>
                            <w:rFonts w:ascii="Times New Roman"/>
                            <w:w w:val="95"/>
                            <w:sz w:val="20"/>
                          </w:rPr>
                          <w:t>13,371,475.49</w:t>
                        </w:r>
                        <w:r>
                          <w:rPr>
                            <w:rFonts w:ascii="Times New Roman"/>
                            <w:sz w:val="20"/>
                          </w:rPr>
                        </w:r>
                      </w:p>
                    </w:tc>
                  </w:tr>
                </w:tbl>
                <w:p>
                  <w:pPr/>
                </w:p>
              </w:txbxContent>
            </v:textbox>
            <w10:wrap type="none"/>
          </v:shape>
        </w:pict>
      </w:r>
      <w:r>
        <w:rPr/>
        <w:t>（3）少数股东权益</w:t>
      </w:r>
      <w:r>
        <w:rPr>
          <w:spacing w:val="-2"/>
          <w:w w:val="100"/>
        </w:rPr>
        <w:t> </w:t>
      </w:r>
      <w:r>
        <w:rPr>
          <w:spacing w:val="-2"/>
        </w:rPr>
        <w:t>各子公司少数股东权益</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tabs>
          <w:tab w:pos="6381" w:val="left" w:leader="none"/>
        </w:tabs>
        <w:spacing w:line="20" w:lineRule="exact"/>
        <w:ind w:left="3671" w:right="0" w:firstLine="0"/>
        <w:rPr>
          <w:rFonts w:ascii="宋体" w:hAnsi="宋体" w:cs="宋体" w:eastAsia="宋体" w:hint="default"/>
          <w:sz w:val="2"/>
          <w:szCs w:val="2"/>
        </w:rPr>
      </w:pPr>
      <w:r>
        <w:rPr>
          <w:rFonts w:ascii="宋体"/>
          <w:sz w:val="2"/>
        </w:rPr>
        <w:pict>
          <v:group style="width:111.1pt;height:1pt;mso-position-horizontal-relative:char;mso-position-vertical-relative:line" coordorigin="0,0" coordsize="2222,20">
            <v:group style="position:absolute;left:10;top:10;width:2202;height:2" coordorigin="10,10" coordsize="2202,2">
              <v:shape style="position:absolute;left:10;top:10;width:2202;height:2" coordorigin="10,10" coordsize="2202,0" path="m10,10l2212,10e" filled="false" stroked="true" strokeweight=".96002pt" strokecolor="#000000">
                <v:path arrowok="t"/>
              </v:shape>
            </v:group>
          </v:group>
        </w:pict>
      </w:r>
      <w:r>
        <w:rPr>
          <w:rFonts w:ascii="宋体"/>
          <w:sz w:val="2"/>
        </w:rPr>
      </w:r>
      <w:r>
        <w:rPr>
          <w:rFonts w:ascii="宋体"/>
          <w:sz w:val="2"/>
        </w:rPr>
        <w:tab/>
      </w:r>
      <w:r>
        <w:rPr>
          <w:rFonts w:ascii="宋体"/>
          <w:sz w:val="2"/>
        </w:rPr>
        <w:pict>
          <v:group style="width:99.1pt;height:1pt;mso-position-horizontal-relative:char;mso-position-vertical-relative:line" coordorigin="0,0" coordsize="1982,20">
            <v:group style="position:absolute;left:10;top:10;width:1962;height:2" coordorigin="10,10" coordsize="1962,2">
              <v:shape style="position:absolute;left:10;top:10;width:1962;height:2" coordorigin="10,10" coordsize="1962,0" path="m10,10l1972,10e" filled="false" stroked="true" strokeweight=".96002pt" strokecolor="#000000">
                <v:path arrowok="t"/>
              </v:shape>
            </v:group>
          </v:group>
        </w:pict>
      </w:r>
      <w:r>
        <w:rPr>
          <w:rFonts w:ascii="宋体"/>
          <w:sz w:val="2"/>
        </w:rPr>
      </w:r>
    </w:p>
    <w:p>
      <w:pPr>
        <w:spacing w:line="240" w:lineRule="auto" w:before="1"/>
        <w:rPr>
          <w:rFonts w:ascii="宋体" w:hAnsi="宋体" w:cs="宋体" w:eastAsia="宋体" w:hint="default"/>
          <w:sz w:val="20"/>
          <w:szCs w:val="20"/>
        </w:rPr>
      </w:pPr>
    </w:p>
    <w:p>
      <w:pPr>
        <w:pStyle w:val="Heading3"/>
        <w:spacing w:line="368" w:lineRule="exact"/>
        <w:ind w:left="619" w:right="4687"/>
        <w:jc w:val="left"/>
        <w:rPr>
          <w:b w:val="0"/>
          <w:bCs w:val="0"/>
        </w:rPr>
      </w:pPr>
      <w:r>
        <w:rPr/>
        <w:t>七、合并财务报表主要项目注释</w:t>
      </w:r>
      <w:r>
        <w:rPr>
          <w:b w:val="0"/>
          <w:bCs w:val="0"/>
        </w:rPr>
      </w:r>
    </w:p>
    <w:p>
      <w:pPr>
        <w:pStyle w:val="BodyText"/>
        <w:spacing w:line="336" w:lineRule="auto" w:before="99"/>
        <w:ind w:right="1248" w:firstLine="482"/>
        <w:jc w:val="both"/>
      </w:pPr>
      <w:r>
        <w:rPr/>
        <w:t>以下注释项目（含母公司财务报表主要项目注释）除非特别指出，年初指</w:t>
      </w:r>
      <w:r>
        <w:rPr>
          <w:spacing w:val="3"/>
          <w:w w:val="100"/>
        </w:rPr>
        <w:t> </w:t>
      </w:r>
      <w:r>
        <w:rPr/>
        <w:t>2007</w:t>
      </w:r>
      <w:r>
        <w:rPr>
          <w:spacing w:val="-59"/>
        </w:rPr>
        <w:t> </w:t>
      </w:r>
      <w:r>
        <w:rPr/>
        <w:t>年</w:t>
      </w:r>
      <w:r>
        <w:rPr>
          <w:spacing w:val="-59"/>
        </w:rPr>
        <w:t> </w:t>
      </w:r>
      <w:r>
        <w:rPr/>
        <w:t>1</w:t>
      </w:r>
      <w:r>
        <w:rPr>
          <w:spacing w:val="-59"/>
        </w:rPr>
        <w:t> </w:t>
      </w:r>
      <w:r>
        <w:rPr/>
        <w:t>月</w:t>
      </w:r>
      <w:r>
        <w:rPr>
          <w:spacing w:val="-59"/>
        </w:rPr>
        <w:t> </w:t>
      </w:r>
      <w:r>
        <w:rPr/>
        <w:t>1</w:t>
      </w:r>
      <w:r>
        <w:rPr>
          <w:spacing w:val="-59"/>
        </w:rPr>
        <w:t> </w:t>
      </w:r>
      <w:r>
        <w:rPr/>
        <w:t>日，年末指</w:t>
      </w:r>
      <w:r>
        <w:rPr>
          <w:spacing w:val="-59"/>
        </w:rPr>
        <w:t> </w:t>
      </w:r>
      <w:r>
        <w:rPr/>
        <w:t>2007</w:t>
      </w:r>
      <w:r>
        <w:rPr>
          <w:spacing w:val="-59"/>
        </w:rPr>
        <w:t> </w:t>
      </w:r>
      <w:r>
        <w:rPr/>
        <w:t>年</w:t>
      </w:r>
      <w:r>
        <w:rPr>
          <w:spacing w:val="-59"/>
        </w:rPr>
        <w:t> </w:t>
      </w:r>
      <w:r>
        <w:rPr/>
        <w:t>12</w:t>
      </w:r>
      <w:r>
        <w:rPr>
          <w:spacing w:val="-59"/>
        </w:rPr>
        <w:t> </w:t>
      </w:r>
      <w:r>
        <w:rPr/>
        <w:t>月</w:t>
      </w:r>
      <w:r>
        <w:rPr>
          <w:spacing w:val="-59"/>
        </w:rPr>
        <w:t> </w:t>
      </w:r>
      <w:r>
        <w:rPr/>
        <w:t>31</w:t>
      </w:r>
      <w:r>
        <w:rPr>
          <w:spacing w:val="-59"/>
        </w:rPr>
        <w:t> </w:t>
      </w:r>
      <w:r>
        <w:rPr/>
        <w:t>日。上年指</w:t>
      </w:r>
      <w:r>
        <w:rPr>
          <w:spacing w:val="-59"/>
        </w:rPr>
        <w:t> </w:t>
      </w:r>
      <w:r>
        <w:rPr/>
        <w:t>2006</w:t>
      </w:r>
      <w:r>
        <w:rPr>
          <w:spacing w:val="-59"/>
        </w:rPr>
        <w:t> </w:t>
      </w:r>
      <w:r>
        <w:rPr/>
        <w:t>年度，本年指</w:t>
      </w:r>
      <w:r>
        <w:rPr>
          <w:spacing w:val="-59"/>
        </w:rPr>
        <w:t> </w:t>
      </w:r>
      <w:r>
        <w:rPr/>
        <w:t>2007</w:t>
      </w:r>
      <w:r>
        <w:rPr>
          <w:spacing w:val="-1"/>
          <w:w w:val="100"/>
        </w:rPr>
        <w:t> </w:t>
      </w:r>
      <w:r>
        <w:rPr>
          <w:spacing w:val="-2"/>
        </w:rPr>
        <w:t>年度。</w:t>
      </w:r>
      <w:r>
        <w:rPr/>
      </w:r>
    </w:p>
    <w:p>
      <w:pPr>
        <w:pStyle w:val="Heading3"/>
        <w:spacing w:line="240" w:lineRule="auto" w:before="14"/>
        <w:ind w:left="681" w:right="4687"/>
        <w:jc w:val="left"/>
        <w:rPr>
          <w:b w:val="0"/>
          <w:bCs w:val="0"/>
        </w:rPr>
      </w:pPr>
      <w:r>
        <w:rPr>
          <w:w w:val="105"/>
        </w:rPr>
        <w:t>a) </w:t>
      </w:r>
      <w:r>
        <w:rPr>
          <w:spacing w:val="21"/>
          <w:w w:val="105"/>
        </w:rPr>
        <w:t> </w:t>
      </w:r>
      <w:r>
        <w:rPr>
          <w:w w:val="105"/>
        </w:rPr>
        <w:t>货币资金</w:t>
      </w:r>
      <w:r>
        <w:rPr>
          <w:b w:val="0"/>
          <w:bCs w:val="0"/>
          <w:w w:val="105"/>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919"/>
        <w:gridCol w:w="1642"/>
        <w:gridCol w:w="692"/>
        <w:gridCol w:w="1664"/>
        <w:gridCol w:w="1396"/>
        <w:gridCol w:w="800"/>
        <w:gridCol w:w="1320"/>
      </w:tblGrid>
      <w:tr>
        <w:trPr>
          <w:trHeight w:val="369" w:hRule="exact"/>
        </w:trPr>
        <w:tc>
          <w:tcPr>
            <w:tcW w:w="425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right="8"/>
              <w:jc w:val="right"/>
              <w:rPr>
                <w:rFonts w:ascii="宋体" w:hAnsi="宋体" w:cs="宋体" w:eastAsia="宋体" w:hint="default"/>
                <w:sz w:val="18"/>
                <w:szCs w:val="18"/>
              </w:rPr>
            </w:pPr>
            <w:r>
              <w:rPr>
                <w:rFonts w:ascii="宋体" w:hAnsi="宋体" w:cs="宋体" w:eastAsia="宋体" w:hint="default"/>
                <w:spacing w:val="2"/>
                <w:w w:val="95"/>
                <w:sz w:val="18"/>
                <w:szCs w:val="18"/>
              </w:rPr>
              <w:t>年末数</w:t>
            </w:r>
            <w:r>
              <w:rPr>
                <w:rFonts w:ascii="宋体" w:hAnsi="宋体" w:cs="宋体" w:eastAsia="宋体" w:hint="default"/>
                <w:sz w:val="18"/>
                <w:szCs w:val="18"/>
              </w:rPr>
            </w:r>
          </w:p>
        </w:tc>
        <w:tc>
          <w:tcPr>
            <w:tcW w:w="3860" w:type="dxa"/>
            <w:gridSpan w:val="3"/>
            <w:tcBorders>
              <w:top w:val="nil" w:sz="6" w:space="0" w:color="auto"/>
              <w:left w:val="nil" w:sz="6" w:space="0" w:color="auto"/>
              <w:bottom w:val="single" w:sz="8" w:space="0" w:color="000000"/>
              <w:right w:val="nil" w:sz="6" w:space="0" w:color="auto"/>
            </w:tcBorders>
          </w:tcPr>
          <w:p>
            <w:pPr>
              <w:pStyle w:val="TableParagraph"/>
              <w:spacing w:line="240" w:lineRule="auto" w:before="44"/>
              <w:ind w:right="127"/>
              <w:jc w:val="right"/>
              <w:rPr>
                <w:rFonts w:ascii="宋体" w:hAnsi="宋体" w:cs="宋体" w:eastAsia="宋体" w:hint="default"/>
                <w:sz w:val="18"/>
                <w:szCs w:val="18"/>
              </w:rPr>
            </w:pPr>
            <w:r>
              <w:rPr>
                <w:rFonts w:ascii="宋体" w:hAnsi="宋体" w:cs="宋体" w:eastAsia="宋体" w:hint="default"/>
                <w:spacing w:val="2"/>
                <w:w w:val="95"/>
                <w:sz w:val="18"/>
                <w:szCs w:val="18"/>
              </w:rPr>
              <w:t>年初数</w:t>
            </w:r>
            <w:r>
              <w:rPr>
                <w:rFonts w:ascii="宋体" w:hAnsi="宋体" w:cs="宋体" w:eastAsia="宋体" w:hint="default"/>
                <w:sz w:val="18"/>
                <w:szCs w:val="18"/>
              </w:rPr>
            </w:r>
          </w:p>
        </w:tc>
        <w:tc>
          <w:tcPr>
            <w:tcW w:w="1320" w:type="dxa"/>
            <w:tcBorders>
              <w:top w:val="nil" w:sz="6" w:space="0" w:color="auto"/>
              <w:left w:val="nil" w:sz="6" w:space="0" w:color="auto"/>
              <w:bottom w:val="single" w:sz="8" w:space="0" w:color="000000"/>
              <w:right w:val="nil" w:sz="6" w:space="0" w:color="auto"/>
            </w:tcBorders>
          </w:tcPr>
          <w:p>
            <w:pPr/>
          </w:p>
        </w:tc>
      </w:tr>
      <w:tr>
        <w:trPr>
          <w:trHeight w:val="460" w:hRule="exact"/>
        </w:trPr>
        <w:tc>
          <w:tcPr>
            <w:tcW w:w="4253" w:type="dxa"/>
            <w:gridSpan w:val="3"/>
            <w:tcBorders>
              <w:top w:val="nil" w:sz="6" w:space="0" w:color="auto"/>
              <w:left w:val="nil" w:sz="6" w:space="0" w:color="auto"/>
              <w:bottom w:val="nil" w:sz="6" w:space="0" w:color="auto"/>
              <w:right w:val="nil" w:sz="6" w:space="0" w:color="auto"/>
            </w:tcBorders>
          </w:tcPr>
          <w:p>
            <w:pPr>
              <w:pStyle w:val="TableParagraph"/>
              <w:spacing w:line="60" w:lineRule="exact"/>
              <w:ind w:left="693"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p>
            <w:pPr>
              <w:pStyle w:val="TableParagraph"/>
              <w:tabs>
                <w:tab w:pos="3718" w:val="left" w:leader="none"/>
              </w:tabs>
              <w:spacing w:line="213" w:lineRule="exact"/>
              <w:ind w:left="2421" w:right="0"/>
              <w:jc w:val="left"/>
              <w:rPr>
                <w:rFonts w:ascii="宋体" w:hAnsi="宋体" w:cs="宋体" w:eastAsia="宋体" w:hint="default"/>
                <w:sz w:val="18"/>
                <w:szCs w:val="18"/>
              </w:rPr>
            </w:pPr>
            <w:r>
              <w:rPr>
                <w:rFonts w:ascii="宋体" w:hAnsi="宋体" w:cs="宋体" w:eastAsia="宋体" w:hint="default"/>
                <w:sz w:val="18"/>
                <w:szCs w:val="18"/>
              </w:rPr>
              <w:t>原币金额</w:t>
              <w:tab/>
            </w:r>
            <w:r>
              <w:rPr>
                <w:rFonts w:ascii="宋体" w:hAnsi="宋体" w:cs="宋体" w:eastAsia="宋体" w:hint="default"/>
                <w:position w:val="11"/>
                <w:sz w:val="18"/>
                <w:szCs w:val="18"/>
              </w:rPr>
              <w:t>折算</w:t>
            </w:r>
            <w:r>
              <w:rPr>
                <w:rFonts w:ascii="宋体" w:hAnsi="宋体" w:cs="宋体" w:eastAsia="宋体" w:hint="default"/>
                <w:sz w:val="18"/>
                <w:szCs w:val="18"/>
              </w:rPr>
            </w:r>
          </w:p>
          <w:p>
            <w:pPr>
              <w:pStyle w:val="TableParagraph"/>
              <w:tabs>
                <w:tab w:pos="3460" w:val="left" w:leader="none"/>
                <w:tab w:pos="4149" w:val="left" w:leader="none"/>
              </w:tabs>
              <w:spacing w:line="174" w:lineRule="exact"/>
              <w:ind w:left="2006"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u w:val="thick" w:color="000000"/>
              </w:rPr>
              <w:t> </w:t>
            </w:r>
            <w:r>
              <w:rPr>
                <w:rFonts w:ascii="Times New Roman" w:hAnsi="Times New Roman" w:cs="Times New Roman" w:eastAsia="Times New Roman" w:hint="default"/>
                <w:sz w:val="18"/>
                <w:szCs w:val="18"/>
                <w:u w:val="thick" w:color="000000"/>
              </w:rPr>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w w:val="99"/>
                <w:sz w:val="18"/>
                <w:szCs w:val="18"/>
              </w:rPr>
            </w:r>
            <w:r>
              <w:rPr>
                <w:rFonts w:ascii="Times New Roman" w:hAnsi="Times New Roman" w:cs="Times New Roman" w:eastAsia="Times New Roman" w:hint="default"/>
                <w:w w:val="99"/>
                <w:sz w:val="18"/>
                <w:szCs w:val="18"/>
                <w:u w:val="thick" w:color="000000"/>
              </w:rPr>
              <w:t> </w:t>
            </w:r>
            <w:r>
              <w:rPr>
                <w:rFonts w:ascii="Times New Roman" w:hAnsi="Times New Roman" w:cs="Times New Roman" w:eastAsia="Times New Roman" w:hint="default"/>
                <w:sz w:val="18"/>
                <w:szCs w:val="18"/>
                <w:u w:val="thick" w:color="000000"/>
              </w:rPr>
              <w:t> </w:t>
            </w:r>
            <w:r>
              <w:rPr>
                <w:rFonts w:ascii="Times New Roman" w:hAnsi="Times New Roman" w:cs="Times New Roman" w:eastAsia="Times New Roman" w:hint="default"/>
                <w:spacing w:val="-11"/>
                <w:sz w:val="18"/>
                <w:szCs w:val="18"/>
                <w:u w:val="thick" w:color="000000"/>
              </w:rPr>
              <w:t> </w:t>
            </w:r>
            <w:r>
              <w:rPr>
                <w:rFonts w:ascii="宋体" w:hAnsi="宋体" w:cs="宋体" w:eastAsia="宋体" w:hint="default"/>
                <w:sz w:val="18"/>
                <w:szCs w:val="18"/>
                <w:u w:val="thick" w:color="000000"/>
              </w:rPr>
              <w:t>汇率</w:t>
              <w:tab/>
            </w:r>
            <w:r>
              <w:rPr>
                <w:rFonts w:ascii="宋体" w:hAnsi="宋体" w:cs="宋体" w:eastAsia="宋体" w:hint="default"/>
                <w:sz w:val="18"/>
                <w:szCs w:val="18"/>
              </w:rPr>
            </w:r>
          </w:p>
        </w:tc>
        <w:tc>
          <w:tcPr>
            <w:tcW w:w="3860" w:type="dxa"/>
            <w:gridSpan w:val="3"/>
            <w:tcBorders>
              <w:top w:val="single" w:sz="8" w:space="0" w:color="000000"/>
              <w:left w:val="nil" w:sz="6" w:space="0" w:color="auto"/>
              <w:bottom w:val="nil" w:sz="6" w:space="0" w:color="auto"/>
              <w:right w:val="nil" w:sz="6" w:space="0" w:color="auto"/>
            </w:tcBorders>
          </w:tcPr>
          <w:p>
            <w:pPr>
              <w:pStyle w:val="TableParagraph"/>
              <w:tabs>
                <w:tab w:pos="1883" w:val="left" w:leader="none"/>
                <w:tab w:pos="3128" w:val="left" w:leader="none"/>
              </w:tabs>
              <w:spacing w:line="263" w:lineRule="exact"/>
              <w:ind w:left="16" w:right="0"/>
              <w:jc w:val="center"/>
              <w:rPr>
                <w:rFonts w:ascii="宋体" w:hAnsi="宋体" w:cs="宋体" w:eastAsia="宋体" w:hint="default"/>
                <w:sz w:val="18"/>
                <w:szCs w:val="18"/>
              </w:rPr>
            </w:pPr>
            <w:r>
              <w:rPr>
                <w:rFonts w:ascii="宋体" w:hAnsi="宋体" w:cs="宋体" w:eastAsia="宋体" w:hint="default"/>
                <w:sz w:val="18"/>
                <w:szCs w:val="18"/>
              </w:rPr>
              <w:t>折合人民币金额</w:t>
              <w:tab/>
              <w:t>原币金额</w:t>
              <w:tab/>
            </w:r>
            <w:r>
              <w:rPr>
                <w:rFonts w:ascii="宋体" w:hAnsi="宋体" w:cs="宋体" w:eastAsia="宋体" w:hint="default"/>
                <w:position w:val="11"/>
                <w:sz w:val="18"/>
                <w:szCs w:val="18"/>
              </w:rPr>
              <w:t>折算</w:t>
            </w:r>
            <w:r>
              <w:rPr>
                <w:rFonts w:ascii="宋体" w:hAnsi="宋体" w:cs="宋体" w:eastAsia="宋体" w:hint="default"/>
                <w:sz w:val="18"/>
                <w:szCs w:val="18"/>
              </w:rPr>
            </w:r>
          </w:p>
          <w:p>
            <w:pPr>
              <w:pStyle w:val="TableParagraph"/>
              <w:tabs>
                <w:tab w:pos="1664" w:val="left" w:leader="none"/>
                <w:tab w:pos="3040" w:val="left" w:leader="none"/>
                <w:tab w:pos="3743" w:val="left" w:leader="none"/>
              </w:tabs>
              <w:spacing w:line="174" w:lineRule="exact"/>
              <w:ind w:left="-1" w:right="114"/>
              <w:jc w:val="center"/>
              <w:rPr>
                <w:rFonts w:ascii="宋体" w:hAnsi="宋体" w:cs="宋体" w:eastAsia="宋体" w:hint="default"/>
                <w:sz w:val="18"/>
                <w:szCs w:val="18"/>
              </w:rPr>
            </w:pP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u w:val="thick" w:color="000000"/>
              </w:rPr>
              <w:t> </w:t>
            </w:r>
            <w:r>
              <w:rPr>
                <w:rFonts w:ascii="Times New Roman" w:hAnsi="Times New Roman" w:cs="Times New Roman" w:eastAsia="Times New Roman" w:hint="default"/>
                <w:sz w:val="18"/>
                <w:szCs w:val="18"/>
                <w:u w:val="thick" w:color="000000"/>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pacing w:val="11"/>
                <w:w w:val="99"/>
                <w:sz w:val="18"/>
                <w:szCs w:val="18"/>
              </w:rPr>
            </w:r>
            <w:r>
              <w:rPr>
                <w:rFonts w:ascii="Times New Roman" w:hAnsi="Times New Roman" w:cs="Times New Roman" w:eastAsia="Times New Roman" w:hint="default"/>
                <w:w w:val="99"/>
                <w:sz w:val="18"/>
                <w:szCs w:val="18"/>
                <w:u w:val="thick" w:color="000000"/>
              </w:rPr>
              <w:t> </w:t>
            </w:r>
            <w:r>
              <w:rPr>
                <w:rFonts w:ascii="Times New Roman" w:hAnsi="Times New Roman" w:cs="Times New Roman" w:eastAsia="Times New Roman" w:hint="default"/>
                <w:sz w:val="18"/>
                <w:szCs w:val="18"/>
                <w:u w:val="thick" w:color="000000"/>
              </w:rPr>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pacing w:val="12"/>
                <w:w w:val="99"/>
                <w:sz w:val="18"/>
                <w:szCs w:val="18"/>
              </w:rPr>
            </w:r>
            <w:r>
              <w:rPr>
                <w:rFonts w:ascii="Times New Roman" w:hAnsi="Times New Roman" w:cs="Times New Roman" w:eastAsia="Times New Roman" w:hint="default"/>
                <w:w w:val="99"/>
                <w:sz w:val="18"/>
                <w:szCs w:val="18"/>
                <w:u w:val="thick" w:color="000000"/>
              </w:rPr>
              <w:t> </w:t>
            </w:r>
            <w:r>
              <w:rPr>
                <w:rFonts w:ascii="Times New Roman" w:hAnsi="Times New Roman" w:cs="Times New Roman" w:eastAsia="Times New Roman" w:hint="default"/>
                <w:sz w:val="18"/>
                <w:szCs w:val="18"/>
                <w:u w:val="thick" w:color="000000"/>
              </w:rPr>
              <w:t> </w:t>
            </w:r>
            <w:r>
              <w:rPr>
                <w:rFonts w:ascii="Times New Roman" w:hAnsi="Times New Roman" w:cs="Times New Roman" w:eastAsia="Times New Roman" w:hint="default"/>
                <w:spacing w:val="-11"/>
                <w:sz w:val="18"/>
                <w:szCs w:val="18"/>
                <w:u w:val="thick" w:color="000000"/>
              </w:rPr>
              <w:t> </w:t>
            </w:r>
            <w:r>
              <w:rPr>
                <w:rFonts w:ascii="宋体" w:hAnsi="宋体" w:cs="宋体" w:eastAsia="宋体" w:hint="default"/>
                <w:sz w:val="18"/>
                <w:szCs w:val="18"/>
                <w:u w:val="thick" w:color="000000"/>
              </w:rPr>
              <w:t>汇率</w:t>
              <w:tab/>
            </w:r>
            <w:r>
              <w:rPr>
                <w:rFonts w:ascii="宋体" w:hAnsi="宋体" w:cs="宋体" w:eastAsia="宋体" w:hint="default"/>
                <w:sz w:val="18"/>
                <w:szCs w:val="18"/>
              </w:rPr>
            </w:r>
          </w:p>
        </w:tc>
        <w:tc>
          <w:tcPr>
            <w:tcW w:w="1320" w:type="dxa"/>
            <w:tcBorders>
              <w:top w:val="single" w:sz="8" w:space="0" w:color="000000"/>
              <w:left w:val="nil" w:sz="6" w:space="0" w:color="auto"/>
              <w:bottom w:val="nil" w:sz="6" w:space="0" w:color="auto"/>
              <w:right w:val="nil" w:sz="6" w:space="0" w:color="auto"/>
            </w:tcBorders>
          </w:tcPr>
          <w:p>
            <w:pPr>
              <w:pStyle w:val="TableParagraph"/>
              <w:spacing w:line="207" w:lineRule="exact"/>
              <w:ind w:left="14" w:right="0"/>
              <w:jc w:val="center"/>
              <w:rPr>
                <w:rFonts w:ascii="宋体" w:hAnsi="宋体" w:cs="宋体" w:eastAsia="宋体" w:hint="default"/>
                <w:sz w:val="18"/>
                <w:szCs w:val="18"/>
              </w:rPr>
            </w:pPr>
            <w:r>
              <w:rPr>
                <w:rFonts w:ascii="宋体" w:hAnsi="宋体" w:cs="宋体" w:eastAsia="宋体" w:hint="default"/>
                <w:sz w:val="18"/>
                <w:szCs w:val="18"/>
              </w:rPr>
              <w:t>折合人民币金</w:t>
            </w:r>
          </w:p>
          <w:p>
            <w:pPr>
              <w:pStyle w:val="TableParagraph"/>
              <w:tabs>
                <w:tab w:pos="575" w:val="left" w:leader="none"/>
                <w:tab w:pos="1319" w:val="left" w:leader="none"/>
              </w:tabs>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u w:val="thick" w:color="000000"/>
              </w:rPr>
              <w:t> </w:t>
            </w:r>
            <w:r>
              <w:rPr>
                <w:rFonts w:ascii="Times New Roman" w:hAnsi="Times New Roman" w:cs="Times New Roman" w:eastAsia="Times New Roman" w:hint="default"/>
                <w:sz w:val="18"/>
                <w:szCs w:val="18"/>
                <w:u w:val="thick" w:color="000000"/>
              </w:rPr>
              <w:tab/>
            </w:r>
            <w:r>
              <w:rPr>
                <w:rFonts w:ascii="宋体" w:hAnsi="宋体" w:cs="宋体" w:eastAsia="宋体" w:hint="default"/>
                <w:sz w:val="18"/>
                <w:szCs w:val="18"/>
                <w:u w:val="thick" w:color="000000"/>
              </w:rPr>
              <w:t>额</w:t>
              <w:tab/>
            </w:r>
            <w:r>
              <w:rPr>
                <w:rFonts w:ascii="宋体" w:hAnsi="宋体" w:cs="宋体" w:eastAsia="宋体" w:hint="default"/>
                <w:sz w:val="18"/>
                <w:szCs w:val="18"/>
              </w:rPr>
            </w:r>
          </w:p>
        </w:tc>
      </w:tr>
      <w:tr>
        <w:trPr>
          <w:trHeight w:val="348" w:hRule="exact"/>
        </w:trPr>
        <w:tc>
          <w:tcPr>
            <w:tcW w:w="1919"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622" w:right="0"/>
              <w:jc w:val="left"/>
              <w:rPr>
                <w:rFonts w:ascii="Times New Roman" w:hAnsi="Times New Roman" w:cs="Times New Roman" w:eastAsia="Times New Roman" w:hint="default"/>
                <w:sz w:val="18"/>
                <w:szCs w:val="18"/>
              </w:rPr>
            </w:pPr>
            <w:r>
              <w:rPr>
                <w:rFonts w:ascii="Times New Roman"/>
                <w:sz w:val="18"/>
              </w:rPr>
              <w:t>110,387.99</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0" w:right="0"/>
              <w:jc w:val="center"/>
              <w:rPr>
                <w:rFonts w:ascii="Times New Roman" w:hAnsi="Times New Roman" w:cs="Times New Roman" w:eastAsia="Times New Roman" w:hint="default"/>
                <w:sz w:val="18"/>
                <w:szCs w:val="18"/>
              </w:rPr>
            </w:pPr>
            <w:r>
              <w:rPr>
                <w:rFonts w:ascii="Times New Roman"/>
                <w:sz w:val="18"/>
              </w:rPr>
              <w:t>1.00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5"/>
              <w:jc w:val="right"/>
              <w:rPr>
                <w:rFonts w:ascii="Times New Roman" w:hAnsi="Times New Roman" w:cs="Times New Roman" w:eastAsia="Times New Roman" w:hint="default"/>
                <w:sz w:val="18"/>
                <w:szCs w:val="18"/>
              </w:rPr>
            </w:pPr>
            <w:r>
              <w:rPr>
                <w:rFonts w:ascii="Times New Roman"/>
                <w:w w:val="95"/>
                <w:sz w:val="18"/>
              </w:rPr>
              <w:t>110,387.99</w:t>
            </w:r>
            <w:r>
              <w:rPr>
                <w:rFonts w:ascii="Times New Roman"/>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26"/>
              <w:jc w:val="right"/>
              <w:rPr>
                <w:rFonts w:ascii="Times New Roman" w:hAnsi="Times New Roman" w:cs="Times New Roman" w:eastAsia="Times New Roman" w:hint="default"/>
                <w:sz w:val="18"/>
                <w:szCs w:val="18"/>
              </w:rPr>
            </w:pPr>
            <w:r>
              <w:rPr>
                <w:rFonts w:ascii="Times New Roman"/>
                <w:w w:val="95"/>
                <w:sz w:val="18"/>
              </w:rPr>
              <w:t>114,175.99</w:t>
            </w:r>
            <w:r>
              <w:rPr>
                <w:rFonts w:ascii="Times New Roman"/>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Times New Roman" w:hAnsi="Times New Roman" w:cs="Times New Roman" w:eastAsia="Times New Roman" w:hint="default"/>
                <w:sz w:val="18"/>
                <w:szCs w:val="18"/>
              </w:rPr>
            </w:pPr>
            <w:r>
              <w:rPr>
                <w:rFonts w:ascii="Times New Roman"/>
                <w:spacing w:val="-1"/>
                <w:sz w:val="18"/>
              </w:rPr>
              <w:t>114,175.99</w:t>
            </w:r>
          </w:p>
        </w:tc>
      </w:tr>
      <w:tr>
        <w:trPr>
          <w:trHeight w:val="338" w:hRule="exact"/>
        </w:trPr>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803" w:right="0"/>
              <w:jc w:val="left"/>
              <w:rPr>
                <w:rFonts w:ascii="Times New Roman" w:hAnsi="Times New Roman" w:cs="Times New Roman" w:eastAsia="Times New Roman" w:hint="default"/>
                <w:sz w:val="18"/>
                <w:szCs w:val="18"/>
              </w:rPr>
            </w:pPr>
            <w:r>
              <w:rPr>
                <w:rFonts w:ascii="Times New Roman"/>
                <w:sz w:val="18"/>
              </w:rPr>
              <w:t>6,609.00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 w:right="0"/>
              <w:jc w:val="center"/>
              <w:rPr>
                <w:rFonts w:ascii="Times New Roman" w:hAnsi="Times New Roman" w:cs="Times New Roman" w:eastAsia="Times New Roman" w:hint="default"/>
                <w:sz w:val="18"/>
                <w:szCs w:val="18"/>
              </w:rPr>
            </w:pPr>
            <w:r>
              <w:rPr>
                <w:rFonts w:ascii="Times New Roman"/>
                <w:sz w:val="18"/>
              </w:rPr>
              <w:t>7.30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5"/>
              <w:jc w:val="right"/>
              <w:rPr>
                <w:rFonts w:ascii="Times New Roman" w:hAnsi="Times New Roman" w:cs="Times New Roman" w:eastAsia="Times New Roman" w:hint="default"/>
                <w:sz w:val="18"/>
                <w:szCs w:val="18"/>
              </w:rPr>
            </w:pPr>
            <w:r>
              <w:rPr>
                <w:rFonts w:ascii="Times New Roman"/>
                <w:w w:val="95"/>
                <w:sz w:val="18"/>
              </w:rPr>
              <w:t>48,276.10</w:t>
            </w:r>
            <w:r>
              <w:rPr>
                <w:rFonts w:ascii="Times New Roman"/>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6"/>
              <w:jc w:val="right"/>
              <w:rPr>
                <w:rFonts w:ascii="Times New Roman" w:hAnsi="Times New Roman" w:cs="Times New Roman" w:eastAsia="Times New Roman" w:hint="default"/>
                <w:sz w:val="18"/>
                <w:szCs w:val="18"/>
              </w:rPr>
            </w:pPr>
            <w:r>
              <w:rPr>
                <w:rFonts w:ascii="Times New Roman"/>
                <w:w w:val="95"/>
                <w:sz w:val="18"/>
              </w:rPr>
              <w:t>1,125.00</w:t>
            </w:r>
            <w:r>
              <w:rPr>
                <w:rFonts w:ascii="Times New Roman"/>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7"/>
              <w:jc w:val="right"/>
              <w:rPr>
                <w:rFonts w:ascii="Times New Roman" w:hAnsi="Times New Roman" w:cs="Times New Roman" w:eastAsia="Times New Roman" w:hint="default"/>
                <w:sz w:val="18"/>
                <w:szCs w:val="18"/>
              </w:rPr>
            </w:pPr>
            <w:r>
              <w:rPr>
                <w:rFonts w:ascii="Times New Roman"/>
                <w:w w:val="95"/>
                <w:sz w:val="18"/>
              </w:rPr>
              <w:t>7.81</w:t>
            </w:r>
            <w:r>
              <w:rPr>
                <w:rFonts w:ascii="Times New Roman"/>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8"/>
              <w:jc w:val="right"/>
              <w:rPr>
                <w:rFonts w:ascii="Times New Roman" w:hAnsi="Times New Roman" w:cs="Times New Roman" w:eastAsia="Times New Roman" w:hint="default"/>
                <w:sz w:val="18"/>
                <w:szCs w:val="18"/>
              </w:rPr>
            </w:pPr>
            <w:r>
              <w:rPr>
                <w:rFonts w:ascii="Times New Roman"/>
                <w:spacing w:val="-1"/>
                <w:sz w:val="18"/>
              </w:rPr>
              <w:t>8,784.79</w:t>
            </w:r>
          </w:p>
        </w:tc>
      </w:tr>
      <w:tr>
        <w:trPr>
          <w:trHeight w:val="328" w:hRule="exact"/>
        </w:trPr>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22" w:right="0"/>
              <w:jc w:val="left"/>
              <w:rPr>
                <w:rFonts w:ascii="Times New Roman" w:hAnsi="Times New Roman" w:cs="Times New Roman" w:eastAsia="Times New Roman" w:hint="default"/>
                <w:sz w:val="18"/>
                <w:szCs w:val="18"/>
              </w:rPr>
            </w:pPr>
            <w:r>
              <w:rPr>
                <w:rFonts w:ascii="Times New Roman"/>
                <w:sz w:val="18"/>
              </w:rPr>
              <w:t>563,326.00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center"/>
              <w:rPr>
                <w:rFonts w:ascii="Times New Roman" w:hAnsi="Times New Roman" w:cs="Times New Roman" w:eastAsia="Times New Roman" w:hint="default"/>
                <w:sz w:val="18"/>
                <w:szCs w:val="18"/>
              </w:rPr>
            </w:pPr>
            <w:r>
              <w:rPr>
                <w:rFonts w:ascii="Times New Roman"/>
                <w:sz w:val="18"/>
              </w:rPr>
              <w:t>0.06</w:t>
            </w:r>
          </w:p>
        </w:tc>
        <w:tc>
          <w:tcPr>
            <w:tcW w:w="1664"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55"/>
              <w:jc w:val="right"/>
              <w:rPr>
                <w:rFonts w:ascii="Times New Roman" w:hAnsi="Times New Roman" w:cs="Times New Roman" w:eastAsia="Times New Roman" w:hint="default"/>
                <w:sz w:val="18"/>
                <w:szCs w:val="18"/>
              </w:rPr>
            </w:pPr>
            <w:r>
              <w:rPr>
                <w:rFonts w:ascii="Times New Roman"/>
                <w:w w:val="95"/>
                <w:sz w:val="18"/>
              </w:rPr>
              <w:t>36,088.92</w:t>
            </w:r>
            <w:r>
              <w:rPr>
                <w:rFonts w:ascii="Times New Roman"/>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Times New Roman" w:hAnsi="Times New Roman" w:cs="Times New Roman" w:eastAsia="Times New Roman" w:hint="default"/>
                <w:sz w:val="18"/>
                <w:szCs w:val="18"/>
              </w:rPr>
            </w:pPr>
            <w:r>
              <w:rPr>
                <w:rFonts w:ascii="Times New Roman"/>
                <w:w w:val="95"/>
                <w:sz w:val="18"/>
              </w:rPr>
              <w:t>624,326.07</w:t>
            </w:r>
            <w:r>
              <w:rPr>
                <w:rFonts w:ascii="Times New Roman"/>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7"/>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1320"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68"/>
              <w:jc w:val="right"/>
              <w:rPr>
                <w:rFonts w:ascii="Times New Roman" w:hAnsi="Times New Roman" w:cs="Times New Roman" w:eastAsia="Times New Roman" w:hint="default"/>
                <w:sz w:val="18"/>
                <w:szCs w:val="18"/>
              </w:rPr>
            </w:pPr>
            <w:r>
              <w:rPr>
                <w:rFonts w:ascii="Times New Roman"/>
                <w:spacing w:val="-1"/>
                <w:sz w:val="18"/>
              </w:rPr>
              <w:t>40,974.52</w:t>
            </w:r>
          </w:p>
        </w:tc>
      </w:tr>
      <w:tr>
        <w:trPr>
          <w:trHeight w:val="338" w:hRule="exact"/>
        </w:trPr>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02" w:right="0"/>
              <w:jc w:val="left"/>
              <w:rPr>
                <w:rFonts w:ascii="宋体" w:hAnsi="宋体" w:cs="宋体" w:eastAsia="宋体" w:hint="default"/>
                <w:sz w:val="18"/>
                <w:szCs w:val="18"/>
              </w:rPr>
            </w:pPr>
            <w:r>
              <w:rPr>
                <w:rFonts w:ascii="宋体" w:hAnsi="宋体" w:cs="宋体" w:eastAsia="宋体" w:hint="default"/>
                <w:sz w:val="18"/>
                <w:szCs w:val="18"/>
              </w:rPr>
              <w:t>现金小计</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2" w:type="dxa"/>
            <w:tcBorders>
              <w:top w:val="nil" w:sz="6" w:space="0" w:color="auto"/>
              <w:left w:val="nil" w:sz="6" w:space="0" w:color="auto"/>
              <w:bottom w:val="nil" w:sz="6" w:space="0" w:color="auto"/>
              <w:right w:val="nil" w:sz="6" w:space="0" w:color="auto"/>
            </w:tcBorders>
          </w:tcPr>
          <w:p>
            <w:pPr/>
          </w:p>
        </w:tc>
        <w:tc>
          <w:tcPr>
            <w:tcW w:w="1664"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54"/>
              <w:jc w:val="right"/>
              <w:rPr>
                <w:rFonts w:ascii="Times New Roman" w:hAnsi="Times New Roman" w:cs="Times New Roman" w:eastAsia="Times New Roman" w:hint="default"/>
                <w:sz w:val="18"/>
                <w:szCs w:val="18"/>
              </w:rPr>
            </w:pPr>
            <w:r>
              <w:rPr>
                <w:rFonts w:ascii="Times New Roman"/>
                <w:w w:val="95"/>
                <w:sz w:val="18"/>
              </w:rPr>
              <w:t>194,753.01</w:t>
            </w:r>
            <w:r>
              <w:rPr>
                <w:rFonts w:ascii="Times New Roman"/>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nil" w:sz="6" w:space="0" w:color="auto"/>
              <w:left w:val="nil" w:sz="6" w:space="0" w:color="auto"/>
              <w:bottom w:val="nil" w:sz="6" w:space="0" w:color="auto"/>
              <w:right w:val="nil" w:sz="6" w:space="0" w:color="auto"/>
            </w:tcBorders>
          </w:tcPr>
          <w:p>
            <w:pPr/>
          </w:p>
        </w:tc>
        <w:tc>
          <w:tcPr>
            <w:tcW w:w="1320"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66"/>
              <w:jc w:val="right"/>
              <w:rPr>
                <w:rFonts w:ascii="Times New Roman" w:hAnsi="Times New Roman" w:cs="Times New Roman" w:eastAsia="Times New Roman" w:hint="default"/>
                <w:sz w:val="18"/>
                <w:szCs w:val="18"/>
              </w:rPr>
            </w:pPr>
            <w:r>
              <w:rPr>
                <w:rFonts w:ascii="Times New Roman"/>
                <w:spacing w:val="-1"/>
                <w:sz w:val="18"/>
              </w:rPr>
              <w:t>163,935.30</w:t>
            </w:r>
          </w:p>
        </w:tc>
      </w:tr>
      <w:tr>
        <w:trPr>
          <w:trHeight w:val="348" w:hRule="exact"/>
        </w:trPr>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4" w:right="0"/>
              <w:jc w:val="left"/>
              <w:rPr>
                <w:rFonts w:ascii="宋体" w:hAnsi="宋体" w:cs="宋体" w:eastAsia="宋体" w:hint="default"/>
                <w:sz w:val="18"/>
                <w:szCs w:val="18"/>
              </w:rPr>
            </w:pPr>
            <w:r>
              <w:rPr>
                <w:rFonts w:ascii="宋体" w:hAnsi="宋体" w:cs="宋体" w:eastAsia="宋体" w:hint="default"/>
                <w:sz w:val="18"/>
                <w:szCs w:val="18"/>
              </w:rPr>
              <w:t>银行存款</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03" w:right="0"/>
              <w:jc w:val="left"/>
              <w:rPr>
                <w:rFonts w:ascii="Times New Roman" w:hAnsi="Times New Roman" w:cs="Times New Roman" w:eastAsia="Times New Roman" w:hint="default"/>
                <w:sz w:val="18"/>
                <w:szCs w:val="18"/>
              </w:rPr>
            </w:pPr>
            <w:r>
              <w:rPr>
                <w:rFonts w:ascii="Times New Roman"/>
                <w:sz w:val="18"/>
              </w:rPr>
              <w:t>160,803,037.13</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0" w:right="0"/>
              <w:jc w:val="center"/>
              <w:rPr>
                <w:rFonts w:ascii="Times New Roman" w:hAnsi="Times New Roman" w:cs="Times New Roman" w:eastAsia="Times New Roman" w:hint="default"/>
                <w:sz w:val="18"/>
                <w:szCs w:val="18"/>
              </w:rPr>
            </w:pPr>
            <w:r>
              <w:rPr>
                <w:rFonts w:ascii="Times New Roman"/>
                <w:sz w:val="18"/>
              </w:rPr>
              <w:t>1.00</w:t>
            </w:r>
          </w:p>
        </w:tc>
        <w:tc>
          <w:tcPr>
            <w:tcW w:w="1664"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51"/>
              <w:jc w:val="right"/>
              <w:rPr>
                <w:rFonts w:ascii="Times New Roman" w:hAnsi="Times New Roman" w:cs="Times New Roman" w:eastAsia="Times New Roman" w:hint="default"/>
                <w:sz w:val="18"/>
                <w:szCs w:val="18"/>
              </w:rPr>
            </w:pPr>
            <w:r>
              <w:rPr>
                <w:rFonts w:ascii="Times New Roman"/>
                <w:sz w:val="18"/>
              </w:rPr>
              <w:t>160,803,037.13</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21"/>
              <w:jc w:val="right"/>
              <w:rPr>
                <w:rFonts w:ascii="Times New Roman" w:hAnsi="Times New Roman" w:cs="Times New Roman" w:eastAsia="Times New Roman" w:hint="default"/>
                <w:sz w:val="18"/>
                <w:szCs w:val="18"/>
              </w:rPr>
            </w:pPr>
            <w:r>
              <w:rPr>
                <w:rFonts w:ascii="Times New Roman"/>
                <w:sz w:val="18"/>
              </w:rPr>
              <w:t>51,301,606.80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1"/>
              <w:jc w:val="righ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61"/>
              <w:jc w:val="right"/>
              <w:rPr>
                <w:rFonts w:ascii="Times New Roman" w:hAnsi="Times New Roman" w:cs="Times New Roman" w:eastAsia="Times New Roman" w:hint="default"/>
                <w:sz w:val="18"/>
                <w:szCs w:val="18"/>
              </w:rPr>
            </w:pPr>
            <w:r>
              <w:rPr>
                <w:rFonts w:ascii="Times New Roman"/>
                <w:sz w:val="18"/>
              </w:rPr>
              <w:t>51,301,606.80</w:t>
            </w:r>
          </w:p>
        </w:tc>
      </w:tr>
      <w:tr>
        <w:trPr>
          <w:trHeight w:val="338" w:hRule="exact"/>
        </w:trPr>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85" w:right="0"/>
              <w:jc w:val="left"/>
              <w:rPr>
                <w:rFonts w:ascii="Times New Roman" w:hAnsi="Times New Roman" w:cs="Times New Roman" w:eastAsia="Times New Roman" w:hint="default"/>
                <w:sz w:val="18"/>
                <w:szCs w:val="18"/>
              </w:rPr>
            </w:pPr>
            <w:r>
              <w:rPr>
                <w:rFonts w:ascii="Times New Roman"/>
                <w:sz w:val="18"/>
              </w:rPr>
              <w:t>9,387,450.00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 w:right="0"/>
              <w:jc w:val="center"/>
              <w:rPr>
                <w:rFonts w:ascii="Times New Roman" w:hAnsi="Times New Roman" w:cs="Times New Roman" w:eastAsia="Times New Roman" w:hint="default"/>
                <w:sz w:val="18"/>
                <w:szCs w:val="18"/>
              </w:rPr>
            </w:pPr>
            <w:r>
              <w:rPr>
                <w:rFonts w:ascii="Times New Roman"/>
                <w:sz w:val="18"/>
              </w:rPr>
              <w:t>0.06</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5"/>
              <w:jc w:val="right"/>
              <w:rPr>
                <w:rFonts w:ascii="Times New Roman" w:hAnsi="Times New Roman" w:cs="Times New Roman" w:eastAsia="Times New Roman" w:hint="default"/>
                <w:sz w:val="18"/>
                <w:szCs w:val="18"/>
              </w:rPr>
            </w:pPr>
            <w:r>
              <w:rPr>
                <w:rFonts w:ascii="Times New Roman"/>
                <w:w w:val="95"/>
                <w:sz w:val="18"/>
              </w:rPr>
              <w:t>601,397.60</w:t>
            </w:r>
            <w:r>
              <w:rPr>
                <w:rFonts w:ascii="Times New Roman"/>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6"/>
              <w:jc w:val="right"/>
              <w:rPr>
                <w:rFonts w:ascii="Times New Roman" w:hAnsi="Times New Roman" w:cs="Times New Roman" w:eastAsia="Times New Roman" w:hint="default"/>
                <w:sz w:val="18"/>
                <w:szCs w:val="18"/>
              </w:rPr>
            </w:pPr>
            <w:r>
              <w:rPr>
                <w:rFonts w:ascii="Times New Roman"/>
                <w:w w:val="95"/>
                <w:sz w:val="18"/>
              </w:rPr>
              <w:t>7,286,306.41</w:t>
            </w:r>
            <w:r>
              <w:rPr>
                <w:rFonts w:ascii="Times New Roman"/>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6"/>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8"/>
              <w:jc w:val="right"/>
              <w:rPr>
                <w:rFonts w:ascii="Times New Roman" w:hAnsi="Times New Roman" w:cs="Times New Roman" w:eastAsia="Times New Roman" w:hint="default"/>
                <w:sz w:val="18"/>
                <w:szCs w:val="18"/>
              </w:rPr>
            </w:pPr>
            <w:r>
              <w:rPr>
                <w:rFonts w:ascii="Times New Roman"/>
                <w:spacing w:val="-1"/>
                <w:sz w:val="18"/>
              </w:rPr>
              <w:t>478,200.29</w:t>
            </w:r>
          </w:p>
        </w:tc>
      </w:tr>
      <w:tr>
        <w:trPr>
          <w:trHeight w:val="328" w:hRule="exact"/>
        </w:trPr>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64"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8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1"/>
              <w:jc w:val="right"/>
              <w:rPr>
                <w:rFonts w:ascii="Times New Roman" w:hAnsi="Times New Roman" w:cs="Times New Roman" w:eastAsia="Times New Roman" w:hint="default"/>
                <w:sz w:val="18"/>
                <w:szCs w:val="18"/>
              </w:rPr>
            </w:pPr>
            <w:r>
              <w:rPr>
                <w:rFonts w:ascii="Times New Roman"/>
                <w:w w:val="95"/>
                <w:sz w:val="18"/>
              </w:rPr>
              <w:t>0.88</w:t>
            </w:r>
            <w:r>
              <w:rPr>
                <w:rFonts w:ascii="Times New Roman"/>
                <w:sz w:val="18"/>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3"/>
              <w:jc w:val="right"/>
              <w:rPr>
                <w:rFonts w:ascii="Times New Roman" w:hAnsi="Times New Roman" w:cs="Times New Roman" w:eastAsia="Times New Roman" w:hint="default"/>
                <w:sz w:val="18"/>
                <w:szCs w:val="18"/>
              </w:rPr>
            </w:pPr>
            <w:r>
              <w:rPr>
                <w:rFonts w:ascii="Times New Roman"/>
                <w:w w:val="95"/>
                <w:sz w:val="18"/>
              </w:rPr>
              <w:t>10.26</w:t>
            </w:r>
            <w:r>
              <w:rPr>
                <w:rFonts w:ascii="Times New Roman"/>
                <w:sz w:val="18"/>
              </w:rPr>
            </w:r>
          </w:p>
        </w:tc>
        <w:tc>
          <w:tcPr>
            <w:tcW w:w="1320"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63"/>
              <w:jc w:val="right"/>
              <w:rPr>
                <w:rFonts w:ascii="Times New Roman" w:hAnsi="Times New Roman" w:cs="Times New Roman" w:eastAsia="Times New Roman" w:hint="default"/>
                <w:sz w:val="18"/>
                <w:szCs w:val="18"/>
              </w:rPr>
            </w:pPr>
            <w:r>
              <w:rPr>
                <w:rFonts w:ascii="Times New Roman"/>
                <w:w w:val="95"/>
                <w:sz w:val="18"/>
              </w:rPr>
              <w:t>9.03</w:t>
            </w:r>
            <w:r>
              <w:rPr>
                <w:rFonts w:ascii="Times New Roman"/>
                <w:sz w:val="18"/>
              </w:rPr>
            </w:r>
          </w:p>
        </w:tc>
      </w:tr>
      <w:tr>
        <w:trPr>
          <w:trHeight w:val="338" w:hRule="exact"/>
        </w:trPr>
        <w:tc>
          <w:tcPr>
            <w:tcW w:w="9433" w:type="dxa"/>
            <w:gridSpan w:val="7"/>
            <w:tcBorders>
              <w:top w:val="nil" w:sz="6" w:space="0" w:color="auto"/>
              <w:left w:val="nil" w:sz="6" w:space="0" w:color="auto"/>
              <w:bottom w:val="nil" w:sz="6" w:space="0" w:color="auto"/>
              <w:right w:val="nil" w:sz="6" w:space="0" w:color="auto"/>
            </w:tcBorders>
          </w:tcPr>
          <w:p>
            <w:pPr>
              <w:pStyle w:val="TableParagraph"/>
              <w:tabs>
                <w:tab w:pos="3223" w:val="left" w:leader="none"/>
                <w:tab w:pos="4726" w:val="left" w:leader="none"/>
                <w:tab w:pos="7049" w:val="left" w:leader="none"/>
                <w:tab w:pos="8321" w:val="left" w:leader="none"/>
              </w:tabs>
              <w:spacing w:line="240" w:lineRule="auto" w:before="36"/>
              <w:ind w:left="420" w:right="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银行存款小计</w:t>
              <w:tab/>
            </w:r>
            <w:r>
              <w:rPr>
                <w:rFonts w:ascii="Times New Roman" w:hAnsi="Times New Roman" w:cs="Times New Roman" w:eastAsia="Times New Roman" w:hint="default"/>
                <w:w w:val="95"/>
                <w:position w:val="2"/>
                <w:sz w:val="18"/>
                <w:szCs w:val="18"/>
              </w:rPr>
              <w:t>-</w:t>
              <w:tab/>
            </w:r>
            <w:r>
              <w:rPr>
                <w:rFonts w:ascii="Times New Roman" w:hAnsi="Times New Roman" w:cs="Times New Roman" w:eastAsia="Times New Roman" w:hint="default"/>
                <w:spacing w:val="-1"/>
                <w:position w:val="2"/>
                <w:sz w:val="18"/>
                <w:szCs w:val="18"/>
              </w:rPr>
              <w:t>161,404,434.73</w:t>
              <w:tab/>
            </w:r>
            <w:r>
              <w:rPr>
                <w:rFonts w:ascii="Times New Roman" w:hAnsi="Times New Roman" w:cs="Times New Roman" w:eastAsia="Times New Roman" w:hint="default"/>
                <w:w w:val="95"/>
                <w:position w:val="2"/>
                <w:sz w:val="18"/>
                <w:szCs w:val="18"/>
              </w:rPr>
              <w:t>-</w:t>
              <w:tab/>
            </w:r>
            <w:r>
              <w:rPr>
                <w:rFonts w:ascii="Times New Roman" w:hAnsi="Times New Roman" w:cs="Times New Roman" w:eastAsia="Times New Roman" w:hint="default"/>
                <w:position w:val="2"/>
                <w:sz w:val="18"/>
                <w:szCs w:val="18"/>
              </w:rPr>
              <w:t>51,779,816.12</w:t>
            </w:r>
            <w:r>
              <w:rPr>
                <w:rFonts w:ascii="Times New Roman" w:hAnsi="Times New Roman" w:cs="Times New Roman" w:eastAsia="Times New Roman" w:hint="default"/>
                <w:sz w:val="18"/>
                <w:szCs w:val="18"/>
              </w:rPr>
            </w:r>
          </w:p>
        </w:tc>
      </w:tr>
      <w:tr>
        <w:trPr>
          <w:trHeight w:val="338" w:hRule="exact"/>
        </w:trPr>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94" w:right="0"/>
              <w:jc w:val="left"/>
              <w:rPr>
                <w:rFonts w:ascii="Times New Roman" w:hAnsi="Times New Roman" w:cs="Times New Roman" w:eastAsia="Times New Roman" w:hint="default"/>
                <w:sz w:val="18"/>
                <w:szCs w:val="18"/>
              </w:rPr>
            </w:pPr>
            <w:r>
              <w:rPr>
                <w:rFonts w:ascii="Times New Roman"/>
                <w:sz w:val="18"/>
              </w:rPr>
              <w:t>16,872,013.36</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1" w:right="0"/>
              <w:jc w:val="center"/>
              <w:rPr>
                <w:rFonts w:ascii="Times New Roman" w:hAnsi="Times New Roman" w:cs="Times New Roman" w:eastAsia="Times New Roman" w:hint="default"/>
                <w:sz w:val="18"/>
                <w:szCs w:val="18"/>
              </w:rPr>
            </w:pPr>
            <w:r>
              <w:rPr>
                <w:rFonts w:ascii="Times New Roman"/>
                <w:sz w:val="18"/>
              </w:rPr>
              <w:t>1.00</w:t>
            </w:r>
          </w:p>
        </w:tc>
        <w:tc>
          <w:tcPr>
            <w:tcW w:w="1664"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54"/>
              <w:jc w:val="right"/>
              <w:rPr>
                <w:rFonts w:ascii="Times New Roman" w:hAnsi="Times New Roman" w:cs="Times New Roman" w:eastAsia="Times New Roman" w:hint="default"/>
                <w:sz w:val="18"/>
                <w:szCs w:val="18"/>
              </w:rPr>
            </w:pPr>
            <w:r>
              <w:rPr>
                <w:rFonts w:ascii="Times New Roman"/>
                <w:sz w:val="18"/>
              </w:rPr>
              <w:t>16,872,013.36</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25"/>
              <w:jc w:val="right"/>
              <w:rPr>
                <w:rFonts w:ascii="Times New Roman" w:hAnsi="Times New Roman" w:cs="Times New Roman" w:eastAsia="Times New Roman" w:hint="default"/>
                <w:sz w:val="18"/>
                <w:szCs w:val="18"/>
              </w:rPr>
            </w:pPr>
            <w:r>
              <w:rPr>
                <w:rFonts w:ascii="Times New Roman"/>
                <w:sz w:val="18"/>
              </w:rPr>
              <w:t>23,445,944.51</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5"/>
              <w:jc w:val="righ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66"/>
              <w:jc w:val="right"/>
              <w:rPr>
                <w:rFonts w:ascii="Times New Roman" w:hAnsi="Times New Roman" w:cs="Times New Roman" w:eastAsia="Times New Roman" w:hint="default"/>
                <w:sz w:val="18"/>
                <w:szCs w:val="18"/>
              </w:rPr>
            </w:pPr>
            <w:r>
              <w:rPr>
                <w:rFonts w:ascii="Times New Roman"/>
                <w:sz w:val="18"/>
              </w:rPr>
              <w:t>23,445,944.51</w:t>
            </w:r>
          </w:p>
        </w:tc>
      </w:tr>
      <w:tr>
        <w:trPr>
          <w:trHeight w:val="338" w:hRule="exact"/>
        </w:trPr>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39" w:right="0"/>
              <w:jc w:val="left"/>
              <w:rPr>
                <w:rFonts w:ascii="宋体" w:hAnsi="宋体" w:cs="宋体" w:eastAsia="宋体" w:hint="default"/>
                <w:sz w:val="18"/>
                <w:szCs w:val="18"/>
              </w:rPr>
            </w:pPr>
            <w:r>
              <w:rPr>
                <w:rFonts w:ascii="宋体" w:hAnsi="宋体" w:cs="宋体" w:eastAsia="宋体" w:hint="default"/>
                <w:sz w:val="18"/>
                <w:szCs w:val="18"/>
              </w:rPr>
              <w:t>其他货币资金小计</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2" w:type="dxa"/>
            <w:tcBorders>
              <w:top w:val="nil" w:sz="6" w:space="0" w:color="auto"/>
              <w:left w:val="nil" w:sz="6" w:space="0" w:color="auto"/>
              <w:bottom w:val="nil" w:sz="6" w:space="0" w:color="auto"/>
              <w:right w:val="nil" w:sz="6" w:space="0" w:color="auto"/>
            </w:tcBorders>
          </w:tcPr>
          <w:p>
            <w:pPr/>
          </w:p>
        </w:tc>
        <w:tc>
          <w:tcPr>
            <w:tcW w:w="1664"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55"/>
              <w:jc w:val="right"/>
              <w:rPr>
                <w:rFonts w:ascii="Times New Roman" w:hAnsi="Times New Roman" w:cs="Times New Roman" w:eastAsia="Times New Roman" w:hint="default"/>
                <w:sz w:val="18"/>
                <w:szCs w:val="18"/>
              </w:rPr>
            </w:pPr>
            <w:r>
              <w:rPr>
                <w:rFonts w:ascii="Times New Roman"/>
                <w:spacing w:val="-1"/>
                <w:sz w:val="18"/>
              </w:rPr>
              <w:t>16,872,013.36</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nil" w:sz="6" w:space="0" w:color="auto"/>
              <w:left w:val="nil" w:sz="6" w:space="0" w:color="auto"/>
              <w:bottom w:val="nil" w:sz="6" w:space="0" w:color="auto"/>
              <w:right w:val="nil" w:sz="6" w:space="0" w:color="auto"/>
            </w:tcBorders>
          </w:tcPr>
          <w:p>
            <w:pPr/>
          </w:p>
        </w:tc>
        <w:tc>
          <w:tcPr>
            <w:tcW w:w="1320" w:type="dxa"/>
            <w:tcBorders>
              <w:top w:val="single" w:sz="8" w:space="0" w:color="000000"/>
              <w:left w:val="nil" w:sz="6" w:space="0" w:color="auto"/>
              <w:bottom w:val="single" w:sz="8" w:space="0" w:color="000000"/>
              <w:right w:val="nil" w:sz="6" w:space="0" w:color="auto"/>
            </w:tcBorders>
          </w:tcPr>
          <w:p>
            <w:pPr>
              <w:pStyle w:val="TableParagraph"/>
              <w:spacing w:line="240" w:lineRule="auto" w:before="53"/>
              <w:ind w:right="66"/>
              <w:jc w:val="right"/>
              <w:rPr>
                <w:rFonts w:ascii="Times New Roman" w:hAnsi="Times New Roman" w:cs="Times New Roman" w:eastAsia="Times New Roman" w:hint="default"/>
                <w:sz w:val="18"/>
                <w:szCs w:val="18"/>
              </w:rPr>
            </w:pPr>
            <w:r>
              <w:rPr>
                <w:rFonts w:ascii="Times New Roman"/>
                <w:w w:val="95"/>
                <w:sz w:val="18"/>
              </w:rPr>
              <w:t>23,445,944.51</w:t>
            </w:r>
            <w:r>
              <w:rPr>
                <w:rFonts w:ascii="Times New Roman"/>
                <w:sz w:val="18"/>
              </w:rPr>
            </w:r>
          </w:p>
        </w:tc>
      </w:tr>
    </w:tbl>
    <w:p>
      <w:pPr>
        <w:tabs>
          <w:tab w:pos="4872" w:val="left" w:leader="none"/>
          <w:tab w:pos="8469" w:val="left" w:leader="none"/>
        </w:tabs>
        <w:spacing w:before="15"/>
        <w:ind w:left="88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w:t>
      </w:r>
      <w:r>
        <w:rPr>
          <w:rFonts w:ascii="宋体" w:hAnsi="宋体" w:cs="宋体" w:eastAsia="宋体" w:hint="default"/>
          <w:spacing w:val="4"/>
          <w:sz w:val="18"/>
          <w:szCs w:val="18"/>
        </w:rPr>
        <w:t> </w:t>
      </w:r>
      <w:r>
        <w:rPr>
          <w:rFonts w:ascii="宋体" w:hAnsi="宋体" w:cs="宋体" w:eastAsia="宋体" w:hint="default"/>
          <w:sz w:val="18"/>
          <w:szCs w:val="18"/>
        </w:rPr>
        <w:t>计</w:t>
        <w:tab/>
      </w:r>
      <w:r>
        <w:rPr>
          <w:rFonts w:ascii="Times New Roman" w:hAnsi="Times New Roman" w:cs="Times New Roman" w:eastAsia="Times New Roman" w:hint="default"/>
          <w:position w:val="2"/>
          <w:sz w:val="18"/>
          <w:szCs w:val="18"/>
        </w:rPr>
        <w:t>178,471,201.10</w:t>
        <w:tab/>
        <w:t>75,389,695.93</w:t>
      </w:r>
      <w:r>
        <w:rPr>
          <w:rFonts w:ascii="Times New Roman" w:hAnsi="Times New Roman" w:cs="Times New Roman" w:eastAsia="Times New Roman" w:hint="default"/>
          <w:sz w:val="18"/>
          <w:szCs w:val="18"/>
        </w:rPr>
      </w:r>
    </w:p>
    <w:p>
      <w:pPr>
        <w:spacing w:line="240" w:lineRule="auto" w:before="3"/>
        <w:rPr>
          <w:rFonts w:ascii="Times New Roman" w:hAnsi="Times New Roman" w:cs="Times New Roman" w:eastAsia="Times New Roman" w:hint="default"/>
          <w:sz w:val="3"/>
          <w:szCs w:val="3"/>
        </w:rPr>
      </w:pPr>
    </w:p>
    <w:p>
      <w:pPr>
        <w:tabs>
          <w:tab w:pos="8250" w:val="left" w:leader="none"/>
        </w:tabs>
        <w:spacing w:line="57" w:lineRule="exact"/>
        <w:ind w:left="4389" w:right="0" w:firstLine="0"/>
        <w:rPr>
          <w:rFonts w:ascii="Times New Roman" w:hAnsi="Times New Roman" w:cs="Times New Roman" w:eastAsia="Times New Roman" w:hint="default"/>
          <w:sz w:val="5"/>
          <w:szCs w:val="5"/>
        </w:rPr>
      </w:pPr>
      <w:r>
        <w:rPr>
          <w:rFonts w:ascii="Times New Roman"/>
          <w:position w:val="0"/>
          <w:sz w:val="5"/>
        </w:rPr>
        <w:pict>
          <v:group style="width:84.2pt;height:2.9pt;mso-position-horizontal-relative:char;mso-position-vertical-relative:line" coordorigin="0,0" coordsize="1684,58">
            <v:group style="position:absolute;left:10;top:10;width:1665;height:2" coordorigin="10,10" coordsize="1665,2">
              <v:shape style="position:absolute;left:10;top:10;width:1665;height:2" coordorigin="10,10" coordsize="1665,0" path="m10,10l1674,10e" filled="false" stroked="true" strokeweight=".96001pt" strokecolor="#000000">
                <v:path arrowok="t"/>
              </v:shape>
            </v:group>
            <v:group style="position:absolute;left:10;top:48;width:1665;height:2" coordorigin="10,48" coordsize="1665,2">
              <v:shape style="position:absolute;left:10;top:48;width:1665;height:2" coordorigin="10,48" coordsize="1665,0" path="m10,48l1674,48e" filled="false" stroked="true" strokeweight=".96001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66.9pt;height:2.9pt;mso-position-horizontal-relative:char;mso-position-vertical-relative:line" coordorigin="0,0" coordsize="1338,58">
            <v:group style="position:absolute;left:10;top:10;width:1319;height:2" coordorigin="10,10" coordsize="1319,2">
              <v:shape style="position:absolute;left:10;top:10;width:1319;height:2" coordorigin="10,10" coordsize="1319,0" path="m10,10l1328,10e" filled="false" stroked="true" strokeweight=".96001pt" strokecolor="#000000">
                <v:path arrowok="t"/>
              </v:shape>
            </v:group>
            <v:group style="position:absolute;left:10;top:48;width:1319;height:2" coordorigin="10,48" coordsize="1319,2">
              <v:shape style="position:absolute;left:10;top:48;width:1319;height:2" coordorigin="10,48" coordsize="1319,0" path="m10,48l1328,48e" filled="false" stroked="true" strokeweight=".96001pt" strokecolor="#000000">
                <v:path arrowok="t"/>
              </v:shape>
            </v:group>
          </v:group>
        </w:pict>
      </w:r>
      <w:r>
        <w:rPr>
          <w:rFonts w:ascii="Times New Roman"/>
          <w:position w:val="0"/>
          <w:sz w:val="5"/>
        </w:rPr>
      </w:r>
    </w:p>
    <w:p>
      <w:pPr>
        <w:pStyle w:val="BodyText"/>
        <w:spacing w:line="310" w:lineRule="exact" w:before="85"/>
        <w:ind w:right="1236" w:firstLine="421"/>
        <w:jc w:val="left"/>
      </w:pPr>
      <w:r>
        <w:rPr/>
        <w:t>货币资金年末数比年初数增加</w:t>
      </w:r>
      <w:r>
        <w:rPr>
          <w:spacing w:val="-30"/>
        </w:rPr>
        <w:t> </w:t>
      </w:r>
      <w:r>
        <w:rPr/>
        <w:t>136.73%，其主要原因是公开发行股票募集资</w:t>
      </w:r>
      <w:r>
        <w:rPr>
          <w:spacing w:val="-1"/>
          <w:w w:val="100"/>
        </w:rPr>
        <w:t> </w:t>
      </w:r>
      <w:r>
        <w:rPr/>
        <w:t>金补充了流动资金。</w:t>
      </w:r>
    </w:p>
    <w:p>
      <w:pPr>
        <w:pStyle w:val="Heading3"/>
        <w:spacing w:line="240" w:lineRule="auto" w:before="62"/>
        <w:ind w:left="681" w:right="4687"/>
        <w:jc w:val="left"/>
        <w:rPr>
          <w:b w:val="0"/>
          <w:bCs w:val="0"/>
        </w:rPr>
      </w:pPr>
      <w:r>
        <w:rPr/>
        <w:t>b)  </w:t>
      </w:r>
      <w:r>
        <w:rPr>
          <w:spacing w:val="6"/>
        </w:rPr>
        <w:t> </w:t>
      </w:r>
      <w:r>
        <w:rPr/>
        <w:t>应收票据</w:t>
      </w:r>
      <w:r>
        <w:rPr>
          <w:b w:val="0"/>
          <w:bCs w:val="0"/>
        </w:rPr>
      </w:r>
    </w:p>
    <w:p>
      <w:pPr>
        <w:pStyle w:val="BodyText"/>
        <w:spacing w:line="240" w:lineRule="auto" w:before="99"/>
        <w:ind w:left="617" w:right="0"/>
        <w:jc w:val="left"/>
      </w:pPr>
      <w:r>
        <w:rPr>
          <w:spacing w:val="11"/>
        </w:rPr>
        <w:t>截至 </w:t>
      </w:r>
      <w:r>
        <w:rPr/>
        <w:t>2006 年 12 月 31 </w:t>
      </w:r>
      <w:r>
        <w:rPr>
          <w:spacing w:val="73"/>
        </w:rPr>
        <w:t> </w:t>
      </w:r>
      <w:r>
        <w:rPr>
          <w:spacing w:val="21"/>
        </w:rPr>
        <w:t>日，已背书但尚未到期的应收票据总金额为</w:t>
      </w:r>
      <w:r>
        <w:rPr>
          <w:spacing w:val="-96"/>
        </w:rPr>
        <w:t> </w:t>
      </w:r>
      <w:r>
        <w:rPr/>
      </w:r>
    </w:p>
    <w:p>
      <w:pPr>
        <w:spacing w:after="0" w:line="240" w:lineRule="auto"/>
        <w:jc w:val="left"/>
        <w:sectPr>
          <w:footerReference w:type="default" r:id="rId48"/>
          <w:pgSz w:w="11910" w:h="16840"/>
          <w:pgMar w:footer="1712" w:header="840" w:top="1160" w:bottom="1900" w:left="1660" w:right="540"/>
          <w:pgNumType w:start="100"/>
        </w:sectPr>
      </w:pPr>
    </w:p>
    <w:p>
      <w:pPr>
        <w:pStyle w:val="BodyText"/>
        <w:spacing w:line="240" w:lineRule="auto" w:before="71"/>
        <w:ind w:right="0"/>
        <w:jc w:val="left"/>
      </w:pPr>
      <w:r>
        <w:rPr/>
        <w:t>1,285,364.86</w:t>
      </w:r>
      <w:r>
        <w:rPr>
          <w:spacing w:val="-65"/>
        </w:rPr>
        <w:t> </w:t>
      </w:r>
      <w:r>
        <w:rPr/>
        <w:t>元。</w:t>
      </w:r>
    </w:p>
    <w:p>
      <w:pPr>
        <w:pStyle w:val="Heading3"/>
        <w:spacing w:line="240" w:lineRule="auto" w:before="110"/>
        <w:ind w:left="681" w:right="0"/>
        <w:jc w:val="left"/>
        <w:rPr>
          <w:b w:val="0"/>
          <w:bCs w:val="0"/>
        </w:rPr>
      </w:pPr>
      <w:r>
        <w:rPr>
          <w:w w:val="110"/>
        </w:rPr>
        <w:t>c)</w:t>
      </w:r>
      <w:r>
        <w:rPr>
          <w:spacing w:val="37"/>
          <w:w w:val="110"/>
        </w:rPr>
        <w:t> </w:t>
      </w:r>
      <w:r>
        <w:rPr>
          <w:w w:val="110"/>
        </w:rPr>
        <w:t>应收账款</w:t>
      </w:r>
      <w:r>
        <w:rPr>
          <w:b w:val="0"/>
          <w:bCs w:val="0"/>
          <w:w w:val="110"/>
        </w:rPr>
      </w:r>
    </w:p>
    <w:p>
      <w:pPr>
        <w:pStyle w:val="BodyText"/>
        <w:spacing w:line="240" w:lineRule="auto" w:before="98"/>
        <w:ind w:left="617" w:right="0"/>
        <w:jc w:val="left"/>
      </w:pPr>
      <w:r>
        <w:rPr/>
        <w:t>（1）按类别列示应收账款明细情况</w:t>
      </w:r>
    </w:p>
    <w:p>
      <w:pPr>
        <w:spacing w:line="240" w:lineRule="auto" w:before="0"/>
        <w:rPr>
          <w:rFonts w:ascii="宋体" w:hAnsi="宋体" w:cs="宋体" w:eastAsia="宋体" w:hint="default"/>
          <w:sz w:val="11"/>
          <w:szCs w:val="11"/>
        </w:rPr>
      </w:pPr>
    </w:p>
    <w:p>
      <w:pPr>
        <w:spacing w:line="244" w:lineRule="exact" w:before="48"/>
        <w:ind w:left="3466" w:right="0" w:firstLine="0"/>
        <w:jc w:val="center"/>
        <w:rPr>
          <w:rFonts w:ascii="宋体" w:hAnsi="宋体" w:cs="宋体" w:eastAsia="宋体" w:hint="default"/>
          <w:sz w:val="19"/>
          <w:szCs w:val="19"/>
        </w:rPr>
      </w:pPr>
      <w:r>
        <w:rPr>
          <w:rFonts w:ascii="宋体" w:hAnsi="宋体" w:cs="宋体" w:eastAsia="宋体" w:hint="default"/>
          <w:w w:val="105"/>
          <w:sz w:val="19"/>
          <w:szCs w:val="19"/>
        </w:rPr>
        <w:t>年</w:t>
      </w:r>
      <w:r>
        <w:rPr>
          <w:rFonts w:ascii="宋体" w:hAnsi="宋体" w:cs="宋体" w:eastAsia="宋体" w:hint="default"/>
          <w:spacing w:val="-42"/>
          <w:w w:val="105"/>
          <w:sz w:val="19"/>
          <w:szCs w:val="19"/>
        </w:rPr>
        <w:t> </w:t>
      </w:r>
      <w:r>
        <w:rPr>
          <w:rFonts w:ascii="宋体" w:hAnsi="宋体" w:cs="宋体" w:eastAsia="宋体" w:hint="default"/>
          <w:w w:val="105"/>
          <w:sz w:val="19"/>
          <w:szCs w:val="19"/>
        </w:rPr>
        <w:t>末</w:t>
      </w:r>
      <w:r>
        <w:rPr>
          <w:rFonts w:ascii="宋体" w:hAnsi="宋体" w:cs="宋体" w:eastAsia="宋体" w:hint="default"/>
          <w:spacing w:val="-56"/>
          <w:w w:val="105"/>
          <w:sz w:val="19"/>
          <w:szCs w:val="19"/>
        </w:rPr>
        <w:t> </w:t>
      </w:r>
      <w:r>
        <w:rPr>
          <w:rFonts w:ascii="宋体" w:hAnsi="宋体" w:cs="宋体" w:eastAsia="宋体" w:hint="default"/>
          <w:w w:val="105"/>
          <w:sz w:val="19"/>
          <w:szCs w:val="19"/>
        </w:rPr>
        <w:t>数</w:t>
      </w:r>
      <w:r>
        <w:rPr>
          <w:rFonts w:ascii="宋体" w:hAnsi="宋体" w:cs="宋体" w:eastAsia="宋体" w:hint="default"/>
          <w:sz w:val="19"/>
          <w:szCs w:val="19"/>
        </w:rPr>
      </w:r>
    </w:p>
    <w:p>
      <w:pPr>
        <w:tabs>
          <w:tab w:pos="1908" w:val="left" w:leader="none"/>
        </w:tabs>
        <w:spacing w:line="240" w:lineRule="exact" w:before="0"/>
        <w:ind w:left="1505" w:right="0" w:firstLine="0"/>
        <w:jc w:val="left"/>
        <w:rPr>
          <w:rFonts w:ascii="宋体" w:hAnsi="宋体" w:cs="宋体" w:eastAsia="宋体" w:hint="default"/>
          <w:sz w:val="19"/>
          <w:szCs w:val="19"/>
        </w:rPr>
      </w:pPr>
      <w:r>
        <w:rPr/>
        <w:pict>
          <v:group style="position:absolute;margin-left:264.149994pt;margin-top:6.591127pt;width:290.8pt;height:1.45pt;mso-position-horizontal-relative:page;mso-position-vertical-relative:paragraph;z-index:3256" coordorigin="5283,132" coordsize="5816,29">
            <v:group style="position:absolute;left:5297;top:132;width:5788;height:2" coordorigin="5297,132" coordsize="5788,2">
              <v:shape style="position:absolute;left:5297;top:132;width:5788;height:2" coordorigin="5297,132" coordsize="5788,0" path="m5297,132l11084,132e" filled="false" stroked="true" strokeweight=".06pt" strokecolor="#000000">
                <v:path arrowok="t"/>
              </v:shape>
            </v:group>
            <v:group style="position:absolute;left:5297;top:146;width:5788;height:2" coordorigin="5297,146" coordsize="5788,2">
              <v:shape style="position:absolute;left:5297;top:146;width:5788;height:2" coordorigin="5297,146" coordsize="5788,0" path="m5297,146l11084,146e" filled="false" stroked="true" strokeweight="1.38pt" strokecolor="#000000">
                <v:path arrowok="t"/>
              </v:shape>
            </v:group>
            <w10:wrap type="none"/>
          </v:group>
        </w:pict>
      </w: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p>
      <w:pPr>
        <w:tabs>
          <w:tab w:pos="3960" w:val="left" w:leader="none"/>
          <w:tab w:pos="5125" w:val="left" w:leader="none"/>
          <w:tab w:pos="6249" w:val="left" w:leader="none"/>
          <w:tab w:pos="7919" w:val="left" w:leader="none"/>
        </w:tabs>
        <w:spacing w:line="244" w:lineRule="exact" w:before="0"/>
        <w:ind w:left="3543" w:right="0" w:firstLine="0"/>
        <w:jc w:val="center"/>
        <w:rPr>
          <w:rFonts w:ascii="宋体" w:hAnsi="宋体" w:cs="宋体" w:eastAsia="宋体" w:hint="default"/>
          <w:sz w:val="19"/>
          <w:szCs w:val="19"/>
        </w:rPr>
      </w:pPr>
      <w:r>
        <w:rPr>
          <w:rFonts w:ascii="宋体" w:hAnsi="宋体" w:cs="宋体" w:eastAsia="宋体" w:hint="default"/>
          <w:sz w:val="19"/>
          <w:szCs w:val="19"/>
        </w:rPr>
        <w:t>余</w:t>
        <w:tab/>
        <w:t>额</w:t>
        <w:tab/>
        <w:t>比例</w:t>
        <w:tab/>
      </w:r>
      <w:r>
        <w:rPr>
          <w:rFonts w:ascii="宋体" w:hAnsi="宋体" w:cs="宋体" w:eastAsia="宋体" w:hint="default"/>
          <w:spacing w:val="5"/>
          <w:sz w:val="19"/>
          <w:szCs w:val="19"/>
        </w:rPr>
        <w:t>坏账准备</w:t>
        <w:tab/>
      </w:r>
      <w:r>
        <w:rPr>
          <w:rFonts w:ascii="宋体" w:hAnsi="宋体" w:cs="宋体" w:eastAsia="宋体" w:hint="default"/>
          <w:w w:val="105"/>
          <w:sz w:val="19"/>
          <w:szCs w:val="19"/>
        </w:rPr>
        <w:t>净额</w:t>
      </w:r>
      <w:r>
        <w:rPr>
          <w:rFonts w:ascii="宋体" w:hAnsi="宋体" w:cs="宋体" w:eastAsia="宋体" w:hint="default"/>
          <w:sz w:val="19"/>
          <w:szCs w:val="19"/>
        </w:rPr>
      </w:r>
    </w:p>
    <w:p>
      <w:pPr>
        <w:spacing w:line="240" w:lineRule="auto" w:before="8"/>
        <w:rPr>
          <w:rFonts w:ascii="宋体" w:hAnsi="宋体" w:cs="宋体" w:eastAsia="宋体" w:hint="default"/>
          <w:sz w:val="8"/>
          <w:szCs w:val="8"/>
        </w:rPr>
      </w:pPr>
    </w:p>
    <w:p>
      <w:pPr>
        <w:spacing w:line="20" w:lineRule="exact"/>
        <w:ind w:left="144" w:right="0" w:firstLine="0"/>
        <w:rPr>
          <w:rFonts w:ascii="宋体" w:hAnsi="宋体" w:cs="宋体" w:eastAsia="宋体" w:hint="default"/>
          <w:sz w:val="2"/>
          <w:szCs w:val="2"/>
        </w:rPr>
      </w:pPr>
      <w:r>
        <w:rPr>
          <w:rFonts w:ascii="宋体"/>
          <w:sz w:val="2"/>
        </w:rPr>
        <w:pict>
          <v:group style="width:165.6pt;height:.75pt;mso-position-horizontal-relative:char;mso-position-vertical-relative:line" coordorigin="0,0" coordsize="3312,15">
            <v:group style="position:absolute;left:7;top:1;width:3298;height:2" coordorigin="7,1" coordsize="3298,2">
              <v:shape style="position:absolute;left:7;top:1;width:3298;height:2" coordorigin="7,1" coordsize="3298,0" path="m7,1l3305,1e" filled="false" stroked="true" strokeweight=".06pt" strokecolor="#000000">
                <v:path arrowok="t"/>
              </v:shape>
            </v:group>
            <v:group style="position:absolute;left:7;top:8;width:3298;height:2" coordorigin="7,8" coordsize="3298,2">
              <v:shape style="position:absolute;left:7;top:8;width:3298;height:2" coordorigin="7,8" coordsize="3298,0" path="m7,8l3305,8e" filled="false" stroked="true" strokeweight=".72003pt" strokecolor="#000000">
                <v:path arrowok="t"/>
              </v:shape>
            </v:group>
          </v:group>
        </w:pict>
      </w:r>
      <w:r>
        <w:rPr>
          <w:rFonts w:ascii="宋体"/>
          <w:sz w:val="2"/>
        </w:rPr>
      </w:r>
      <w:r>
        <w:rPr>
          <w:rFonts w:ascii="Times New Roman"/>
          <w:spacing w:val="165"/>
          <w:sz w:val="2"/>
        </w:rPr>
        <w:t> </w:t>
      </w:r>
      <w:r>
        <w:rPr>
          <w:rFonts w:ascii="宋体"/>
          <w:spacing w:val="165"/>
          <w:sz w:val="2"/>
        </w:rPr>
        <w:pict>
          <v:group style="width:85.65pt;height:.75pt;mso-position-horizontal-relative:char;mso-position-vertical-relative:line" coordorigin="0,0" coordsize="1713,15">
            <v:group style="position:absolute;left:7;top:1;width:1698;height:2" coordorigin="7,1" coordsize="1698,2">
              <v:shape style="position:absolute;left:7;top:1;width:1698;height:2" coordorigin="7,1" coordsize="1698,0" path="m7,1l1705,1e" filled="false" stroked="true" strokeweight=".06pt" strokecolor="#000000">
                <v:path arrowok="t"/>
              </v:shape>
            </v:group>
            <v:group style="position:absolute;left:7;top:8;width:1698;height:2" coordorigin="7,8" coordsize="1698,2">
              <v:shape style="position:absolute;left:7;top:8;width:1698;height:2" coordorigin="7,8" coordsize="1698,0" path="m7,8l1705,8e" filled="false" stroked="true" strokeweight=".72003pt" strokecolor="#000000">
                <v:path arrowok="t"/>
              </v:shape>
            </v:group>
          </v:group>
        </w:pict>
      </w:r>
      <w:r>
        <w:rPr>
          <w:rFonts w:ascii="宋体"/>
          <w:spacing w:val="165"/>
          <w:sz w:val="2"/>
        </w:rPr>
      </w:r>
      <w:r>
        <w:rPr>
          <w:rFonts w:ascii="Times New Roman"/>
          <w:spacing w:val="63"/>
          <w:sz w:val="2"/>
        </w:rPr>
        <w:t> </w:t>
      </w:r>
      <w:r>
        <w:rPr>
          <w:rFonts w:ascii="宋体"/>
          <w:spacing w:val="63"/>
          <w:sz w:val="2"/>
        </w:rPr>
        <w:pict>
          <v:group style="width:54.75pt;height:.75pt;mso-position-horizontal-relative:char;mso-position-vertical-relative:line" coordorigin="0,0" coordsize="1095,15">
            <v:group style="position:absolute;left:7;top:1;width:1080;height:2" coordorigin="7,1" coordsize="1080,2">
              <v:shape style="position:absolute;left:7;top:1;width:1080;height:2" coordorigin="7,1" coordsize="1080,0" path="m7,1l1087,1e" filled="false" stroked="true" strokeweight=".06pt" strokecolor="#000000">
                <v:path arrowok="t"/>
              </v:shape>
            </v:group>
            <v:group style="position:absolute;left:7;top:8;width:1080;height:2" coordorigin="7,8" coordsize="1080,2">
              <v:shape style="position:absolute;left:7;top:8;width:1080;height:2" coordorigin="7,8" coordsize="1080,0" path="m7,8l1087,8e" filled="false" stroked="true" strokeweight=".72pt" strokecolor="#000000">
                <v:path arrowok="t"/>
              </v:shape>
            </v:group>
          </v:group>
        </w:pict>
      </w:r>
      <w:r>
        <w:rPr>
          <w:rFonts w:ascii="宋体"/>
          <w:spacing w:val="63"/>
          <w:sz w:val="2"/>
        </w:rPr>
      </w:r>
      <w:r>
        <w:rPr>
          <w:rFonts w:ascii="Times New Roman"/>
          <w:spacing w:val="63"/>
          <w:sz w:val="2"/>
        </w:rPr>
        <w:t> </w:t>
      </w:r>
      <w:r>
        <w:rPr>
          <w:rFonts w:ascii="宋体"/>
          <w:spacing w:val="63"/>
          <w:sz w:val="2"/>
        </w:rPr>
        <w:pict>
          <v:group style="width:71.3pt;height:.75pt;mso-position-horizontal-relative:char;mso-position-vertical-relative:line" coordorigin="0,0" coordsize="1426,15">
            <v:group style="position:absolute;left:7;top:1;width:1412;height:2" coordorigin="7,1" coordsize="1412,2">
              <v:shape style="position:absolute;left:7;top:1;width:1412;height:2" coordorigin="7,1" coordsize="1412,0" path="m7,1l1418,1e" filled="false" stroked="true" strokeweight=".06pt" strokecolor="#000000">
                <v:path arrowok="t"/>
              </v:shape>
            </v:group>
            <v:group style="position:absolute;left:7;top:8;width:1412;height:2" coordorigin="7,8" coordsize="1412,2">
              <v:shape style="position:absolute;left:7;top:8;width:1412;height:2" coordorigin="7,8" coordsize="1412,0" path="m7,8l1418,8e" filled="false" stroked="true" strokeweight=".72pt" strokecolor="#000000">
                <v:path arrowok="t"/>
              </v:shape>
            </v:group>
          </v:group>
        </w:pict>
      </w:r>
      <w:r>
        <w:rPr>
          <w:rFonts w:ascii="宋体"/>
          <w:spacing w:val="63"/>
          <w:sz w:val="2"/>
        </w:rPr>
      </w:r>
      <w:r>
        <w:rPr>
          <w:rFonts w:ascii="Times New Roman"/>
          <w:spacing w:val="64"/>
          <w:sz w:val="2"/>
        </w:rPr>
        <w:t> </w:t>
      </w:r>
      <w:r>
        <w:rPr>
          <w:rFonts w:ascii="宋体"/>
          <w:spacing w:val="64"/>
          <w:sz w:val="2"/>
        </w:rPr>
        <w:pict>
          <v:group style="width:67.7pt;height:.75pt;mso-position-horizontal-relative:char;mso-position-vertical-relative:line" coordorigin="0,0" coordsize="1354,15">
            <v:group style="position:absolute;left:7;top:1;width:1340;height:2" coordorigin="7,1" coordsize="1340,2">
              <v:shape style="position:absolute;left:7;top:1;width:1340;height:2" coordorigin="7,1" coordsize="1340,0" path="m7,1l1346,1e" filled="false" stroked="true" strokeweight=".06pt" strokecolor="#000000">
                <v:path arrowok="t"/>
              </v:shape>
            </v:group>
            <v:group style="position:absolute;left:7;top:8;width:1340;height:2" coordorigin="7,8" coordsize="1340,2">
              <v:shape style="position:absolute;left:7;top:8;width:1340;height:2" coordorigin="7,8" coordsize="1340,0" path="m7,8l1346,8e" filled="false" stroked="true" strokeweight=".72003pt" strokecolor="#000000">
                <v:path arrowok="t"/>
              </v:shape>
            </v:group>
          </v:group>
        </w:pict>
      </w:r>
      <w:r>
        <w:rPr>
          <w:rFonts w:ascii="宋体"/>
          <w:spacing w:val="64"/>
          <w:sz w:val="2"/>
        </w:rPr>
      </w:r>
    </w:p>
    <w:p>
      <w:pPr>
        <w:tabs>
          <w:tab w:pos="4068" w:val="left" w:leader="none"/>
          <w:tab w:pos="5838" w:val="left" w:leader="none"/>
          <w:tab w:pos="6832" w:val="left" w:leader="none"/>
          <w:tab w:pos="8157" w:val="left" w:leader="none"/>
        </w:tabs>
        <w:spacing w:before="37"/>
        <w:ind w:left="180" w:right="0" w:firstLine="0"/>
        <w:jc w:val="left"/>
        <w:rPr>
          <w:rFonts w:ascii="Times New Roman" w:hAnsi="Times New Roman" w:cs="Times New Roman" w:eastAsia="Times New Roman" w:hint="default"/>
          <w:sz w:val="19"/>
          <w:szCs w:val="19"/>
        </w:rPr>
      </w:pPr>
      <w:r>
        <w:rPr>
          <w:rFonts w:ascii="宋体" w:hAnsi="宋体" w:cs="宋体" w:eastAsia="宋体" w:hint="default"/>
          <w:position w:val="-1"/>
          <w:sz w:val="18"/>
          <w:szCs w:val="18"/>
        </w:rPr>
        <w:t>单项金额重大的应收账款</w:t>
        <w:tab/>
      </w:r>
      <w:r>
        <w:rPr>
          <w:rFonts w:ascii="Times New Roman" w:hAnsi="Times New Roman" w:cs="Times New Roman" w:eastAsia="Times New Roman" w:hint="default"/>
          <w:w w:val="105"/>
          <w:sz w:val="19"/>
          <w:szCs w:val="19"/>
        </w:rPr>
        <w:t>42,748,406.08</w:t>
        <w:tab/>
        <w:t>67.89%</w:t>
        <w:tab/>
        <w:t>2,137,420.31</w:t>
        <w:tab/>
        <w:t>40,610,985.77</w:t>
      </w:r>
      <w:r>
        <w:rPr>
          <w:rFonts w:ascii="Times New Roman" w:hAnsi="Times New Roman" w:cs="Times New Roman" w:eastAsia="Times New Roman" w:hint="default"/>
          <w:sz w:val="19"/>
          <w:szCs w:val="19"/>
        </w:rPr>
      </w:r>
    </w:p>
    <w:p>
      <w:pPr>
        <w:spacing w:line="156" w:lineRule="exact" w:before="49"/>
        <w:ind w:left="180"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w:t>
      </w:r>
    </w:p>
    <w:p>
      <w:pPr>
        <w:tabs>
          <w:tab w:pos="6141" w:val="left" w:leader="none"/>
          <w:tab w:pos="7638" w:val="left" w:leader="none"/>
          <w:tab w:pos="9064" w:val="left" w:leader="none"/>
        </w:tabs>
        <w:spacing w:line="200" w:lineRule="exact" w:before="0"/>
        <w:ind w:left="4976" w:right="0" w:firstLine="0"/>
        <w:jc w:val="left"/>
        <w:rPr>
          <w:rFonts w:ascii="Times New Roman" w:hAnsi="Times New Roman" w:cs="Times New Roman" w:eastAsia="Times New Roman" w:hint="default"/>
          <w:sz w:val="19"/>
          <w:szCs w:val="19"/>
        </w:rPr>
      </w:pPr>
      <w:r>
        <w:rPr/>
        <w:pict>
          <v:shape style="position:absolute;margin-left:90.290001pt;margin-top:6.186189pt;width:463.95pt;height:48.75pt;mso-position-horizontal-relative:page;mso-position-vertical-relative:paragraph;z-index:33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91"/>
                    <w:gridCol w:w="1698"/>
                    <w:gridCol w:w="1166"/>
                    <w:gridCol w:w="1498"/>
                    <w:gridCol w:w="1426"/>
                  </w:tblGrid>
                  <w:tr>
                    <w:trPr>
                      <w:trHeight w:val="543"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18"/>
                            <w:szCs w:val="18"/>
                          </w:rPr>
                        </w:pPr>
                        <w:r>
                          <w:rPr>
                            <w:rFonts w:ascii="宋体" w:hAnsi="宋体" w:cs="宋体" w:eastAsia="宋体" w:hint="default"/>
                            <w:sz w:val="18"/>
                            <w:szCs w:val="18"/>
                          </w:rPr>
                          <w:t>后该组合的风险较大的应收账款</w:t>
                        </w:r>
                      </w:p>
                      <w:p>
                        <w:pPr>
                          <w:pStyle w:val="TableParagraph"/>
                          <w:spacing w:line="240" w:lineRule="auto" w:before="61"/>
                          <w:ind w:left="35"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698" w:type="dxa"/>
                        <w:tcBorders>
                          <w:top w:val="nil" w:sz="6" w:space="0" w:color="auto"/>
                          <w:left w:val="nil" w:sz="6" w:space="0" w:color="auto"/>
                          <w:bottom w:val="single" w:sz="5"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9"/>
                            <w:szCs w:val="19"/>
                          </w:rPr>
                        </w:pPr>
                        <w:r>
                          <w:rPr>
                            <w:rFonts w:ascii="Times New Roman"/>
                            <w:w w:val="105"/>
                            <w:sz w:val="19"/>
                          </w:rPr>
                          <w:t>20,220,073.81</w:t>
                        </w:r>
                        <w:r>
                          <w:rPr>
                            <w:rFonts w:ascii="Times New Roman"/>
                            <w:sz w:val="19"/>
                          </w:rPr>
                        </w:r>
                      </w:p>
                    </w:tc>
                    <w:tc>
                      <w:tcPr>
                        <w:tcW w:w="1166" w:type="dxa"/>
                        <w:tcBorders>
                          <w:top w:val="nil" w:sz="6" w:space="0" w:color="auto"/>
                          <w:left w:val="nil" w:sz="6" w:space="0" w:color="auto"/>
                          <w:bottom w:val="single" w:sz="5"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w w:val="105"/>
                            <w:sz w:val="19"/>
                          </w:rPr>
                          <w:t>32.11%</w:t>
                        </w:r>
                        <w:r>
                          <w:rPr>
                            <w:rFonts w:ascii="Times New Roman"/>
                            <w:sz w:val="19"/>
                          </w:rPr>
                        </w:r>
                      </w:p>
                    </w:tc>
                    <w:tc>
                      <w:tcPr>
                        <w:tcW w:w="1498" w:type="dxa"/>
                        <w:tcBorders>
                          <w:top w:val="nil" w:sz="6" w:space="0" w:color="auto"/>
                          <w:left w:val="nil" w:sz="6" w:space="0" w:color="auto"/>
                          <w:bottom w:val="single" w:sz="5"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9"/>
                            <w:szCs w:val="19"/>
                          </w:rPr>
                        </w:pPr>
                        <w:r>
                          <w:rPr>
                            <w:rFonts w:ascii="Times New Roman"/>
                            <w:w w:val="105"/>
                            <w:sz w:val="19"/>
                          </w:rPr>
                          <w:t>1,023,366.98</w:t>
                        </w:r>
                        <w:r>
                          <w:rPr>
                            <w:rFonts w:ascii="Times New Roman"/>
                            <w:sz w:val="19"/>
                          </w:rPr>
                        </w:r>
                      </w:p>
                    </w:tc>
                    <w:tc>
                      <w:tcPr>
                        <w:tcW w:w="1426" w:type="dxa"/>
                        <w:tcBorders>
                          <w:top w:val="nil" w:sz="6" w:space="0" w:color="auto"/>
                          <w:left w:val="nil" w:sz="6" w:space="0" w:color="auto"/>
                          <w:bottom w:val="single" w:sz="5"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1" w:right="0"/>
                          <w:jc w:val="center"/>
                          <w:rPr>
                            <w:rFonts w:ascii="Times New Roman" w:hAnsi="Times New Roman" w:cs="Times New Roman" w:eastAsia="Times New Roman" w:hint="default"/>
                            <w:sz w:val="19"/>
                            <w:szCs w:val="19"/>
                          </w:rPr>
                        </w:pPr>
                        <w:r>
                          <w:rPr>
                            <w:rFonts w:ascii="Times New Roman"/>
                            <w:w w:val="105"/>
                            <w:sz w:val="19"/>
                          </w:rPr>
                          <w:t>19,196,706.83</w:t>
                        </w:r>
                        <w:r>
                          <w:rPr>
                            <w:rFonts w:ascii="Times New Roman"/>
                            <w:sz w:val="19"/>
                          </w:rPr>
                        </w:r>
                      </w:p>
                    </w:tc>
                  </w:tr>
                  <w:tr>
                    <w:trPr>
                      <w:trHeight w:val="375"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2"/>
                          <w:jc w:val="center"/>
                          <w:rPr>
                            <w:rFonts w:ascii="宋体" w:hAnsi="宋体" w:cs="宋体" w:eastAsia="宋体" w:hint="default"/>
                            <w:sz w:val="19"/>
                            <w:szCs w:val="19"/>
                          </w:rPr>
                        </w:pPr>
                        <w:r>
                          <w:rPr>
                            <w:rFonts w:ascii="宋体" w:hAnsi="宋体" w:cs="宋体" w:eastAsia="宋体" w:hint="default"/>
                            <w:w w:val="105"/>
                            <w:sz w:val="19"/>
                            <w:szCs w:val="19"/>
                          </w:rPr>
                          <w:t>合 计</w:t>
                        </w:r>
                        <w:r>
                          <w:rPr>
                            <w:rFonts w:ascii="宋体" w:hAnsi="宋体" w:cs="宋体" w:eastAsia="宋体" w:hint="default"/>
                            <w:sz w:val="19"/>
                            <w:szCs w:val="19"/>
                          </w:rPr>
                        </w:r>
                      </w:p>
                    </w:tc>
                    <w:tc>
                      <w:tcPr>
                        <w:tcW w:w="1698" w:type="dxa"/>
                        <w:tcBorders>
                          <w:top w:val="single" w:sz="5" w:space="0" w:color="000000"/>
                          <w:left w:val="nil" w:sz="6" w:space="0" w:color="auto"/>
                          <w:bottom w:val="single" w:sz="23" w:space="0" w:color="000000"/>
                          <w:right w:val="nil" w:sz="6" w:space="0" w:color="auto"/>
                        </w:tcBorders>
                      </w:tcPr>
                      <w:p>
                        <w:pPr>
                          <w:pStyle w:val="TableParagraph"/>
                          <w:spacing w:line="240" w:lineRule="auto" w:before="57"/>
                          <w:ind w:right="100"/>
                          <w:jc w:val="right"/>
                          <w:rPr>
                            <w:rFonts w:ascii="Times New Roman" w:hAnsi="Times New Roman" w:cs="Times New Roman" w:eastAsia="Times New Roman" w:hint="default"/>
                            <w:sz w:val="19"/>
                            <w:szCs w:val="19"/>
                          </w:rPr>
                        </w:pPr>
                        <w:r>
                          <w:rPr>
                            <w:rFonts w:ascii="Times New Roman"/>
                            <w:w w:val="105"/>
                            <w:sz w:val="19"/>
                          </w:rPr>
                          <w:t>62,968,479.89</w:t>
                        </w:r>
                        <w:r>
                          <w:rPr>
                            <w:rFonts w:ascii="Times New Roman"/>
                            <w:sz w:val="19"/>
                          </w:rPr>
                        </w:r>
                      </w:p>
                    </w:tc>
                    <w:tc>
                      <w:tcPr>
                        <w:tcW w:w="1166" w:type="dxa"/>
                        <w:tcBorders>
                          <w:top w:val="single" w:sz="5" w:space="0" w:color="000000"/>
                          <w:left w:val="nil" w:sz="6" w:space="0" w:color="auto"/>
                          <w:bottom w:val="single" w:sz="23" w:space="0" w:color="000000"/>
                          <w:right w:val="nil" w:sz="6" w:space="0" w:color="auto"/>
                        </w:tcBorders>
                      </w:tcPr>
                      <w:p>
                        <w:pPr>
                          <w:pStyle w:val="TableParagraph"/>
                          <w:spacing w:line="240" w:lineRule="auto" w:before="57"/>
                          <w:ind w:right="33"/>
                          <w:jc w:val="right"/>
                          <w:rPr>
                            <w:rFonts w:ascii="Times New Roman" w:hAnsi="Times New Roman" w:cs="Times New Roman" w:eastAsia="Times New Roman" w:hint="default"/>
                            <w:sz w:val="19"/>
                            <w:szCs w:val="19"/>
                          </w:rPr>
                        </w:pPr>
                        <w:r>
                          <w:rPr>
                            <w:rFonts w:ascii="Times New Roman"/>
                            <w:w w:val="105"/>
                            <w:sz w:val="19"/>
                          </w:rPr>
                          <w:t>100.00%</w:t>
                        </w:r>
                        <w:r>
                          <w:rPr>
                            <w:rFonts w:ascii="Times New Roman"/>
                            <w:sz w:val="19"/>
                          </w:rPr>
                        </w:r>
                      </w:p>
                    </w:tc>
                    <w:tc>
                      <w:tcPr>
                        <w:tcW w:w="1498" w:type="dxa"/>
                        <w:tcBorders>
                          <w:top w:val="single" w:sz="5" w:space="0" w:color="000000"/>
                          <w:left w:val="nil" w:sz="6" w:space="0" w:color="auto"/>
                          <w:bottom w:val="single" w:sz="23" w:space="0" w:color="000000"/>
                          <w:right w:val="nil" w:sz="6" w:space="0" w:color="auto"/>
                        </w:tcBorders>
                      </w:tcPr>
                      <w:p>
                        <w:pPr>
                          <w:pStyle w:val="TableParagraph"/>
                          <w:spacing w:line="240" w:lineRule="auto" w:before="57"/>
                          <w:ind w:right="98"/>
                          <w:jc w:val="right"/>
                          <w:rPr>
                            <w:rFonts w:ascii="Times New Roman" w:hAnsi="Times New Roman" w:cs="Times New Roman" w:eastAsia="Times New Roman" w:hint="default"/>
                            <w:sz w:val="19"/>
                            <w:szCs w:val="19"/>
                          </w:rPr>
                        </w:pPr>
                        <w:r>
                          <w:rPr>
                            <w:rFonts w:ascii="Times New Roman"/>
                            <w:w w:val="105"/>
                            <w:sz w:val="19"/>
                          </w:rPr>
                          <w:t>3,160,787.28</w:t>
                        </w:r>
                        <w:r>
                          <w:rPr>
                            <w:rFonts w:ascii="Times New Roman"/>
                            <w:sz w:val="19"/>
                          </w:rPr>
                        </w:r>
                      </w:p>
                    </w:tc>
                    <w:tc>
                      <w:tcPr>
                        <w:tcW w:w="1426" w:type="dxa"/>
                        <w:tcBorders>
                          <w:top w:val="single" w:sz="5" w:space="0" w:color="000000"/>
                          <w:left w:val="nil" w:sz="6" w:space="0" w:color="auto"/>
                          <w:bottom w:val="single" w:sz="23" w:space="0" w:color="000000"/>
                          <w:right w:val="nil" w:sz="6" w:space="0" w:color="auto"/>
                        </w:tcBorders>
                      </w:tcPr>
                      <w:p>
                        <w:pPr>
                          <w:pStyle w:val="TableParagraph"/>
                          <w:spacing w:line="240" w:lineRule="auto" w:before="57"/>
                          <w:ind w:left="71" w:right="0"/>
                          <w:jc w:val="center"/>
                          <w:rPr>
                            <w:rFonts w:ascii="Times New Roman" w:hAnsi="Times New Roman" w:cs="Times New Roman" w:eastAsia="Times New Roman" w:hint="default"/>
                            <w:sz w:val="19"/>
                            <w:szCs w:val="19"/>
                          </w:rPr>
                        </w:pPr>
                        <w:r>
                          <w:rPr>
                            <w:rFonts w:ascii="Times New Roman"/>
                            <w:w w:val="105"/>
                            <w:sz w:val="19"/>
                          </w:rPr>
                          <w:t>59,807,692.61</w:t>
                        </w:r>
                        <w:r>
                          <w:rPr>
                            <w:rFonts w:ascii="Times New Roman"/>
                            <w:sz w:val="19"/>
                          </w:rPr>
                        </w:r>
                      </w:p>
                    </w:tc>
                  </w:tr>
                </w:tbl>
                <w:p>
                  <w:pPr/>
                </w:p>
              </w:txbxContent>
            </v:textbox>
            <w10:wrap type="none"/>
          </v:shape>
        </w:pict>
      </w:r>
      <w:r>
        <w:rPr>
          <w:rFonts w:ascii="Times New Roman"/>
          <w:sz w:val="19"/>
        </w:rPr>
        <w:t>-</w:t>
        <w:tab/>
        <w:t>-</w:t>
        <w:tab/>
        <w:t>-</w:t>
        <w:tab/>
      </w:r>
      <w:r>
        <w:rPr>
          <w:rFonts w:ascii="Times New Roman"/>
          <w:w w:val="105"/>
          <w:sz w:val="19"/>
        </w:rPr>
        <w:t>-</w:t>
      </w:r>
      <w:r>
        <w:rPr>
          <w:rFonts w:ascii="Times New Roman"/>
          <w:sz w:val="19"/>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4"/>
        <w:ind w:left="3518" w:right="0" w:firstLine="0"/>
        <w:jc w:val="center"/>
        <w:rPr>
          <w:rFonts w:ascii="宋体" w:hAnsi="宋体" w:cs="宋体" w:eastAsia="宋体" w:hint="default"/>
          <w:sz w:val="19"/>
          <w:szCs w:val="19"/>
        </w:rPr>
      </w:pPr>
      <w:r>
        <w:rPr>
          <w:rFonts w:ascii="宋体" w:hAnsi="宋体" w:cs="宋体" w:eastAsia="宋体" w:hint="default"/>
          <w:w w:val="105"/>
          <w:sz w:val="19"/>
          <w:szCs w:val="19"/>
        </w:rPr>
        <w:t>年</w:t>
      </w:r>
      <w:r>
        <w:rPr>
          <w:rFonts w:ascii="宋体" w:hAnsi="宋体" w:cs="宋体" w:eastAsia="宋体" w:hint="default"/>
          <w:spacing w:val="-42"/>
          <w:w w:val="105"/>
          <w:sz w:val="19"/>
          <w:szCs w:val="19"/>
        </w:rPr>
        <w:t> </w:t>
      </w:r>
      <w:r>
        <w:rPr>
          <w:rFonts w:ascii="宋体" w:hAnsi="宋体" w:cs="宋体" w:eastAsia="宋体" w:hint="default"/>
          <w:w w:val="105"/>
          <w:sz w:val="19"/>
          <w:szCs w:val="19"/>
        </w:rPr>
        <w:t>初</w:t>
      </w:r>
      <w:r>
        <w:rPr>
          <w:rFonts w:ascii="宋体" w:hAnsi="宋体" w:cs="宋体" w:eastAsia="宋体" w:hint="default"/>
          <w:spacing w:val="-42"/>
          <w:w w:val="105"/>
          <w:sz w:val="19"/>
          <w:szCs w:val="19"/>
        </w:rPr>
        <w:t> </w:t>
      </w:r>
      <w:r>
        <w:rPr>
          <w:rFonts w:ascii="宋体" w:hAnsi="宋体" w:cs="宋体" w:eastAsia="宋体" w:hint="default"/>
          <w:w w:val="105"/>
          <w:sz w:val="19"/>
          <w:szCs w:val="19"/>
        </w:rPr>
        <w:t>数</w:t>
      </w:r>
      <w:r>
        <w:rPr>
          <w:rFonts w:ascii="宋体" w:hAnsi="宋体" w:cs="宋体" w:eastAsia="宋体" w:hint="default"/>
          <w:sz w:val="19"/>
          <w:szCs w:val="19"/>
        </w:rPr>
      </w:r>
    </w:p>
    <w:p>
      <w:pPr>
        <w:tabs>
          <w:tab w:pos="1896" w:val="left" w:leader="none"/>
        </w:tabs>
        <w:spacing w:line="237" w:lineRule="exact" w:before="33"/>
        <w:ind w:left="1492" w:right="0" w:firstLine="0"/>
        <w:jc w:val="left"/>
        <w:rPr>
          <w:rFonts w:ascii="宋体" w:hAnsi="宋体" w:cs="宋体" w:eastAsia="宋体" w:hint="default"/>
          <w:sz w:val="19"/>
          <w:szCs w:val="19"/>
        </w:rPr>
      </w:pPr>
      <w:r>
        <w:rPr/>
        <w:pict>
          <v:group style="position:absolute;margin-left:262.799988pt;margin-top:6.2953pt;width:295.350pt;height:1.5pt;mso-position-horizontal-relative:page;mso-position-vertical-relative:paragraph;z-index:3280" coordorigin="5256,126" coordsize="5907,30">
            <v:group style="position:absolute;left:5270;top:127;width:5878;height:2" coordorigin="5270,127" coordsize="5878,2">
              <v:shape style="position:absolute;left:5270;top:127;width:5878;height:2" coordorigin="5270,127" coordsize="5878,0" path="m5270,127l11148,127e" filled="false" stroked="true" strokeweight=".06pt" strokecolor="#000000">
                <v:path arrowok="t"/>
              </v:shape>
            </v:group>
            <v:group style="position:absolute;left:5270;top:141;width:5878;height:2" coordorigin="5270,141" coordsize="5878,2">
              <v:shape style="position:absolute;left:5270;top:141;width:5878;height:2" coordorigin="5270,141" coordsize="5878,0" path="m5270,141l11148,141e" filled="false" stroked="true" strokeweight="1.44pt" strokecolor="#000000">
                <v:path arrowok="t"/>
              </v:shape>
            </v:group>
            <w10:wrap type="none"/>
          </v:group>
        </w:pict>
      </w: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p>
      <w:pPr>
        <w:tabs>
          <w:tab w:pos="4037" w:val="left" w:leader="none"/>
          <w:tab w:pos="5233" w:val="left" w:leader="none"/>
          <w:tab w:pos="6371" w:val="left" w:leader="none"/>
          <w:tab w:pos="8057" w:val="left" w:leader="none"/>
        </w:tabs>
        <w:spacing w:line="237" w:lineRule="exact" w:before="0"/>
        <w:ind w:left="3619" w:right="0" w:firstLine="0"/>
        <w:jc w:val="center"/>
        <w:rPr>
          <w:rFonts w:ascii="宋体" w:hAnsi="宋体" w:cs="宋体" w:eastAsia="宋体" w:hint="default"/>
          <w:sz w:val="19"/>
          <w:szCs w:val="19"/>
        </w:rPr>
      </w:pPr>
      <w:r>
        <w:rPr>
          <w:rFonts w:ascii="宋体" w:hAnsi="宋体" w:cs="宋体" w:eastAsia="宋体" w:hint="default"/>
          <w:sz w:val="19"/>
          <w:szCs w:val="19"/>
        </w:rPr>
        <w:t>余</w:t>
        <w:tab/>
        <w:t>额</w:t>
        <w:tab/>
      </w:r>
      <w:r>
        <w:rPr>
          <w:rFonts w:ascii="宋体" w:hAnsi="宋体" w:cs="宋体" w:eastAsia="宋体" w:hint="default"/>
          <w:w w:val="105"/>
          <w:sz w:val="19"/>
          <w:szCs w:val="19"/>
        </w:rPr>
        <w:t>比例</w:t>
        <w:tab/>
      </w:r>
      <w:r>
        <w:rPr>
          <w:rFonts w:ascii="宋体" w:hAnsi="宋体" w:cs="宋体" w:eastAsia="宋体" w:hint="default"/>
          <w:spacing w:val="5"/>
          <w:sz w:val="19"/>
          <w:szCs w:val="19"/>
        </w:rPr>
        <w:t>坏账准备</w:t>
        <w:tab/>
      </w:r>
      <w:r>
        <w:rPr>
          <w:rFonts w:ascii="宋体" w:hAnsi="宋体" w:cs="宋体" w:eastAsia="宋体" w:hint="default"/>
          <w:spacing w:val="8"/>
          <w:w w:val="105"/>
          <w:sz w:val="19"/>
          <w:szCs w:val="19"/>
        </w:rPr>
        <w:t>净额</w:t>
      </w:r>
      <w:r>
        <w:rPr>
          <w:rFonts w:ascii="宋体" w:hAnsi="宋体" w:cs="宋体" w:eastAsia="宋体" w:hint="default"/>
          <w:spacing w:val="8"/>
          <w:sz w:val="19"/>
          <w:szCs w:val="19"/>
        </w:rPr>
      </w:r>
    </w:p>
    <w:p>
      <w:pPr>
        <w:spacing w:line="240" w:lineRule="auto" w:before="11"/>
        <w:rPr>
          <w:rFonts w:ascii="宋体" w:hAnsi="宋体" w:cs="宋体" w:eastAsia="宋体" w:hint="default"/>
          <w:sz w:val="10"/>
          <w:szCs w:val="10"/>
        </w:rPr>
      </w:pPr>
    </w:p>
    <w:p>
      <w:pPr>
        <w:spacing w:line="28" w:lineRule="exact"/>
        <w:ind w:left="139" w:right="0" w:firstLine="0"/>
        <w:rPr>
          <w:rFonts w:ascii="宋体" w:hAnsi="宋体" w:cs="宋体" w:eastAsia="宋体" w:hint="default"/>
          <w:sz w:val="2"/>
          <w:szCs w:val="2"/>
        </w:rPr>
      </w:pPr>
      <w:r>
        <w:rPr>
          <w:rFonts w:ascii="宋体"/>
          <w:position w:val="0"/>
          <w:sz w:val="2"/>
        </w:rPr>
        <w:pict>
          <v:group style="width:164.9pt;height:1.45pt;mso-position-horizontal-relative:char;mso-position-vertical-relative:line" coordorigin="0,0" coordsize="3298,29">
            <v:group style="position:absolute;left:14;top:1;width:3270;height:2" coordorigin="14,1" coordsize="3270,2">
              <v:shape style="position:absolute;left:14;top:1;width:3270;height:2" coordorigin="14,1" coordsize="3270,0" path="m14,1l3284,1e" filled="false" stroked="true" strokeweight=".06pt" strokecolor="#000000">
                <v:path arrowok="t"/>
              </v:shape>
            </v:group>
            <v:group style="position:absolute;left:14;top:14;width:3270;height:2" coordorigin="14,14" coordsize="3270,2">
              <v:shape style="position:absolute;left:14;top:14;width:3270;height:2" coordorigin="14,14" coordsize="3270,0" path="m14,14l3284,14e" filled="false" stroked="true" strokeweight="1.38pt" strokecolor="#000000">
                <v:path arrowok="t"/>
              </v:shape>
            </v:group>
          </v:group>
        </w:pict>
      </w:r>
      <w:r>
        <w:rPr>
          <w:rFonts w:ascii="宋体"/>
          <w:position w:val="0"/>
          <w:sz w:val="2"/>
        </w:rPr>
      </w:r>
      <w:r>
        <w:rPr>
          <w:rFonts w:ascii="Times New Roman"/>
          <w:spacing w:val="162"/>
          <w:position w:val="0"/>
          <w:sz w:val="2"/>
        </w:rPr>
        <w:t> </w:t>
      </w:r>
      <w:r>
        <w:rPr>
          <w:rFonts w:ascii="宋体"/>
          <w:spacing w:val="162"/>
          <w:position w:val="0"/>
          <w:sz w:val="2"/>
        </w:rPr>
        <w:pict>
          <v:group style="width:89.3pt;height:1.45pt;mso-position-horizontal-relative:char;mso-position-vertical-relative:line" coordorigin="0,0" coordsize="1786,29">
            <v:group style="position:absolute;left:14;top:1;width:1758;height:2" coordorigin="14,1" coordsize="1758,2">
              <v:shape style="position:absolute;left:14;top:1;width:1758;height:2" coordorigin="14,1" coordsize="1758,0" path="m14,1l1772,1e" filled="false" stroked="true" strokeweight=".06pt" strokecolor="#000000">
                <v:path arrowok="t"/>
              </v:shape>
            </v:group>
            <v:group style="position:absolute;left:14;top:14;width:1758;height:2" coordorigin="14,14" coordsize="1758,2">
              <v:shape style="position:absolute;left:14;top:14;width:1758;height:2" coordorigin="14,14" coordsize="1758,0" path="m14,14l1772,14e" filled="false" stroked="true" strokeweight="1.38pt" strokecolor="#000000">
                <v:path arrowok="t"/>
              </v:shape>
            </v:group>
          </v:group>
        </w:pict>
      </w:r>
      <w:r>
        <w:rPr>
          <w:rFonts w:ascii="宋体"/>
          <w:spacing w:val="162"/>
          <w:position w:val="0"/>
          <w:sz w:val="2"/>
        </w:rPr>
      </w:r>
      <w:r>
        <w:rPr>
          <w:rFonts w:ascii="Times New Roman"/>
          <w:spacing w:val="61"/>
          <w:position w:val="0"/>
          <w:sz w:val="2"/>
        </w:rPr>
        <w:t> </w:t>
      </w:r>
      <w:r>
        <w:rPr>
          <w:rFonts w:ascii="宋体"/>
          <w:spacing w:val="61"/>
          <w:position w:val="0"/>
          <w:sz w:val="2"/>
        </w:rPr>
        <w:pict>
          <v:group style="width:54.7pt;height:1.45pt;mso-position-horizontal-relative:char;mso-position-vertical-relative:line" coordorigin="0,0" coordsize="1094,29">
            <v:group style="position:absolute;left:14;top:1;width:1066;height:2" coordorigin="14,1" coordsize="1066,2">
              <v:shape style="position:absolute;left:14;top:1;width:1066;height:2" coordorigin="14,1" coordsize="1066,0" path="m14,1l1079,1e" filled="false" stroked="true" strokeweight=".06pt" strokecolor="#000000">
                <v:path arrowok="t"/>
              </v:shape>
            </v:group>
            <v:group style="position:absolute;left:14;top:14;width:1066;height:2" coordorigin="14,14" coordsize="1066,2">
              <v:shape style="position:absolute;left:14;top:14;width:1066;height:2" coordorigin="14,14" coordsize="1066,0" path="m14,14l1079,14e" filled="false" stroked="true" strokeweight="1.38pt" strokecolor="#000000">
                <v:path arrowok="t"/>
              </v:shape>
            </v:group>
          </v:group>
        </w:pict>
      </w:r>
      <w:r>
        <w:rPr>
          <w:rFonts w:ascii="宋体"/>
          <w:spacing w:val="61"/>
          <w:position w:val="0"/>
          <w:sz w:val="2"/>
        </w:rPr>
      </w:r>
      <w:r>
        <w:rPr>
          <w:rFonts w:ascii="Times New Roman"/>
          <w:spacing w:val="75"/>
          <w:position w:val="0"/>
          <w:sz w:val="2"/>
        </w:rPr>
        <w:t> </w:t>
      </w:r>
      <w:r>
        <w:rPr>
          <w:rFonts w:ascii="宋体"/>
          <w:spacing w:val="75"/>
          <w:position w:val="0"/>
          <w:sz w:val="2"/>
        </w:rPr>
        <w:pict>
          <v:group style="width:73.45pt;height:1.45pt;mso-position-horizontal-relative:char;mso-position-vertical-relative:line" coordorigin="0,0" coordsize="1469,29">
            <v:group style="position:absolute;left:14;top:1;width:1442;height:2" coordorigin="14,1" coordsize="1442,2">
              <v:shape style="position:absolute;left:14;top:1;width:1442;height:2" coordorigin="14,1" coordsize="1442,0" path="m14,1l1455,1e" filled="false" stroked="true" strokeweight=".06pt" strokecolor="#000000">
                <v:path arrowok="t"/>
              </v:shape>
            </v:group>
            <v:group style="position:absolute;left:14;top:14;width:1442;height:2" coordorigin="14,14" coordsize="1442,2">
              <v:shape style="position:absolute;left:14;top:14;width:1442;height:2" coordorigin="14,14" coordsize="1442,0" path="m14,14l1455,14e" filled="false" stroked="true" strokeweight="1.38pt" strokecolor="#000000">
                <v:path arrowok="t"/>
              </v:shape>
            </v:group>
          </v:group>
        </w:pict>
      </w:r>
      <w:r>
        <w:rPr>
          <w:rFonts w:ascii="宋体"/>
          <w:spacing w:val="75"/>
          <w:position w:val="0"/>
          <w:sz w:val="2"/>
        </w:rPr>
      </w:r>
      <w:r>
        <w:rPr>
          <w:rFonts w:ascii="Times New Roman"/>
          <w:spacing w:val="61"/>
          <w:position w:val="0"/>
          <w:sz w:val="2"/>
        </w:rPr>
        <w:t> </w:t>
      </w:r>
      <w:r>
        <w:rPr>
          <w:rFonts w:ascii="宋体"/>
          <w:spacing w:val="61"/>
          <w:position w:val="0"/>
          <w:sz w:val="2"/>
        </w:rPr>
        <w:pict>
          <v:group style="width:68.350pt;height:1.45pt;mso-position-horizontal-relative:char;mso-position-vertical-relative:line" coordorigin="0,0" coordsize="1367,29">
            <v:group style="position:absolute;left:14;top:1;width:1340;height:2" coordorigin="14,1" coordsize="1340,2">
              <v:shape style="position:absolute;left:14;top:1;width:1340;height:2" coordorigin="14,1" coordsize="1340,0" path="m14,1l1353,1e" filled="false" stroked="true" strokeweight=".06pt" strokecolor="#000000">
                <v:path arrowok="t"/>
              </v:shape>
            </v:group>
            <v:group style="position:absolute;left:14;top:14;width:1340;height:2" coordorigin="14,14" coordsize="1340,2">
              <v:shape style="position:absolute;left:14;top:14;width:1340;height:2" coordorigin="14,14" coordsize="1340,0" path="m14,14l1353,14e" filled="false" stroked="true" strokeweight="1.38pt" strokecolor="#000000">
                <v:path arrowok="t"/>
              </v:shape>
            </v:group>
          </v:group>
        </w:pict>
      </w:r>
      <w:r>
        <w:rPr>
          <w:rFonts w:ascii="宋体"/>
          <w:spacing w:val="61"/>
          <w:position w:val="0"/>
          <w:sz w:val="2"/>
        </w:rPr>
      </w:r>
    </w:p>
    <w:p>
      <w:pPr>
        <w:tabs>
          <w:tab w:pos="4099" w:val="left" w:leader="none"/>
          <w:tab w:pos="5857" w:val="left" w:leader="none"/>
          <w:tab w:pos="6894" w:val="left" w:leader="none"/>
          <w:tab w:pos="8235" w:val="left" w:leader="none"/>
        </w:tabs>
        <w:spacing w:before="32"/>
        <w:ind w:left="181" w:right="0" w:firstLine="0"/>
        <w:jc w:val="left"/>
        <w:rPr>
          <w:rFonts w:ascii="Times New Roman" w:hAnsi="Times New Roman" w:cs="Times New Roman" w:eastAsia="Times New Roman" w:hint="default"/>
          <w:sz w:val="19"/>
          <w:szCs w:val="19"/>
        </w:rPr>
      </w:pPr>
      <w:r>
        <w:rPr>
          <w:rFonts w:ascii="宋体" w:hAnsi="宋体" w:cs="宋体" w:eastAsia="宋体" w:hint="default"/>
          <w:sz w:val="18"/>
          <w:szCs w:val="18"/>
        </w:rPr>
        <w:t>单项金额重大的应收账款</w:t>
        <w:tab/>
      </w:r>
      <w:r>
        <w:rPr>
          <w:rFonts w:ascii="Times New Roman" w:hAnsi="Times New Roman" w:cs="Times New Roman" w:eastAsia="Times New Roman" w:hint="default"/>
          <w:spacing w:val="2"/>
          <w:w w:val="105"/>
          <w:position w:val="1"/>
          <w:sz w:val="19"/>
          <w:szCs w:val="19"/>
        </w:rPr>
        <w:t>26,217,218.19</w:t>
        <w:tab/>
      </w:r>
      <w:r>
        <w:rPr>
          <w:rFonts w:ascii="Times New Roman" w:hAnsi="Times New Roman" w:cs="Times New Roman" w:eastAsia="Times New Roman" w:hint="default"/>
          <w:w w:val="105"/>
          <w:position w:val="1"/>
          <w:sz w:val="19"/>
          <w:szCs w:val="19"/>
        </w:rPr>
        <w:t>34.59%</w:t>
        <w:tab/>
      </w:r>
      <w:r>
        <w:rPr>
          <w:rFonts w:ascii="Times New Roman" w:hAnsi="Times New Roman" w:cs="Times New Roman" w:eastAsia="Times New Roman" w:hint="default"/>
          <w:spacing w:val="2"/>
          <w:w w:val="105"/>
          <w:position w:val="1"/>
          <w:sz w:val="19"/>
          <w:szCs w:val="19"/>
        </w:rPr>
        <w:t>1,310,860.91</w:t>
        <w:tab/>
      </w:r>
      <w:r>
        <w:rPr>
          <w:rFonts w:ascii="Times New Roman" w:hAnsi="Times New Roman" w:cs="Times New Roman" w:eastAsia="Times New Roman" w:hint="default"/>
          <w:w w:val="105"/>
          <w:position w:val="1"/>
          <w:sz w:val="19"/>
          <w:szCs w:val="19"/>
        </w:rPr>
        <w:t>24,906,357.28</w:t>
      </w:r>
      <w:r>
        <w:rPr>
          <w:rFonts w:ascii="Times New Roman" w:hAnsi="Times New Roman" w:cs="Times New Roman" w:eastAsia="Times New Roman" w:hint="default"/>
          <w:sz w:val="19"/>
          <w:szCs w:val="19"/>
        </w:rPr>
      </w:r>
    </w:p>
    <w:p>
      <w:pPr>
        <w:spacing w:line="156" w:lineRule="exact" w:before="82"/>
        <w:ind w:left="181"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w:t>
      </w:r>
    </w:p>
    <w:p>
      <w:pPr>
        <w:tabs>
          <w:tab w:pos="6160" w:val="left" w:leader="none"/>
          <w:tab w:pos="7701" w:val="left" w:leader="none"/>
          <w:tab w:pos="9127" w:val="left" w:leader="none"/>
        </w:tabs>
        <w:spacing w:line="200" w:lineRule="exact" w:before="0"/>
        <w:ind w:left="5008" w:right="0" w:firstLine="0"/>
        <w:jc w:val="left"/>
        <w:rPr>
          <w:rFonts w:ascii="Times New Roman" w:hAnsi="Times New Roman" w:cs="Times New Roman" w:eastAsia="Times New Roman" w:hint="default"/>
          <w:sz w:val="19"/>
          <w:szCs w:val="19"/>
        </w:rPr>
      </w:pPr>
      <w:r>
        <w:rPr/>
        <w:pict>
          <v:shape style="position:absolute;margin-left:90.349998pt;margin-top:6.125579pt;width:467.05pt;height:47.65pt;mso-position-horizontal-relative:page;mso-position-vertical-relative:paragraph;z-index:3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63"/>
                    <w:gridCol w:w="1758"/>
                    <w:gridCol w:w="1152"/>
                    <w:gridCol w:w="101"/>
                    <w:gridCol w:w="1441"/>
                    <w:gridCol w:w="1426"/>
                  </w:tblGrid>
                  <w:tr>
                    <w:trPr>
                      <w:trHeight w:val="573" w:hRule="exact"/>
                    </w:trPr>
                    <w:tc>
                      <w:tcPr>
                        <w:tcW w:w="3463"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18"/>
                            <w:szCs w:val="18"/>
                          </w:rPr>
                        </w:pPr>
                        <w:r>
                          <w:rPr>
                            <w:rFonts w:ascii="宋体" w:hAnsi="宋体" w:cs="宋体" w:eastAsia="宋体" w:hint="default"/>
                            <w:sz w:val="18"/>
                            <w:szCs w:val="18"/>
                          </w:rPr>
                          <w:t>后该组合的风险较大的应收账款</w:t>
                        </w:r>
                      </w:p>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758"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4"/>
                          <w:jc w:val="right"/>
                          <w:rPr>
                            <w:rFonts w:ascii="Times New Roman" w:hAnsi="Times New Roman" w:cs="Times New Roman" w:eastAsia="Times New Roman" w:hint="default"/>
                            <w:sz w:val="19"/>
                            <w:szCs w:val="19"/>
                          </w:rPr>
                        </w:pPr>
                        <w:r>
                          <w:rPr>
                            <w:rFonts w:ascii="Times New Roman"/>
                            <w:spacing w:val="2"/>
                            <w:w w:val="105"/>
                            <w:sz w:val="19"/>
                          </w:rPr>
                          <w:t>49,570,069.68</w:t>
                        </w:r>
                        <w:r>
                          <w:rPr>
                            <w:rFonts w:ascii="Times New Roman"/>
                            <w:sz w:val="19"/>
                          </w:rPr>
                        </w:r>
                      </w:p>
                    </w:tc>
                    <w:tc>
                      <w:tcPr>
                        <w:tcW w:w="1152"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w w:val="105"/>
                            <w:sz w:val="19"/>
                          </w:rPr>
                          <w:t>65.41%</w:t>
                        </w:r>
                        <w:r>
                          <w:rPr>
                            <w:rFonts w:ascii="Times New Roman"/>
                            <w:sz w:val="19"/>
                          </w:rPr>
                        </w:r>
                      </w:p>
                    </w:tc>
                    <w:tc>
                      <w:tcPr>
                        <w:tcW w:w="101"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4"/>
                          <w:jc w:val="right"/>
                          <w:rPr>
                            <w:rFonts w:ascii="Times New Roman" w:hAnsi="Times New Roman" w:cs="Times New Roman" w:eastAsia="Times New Roman" w:hint="default"/>
                            <w:sz w:val="19"/>
                            <w:szCs w:val="19"/>
                          </w:rPr>
                        </w:pPr>
                        <w:r>
                          <w:rPr>
                            <w:rFonts w:ascii="Times New Roman"/>
                            <w:spacing w:val="2"/>
                            <w:w w:val="105"/>
                            <w:sz w:val="19"/>
                          </w:rPr>
                          <w:t>2,497,676.00</w:t>
                        </w:r>
                        <w:r>
                          <w:rPr>
                            <w:rFonts w:ascii="Times New Roman"/>
                            <w:sz w:val="19"/>
                          </w:rPr>
                        </w:r>
                      </w:p>
                    </w:tc>
                    <w:tc>
                      <w:tcPr>
                        <w:tcW w:w="1426" w:type="dxa"/>
                        <w:tcBorders>
                          <w:top w:val="nil" w:sz="6" w:space="0" w:color="auto"/>
                          <w:left w:val="nil" w:sz="6" w:space="0" w:color="auto"/>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4"/>
                          <w:jc w:val="right"/>
                          <w:rPr>
                            <w:rFonts w:ascii="Times New Roman" w:hAnsi="Times New Roman" w:cs="Times New Roman" w:eastAsia="Times New Roman" w:hint="default"/>
                            <w:sz w:val="19"/>
                            <w:szCs w:val="19"/>
                          </w:rPr>
                        </w:pPr>
                        <w:r>
                          <w:rPr>
                            <w:rFonts w:ascii="Times New Roman"/>
                            <w:w w:val="105"/>
                            <w:sz w:val="19"/>
                          </w:rPr>
                          <w:t>47,072,393.68</w:t>
                        </w:r>
                        <w:r>
                          <w:rPr>
                            <w:rFonts w:ascii="Times New Roman"/>
                            <w:sz w:val="19"/>
                          </w:rPr>
                        </w:r>
                      </w:p>
                    </w:tc>
                  </w:tr>
                  <w:tr>
                    <w:trPr>
                      <w:trHeight w:val="367" w:hRule="exact"/>
                    </w:trPr>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2"/>
                          <w:jc w:val="center"/>
                          <w:rPr>
                            <w:rFonts w:ascii="宋体" w:hAnsi="宋体" w:cs="宋体" w:eastAsia="宋体" w:hint="default"/>
                            <w:sz w:val="19"/>
                            <w:szCs w:val="19"/>
                          </w:rPr>
                        </w:pPr>
                        <w:r>
                          <w:rPr>
                            <w:rFonts w:ascii="宋体" w:hAnsi="宋体" w:cs="宋体" w:eastAsia="宋体" w:hint="default"/>
                            <w:w w:val="105"/>
                            <w:sz w:val="19"/>
                            <w:szCs w:val="19"/>
                          </w:rPr>
                          <w:t>合</w:t>
                        </w:r>
                        <w:r>
                          <w:rPr>
                            <w:rFonts w:ascii="宋体" w:hAnsi="宋体" w:cs="宋体" w:eastAsia="宋体" w:hint="default"/>
                            <w:spacing w:val="2"/>
                            <w:w w:val="105"/>
                            <w:sz w:val="19"/>
                            <w:szCs w:val="19"/>
                          </w:rPr>
                          <w:t> </w:t>
                        </w:r>
                        <w:r>
                          <w:rPr>
                            <w:rFonts w:ascii="宋体" w:hAnsi="宋体" w:cs="宋体" w:eastAsia="宋体" w:hint="default"/>
                            <w:w w:val="105"/>
                            <w:sz w:val="19"/>
                            <w:szCs w:val="19"/>
                          </w:rPr>
                          <w:t>计</w:t>
                        </w:r>
                        <w:r>
                          <w:rPr>
                            <w:rFonts w:ascii="宋体" w:hAnsi="宋体" w:cs="宋体" w:eastAsia="宋体" w:hint="default"/>
                            <w:sz w:val="19"/>
                            <w:szCs w:val="19"/>
                          </w:rPr>
                        </w:r>
                      </w:p>
                    </w:tc>
                    <w:tc>
                      <w:tcPr>
                        <w:tcW w:w="1758" w:type="dxa"/>
                        <w:tcBorders>
                          <w:top w:val="single" w:sz="6" w:space="0" w:color="000000"/>
                          <w:left w:val="nil" w:sz="6" w:space="0" w:color="auto"/>
                          <w:bottom w:val="single" w:sz="5" w:space="0" w:color="000000"/>
                          <w:right w:val="nil" w:sz="6" w:space="0" w:color="auto"/>
                        </w:tcBorders>
                      </w:tcPr>
                      <w:p>
                        <w:pPr>
                          <w:pStyle w:val="TableParagraph"/>
                          <w:spacing w:line="240" w:lineRule="auto" w:before="55"/>
                          <w:ind w:right="84"/>
                          <w:jc w:val="right"/>
                          <w:rPr>
                            <w:rFonts w:ascii="Times New Roman" w:hAnsi="Times New Roman" w:cs="Times New Roman" w:eastAsia="Times New Roman" w:hint="default"/>
                            <w:sz w:val="19"/>
                            <w:szCs w:val="19"/>
                          </w:rPr>
                        </w:pPr>
                        <w:r>
                          <w:rPr>
                            <w:rFonts w:ascii="Times New Roman"/>
                            <w:spacing w:val="2"/>
                            <w:w w:val="105"/>
                            <w:sz w:val="19"/>
                          </w:rPr>
                          <w:t>75,787,287.87</w:t>
                        </w:r>
                        <w:r>
                          <w:rPr>
                            <w:rFonts w:ascii="Times New Roman"/>
                            <w:sz w:val="19"/>
                          </w:rPr>
                        </w:r>
                      </w:p>
                    </w:tc>
                    <w:tc>
                      <w:tcPr>
                        <w:tcW w:w="1152" w:type="dxa"/>
                        <w:tcBorders>
                          <w:top w:val="single" w:sz="6" w:space="0" w:color="000000"/>
                          <w:left w:val="nil" w:sz="6" w:space="0" w:color="auto"/>
                          <w:bottom w:val="single" w:sz="5" w:space="0" w:color="000000"/>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9"/>
                            <w:szCs w:val="19"/>
                          </w:rPr>
                        </w:pPr>
                        <w:r>
                          <w:rPr>
                            <w:rFonts w:ascii="Times New Roman"/>
                            <w:w w:val="105"/>
                            <w:sz w:val="19"/>
                          </w:rPr>
                          <w:t>100.00%</w:t>
                        </w:r>
                        <w:r>
                          <w:rPr>
                            <w:rFonts w:ascii="Times New Roman"/>
                            <w:sz w:val="19"/>
                          </w:rPr>
                        </w:r>
                      </w:p>
                    </w:tc>
                    <w:tc>
                      <w:tcPr>
                        <w:tcW w:w="101" w:type="dxa"/>
                        <w:tcBorders>
                          <w:top w:val="nil" w:sz="6" w:space="0" w:color="auto"/>
                          <w:left w:val="nil" w:sz="6" w:space="0" w:color="auto"/>
                          <w:bottom w:val="nil" w:sz="6" w:space="0" w:color="auto"/>
                          <w:right w:val="nil" w:sz="6" w:space="0" w:color="auto"/>
                        </w:tcBorders>
                      </w:tcPr>
                      <w:p>
                        <w:pPr/>
                      </w:p>
                    </w:tc>
                    <w:tc>
                      <w:tcPr>
                        <w:tcW w:w="1441" w:type="dxa"/>
                        <w:tcBorders>
                          <w:top w:val="single" w:sz="6" w:space="0" w:color="000000"/>
                          <w:left w:val="nil" w:sz="6" w:space="0" w:color="auto"/>
                          <w:bottom w:val="single" w:sz="5" w:space="0" w:color="000000"/>
                          <w:right w:val="nil" w:sz="6" w:space="0" w:color="auto"/>
                        </w:tcBorders>
                      </w:tcPr>
                      <w:p>
                        <w:pPr>
                          <w:pStyle w:val="TableParagraph"/>
                          <w:spacing w:line="240" w:lineRule="auto" w:before="55"/>
                          <w:ind w:right="84"/>
                          <w:jc w:val="right"/>
                          <w:rPr>
                            <w:rFonts w:ascii="Times New Roman" w:hAnsi="Times New Roman" w:cs="Times New Roman" w:eastAsia="Times New Roman" w:hint="default"/>
                            <w:sz w:val="19"/>
                            <w:szCs w:val="19"/>
                          </w:rPr>
                        </w:pPr>
                        <w:r>
                          <w:rPr>
                            <w:rFonts w:ascii="Times New Roman"/>
                            <w:spacing w:val="2"/>
                            <w:w w:val="105"/>
                            <w:sz w:val="19"/>
                          </w:rPr>
                          <w:t>3,808,536.91</w:t>
                        </w:r>
                        <w:r>
                          <w:rPr>
                            <w:rFonts w:ascii="Times New Roman"/>
                            <w:sz w:val="19"/>
                          </w:rPr>
                        </w:r>
                      </w:p>
                    </w:tc>
                    <w:tc>
                      <w:tcPr>
                        <w:tcW w:w="1426" w:type="dxa"/>
                        <w:tcBorders>
                          <w:top w:val="single" w:sz="6" w:space="0" w:color="000000"/>
                          <w:left w:val="nil" w:sz="6" w:space="0" w:color="auto"/>
                          <w:bottom w:val="single" w:sz="5" w:space="0" w:color="000000"/>
                          <w:right w:val="nil" w:sz="6" w:space="0" w:color="auto"/>
                        </w:tcBorders>
                      </w:tcPr>
                      <w:p>
                        <w:pPr>
                          <w:pStyle w:val="TableParagraph"/>
                          <w:spacing w:line="240" w:lineRule="auto" w:before="55"/>
                          <w:ind w:right="84"/>
                          <w:jc w:val="right"/>
                          <w:rPr>
                            <w:rFonts w:ascii="Times New Roman" w:hAnsi="Times New Roman" w:cs="Times New Roman" w:eastAsia="Times New Roman" w:hint="default"/>
                            <w:sz w:val="19"/>
                            <w:szCs w:val="19"/>
                          </w:rPr>
                        </w:pPr>
                        <w:r>
                          <w:rPr>
                            <w:rFonts w:ascii="Times New Roman"/>
                            <w:w w:val="105"/>
                            <w:sz w:val="19"/>
                          </w:rPr>
                          <w:t>71,978,750.96</w:t>
                        </w:r>
                        <w:r>
                          <w:rPr>
                            <w:rFonts w:ascii="Times New Roman"/>
                            <w:sz w:val="19"/>
                          </w:rPr>
                        </w:r>
                      </w:p>
                    </w:tc>
                  </w:tr>
                </w:tbl>
                <w:p>
                  <w:pPr/>
                </w:p>
              </w:txbxContent>
            </v:textbox>
            <w10:wrap type="none"/>
          </v:shape>
        </w:pict>
      </w:r>
      <w:r>
        <w:rPr>
          <w:rFonts w:ascii="Times New Roman"/>
          <w:sz w:val="19"/>
        </w:rPr>
        <w:t>-</w:t>
        <w:tab/>
        <w:t>-</w:t>
        <w:tab/>
        <w:t>-</w:t>
        <w:tab/>
      </w:r>
      <w:r>
        <w:rPr>
          <w:rFonts w:ascii="Times New Roman"/>
          <w:w w:val="105"/>
          <w:sz w:val="19"/>
        </w:rPr>
        <w:t>-</w:t>
      </w:r>
      <w:r>
        <w:rPr>
          <w:rFonts w:ascii="Times New Roman"/>
          <w:sz w:val="19"/>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p>
      <w:pPr>
        <w:spacing w:line="28" w:lineRule="exact"/>
        <w:ind w:left="3596" w:right="0" w:firstLine="0"/>
        <w:rPr>
          <w:rFonts w:ascii="Times New Roman" w:hAnsi="Times New Roman" w:cs="Times New Roman" w:eastAsia="Times New Roman" w:hint="default"/>
          <w:sz w:val="2"/>
          <w:szCs w:val="2"/>
        </w:rPr>
      </w:pPr>
      <w:r>
        <w:rPr>
          <w:rFonts w:ascii="Times New Roman"/>
          <w:position w:val="0"/>
          <w:sz w:val="2"/>
        </w:rPr>
        <w:pict>
          <v:group style="width:89.35pt;height:1.45pt;mso-position-horizontal-relative:char;mso-position-vertical-relative:line" coordorigin="0,0" coordsize="1787,29">
            <v:group style="position:absolute;left:14;top:14;width:1758;height:2" coordorigin="14,14" coordsize="1758,2">
              <v:shape style="position:absolute;left:14;top:14;width:1758;height:2" coordorigin="14,14" coordsize="1758,0" path="m14,14l1772,14e" filled="false" stroked="true" strokeweight="1.44pt" strokecolor="#000000">
                <v:path arrowok="t"/>
              </v:shape>
            </v:group>
          </v:group>
        </w:pict>
      </w:r>
      <w:r>
        <w:rPr>
          <w:rFonts w:ascii="Times New Roman"/>
          <w:position w:val="0"/>
          <w:sz w:val="2"/>
        </w:rPr>
      </w:r>
      <w:r>
        <w:rPr>
          <w:rFonts w:ascii="Times New Roman"/>
          <w:spacing w:val="61"/>
          <w:position w:val="0"/>
          <w:sz w:val="2"/>
        </w:rPr>
        <w:t> </w:t>
      </w:r>
      <w:r>
        <w:rPr>
          <w:rFonts w:ascii="Times New Roman"/>
          <w:spacing w:val="61"/>
          <w:position w:val="0"/>
          <w:sz w:val="2"/>
        </w:rPr>
        <w:pict>
          <v:group style="width:54.75pt;height:1.45pt;mso-position-horizontal-relative:char;mso-position-vertical-relative:line" coordorigin="0,0" coordsize="1095,29">
            <v:group style="position:absolute;left:14;top:14;width:1066;height:2" coordorigin="14,14" coordsize="1066,2">
              <v:shape style="position:absolute;left:14;top:14;width:1066;height:2" coordorigin="14,14" coordsize="1066,0" path="m14,14l1080,14e" filled="false" stroked="true" strokeweight="1.44pt" strokecolor="#000000">
                <v:path arrowok="t"/>
              </v:shape>
            </v:group>
          </v:group>
        </w:pict>
      </w:r>
      <w:r>
        <w:rPr>
          <w:rFonts w:ascii="Times New Roman"/>
          <w:spacing w:val="61"/>
          <w:position w:val="0"/>
          <w:sz w:val="2"/>
        </w:rPr>
      </w:r>
      <w:r>
        <w:rPr>
          <w:rFonts w:ascii="Times New Roman"/>
          <w:spacing w:val="75"/>
          <w:position w:val="0"/>
          <w:sz w:val="2"/>
        </w:rPr>
        <w:t> </w:t>
      </w:r>
      <w:r>
        <w:rPr>
          <w:rFonts w:ascii="Times New Roman"/>
          <w:spacing w:val="75"/>
          <w:position w:val="0"/>
          <w:sz w:val="2"/>
        </w:rPr>
        <w:pict>
          <v:group style="width:73.5pt;height:1.45pt;mso-position-horizontal-relative:char;mso-position-vertical-relative:line" coordorigin="0,0" coordsize="1470,29">
            <v:group style="position:absolute;left:14;top:14;width:1442;height:2" coordorigin="14,14" coordsize="1442,2">
              <v:shape style="position:absolute;left:14;top:14;width:1442;height:2" coordorigin="14,14" coordsize="1442,0" path="m14,14l1456,14e" filled="false" stroked="true" strokeweight="1.44pt" strokecolor="#000000">
                <v:path arrowok="t"/>
              </v:shape>
            </v:group>
          </v:group>
        </w:pict>
      </w:r>
      <w:r>
        <w:rPr>
          <w:rFonts w:ascii="Times New Roman"/>
          <w:spacing w:val="75"/>
          <w:position w:val="0"/>
          <w:sz w:val="2"/>
        </w:rPr>
      </w:r>
      <w:r>
        <w:rPr>
          <w:rFonts w:ascii="Times New Roman"/>
          <w:spacing w:val="61"/>
          <w:position w:val="0"/>
          <w:sz w:val="2"/>
        </w:rPr>
        <w:t> </w:t>
      </w:r>
      <w:r>
        <w:rPr>
          <w:rFonts w:ascii="Times New Roman"/>
          <w:spacing w:val="61"/>
          <w:position w:val="0"/>
          <w:sz w:val="2"/>
        </w:rPr>
        <w:pict>
          <v:group style="width:68.4pt;height:1.45pt;mso-position-horizontal-relative:char;mso-position-vertical-relative:line" coordorigin="0,0" coordsize="1368,29">
            <v:group style="position:absolute;left:14;top:14;width:1340;height:2" coordorigin="14,14" coordsize="1340,2">
              <v:shape style="position:absolute;left:14;top:14;width:1340;height:2" coordorigin="14,14" coordsize="1340,0" path="m14,14l1354,14e" filled="false" stroked="true" strokeweight="1.44pt" strokecolor="#000000">
                <v:path arrowok="t"/>
              </v:shape>
            </v:group>
          </v:group>
        </w:pict>
      </w:r>
      <w:r>
        <w:rPr>
          <w:rFonts w:ascii="Times New Roman"/>
          <w:spacing w:val="61"/>
          <w:position w:val="0"/>
          <w:sz w:val="2"/>
        </w:rPr>
      </w:r>
    </w:p>
    <w:p>
      <w:pPr>
        <w:pStyle w:val="BodyText"/>
        <w:spacing w:line="240" w:lineRule="auto" w:before="74"/>
        <w:ind w:left="615" w:right="0"/>
        <w:jc w:val="left"/>
      </w:pPr>
      <w:r>
        <w:rPr/>
        <w:t>单项金额重大的应收账款，为期末余额大于</w:t>
      </w:r>
      <w:r>
        <w:rPr>
          <w:spacing w:val="-73"/>
        </w:rPr>
        <w:t> </w:t>
      </w:r>
      <w:r>
        <w:rPr/>
        <w:t>50</w:t>
      </w:r>
      <w:r>
        <w:rPr>
          <w:spacing w:val="-72"/>
        </w:rPr>
        <w:t> </w:t>
      </w:r>
      <w:r>
        <w:rPr/>
        <w:t>万的应收账款。</w:t>
      </w:r>
    </w:p>
    <w:p>
      <w:pPr>
        <w:pStyle w:val="BodyText"/>
        <w:spacing w:line="240" w:lineRule="auto" w:before="107"/>
        <w:ind w:left="617" w:right="0"/>
        <w:jc w:val="left"/>
      </w:pPr>
      <w:r>
        <w:rPr/>
        <w:pict>
          <v:group style="position:absolute;margin-left:137.910004pt;margin-top:45.135632pt;width:210.3pt;height:1pt;mso-position-horizontal-relative:page;mso-position-vertical-relative:paragraph;z-index:-593464" coordorigin="2758,903" coordsize="4206,20">
            <v:group style="position:absolute;left:2767;top:903;width:4188;height:2" coordorigin="2767,903" coordsize="4188,2">
              <v:shape style="position:absolute;left:2767;top:903;width:4188;height:2" coordorigin="2767,903" coordsize="4188,0" path="m2767,903l6955,903e" filled="false" stroked="true" strokeweight=".06pt" strokecolor="#000000">
                <v:path arrowok="t"/>
              </v:shape>
            </v:group>
            <v:group style="position:absolute;left:2767;top:914;width:4188;height:2" coordorigin="2767,914" coordsize="4188,2">
              <v:shape style="position:absolute;left:2767;top:914;width:4188;height:2" coordorigin="2767,914" coordsize="4188,0" path="m2767,914l6955,914e" filled="false" stroked="true" strokeweight=".89999pt" strokecolor="#000000">
                <v:path arrowok="t"/>
              </v:shape>
            </v:group>
            <w10:wrap type="none"/>
          </v:group>
        </w:pict>
      </w:r>
      <w:r>
        <w:rPr/>
        <w:pict>
          <v:group style="position:absolute;margin-left:352.470001pt;margin-top:45.135632pt;width:190.65pt;height:1pt;mso-position-horizontal-relative:page;mso-position-vertical-relative:paragraph;z-index:-593440" coordorigin="7049,903" coordsize="3813,20">
            <v:group style="position:absolute;left:7058;top:903;width:3795;height:2" coordorigin="7058,903" coordsize="3795,2">
              <v:shape style="position:absolute;left:7058;top:903;width:3795;height:2" coordorigin="7058,903" coordsize="3795,0" path="m7058,903l10853,903e" filled="false" stroked="true" strokeweight=".06pt" strokecolor="#000000">
                <v:path arrowok="t"/>
              </v:shape>
            </v:group>
            <v:group style="position:absolute;left:7058;top:914;width:3795;height:2" coordorigin="7058,914" coordsize="3795,2">
              <v:shape style="position:absolute;left:7058;top:914;width:3795;height:2" coordorigin="7058,914" coordsize="3795,0" path="m7058,914l10853,914e" filled="false" stroked="true" strokeweight=".89999pt" strokecolor="#000000">
                <v:path arrowok="t"/>
              </v:shape>
            </v:group>
            <w10:wrap type="none"/>
          </v:group>
        </w:pict>
      </w:r>
      <w:r>
        <w:rPr/>
        <w:t>（2）按账龄列示应收账款明细情况</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85"/>
        <w:gridCol w:w="1491"/>
        <w:gridCol w:w="1081"/>
        <w:gridCol w:w="1590"/>
        <w:gridCol w:w="103"/>
        <w:gridCol w:w="1422"/>
        <w:gridCol w:w="948"/>
        <w:gridCol w:w="131"/>
        <w:gridCol w:w="1294"/>
      </w:tblGrid>
      <w:tr>
        <w:trPr>
          <w:trHeight w:val="759" w:hRule="exact"/>
        </w:trPr>
        <w:tc>
          <w:tcPr>
            <w:tcW w:w="985"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82"/>
              <w:jc w:val="right"/>
              <w:rPr>
                <w:rFonts w:ascii="宋体" w:hAnsi="宋体" w:cs="宋体" w:eastAsia="宋体" w:hint="default"/>
                <w:sz w:val="20"/>
                <w:szCs w:val="20"/>
              </w:rPr>
            </w:pPr>
            <w:r>
              <w:rPr>
                <w:rFonts w:ascii="宋体" w:hAnsi="宋体" w:cs="宋体" w:eastAsia="宋体" w:hint="default"/>
                <w:sz w:val="20"/>
                <w:szCs w:val="20"/>
              </w:rPr>
              <w:t>账 龄</w:t>
            </w:r>
          </w:p>
        </w:tc>
        <w:tc>
          <w:tcPr>
            <w:tcW w:w="149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tabs>
                <w:tab w:pos="840" w:val="left" w:leader="none"/>
              </w:tabs>
              <w:spacing w:line="240" w:lineRule="auto" w:before="163"/>
              <w:ind w:left="437"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1081" w:type="dxa"/>
            <w:tcBorders>
              <w:top w:val="nil" w:sz="6" w:space="0" w:color="auto"/>
              <w:left w:val="nil" w:sz="6" w:space="0" w:color="auto"/>
              <w:bottom w:val="single" w:sz="8" w:space="0" w:color="000000"/>
              <w:right w:val="nil" w:sz="6" w:space="0" w:color="auto"/>
            </w:tcBorders>
          </w:tcPr>
          <w:p>
            <w:pPr>
              <w:pStyle w:val="TableParagraph"/>
              <w:spacing w:line="355" w:lineRule="auto" w:before="37"/>
              <w:ind w:left="391" w:right="144" w:hanging="159"/>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末</w:t>
            </w:r>
            <w:r>
              <w:rPr>
                <w:rFonts w:ascii="宋体" w:hAnsi="宋体" w:cs="宋体" w:eastAsia="宋体" w:hint="default"/>
                <w:spacing w:val="-49"/>
                <w:sz w:val="20"/>
                <w:szCs w:val="20"/>
              </w:rPr>
              <w:t> </w:t>
            </w:r>
            <w:r>
              <w:rPr>
                <w:rFonts w:ascii="宋体" w:hAnsi="宋体" w:cs="宋体" w:eastAsia="宋体" w:hint="default"/>
                <w:sz w:val="20"/>
                <w:szCs w:val="20"/>
              </w:rPr>
              <w:t>数</w:t>
            </w:r>
            <w:r>
              <w:rPr>
                <w:rFonts w:ascii="宋体" w:hAnsi="宋体" w:cs="宋体" w:eastAsia="宋体" w:hint="default"/>
                <w:w w:val="99"/>
                <w:sz w:val="20"/>
                <w:szCs w:val="20"/>
              </w:rPr>
              <w:t> </w:t>
            </w:r>
            <w:r>
              <w:rPr>
                <w:rFonts w:ascii="宋体" w:hAnsi="宋体" w:cs="宋体" w:eastAsia="宋体" w:hint="default"/>
                <w:sz w:val="20"/>
                <w:szCs w:val="20"/>
              </w:rPr>
              <w:t>比例</w:t>
            </w:r>
          </w:p>
        </w:tc>
        <w:tc>
          <w:tcPr>
            <w:tcW w:w="1590"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left="443"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10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tabs>
                <w:tab w:pos="837" w:val="left" w:leader="none"/>
              </w:tabs>
              <w:spacing w:line="240" w:lineRule="auto" w:before="163"/>
              <w:ind w:left="434"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948" w:type="dxa"/>
            <w:tcBorders>
              <w:top w:val="nil" w:sz="6" w:space="0" w:color="auto"/>
              <w:left w:val="nil" w:sz="6" w:space="0" w:color="auto"/>
              <w:bottom w:val="single" w:sz="8" w:space="0" w:color="000000"/>
              <w:right w:val="nil" w:sz="6" w:space="0" w:color="auto"/>
            </w:tcBorders>
          </w:tcPr>
          <w:p>
            <w:pPr>
              <w:pStyle w:val="TableParagraph"/>
              <w:spacing w:line="355" w:lineRule="auto" w:before="37"/>
              <w:ind w:left="331" w:right="36" w:hanging="276"/>
              <w:jc w:val="left"/>
              <w:rPr>
                <w:rFonts w:ascii="宋体" w:hAnsi="宋体" w:cs="宋体" w:eastAsia="宋体" w:hint="default"/>
                <w:sz w:val="20"/>
                <w:szCs w:val="20"/>
              </w:rPr>
            </w:pPr>
            <w:r>
              <w:rPr>
                <w:rFonts w:ascii="宋体" w:hAnsi="宋体" w:cs="宋体" w:eastAsia="宋体" w:hint="default"/>
                <w:sz w:val="20"/>
                <w:szCs w:val="20"/>
              </w:rPr>
              <w:t>年 初</w:t>
            </w:r>
            <w:r>
              <w:rPr>
                <w:rFonts w:ascii="宋体" w:hAnsi="宋体" w:cs="宋体" w:eastAsia="宋体" w:hint="default"/>
                <w:spacing w:val="52"/>
                <w:sz w:val="20"/>
                <w:szCs w:val="20"/>
              </w:rPr>
              <w:t> </w:t>
            </w:r>
            <w:r>
              <w:rPr>
                <w:rFonts w:ascii="宋体" w:hAnsi="宋体" w:cs="宋体" w:eastAsia="宋体" w:hint="default"/>
                <w:sz w:val="20"/>
                <w:szCs w:val="20"/>
              </w:rPr>
              <w:t>数</w:t>
            </w:r>
            <w:r>
              <w:rPr>
                <w:rFonts w:ascii="宋体" w:hAnsi="宋体" w:cs="宋体" w:eastAsia="宋体" w:hint="default"/>
                <w:w w:val="99"/>
                <w:sz w:val="20"/>
                <w:szCs w:val="20"/>
              </w:rPr>
              <w:t> </w:t>
            </w:r>
            <w:r>
              <w:rPr>
                <w:rFonts w:ascii="宋体" w:hAnsi="宋体" w:cs="宋体" w:eastAsia="宋体" w:hint="default"/>
                <w:sz w:val="20"/>
                <w:szCs w:val="20"/>
              </w:rPr>
              <w:t>比例</w:t>
            </w:r>
          </w:p>
        </w:tc>
        <w:tc>
          <w:tcPr>
            <w:tcW w:w="131"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left="253"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80" w:hRule="exact"/>
        </w:trPr>
        <w:tc>
          <w:tcPr>
            <w:tcW w:w="985" w:type="dxa"/>
            <w:tcBorders>
              <w:top w:val="single" w:sz="8" w:space="0" w:color="000000"/>
              <w:left w:val="nil" w:sz="6" w:space="0" w:color="auto"/>
              <w:bottom w:val="nil" w:sz="6" w:space="0" w:color="auto"/>
              <w:right w:val="nil" w:sz="6" w:space="0" w:color="auto"/>
            </w:tcBorders>
          </w:tcPr>
          <w:p>
            <w:pPr>
              <w:pStyle w:val="TableParagraph"/>
              <w:spacing w:line="240" w:lineRule="auto" w:before="26"/>
              <w:ind w:right="242"/>
              <w:jc w:val="right"/>
              <w:rPr>
                <w:rFonts w:ascii="宋体" w:hAnsi="宋体" w:cs="宋体" w:eastAsia="宋体" w:hint="default"/>
                <w:sz w:val="20"/>
                <w:szCs w:val="20"/>
              </w:rPr>
            </w:pPr>
            <w:r>
              <w:rPr>
                <w:rFonts w:ascii="宋体" w:hAnsi="宋体" w:cs="宋体" w:eastAsia="宋体" w:hint="default"/>
                <w:sz w:val="20"/>
                <w:szCs w:val="20"/>
              </w:rPr>
              <w:t>1年以内</w:t>
            </w:r>
          </w:p>
        </w:tc>
        <w:tc>
          <w:tcPr>
            <w:tcW w:w="1491"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86"/>
              <w:jc w:val="right"/>
              <w:rPr>
                <w:rFonts w:ascii="Times New Roman" w:hAnsi="Times New Roman" w:cs="Times New Roman" w:eastAsia="Times New Roman" w:hint="default"/>
                <w:sz w:val="20"/>
                <w:szCs w:val="20"/>
              </w:rPr>
            </w:pPr>
            <w:r>
              <w:rPr>
                <w:rFonts w:ascii="Times New Roman"/>
                <w:sz w:val="20"/>
              </w:rPr>
              <w:t>62,721,175.91</w:t>
            </w:r>
          </w:p>
        </w:tc>
        <w:tc>
          <w:tcPr>
            <w:tcW w:w="1081"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35"/>
              <w:jc w:val="right"/>
              <w:rPr>
                <w:rFonts w:ascii="Times New Roman" w:hAnsi="Times New Roman" w:cs="Times New Roman" w:eastAsia="Times New Roman" w:hint="default"/>
                <w:sz w:val="20"/>
                <w:szCs w:val="20"/>
              </w:rPr>
            </w:pPr>
            <w:r>
              <w:rPr>
                <w:rFonts w:ascii="Times New Roman"/>
                <w:sz w:val="20"/>
              </w:rPr>
              <w:t>99.61%</w:t>
            </w:r>
          </w:p>
        </w:tc>
        <w:tc>
          <w:tcPr>
            <w:tcW w:w="1590"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87"/>
              <w:jc w:val="right"/>
              <w:rPr>
                <w:rFonts w:ascii="Times New Roman" w:hAnsi="Times New Roman" w:cs="Times New Roman" w:eastAsia="Times New Roman" w:hint="default"/>
                <w:sz w:val="20"/>
                <w:szCs w:val="20"/>
              </w:rPr>
            </w:pPr>
            <w:r>
              <w:rPr>
                <w:rFonts w:ascii="Times New Roman"/>
                <w:sz w:val="20"/>
              </w:rPr>
              <w:t>3,136,056.90</w:t>
            </w:r>
          </w:p>
        </w:tc>
        <w:tc>
          <w:tcPr>
            <w:tcW w:w="103" w:type="dxa"/>
            <w:tcBorders>
              <w:top w:val="nil" w:sz="6" w:space="0" w:color="auto"/>
              <w:left w:val="nil" w:sz="6" w:space="0" w:color="auto"/>
              <w:bottom w:val="nil" w:sz="6" w:space="0" w:color="auto"/>
              <w:right w:val="nil" w:sz="6" w:space="0" w:color="auto"/>
            </w:tcBorders>
          </w:tcPr>
          <w:p>
            <w:pPr/>
          </w:p>
        </w:tc>
        <w:tc>
          <w:tcPr>
            <w:tcW w:w="1422"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53"/>
              <w:jc w:val="right"/>
              <w:rPr>
                <w:rFonts w:ascii="Times New Roman" w:hAnsi="Times New Roman" w:cs="Times New Roman" w:eastAsia="Times New Roman" w:hint="default"/>
                <w:sz w:val="20"/>
                <w:szCs w:val="20"/>
              </w:rPr>
            </w:pPr>
            <w:r>
              <w:rPr>
                <w:rFonts w:ascii="Times New Roman"/>
                <w:sz w:val="20"/>
              </w:rPr>
              <w:t>75,508,101.66</w:t>
            </w:r>
          </w:p>
        </w:tc>
        <w:tc>
          <w:tcPr>
            <w:tcW w:w="948"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35"/>
              <w:jc w:val="right"/>
              <w:rPr>
                <w:rFonts w:ascii="Times New Roman" w:hAnsi="Times New Roman" w:cs="Times New Roman" w:eastAsia="Times New Roman" w:hint="default"/>
                <w:sz w:val="20"/>
                <w:szCs w:val="20"/>
              </w:rPr>
            </w:pPr>
            <w:r>
              <w:rPr>
                <w:rFonts w:ascii="Times New Roman"/>
                <w:sz w:val="20"/>
              </w:rPr>
              <w:t>99.63%</w:t>
            </w:r>
          </w:p>
        </w:tc>
        <w:tc>
          <w:tcPr>
            <w:tcW w:w="131" w:type="dxa"/>
            <w:tcBorders>
              <w:top w:val="nil" w:sz="6" w:space="0" w:color="auto"/>
              <w:left w:val="nil" w:sz="6" w:space="0" w:color="auto"/>
              <w:bottom w:val="nil" w:sz="6" w:space="0" w:color="auto"/>
              <w:right w:val="nil" w:sz="6" w:space="0" w:color="auto"/>
            </w:tcBorders>
          </w:tcPr>
          <w:p>
            <w:pPr/>
          </w:p>
        </w:tc>
        <w:tc>
          <w:tcPr>
            <w:tcW w:w="1294"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87"/>
              <w:jc w:val="right"/>
              <w:rPr>
                <w:rFonts w:ascii="Times New Roman" w:hAnsi="Times New Roman" w:cs="Times New Roman" w:eastAsia="Times New Roman" w:hint="default"/>
                <w:sz w:val="20"/>
                <w:szCs w:val="20"/>
              </w:rPr>
            </w:pPr>
            <w:r>
              <w:rPr>
                <w:rFonts w:ascii="Times New Roman"/>
                <w:sz w:val="20"/>
              </w:rPr>
              <w:t>3,775,405.09</w:t>
            </w:r>
          </w:p>
        </w:tc>
      </w:tr>
      <w:tr>
        <w:trPr>
          <w:trHeight w:val="385" w:hRule="exact"/>
        </w:trPr>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43"/>
              <w:jc w:val="right"/>
              <w:rPr>
                <w:rFonts w:ascii="宋体" w:hAnsi="宋体" w:cs="宋体" w:eastAsia="宋体" w:hint="default"/>
                <w:sz w:val="20"/>
                <w:szCs w:val="20"/>
              </w:rPr>
            </w:pPr>
            <w:r>
              <w:rPr>
                <w:rFonts w:ascii="宋体" w:hAnsi="宋体" w:cs="宋体" w:eastAsia="宋体" w:hint="default"/>
                <w:sz w:val="20"/>
                <w:szCs w:val="20"/>
              </w:rPr>
              <w:t>1至2年</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6"/>
              <w:jc w:val="right"/>
              <w:rPr>
                <w:rFonts w:ascii="Times New Roman" w:hAnsi="Times New Roman" w:cs="Times New Roman" w:eastAsia="Times New Roman" w:hint="default"/>
                <w:sz w:val="20"/>
                <w:szCs w:val="20"/>
              </w:rPr>
            </w:pPr>
            <w:r>
              <w:rPr>
                <w:rFonts w:ascii="Times New Roman"/>
                <w:sz w:val="20"/>
              </w:rPr>
              <w:t>247,303.98</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6"/>
              <w:jc w:val="right"/>
              <w:rPr>
                <w:rFonts w:ascii="Times New Roman" w:hAnsi="Times New Roman" w:cs="Times New Roman" w:eastAsia="Times New Roman" w:hint="default"/>
                <w:sz w:val="20"/>
                <w:szCs w:val="20"/>
              </w:rPr>
            </w:pPr>
            <w:r>
              <w:rPr>
                <w:rFonts w:ascii="Times New Roman"/>
                <w:sz w:val="20"/>
              </w:rPr>
              <w:t>0.39%</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9"/>
              <w:jc w:val="right"/>
              <w:rPr>
                <w:rFonts w:ascii="Times New Roman" w:hAnsi="Times New Roman" w:cs="Times New Roman" w:eastAsia="Times New Roman" w:hint="default"/>
                <w:sz w:val="20"/>
                <w:szCs w:val="20"/>
              </w:rPr>
            </w:pPr>
            <w:r>
              <w:rPr>
                <w:rFonts w:ascii="Times New Roman"/>
                <w:sz w:val="20"/>
              </w:rPr>
              <w:t>24,730.38</w:t>
            </w:r>
          </w:p>
        </w:tc>
        <w:tc>
          <w:tcPr>
            <w:tcW w:w="103"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4"/>
              <w:jc w:val="right"/>
              <w:rPr>
                <w:rFonts w:ascii="Times New Roman" w:hAnsi="Times New Roman" w:cs="Times New Roman" w:eastAsia="Times New Roman" w:hint="default"/>
                <w:sz w:val="20"/>
                <w:szCs w:val="20"/>
              </w:rPr>
            </w:pPr>
            <w:r>
              <w:rPr>
                <w:rFonts w:ascii="Times New Roman"/>
                <w:w w:val="95"/>
                <w:sz w:val="20"/>
              </w:rPr>
              <w:t>227,054.19</w:t>
            </w:r>
            <w:r>
              <w:rPr>
                <w:rFonts w:ascii="Times New Roman"/>
                <w:sz w:val="20"/>
              </w:rPr>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
              <w:jc w:val="right"/>
              <w:rPr>
                <w:rFonts w:ascii="Times New Roman" w:hAnsi="Times New Roman" w:cs="Times New Roman" w:eastAsia="Times New Roman" w:hint="default"/>
                <w:sz w:val="20"/>
                <w:szCs w:val="20"/>
              </w:rPr>
            </w:pPr>
            <w:r>
              <w:rPr>
                <w:rFonts w:ascii="Times New Roman"/>
                <w:sz w:val="20"/>
              </w:rPr>
              <w:t>0.30%</w:t>
            </w:r>
          </w:p>
        </w:tc>
        <w:tc>
          <w:tcPr>
            <w:tcW w:w="131"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8"/>
              <w:jc w:val="right"/>
              <w:rPr>
                <w:rFonts w:ascii="Times New Roman" w:hAnsi="Times New Roman" w:cs="Times New Roman" w:eastAsia="Times New Roman" w:hint="default"/>
                <w:sz w:val="20"/>
                <w:szCs w:val="20"/>
              </w:rPr>
            </w:pPr>
            <w:r>
              <w:rPr>
                <w:rFonts w:ascii="Times New Roman"/>
                <w:sz w:val="20"/>
              </w:rPr>
              <w:t>22,705.42</w:t>
            </w:r>
          </w:p>
        </w:tc>
      </w:tr>
    </w:tbl>
    <w:p>
      <w:pPr>
        <w:tabs>
          <w:tab w:pos="2084" w:val="left" w:leader="none"/>
          <w:tab w:pos="3165" w:val="left" w:leader="none"/>
          <w:tab w:pos="4756" w:val="left" w:leader="none"/>
          <w:tab w:pos="5775" w:val="left" w:leader="none"/>
          <w:tab w:pos="7027" w:val="left" w:leader="none"/>
          <w:tab w:pos="8113" w:val="left" w:leader="none"/>
        </w:tabs>
        <w:spacing w:before="8"/>
        <w:ind w:left="0" w:right="316" w:firstLine="0"/>
        <w:jc w:val="center"/>
        <w:rPr>
          <w:rFonts w:ascii="Times New Roman" w:hAnsi="Times New Roman" w:cs="Times New Roman" w:eastAsia="Times New Roman" w:hint="default"/>
          <w:sz w:val="20"/>
          <w:szCs w:val="20"/>
        </w:rPr>
      </w:pPr>
      <w:r>
        <w:rPr>
          <w:rFonts w:ascii="宋体" w:hAnsi="宋体" w:cs="宋体" w:eastAsia="宋体" w:hint="default"/>
          <w:sz w:val="20"/>
          <w:szCs w:val="20"/>
        </w:rPr>
        <w:t>2至3年</w:t>
        <w:tab/>
      </w:r>
      <w:r>
        <w:rPr>
          <w:rFonts w:ascii="Times New Roman" w:hAnsi="Times New Roman" w:cs="Times New Roman" w:eastAsia="Times New Roman" w:hint="default"/>
          <w:w w:val="95"/>
          <w:position w:val="1"/>
          <w:sz w:val="20"/>
          <w:szCs w:val="20"/>
        </w:rPr>
        <w:t>-</w:t>
        <w:tab/>
        <w:t>-</w:t>
        <w:tab/>
        <w:t>-</w:t>
        <w:tab/>
        <w:t>52,132.02</w:t>
        <w:tab/>
      </w:r>
      <w:r>
        <w:rPr>
          <w:rFonts w:ascii="Times New Roman" w:hAnsi="Times New Roman" w:cs="Times New Roman" w:eastAsia="Times New Roman" w:hint="default"/>
          <w:position w:val="1"/>
          <w:sz w:val="20"/>
          <w:szCs w:val="20"/>
        </w:rPr>
        <w:t>0.07%</w:t>
        <w:tab/>
        <w:t>10,426.40</w:t>
      </w:r>
      <w:r>
        <w:rPr>
          <w:rFonts w:ascii="Times New Roman" w:hAnsi="Times New Roman" w:cs="Times New Roman" w:eastAsia="Times New Roman" w:hint="default"/>
          <w:sz w:val="20"/>
          <w:szCs w:val="20"/>
        </w:rPr>
      </w:r>
    </w:p>
    <w:p>
      <w:pPr>
        <w:spacing w:line="240" w:lineRule="auto" w:before="10"/>
        <w:rPr>
          <w:rFonts w:ascii="Times New Roman" w:hAnsi="Times New Roman" w:cs="Times New Roman" w:eastAsia="Times New Roman" w:hint="default"/>
          <w:sz w:val="4"/>
          <w:szCs w:val="4"/>
        </w:rPr>
      </w:pPr>
    </w:p>
    <w:p>
      <w:pPr>
        <w:spacing w:line="21" w:lineRule="exact"/>
        <w:ind w:left="1097" w:right="0" w:firstLine="0"/>
        <w:rPr>
          <w:rFonts w:ascii="Times New Roman" w:hAnsi="Times New Roman" w:cs="Times New Roman" w:eastAsia="Times New Roman" w:hint="default"/>
          <w:sz w:val="2"/>
          <w:szCs w:val="2"/>
        </w:rPr>
      </w:pPr>
      <w:r>
        <w:rPr>
          <w:rFonts w:ascii="Times New Roman"/>
          <w:sz w:val="2"/>
        </w:rPr>
        <w:pict>
          <v:group style="width:76.8pt;height:1.05pt;mso-position-horizontal-relative:char;mso-position-vertical-relative:line" coordorigin="0,0" coordsize="1536,21">
            <v:group style="position:absolute;left:10;top:1;width:1516;height:2" coordorigin="10,1" coordsize="1516,2">
              <v:shape style="position:absolute;left:10;top:1;width:1516;height:2" coordorigin="10,1" coordsize="1516,0" path="m10,1l1525,1e" filled="false" stroked="true" strokeweight=".06pt" strokecolor="#000000">
                <v:path arrowok="t"/>
              </v:shape>
            </v:group>
            <v:group style="position:absolute;left:10;top:11;width:1517;height:2" coordorigin="10,11" coordsize="1517,2">
              <v:shape style="position:absolute;left:10;top:11;width:1517;height:2" coordorigin="10,11" coordsize="1517,0" path="m10,11l1526,11e" filled="false" stroked="true" strokeweight=".95999pt" strokecolor="#000000">
                <v:path arrowok="t"/>
              </v:shape>
            </v:group>
          </v:group>
        </w:pict>
      </w:r>
      <w:r>
        <w:rPr>
          <w:rFonts w:ascii="Times New Roman"/>
          <w:sz w:val="2"/>
        </w:rPr>
      </w:r>
      <w:r>
        <w:rPr>
          <w:rFonts w:ascii="Times New Roman"/>
          <w:spacing w:val="64"/>
          <w:sz w:val="2"/>
        </w:rPr>
        <w:t> </w:t>
      </w:r>
      <w:r>
        <w:rPr>
          <w:rFonts w:ascii="Times New Roman"/>
          <w:spacing w:val="64"/>
          <w:sz w:val="2"/>
        </w:rPr>
        <w:pict>
          <v:group style="width:50.6pt;height:1.05pt;mso-position-horizontal-relative:char;mso-position-vertical-relative:line" coordorigin="0,0" coordsize="1012,21">
            <v:group style="position:absolute;left:8;top:1;width:994;height:2" coordorigin="8,1" coordsize="994,2">
              <v:shape style="position:absolute;left:8;top:1;width:994;height:2" coordorigin="8,1" coordsize="994,0" path="m8,1l1002,1e" filled="false" stroked="true" strokeweight=".06pt" strokecolor="#000000">
                <v:path arrowok="t"/>
              </v:shape>
            </v:group>
            <v:group style="position:absolute;left:10;top:11;width:993;height:2" coordorigin="10,11" coordsize="993,2">
              <v:shape style="position:absolute;left:10;top:11;width:993;height:2" coordorigin="10,11" coordsize="993,0" path="m10,11l1002,11e" filled="false" stroked="true" strokeweight=".95999pt" strokecolor="#000000">
                <v:path arrowok="t"/>
              </v:shape>
            </v:group>
          </v:group>
        </w:pict>
      </w:r>
      <w:r>
        <w:rPr>
          <w:rFonts w:ascii="Times New Roman"/>
          <w:spacing w:val="64"/>
          <w:sz w:val="2"/>
        </w:rPr>
      </w:r>
      <w:r>
        <w:rPr>
          <w:rFonts w:ascii="Times New Roman"/>
          <w:spacing w:val="64"/>
          <w:sz w:val="2"/>
        </w:rPr>
        <w:t> </w:t>
      </w:r>
      <w:r>
        <w:rPr>
          <w:rFonts w:ascii="Times New Roman"/>
          <w:spacing w:val="64"/>
          <w:sz w:val="2"/>
        </w:rPr>
        <w:pict>
          <v:group style="width:76.05pt;height:1.05pt;mso-position-horizontal-relative:char;mso-position-vertical-relative:line" coordorigin="0,0" coordsize="1521,21">
            <v:group style="position:absolute;left:10;top:1;width:1502;height:2" coordorigin="10,1" coordsize="1502,2">
              <v:shape style="position:absolute;left:10;top:1;width:1502;height:2" coordorigin="10,1" coordsize="1502,0" path="m10,1l1511,1e" filled="false" stroked="true" strokeweight=".06pt" strokecolor="#000000">
                <v:path arrowok="t"/>
              </v:shape>
            </v:group>
            <v:group style="position:absolute;left:10;top:11;width:1502;height:2" coordorigin="10,11" coordsize="1502,2">
              <v:shape style="position:absolute;left:10;top:11;width:1502;height:2" coordorigin="10,11" coordsize="1502,0" path="m10,11l1511,11e" filled="false" stroked="true" strokeweight=".95999pt" strokecolor="#000000">
                <v:path arrowok="t"/>
              </v:shape>
            </v:group>
          </v:group>
        </w:pict>
      </w:r>
      <w:r>
        <w:rPr>
          <w:rFonts w:ascii="Times New Roman"/>
          <w:spacing w:val="64"/>
          <w:sz w:val="2"/>
        </w:rPr>
      </w:r>
      <w:r>
        <w:rPr>
          <w:rFonts w:ascii="Times New Roman"/>
          <w:spacing w:val="78"/>
          <w:sz w:val="2"/>
        </w:rPr>
        <w:t> </w:t>
      </w:r>
      <w:r>
        <w:rPr>
          <w:rFonts w:ascii="Times New Roman"/>
          <w:spacing w:val="78"/>
          <w:sz w:val="2"/>
        </w:rPr>
        <w:pict>
          <v:group style="width:119.5pt;height:1.05pt;mso-position-horizontal-relative:char;mso-position-vertical-relative:line" coordorigin="0,0" coordsize="2390,21">
            <v:group style="position:absolute;left:10;top:1;width:1456;height:2" coordorigin="10,1" coordsize="1456,2">
              <v:shape style="position:absolute;left:10;top:1;width:1456;height:2" coordorigin="10,1" coordsize="1456,0" path="m10,1l1465,1e" filled="false" stroked="true" strokeweight=".06pt" strokecolor="#000000">
                <v:path arrowok="t"/>
              </v:shape>
            </v:group>
            <v:group style="position:absolute;left:10;top:11;width:1456;height:2" coordorigin="10,11" coordsize="1456,2">
              <v:shape style="position:absolute;left:10;top:11;width:1456;height:2" coordorigin="10,11" coordsize="1456,0" path="m10,11l1465,11e" filled="false" stroked="true" strokeweight=".95999pt" strokecolor="#000000">
                <v:path arrowok="t"/>
              </v:shape>
            </v:group>
            <v:group style="position:absolute;left:1537;top:1;width:843;height:2" coordorigin="1537,1" coordsize="843,2">
              <v:shape style="position:absolute;left:1537;top:1;width:843;height:2" coordorigin="1537,1" coordsize="843,0" path="m1537,1l2380,1e" filled="false" stroked="true" strokeweight=".06pt" strokecolor="#000000">
                <v:path arrowok="t"/>
              </v:shape>
            </v:group>
            <v:group style="position:absolute;left:1537;top:11;width:843;height:2" coordorigin="1537,11" coordsize="843,2">
              <v:shape style="position:absolute;left:1537;top:11;width:843;height:2" coordorigin="1537,11" coordsize="843,0" path="m1537,11l2380,11e" filled="false" stroked="true" strokeweight=".95999pt" strokecolor="#000000">
                <v:path arrowok="t"/>
              </v:shape>
            </v:group>
          </v:group>
        </w:pict>
      </w:r>
      <w:r>
        <w:rPr>
          <w:rFonts w:ascii="Times New Roman"/>
          <w:spacing w:val="78"/>
          <w:sz w:val="2"/>
        </w:rPr>
      </w:r>
      <w:r>
        <w:rPr>
          <w:rFonts w:ascii="Times New Roman"/>
          <w:spacing w:val="107"/>
          <w:sz w:val="2"/>
        </w:rPr>
        <w:t> </w:t>
      </w:r>
      <w:r>
        <w:rPr>
          <w:rFonts w:ascii="Times New Roman"/>
          <w:spacing w:val="107"/>
          <w:sz w:val="2"/>
        </w:rPr>
        <w:pict>
          <v:group style="width:65.6pt;height:1.05pt;mso-position-horizontal-relative:char;mso-position-vertical-relative:line" coordorigin="0,0" coordsize="1312,21">
            <v:group style="position:absolute;left:8;top:1;width:1294;height:2" coordorigin="8,1" coordsize="1294,2">
              <v:shape style="position:absolute;left:8;top:1;width:1294;height:2" coordorigin="8,1" coordsize="1294,0" path="m8,1l1302,1e" filled="false" stroked="true" strokeweight=".06pt" strokecolor="#000000">
                <v:path arrowok="t"/>
              </v:shape>
            </v:group>
            <v:group style="position:absolute;left:10;top:11;width:1293;height:2" coordorigin="10,11" coordsize="1293,2">
              <v:shape style="position:absolute;left:10;top:11;width:1293;height:2" coordorigin="10,11" coordsize="1293,0" path="m10,11l1302,11e" filled="false" stroked="true" strokeweight=".95999pt" strokecolor="#000000">
                <v:path arrowok="t"/>
              </v:shape>
            </v:group>
          </v:group>
        </w:pict>
      </w:r>
      <w:r>
        <w:rPr>
          <w:rFonts w:ascii="Times New Roman"/>
          <w:spacing w:val="107"/>
          <w:sz w:val="2"/>
        </w:rPr>
      </w:r>
    </w:p>
    <w:p>
      <w:pPr>
        <w:tabs>
          <w:tab w:pos="1028" w:val="left" w:leader="none"/>
          <w:tab w:pos="2600" w:val="left" w:leader="none"/>
          <w:tab w:pos="3800" w:val="left" w:leader="none"/>
          <w:tab w:pos="5259" w:val="left" w:leader="none"/>
          <w:tab w:pos="6647" w:val="left" w:leader="none"/>
          <w:tab w:pos="7698" w:val="left" w:leader="none"/>
        </w:tabs>
        <w:spacing w:before="24"/>
        <w:ind w:left="0" w:right="151" w:firstLine="0"/>
        <w:jc w:val="center"/>
        <w:rPr>
          <w:rFonts w:ascii="Times New Roman" w:hAnsi="Times New Roman" w:cs="Times New Roman" w:eastAsia="Times New Roman" w:hint="default"/>
          <w:sz w:val="20"/>
          <w:szCs w:val="20"/>
        </w:rPr>
      </w:pPr>
      <w:r>
        <w:rPr>
          <w:rFonts w:ascii="宋体" w:hAnsi="宋体" w:cs="宋体" w:eastAsia="宋体" w:hint="default"/>
          <w:sz w:val="20"/>
          <w:szCs w:val="20"/>
        </w:rPr>
        <w:t>合 计</w:t>
        <w:tab/>
      </w:r>
      <w:r>
        <w:rPr>
          <w:rFonts w:ascii="Times New Roman" w:hAnsi="Times New Roman" w:cs="Times New Roman" w:eastAsia="Times New Roman" w:hint="default"/>
          <w:position w:val="1"/>
          <w:sz w:val="20"/>
          <w:szCs w:val="20"/>
        </w:rPr>
        <w:t>62,968,479.89</w:t>
        <w:tab/>
        <w:t>100.00%</w:t>
        <w:tab/>
        <w:t>3,160,787.28</w:t>
        <w:tab/>
        <w:t>75,787,287.87</w:t>
        <w:tab/>
        <w:t>100.00%</w:t>
        <w:tab/>
        <w:t>3,808,536.91</w:t>
      </w:r>
      <w:r>
        <w:rPr>
          <w:rFonts w:ascii="Times New Roman" w:hAnsi="Times New Roman" w:cs="Times New Roman" w:eastAsia="Times New Roman" w:hint="default"/>
          <w:sz w:val="20"/>
          <w:szCs w:val="20"/>
        </w:rPr>
      </w:r>
    </w:p>
    <w:p>
      <w:pPr>
        <w:spacing w:line="240" w:lineRule="auto" w:before="4"/>
        <w:rPr>
          <w:rFonts w:ascii="Times New Roman" w:hAnsi="Times New Roman" w:cs="Times New Roman" w:eastAsia="Times New Roman" w:hint="default"/>
          <w:sz w:val="3"/>
          <w:szCs w:val="3"/>
        </w:rPr>
      </w:pPr>
    </w:p>
    <w:p>
      <w:pPr>
        <w:spacing w:line="57" w:lineRule="exact"/>
        <w:ind w:left="1097" w:right="0" w:firstLine="0"/>
        <w:rPr>
          <w:rFonts w:ascii="Times New Roman" w:hAnsi="Times New Roman" w:cs="Times New Roman" w:eastAsia="Times New Roman" w:hint="default"/>
          <w:sz w:val="5"/>
          <w:szCs w:val="5"/>
        </w:rPr>
      </w:pPr>
      <w:r>
        <w:rPr>
          <w:rFonts w:ascii="Times New Roman"/>
          <w:position w:val="0"/>
          <w:sz w:val="5"/>
        </w:rPr>
        <w:pict>
          <v:group style="width:76.8pt;height:2.9pt;mso-position-horizontal-relative:char;mso-position-vertical-relative:line" coordorigin="0,0" coordsize="1536,58">
            <v:group style="position:absolute;left:10;top:10;width:1517;height:2" coordorigin="10,10" coordsize="1517,2">
              <v:shape style="position:absolute;left:10;top:10;width:1517;height:2" coordorigin="10,10" coordsize="1517,0" path="m10,10l1526,10e" filled="false" stroked="true" strokeweight=".95999pt" strokecolor="#000000">
                <v:path arrowok="t"/>
              </v:shape>
            </v:group>
            <v:group style="position:absolute;left:10;top:48;width:1517;height:2" coordorigin="10,48" coordsize="1517,2">
              <v:shape style="position:absolute;left:10;top:48;width:1517;height:2" coordorigin="10,48" coordsize="1517,0" path="m10,48l1526,48e" filled="false" stroked="true" strokeweight=".95999pt" strokecolor="#000000">
                <v:path arrowok="t"/>
              </v:shape>
            </v:group>
          </v:group>
        </w:pict>
      </w:r>
      <w:r>
        <w:rPr>
          <w:rFonts w:ascii="Times New Roman"/>
          <w:position w:val="0"/>
          <w:sz w:val="5"/>
        </w:rPr>
      </w:r>
      <w:r>
        <w:rPr>
          <w:rFonts w:ascii="Times New Roman"/>
          <w:spacing w:val="57"/>
          <w:position w:val="0"/>
          <w:sz w:val="5"/>
        </w:rPr>
        <w:t> </w:t>
      </w:r>
      <w:r>
        <w:rPr>
          <w:rFonts w:ascii="Times New Roman"/>
          <w:spacing w:val="57"/>
          <w:position w:val="0"/>
          <w:sz w:val="5"/>
        </w:rPr>
        <w:pict>
          <v:group style="width:50.6pt;height:2.9pt;mso-position-horizontal-relative:char;mso-position-vertical-relative:line" coordorigin="0,0" coordsize="1012,58">
            <v:group style="position:absolute;left:10;top:10;width:993;height:2" coordorigin="10,10" coordsize="993,2">
              <v:shape style="position:absolute;left:10;top:10;width:993;height:2" coordorigin="10,10" coordsize="993,0" path="m10,10l1002,10e" filled="false" stroked="true" strokeweight=".95999pt" strokecolor="#000000">
                <v:path arrowok="t"/>
              </v:shape>
            </v:group>
            <v:group style="position:absolute;left:10;top:48;width:993;height:2" coordorigin="10,48" coordsize="993,2">
              <v:shape style="position:absolute;left:10;top:48;width:993;height:2" coordorigin="10,48" coordsize="993,0" path="m10,48l1002,48e" filled="false" stroked="true" strokeweight=".95999pt" strokecolor="#000000">
                <v:path arrowok="t"/>
              </v:shape>
            </v:group>
          </v:group>
        </w:pict>
      </w:r>
      <w:r>
        <w:rPr>
          <w:rFonts w:ascii="Times New Roman"/>
          <w:spacing w:val="57"/>
          <w:position w:val="0"/>
          <w:sz w:val="5"/>
        </w:rPr>
      </w:r>
      <w:r>
        <w:rPr>
          <w:rFonts w:ascii="Times New Roman"/>
          <w:spacing w:val="56"/>
          <w:position w:val="0"/>
          <w:sz w:val="5"/>
        </w:rPr>
        <w:t> </w:t>
      </w:r>
      <w:r>
        <w:rPr>
          <w:rFonts w:ascii="Times New Roman"/>
          <w:spacing w:val="56"/>
          <w:position w:val="0"/>
          <w:sz w:val="5"/>
        </w:rPr>
        <w:pict>
          <v:group style="width:76.05pt;height:2.9pt;mso-position-horizontal-relative:char;mso-position-vertical-relative:line" coordorigin="0,0" coordsize="1521,58">
            <v:group style="position:absolute;left:10;top:10;width:1502;height:2" coordorigin="10,10" coordsize="1502,2">
              <v:shape style="position:absolute;left:10;top:10;width:1502;height:2" coordorigin="10,10" coordsize="1502,0" path="m10,10l1511,10e" filled="false" stroked="true" strokeweight=".95999pt" strokecolor="#000000">
                <v:path arrowok="t"/>
              </v:shape>
            </v:group>
            <v:group style="position:absolute;left:10;top:48;width:1502;height:2" coordorigin="10,48" coordsize="1502,2">
              <v:shape style="position:absolute;left:10;top:48;width:1502;height:2" coordorigin="10,48" coordsize="1502,0" path="m10,48l1511,48e" filled="false" stroked="true" strokeweight=".95999pt" strokecolor="#000000">
                <v:path arrowok="t"/>
              </v:shape>
            </v:group>
          </v:group>
        </w:pict>
      </w:r>
      <w:r>
        <w:rPr>
          <w:rFonts w:ascii="Times New Roman"/>
          <w:spacing w:val="56"/>
          <w:position w:val="0"/>
          <w:sz w:val="5"/>
        </w:rPr>
      </w:r>
      <w:r>
        <w:rPr>
          <w:rFonts w:ascii="Times New Roman"/>
          <w:spacing w:val="70"/>
          <w:position w:val="0"/>
          <w:sz w:val="5"/>
        </w:rPr>
        <w:t> </w:t>
      </w:r>
      <w:r>
        <w:rPr>
          <w:rFonts w:ascii="Times New Roman"/>
          <w:spacing w:val="70"/>
          <w:position w:val="0"/>
          <w:sz w:val="5"/>
        </w:rPr>
        <w:pict>
          <v:group style="width:119.5pt;height:2.9pt;mso-position-horizontal-relative:char;mso-position-vertical-relative:line" coordorigin="0,0" coordsize="2390,58">
            <v:group style="position:absolute;left:10;top:10;width:1456;height:2" coordorigin="10,10" coordsize="1456,2">
              <v:shape style="position:absolute;left:10;top:10;width:1456;height:2" coordorigin="10,10" coordsize="1456,0" path="m10,10l1465,10e" filled="false" stroked="true" strokeweight=".95999pt" strokecolor="#000000">
                <v:path arrowok="t"/>
              </v:shape>
            </v:group>
            <v:group style="position:absolute;left:10;top:48;width:1456;height:2" coordorigin="10,48" coordsize="1456,2">
              <v:shape style="position:absolute;left:10;top:48;width:1456;height:2" coordorigin="10,48" coordsize="1456,0" path="m10,48l1465,48e" filled="false" stroked="true" strokeweight=".95999pt" strokecolor="#000000">
                <v:path arrowok="t"/>
              </v:shape>
            </v:group>
            <v:group style="position:absolute;left:1537;top:10;width:843;height:2" coordorigin="1537,10" coordsize="843,2">
              <v:shape style="position:absolute;left:1537;top:10;width:843;height:2" coordorigin="1537,10" coordsize="843,0" path="m1537,10l2380,10e" filled="false" stroked="true" strokeweight=".95999pt" strokecolor="#000000">
                <v:path arrowok="t"/>
              </v:shape>
            </v:group>
            <v:group style="position:absolute;left:1537;top:48;width:843;height:2" coordorigin="1537,48" coordsize="843,2">
              <v:shape style="position:absolute;left:1537;top:48;width:843;height:2" coordorigin="1537,48" coordsize="843,0" path="m1537,48l2380,48e" filled="false" stroked="true" strokeweight=".95999pt" strokecolor="#000000">
                <v:path arrowok="t"/>
              </v:shape>
            </v:group>
          </v:group>
        </w:pict>
      </w:r>
      <w:r>
        <w:rPr>
          <w:rFonts w:ascii="Times New Roman"/>
          <w:spacing w:val="70"/>
          <w:position w:val="0"/>
          <w:sz w:val="5"/>
        </w:rPr>
      </w:r>
      <w:r>
        <w:rPr>
          <w:rFonts w:ascii="Times New Roman"/>
          <w:spacing w:val="99"/>
          <w:position w:val="0"/>
          <w:sz w:val="5"/>
        </w:rPr>
        <w:t> </w:t>
      </w:r>
      <w:r>
        <w:rPr>
          <w:rFonts w:ascii="Times New Roman"/>
          <w:spacing w:val="99"/>
          <w:position w:val="0"/>
          <w:sz w:val="5"/>
        </w:rPr>
        <w:pict>
          <v:group style="width:65.6pt;height:2.9pt;mso-position-horizontal-relative:char;mso-position-vertical-relative:line" coordorigin="0,0" coordsize="1312,58">
            <v:group style="position:absolute;left:10;top:10;width:1293;height:2" coordorigin="10,10" coordsize="1293,2">
              <v:shape style="position:absolute;left:10;top:10;width:1293;height:2" coordorigin="10,10" coordsize="1293,0" path="m10,10l1302,10e" filled="false" stroked="true" strokeweight=".95999pt" strokecolor="#000000">
                <v:path arrowok="t"/>
              </v:shape>
            </v:group>
            <v:group style="position:absolute;left:10;top:48;width:1293;height:2" coordorigin="10,48" coordsize="1293,2">
              <v:shape style="position:absolute;left:10;top:48;width:1293;height:2" coordorigin="10,48" coordsize="1293,0" path="m10,48l1302,48e" filled="false" stroked="true" strokeweight=".95999pt" strokecolor="#000000">
                <v:path arrowok="t"/>
              </v:shape>
            </v:group>
          </v:group>
        </w:pict>
      </w:r>
      <w:r>
        <w:rPr>
          <w:rFonts w:ascii="Times New Roman"/>
          <w:spacing w:val="99"/>
          <w:position w:val="0"/>
          <w:sz w:val="5"/>
        </w:rPr>
      </w:r>
    </w:p>
    <w:p>
      <w:pPr>
        <w:pStyle w:val="BodyText"/>
        <w:spacing w:line="310" w:lineRule="exact" w:before="68"/>
        <w:ind w:right="1141" w:firstLine="478"/>
        <w:jc w:val="left"/>
      </w:pPr>
      <w:r>
        <w:rPr/>
        <w:t>（3）应收账款期末欠款前五名总金额为 21,422,187.10</w:t>
      </w:r>
      <w:r>
        <w:rPr>
          <w:spacing w:val="-92"/>
        </w:rPr>
        <w:t> </w:t>
      </w:r>
      <w:r>
        <w:rPr/>
        <w:t>元，占应收账款总</w:t>
      </w:r>
      <w:r>
        <w:rPr>
          <w:spacing w:val="-1"/>
          <w:w w:val="100"/>
        </w:rPr>
        <w:t> </w:t>
      </w:r>
      <w:r>
        <w:rPr/>
        <w:t>额的</w:t>
      </w:r>
      <w:r>
        <w:rPr>
          <w:spacing w:val="-64"/>
        </w:rPr>
        <w:t> </w:t>
      </w:r>
      <w:r>
        <w:rPr/>
        <w:t>34.02%。</w:t>
      </w:r>
    </w:p>
    <w:p>
      <w:pPr>
        <w:pStyle w:val="BodyText"/>
        <w:spacing w:line="240" w:lineRule="auto" w:before="28"/>
        <w:ind w:left="558" w:right="0"/>
        <w:jc w:val="left"/>
      </w:pPr>
      <w:r>
        <w:rPr/>
        <w:t>（4）本年实际冲销的应收账款总金额为</w:t>
      </w:r>
      <w:r>
        <w:rPr>
          <w:spacing w:val="-63"/>
        </w:rPr>
        <w:t> </w:t>
      </w:r>
      <w:r>
        <w:rPr/>
        <w:t>14,197.00</w:t>
      </w:r>
      <w:r>
        <w:rPr>
          <w:spacing w:val="-62"/>
        </w:rPr>
        <w:t> </w:t>
      </w:r>
      <w:r>
        <w:rPr/>
        <w:t>元。</w:t>
      </w:r>
    </w:p>
    <w:p>
      <w:pPr>
        <w:pStyle w:val="BodyText"/>
        <w:spacing w:line="310" w:lineRule="exact" w:before="90"/>
        <w:ind w:right="1138" w:firstLine="358"/>
        <w:jc w:val="left"/>
      </w:pPr>
      <w:r>
        <w:rPr/>
        <w:t>（5）应收账款年末数中无持本公司 5%（含</w:t>
      </w:r>
      <w:r>
        <w:rPr>
          <w:spacing w:val="-89"/>
        </w:rPr>
        <w:t> </w:t>
      </w:r>
      <w:r>
        <w:rPr/>
        <w:t>5%）以上有表决权股份的股东单</w:t>
      </w:r>
      <w:r>
        <w:rPr>
          <w:spacing w:val="-1"/>
          <w:w w:val="100"/>
        </w:rPr>
        <w:t> </w:t>
      </w:r>
      <w:r>
        <w:rPr/>
        <w:t>位欠款。</w:t>
      </w:r>
    </w:p>
    <w:p>
      <w:pPr>
        <w:pStyle w:val="Heading3"/>
        <w:spacing w:line="240" w:lineRule="auto" w:before="62"/>
        <w:ind w:left="681" w:right="0"/>
        <w:jc w:val="left"/>
        <w:rPr>
          <w:b w:val="0"/>
          <w:bCs w:val="0"/>
        </w:rPr>
      </w:pPr>
      <w:r>
        <w:rPr/>
        <w:t>d)  </w:t>
      </w:r>
      <w:r>
        <w:rPr>
          <w:spacing w:val="6"/>
        </w:rPr>
        <w:t> </w:t>
      </w:r>
      <w:r>
        <w:rPr/>
        <w:t>预付款项</w:t>
      </w:r>
      <w:r>
        <w:rPr>
          <w:b w:val="0"/>
          <w:bCs w:val="0"/>
        </w:rPr>
      </w:r>
    </w:p>
    <w:p>
      <w:pPr>
        <w:pStyle w:val="BodyText"/>
        <w:spacing w:line="240" w:lineRule="auto" w:before="99"/>
        <w:ind w:left="617" w:right="0"/>
        <w:jc w:val="left"/>
      </w:pPr>
      <w:r>
        <w:rPr/>
        <w:t>（1）预付款项明细情况</w:t>
      </w:r>
    </w:p>
    <w:p>
      <w:pPr>
        <w:spacing w:after="0" w:line="240" w:lineRule="auto"/>
        <w:jc w:val="left"/>
        <w:sectPr>
          <w:pgSz w:w="11910" w:h="16840"/>
          <w:pgMar w:header="840" w:footer="1712" w:top="1160" w:bottom="1900" w:left="1660" w:right="640"/>
        </w:sectPr>
      </w:pPr>
    </w:p>
    <w:p>
      <w:pPr>
        <w:tabs>
          <w:tab w:pos="5681" w:val="left" w:leader="none"/>
        </w:tabs>
        <w:spacing w:line="223" w:lineRule="exact" w:before="52"/>
        <w:ind w:left="1876" w:right="0" w:firstLine="0"/>
        <w:jc w:val="center"/>
        <w:rPr>
          <w:rFonts w:ascii="宋体" w:hAnsi="宋体" w:cs="宋体" w:eastAsia="宋体" w:hint="default"/>
          <w:sz w:val="21"/>
          <w:szCs w:val="21"/>
        </w:rPr>
      </w:pPr>
      <w:r>
        <w:rPr/>
        <w:pict>
          <v:group style="position:absolute;margin-left:88.019981pt;margin-top:41.999668pt;width:419.35pt;height:16.4pt;mso-position-horizontal-relative:page;mso-position-vertical-relative:page;z-index:-59293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w w:val="105"/>
          <w:sz w:val="21"/>
          <w:szCs w:val="21"/>
        </w:rPr>
        <w:t>年 末</w:t>
      </w:r>
      <w:r>
        <w:rPr>
          <w:rFonts w:ascii="宋体" w:hAnsi="宋体" w:cs="宋体" w:eastAsia="宋体" w:hint="default"/>
          <w:spacing w:val="10"/>
          <w:w w:val="105"/>
          <w:sz w:val="21"/>
          <w:szCs w:val="21"/>
        </w:rPr>
        <w:t> </w:t>
      </w:r>
      <w:r>
        <w:rPr>
          <w:rFonts w:ascii="宋体" w:hAnsi="宋体" w:cs="宋体" w:eastAsia="宋体" w:hint="default"/>
          <w:w w:val="105"/>
          <w:sz w:val="21"/>
          <w:szCs w:val="21"/>
        </w:rPr>
        <w:t>数</w:t>
        <w:tab/>
        <w:t>年 初</w:t>
      </w:r>
      <w:r>
        <w:rPr>
          <w:rFonts w:ascii="宋体" w:hAnsi="宋体" w:cs="宋体" w:eastAsia="宋体" w:hint="default"/>
          <w:spacing w:val="-6"/>
          <w:w w:val="105"/>
          <w:sz w:val="21"/>
          <w:szCs w:val="21"/>
        </w:rPr>
        <w:t> </w:t>
      </w:r>
      <w:r>
        <w:rPr>
          <w:rFonts w:ascii="宋体" w:hAnsi="宋体" w:cs="宋体" w:eastAsia="宋体" w:hint="default"/>
          <w:w w:val="105"/>
          <w:sz w:val="21"/>
          <w:szCs w:val="21"/>
        </w:rPr>
        <w:t>数</w:t>
      </w:r>
      <w:r>
        <w:rPr>
          <w:rFonts w:ascii="宋体" w:hAnsi="宋体" w:cs="宋体" w:eastAsia="宋体" w:hint="default"/>
          <w:sz w:val="21"/>
          <w:szCs w:val="21"/>
        </w:rPr>
      </w:r>
    </w:p>
    <w:p>
      <w:pPr>
        <w:spacing w:line="170" w:lineRule="exact" w:before="0"/>
        <w:ind w:left="515" w:right="783" w:firstLine="0"/>
        <w:jc w:val="left"/>
        <w:rPr>
          <w:rFonts w:ascii="宋体" w:hAnsi="宋体" w:cs="宋体" w:eastAsia="宋体" w:hint="default"/>
          <w:sz w:val="21"/>
          <w:szCs w:val="21"/>
        </w:rPr>
      </w:pPr>
      <w:r>
        <w:rPr/>
        <w:pict>
          <v:group style="position:absolute;margin-left:183.059982pt;margin-top:5.003672pt;width:165.85pt;height:.75pt;mso-position-horizontal-relative:page;mso-position-vertical-relative:paragraph;z-index:3856" coordorigin="3661,100" coordsize="3317,15">
            <v:group style="position:absolute;left:3668;top:101;width:3303;height:2" coordorigin="3668,101" coordsize="3303,2">
              <v:shape style="position:absolute;left:3668;top:101;width:3303;height:2" coordorigin="3668,101" coordsize="3303,0" path="m3668,101l6971,101e" filled="false" stroked="true" strokeweight=".06pt" strokecolor="#000000">
                <v:path arrowok="t"/>
              </v:shape>
            </v:group>
            <v:group style="position:absolute;left:3668;top:108;width:3303;height:2" coordorigin="3668,108" coordsize="3303,2">
              <v:shape style="position:absolute;left:3668;top:108;width:3303;height:2" coordorigin="3668,108" coordsize="3303,0" path="m3668,108l6971,108e" filled="false" stroked="true" strokeweight=".72003pt" strokecolor="#000000">
                <v:path arrowok="t"/>
              </v:shape>
            </v:group>
            <w10:wrap type="none"/>
          </v:group>
        </w:pict>
      </w:r>
      <w:r>
        <w:rPr/>
        <w:pict>
          <v:group style="position:absolute;margin-left:373.319977pt;margin-top:5.003672pt;width:165.85pt;height:.75pt;mso-position-horizontal-relative:page;mso-position-vertical-relative:paragraph;z-index:3952" coordorigin="7466,100" coordsize="3317,15">
            <v:group style="position:absolute;left:7474;top:101;width:3303;height:2" coordorigin="7474,101" coordsize="3303,2">
              <v:shape style="position:absolute;left:7474;top:101;width:3303;height:2" coordorigin="7474,101" coordsize="3303,0" path="m7474,101l10776,101e" filled="false" stroked="true" strokeweight=".06pt" strokecolor="#000000">
                <v:path arrowok="t"/>
              </v:shape>
            </v:group>
            <v:group style="position:absolute;left:7474;top:108;width:3303;height:2" coordorigin="7474,108" coordsize="3303,2">
              <v:shape style="position:absolute;left:7474;top:108;width:3303;height:2" coordorigin="7474,108" coordsize="3303,0" path="m7474,108l10776,108e" filled="false" stroked="true" strokeweight=".72003pt" strokecolor="#000000">
                <v:path arrowok="t"/>
              </v:shape>
            </v:group>
            <w10:wrap type="none"/>
          </v:group>
        </w:pict>
      </w:r>
      <w:r>
        <w:rPr>
          <w:rFonts w:ascii="宋体" w:hAnsi="宋体" w:cs="宋体" w:eastAsia="宋体" w:hint="default"/>
          <w:w w:val="105"/>
          <w:sz w:val="21"/>
          <w:szCs w:val="21"/>
        </w:rPr>
        <w:t>账</w:t>
      </w:r>
      <w:r>
        <w:rPr>
          <w:rFonts w:ascii="宋体" w:hAnsi="宋体" w:cs="宋体" w:eastAsia="宋体" w:hint="default"/>
          <w:spacing w:val="-6"/>
          <w:w w:val="105"/>
          <w:sz w:val="21"/>
          <w:szCs w:val="21"/>
        </w:rPr>
        <w:t> </w:t>
      </w:r>
      <w:r>
        <w:rPr>
          <w:rFonts w:ascii="宋体" w:hAnsi="宋体" w:cs="宋体" w:eastAsia="宋体" w:hint="default"/>
          <w:w w:val="105"/>
          <w:sz w:val="21"/>
          <w:szCs w:val="21"/>
        </w:rPr>
        <w:t>龄</w:t>
      </w:r>
      <w:r>
        <w:rPr>
          <w:rFonts w:ascii="宋体" w:hAnsi="宋体" w:cs="宋体" w:eastAsia="宋体" w:hint="default"/>
          <w:sz w:val="21"/>
          <w:szCs w:val="21"/>
        </w:rPr>
      </w:r>
    </w:p>
    <w:p>
      <w:pPr>
        <w:tabs>
          <w:tab w:pos="2615" w:val="left" w:leader="none"/>
          <w:tab w:pos="4014" w:val="left" w:leader="none"/>
          <w:tab w:pos="5854" w:val="left" w:leader="none"/>
          <w:tab w:pos="6403" w:val="left" w:leader="none"/>
          <w:tab w:pos="7819" w:val="left" w:leader="none"/>
        </w:tabs>
        <w:spacing w:line="222" w:lineRule="exact" w:before="0"/>
        <w:ind w:left="2048" w:right="0" w:firstLine="0"/>
        <w:jc w:val="center"/>
        <w:rPr>
          <w:rFonts w:ascii="宋体" w:hAnsi="宋体" w:cs="宋体" w:eastAsia="宋体" w:hint="default"/>
          <w:sz w:val="21"/>
          <w:szCs w:val="21"/>
        </w:rPr>
      </w:pPr>
      <w:r>
        <w:rPr>
          <w:rFonts w:ascii="宋体" w:hAnsi="宋体" w:cs="宋体" w:eastAsia="宋体" w:hint="default"/>
          <w:sz w:val="21"/>
          <w:szCs w:val="21"/>
        </w:rPr>
        <w:t>金</w:t>
        <w:tab/>
        <w:t>额</w:t>
        <w:tab/>
        <w:t>比例</w:t>
        <w:tab/>
        <w:t>金</w:t>
        <w:tab/>
        <w:t>额</w:t>
        <w:tab/>
      </w:r>
      <w:r>
        <w:rPr>
          <w:rFonts w:ascii="宋体" w:hAnsi="宋体" w:cs="宋体" w:eastAsia="宋体" w:hint="default"/>
          <w:w w:val="105"/>
          <w:sz w:val="21"/>
          <w:szCs w:val="21"/>
        </w:rPr>
        <w:t>比例</w:t>
      </w:r>
      <w:r>
        <w:rPr>
          <w:rFonts w:ascii="宋体" w:hAnsi="宋体" w:cs="宋体" w:eastAsia="宋体" w:hint="default"/>
          <w:sz w:val="21"/>
          <w:szCs w:val="21"/>
        </w:rPr>
      </w:r>
    </w:p>
    <w:p>
      <w:pPr>
        <w:spacing w:line="240" w:lineRule="auto" w:before="13"/>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1258"/>
        <w:gridCol w:w="598"/>
        <w:gridCol w:w="1840"/>
        <w:gridCol w:w="283"/>
        <w:gridCol w:w="1180"/>
        <w:gridCol w:w="503"/>
        <w:gridCol w:w="1840"/>
        <w:gridCol w:w="283"/>
        <w:gridCol w:w="1180"/>
      </w:tblGrid>
      <w:tr>
        <w:trPr>
          <w:trHeight w:val="326" w:hRule="exact"/>
        </w:trPr>
        <w:tc>
          <w:tcPr>
            <w:tcW w:w="1258" w:type="dxa"/>
            <w:tcBorders>
              <w:top w:val="single" w:sz="6" w:space="0" w:color="000000"/>
              <w:left w:val="nil" w:sz="6" w:space="0" w:color="auto"/>
              <w:bottom w:val="nil" w:sz="6" w:space="0" w:color="auto"/>
              <w:right w:val="nil" w:sz="6" w:space="0" w:color="auto"/>
            </w:tcBorders>
          </w:tcPr>
          <w:p>
            <w:pPr>
              <w:pStyle w:val="TableParagraph"/>
              <w:spacing w:line="261" w:lineRule="exact"/>
              <w:ind w:left="31" w:right="0"/>
              <w:jc w:val="left"/>
              <w:rPr>
                <w:rFonts w:ascii="宋体" w:hAnsi="宋体" w:cs="宋体" w:eastAsia="宋体" w:hint="default"/>
                <w:sz w:val="21"/>
                <w:szCs w:val="21"/>
              </w:rPr>
            </w:pPr>
            <w:r>
              <w:rPr>
                <w:rFonts w:ascii="宋体" w:hAnsi="宋体" w:cs="宋体" w:eastAsia="宋体" w:hint="default"/>
                <w:spacing w:val="5"/>
                <w:w w:val="105"/>
                <w:sz w:val="21"/>
                <w:szCs w:val="21"/>
              </w:rPr>
              <w:t>1年以内</w:t>
            </w:r>
            <w:r>
              <w:rPr>
                <w:rFonts w:ascii="宋体" w:hAnsi="宋体" w:cs="宋体" w:eastAsia="宋体" w:hint="default"/>
                <w:spacing w:val="5"/>
                <w:sz w:val="21"/>
                <w:szCs w:val="21"/>
              </w:rPr>
            </w:r>
          </w:p>
        </w:tc>
        <w:tc>
          <w:tcPr>
            <w:tcW w:w="598" w:type="dxa"/>
            <w:tcBorders>
              <w:top w:val="nil" w:sz="6" w:space="0" w:color="auto"/>
              <w:left w:val="nil" w:sz="6" w:space="0" w:color="auto"/>
              <w:bottom w:val="nil" w:sz="6" w:space="0" w:color="auto"/>
              <w:right w:val="nil" w:sz="6" w:space="0" w:color="auto"/>
            </w:tcBorders>
          </w:tcPr>
          <w:p>
            <w:pPr/>
          </w:p>
        </w:tc>
        <w:tc>
          <w:tcPr>
            <w:tcW w:w="1840" w:type="dxa"/>
            <w:tcBorders>
              <w:top w:val="single" w:sz="6" w:space="0" w:color="000000"/>
              <w:left w:val="nil" w:sz="6" w:space="0" w:color="auto"/>
              <w:bottom w:val="nil" w:sz="6" w:space="0" w:color="auto"/>
              <w:right w:val="nil" w:sz="6" w:space="0" w:color="auto"/>
            </w:tcBorders>
          </w:tcPr>
          <w:p>
            <w:pPr>
              <w:pStyle w:val="TableParagraph"/>
              <w:spacing w:line="240" w:lineRule="auto" w:before="28"/>
              <w:ind w:right="94"/>
              <w:jc w:val="right"/>
              <w:rPr>
                <w:rFonts w:ascii="Times New Roman" w:hAnsi="Times New Roman" w:cs="Times New Roman" w:eastAsia="Times New Roman" w:hint="default"/>
                <w:sz w:val="21"/>
                <w:szCs w:val="21"/>
              </w:rPr>
            </w:pPr>
            <w:r>
              <w:rPr>
                <w:rFonts w:ascii="Times New Roman"/>
                <w:spacing w:val="2"/>
                <w:sz w:val="21"/>
              </w:rPr>
              <w:t>3,353,339.69</w:t>
            </w:r>
          </w:p>
        </w:tc>
        <w:tc>
          <w:tcPr>
            <w:tcW w:w="283" w:type="dxa"/>
            <w:tcBorders>
              <w:top w:val="nil" w:sz="6" w:space="0" w:color="auto"/>
              <w:left w:val="nil" w:sz="6" w:space="0" w:color="auto"/>
              <w:bottom w:val="nil" w:sz="6" w:space="0" w:color="auto"/>
              <w:right w:val="nil" w:sz="6" w:space="0" w:color="auto"/>
            </w:tcBorders>
          </w:tcPr>
          <w:p>
            <w:pPr/>
          </w:p>
        </w:tc>
        <w:tc>
          <w:tcPr>
            <w:tcW w:w="1180" w:type="dxa"/>
            <w:tcBorders>
              <w:top w:val="single" w:sz="6" w:space="0" w:color="000000"/>
              <w:left w:val="nil" w:sz="6" w:space="0" w:color="auto"/>
              <w:bottom w:val="nil" w:sz="6" w:space="0" w:color="auto"/>
              <w:right w:val="nil" w:sz="6" w:space="0" w:color="auto"/>
            </w:tcBorders>
          </w:tcPr>
          <w:p>
            <w:pPr>
              <w:pStyle w:val="TableParagraph"/>
              <w:spacing w:line="240" w:lineRule="auto" w:before="28"/>
              <w:ind w:right="54"/>
              <w:jc w:val="right"/>
              <w:rPr>
                <w:rFonts w:ascii="Times New Roman" w:hAnsi="Times New Roman" w:cs="Times New Roman" w:eastAsia="Times New Roman" w:hint="default"/>
                <w:sz w:val="21"/>
                <w:szCs w:val="21"/>
              </w:rPr>
            </w:pPr>
            <w:r>
              <w:rPr>
                <w:rFonts w:ascii="Times New Roman"/>
                <w:sz w:val="21"/>
              </w:rPr>
              <w:t>97.83%</w:t>
            </w:r>
          </w:p>
        </w:tc>
        <w:tc>
          <w:tcPr>
            <w:tcW w:w="503" w:type="dxa"/>
            <w:tcBorders>
              <w:top w:val="nil" w:sz="6" w:space="0" w:color="auto"/>
              <w:left w:val="nil" w:sz="6" w:space="0" w:color="auto"/>
              <w:bottom w:val="nil" w:sz="6" w:space="0" w:color="auto"/>
              <w:right w:val="nil" w:sz="6" w:space="0" w:color="auto"/>
            </w:tcBorders>
          </w:tcPr>
          <w:p>
            <w:pPr/>
          </w:p>
        </w:tc>
        <w:tc>
          <w:tcPr>
            <w:tcW w:w="1840" w:type="dxa"/>
            <w:tcBorders>
              <w:top w:val="single" w:sz="6" w:space="0" w:color="000000"/>
              <w:left w:val="nil" w:sz="6" w:space="0" w:color="auto"/>
              <w:bottom w:val="nil" w:sz="6" w:space="0" w:color="auto"/>
              <w:right w:val="nil" w:sz="6" w:space="0" w:color="auto"/>
            </w:tcBorders>
          </w:tcPr>
          <w:p>
            <w:pPr>
              <w:pStyle w:val="TableParagraph"/>
              <w:spacing w:line="240" w:lineRule="auto" w:before="28"/>
              <w:ind w:right="109"/>
              <w:jc w:val="right"/>
              <w:rPr>
                <w:rFonts w:ascii="Times New Roman" w:hAnsi="Times New Roman" w:cs="Times New Roman" w:eastAsia="Times New Roman" w:hint="default"/>
                <w:sz w:val="21"/>
                <w:szCs w:val="21"/>
              </w:rPr>
            </w:pPr>
            <w:r>
              <w:rPr>
                <w:rFonts w:ascii="Times New Roman"/>
                <w:sz w:val="21"/>
              </w:rPr>
              <w:t>2,907,621.90</w:t>
            </w:r>
          </w:p>
        </w:tc>
        <w:tc>
          <w:tcPr>
            <w:tcW w:w="283" w:type="dxa"/>
            <w:tcBorders>
              <w:top w:val="nil" w:sz="6" w:space="0" w:color="auto"/>
              <w:left w:val="nil" w:sz="6" w:space="0" w:color="auto"/>
              <w:bottom w:val="nil" w:sz="6" w:space="0" w:color="auto"/>
              <w:right w:val="nil" w:sz="6" w:space="0" w:color="auto"/>
            </w:tcBorders>
          </w:tcPr>
          <w:p>
            <w:pPr/>
          </w:p>
        </w:tc>
        <w:tc>
          <w:tcPr>
            <w:tcW w:w="1180" w:type="dxa"/>
            <w:tcBorders>
              <w:top w:val="single" w:sz="6" w:space="0" w:color="000000"/>
              <w:left w:val="nil" w:sz="6" w:space="0" w:color="auto"/>
              <w:bottom w:val="nil" w:sz="6" w:space="0" w:color="auto"/>
              <w:right w:val="nil" w:sz="6" w:space="0" w:color="auto"/>
            </w:tcBorders>
          </w:tcPr>
          <w:p>
            <w:pPr>
              <w:pStyle w:val="TableParagraph"/>
              <w:spacing w:line="240" w:lineRule="auto" w:before="28"/>
              <w:ind w:right="54"/>
              <w:jc w:val="right"/>
              <w:rPr>
                <w:rFonts w:ascii="Times New Roman" w:hAnsi="Times New Roman" w:cs="Times New Roman" w:eastAsia="Times New Roman" w:hint="default"/>
                <w:sz w:val="21"/>
                <w:szCs w:val="21"/>
              </w:rPr>
            </w:pPr>
            <w:r>
              <w:rPr>
                <w:rFonts w:ascii="Times New Roman"/>
                <w:sz w:val="21"/>
              </w:rPr>
              <w:t>98.07%</w:t>
            </w:r>
          </w:p>
        </w:tc>
      </w:tr>
      <w:tr>
        <w:trPr>
          <w:trHeight w:val="318"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266" w:lineRule="exact"/>
              <w:ind w:left="31" w:right="0"/>
              <w:jc w:val="left"/>
              <w:rPr>
                <w:rFonts w:ascii="宋体" w:hAnsi="宋体" w:cs="宋体" w:eastAsia="宋体" w:hint="default"/>
                <w:sz w:val="21"/>
                <w:szCs w:val="21"/>
              </w:rPr>
            </w:pPr>
            <w:r>
              <w:rPr>
                <w:rFonts w:ascii="宋体" w:hAnsi="宋体" w:cs="宋体" w:eastAsia="宋体" w:hint="default"/>
                <w:spacing w:val="5"/>
                <w:w w:val="105"/>
                <w:sz w:val="21"/>
                <w:szCs w:val="21"/>
              </w:rPr>
              <w:t>1至2年</w:t>
            </w:r>
            <w:r>
              <w:rPr>
                <w:rFonts w:ascii="宋体" w:hAnsi="宋体" w:cs="宋体" w:eastAsia="宋体" w:hint="default"/>
                <w:spacing w:val="5"/>
                <w:sz w:val="21"/>
                <w:szCs w:val="21"/>
              </w:rPr>
            </w:r>
          </w:p>
        </w:tc>
        <w:tc>
          <w:tcPr>
            <w:tcW w:w="598"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4"/>
              <w:jc w:val="right"/>
              <w:rPr>
                <w:rFonts w:ascii="Times New Roman" w:hAnsi="Times New Roman" w:cs="Times New Roman" w:eastAsia="Times New Roman" w:hint="default"/>
                <w:sz w:val="21"/>
                <w:szCs w:val="21"/>
              </w:rPr>
            </w:pPr>
            <w:r>
              <w:rPr>
                <w:rFonts w:ascii="Times New Roman"/>
                <w:spacing w:val="2"/>
                <w:sz w:val="21"/>
              </w:rPr>
              <w:t>22,320.00</w:t>
            </w:r>
          </w:p>
        </w:tc>
        <w:tc>
          <w:tcPr>
            <w:tcW w:w="28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4"/>
              <w:jc w:val="right"/>
              <w:rPr>
                <w:rFonts w:ascii="Times New Roman" w:hAnsi="Times New Roman" w:cs="Times New Roman" w:eastAsia="Times New Roman" w:hint="default"/>
                <w:sz w:val="21"/>
                <w:szCs w:val="21"/>
              </w:rPr>
            </w:pPr>
            <w:r>
              <w:rPr>
                <w:rFonts w:ascii="Times New Roman"/>
                <w:sz w:val="21"/>
              </w:rPr>
              <w:t>0.65%</w:t>
            </w:r>
          </w:p>
        </w:tc>
        <w:tc>
          <w:tcPr>
            <w:tcW w:w="503"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21"/>
                <w:szCs w:val="21"/>
              </w:rPr>
            </w:pPr>
            <w:r>
              <w:rPr>
                <w:rFonts w:ascii="Times New Roman"/>
                <w:sz w:val="21"/>
              </w:rPr>
              <w:t>57,226.30</w:t>
            </w:r>
          </w:p>
        </w:tc>
        <w:tc>
          <w:tcPr>
            <w:tcW w:w="28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4"/>
              <w:jc w:val="right"/>
              <w:rPr>
                <w:rFonts w:ascii="Times New Roman" w:hAnsi="Times New Roman" w:cs="Times New Roman" w:eastAsia="Times New Roman" w:hint="default"/>
                <w:sz w:val="21"/>
                <w:szCs w:val="21"/>
              </w:rPr>
            </w:pPr>
            <w:r>
              <w:rPr>
                <w:rFonts w:ascii="Times New Roman"/>
                <w:sz w:val="21"/>
              </w:rPr>
              <w:t>1.93%</w:t>
            </w:r>
          </w:p>
        </w:tc>
      </w:tr>
      <w:tr>
        <w:trPr>
          <w:trHeight w:val="311"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272" w:lineRule="exact"/>
              <w:ind w:left="31" w:right="0"/>
              <w:jc w:val="left"/>
              <w:rPr>
                <w:rFonts w:ascii="宋体" w:hAnsi="宋体" w:cs="宋体" w:eastAsia="宋体" w:hint="default"/>
                <w:sz w:val="21"/>
                <w:szCs w:val="21"/>
              </w:rPr>
            </w:pPr>
            <w:r>
              <w:rPr>
                <w:rFonts w:ascii="宋体" w:hAnsi="宋体" w:cs="宋体" w:eastAsia="宋体" w:hint="default"/>
                <w:spacing w:val="5"/>
                <w:w w:val="105"/>
                <w:sz w:val="21"/>
                <w:szCs w:val="21"/>
              </w:rPr>
              <w:t>2至3年</w:t>
            </w:r>
            <w:r>
              <w:rPr>
                <w:rFonts w:ascii="宋体" w:hAnsi="宋体" w:cs="宋体" w:eastAsia="宋体" w:hint="default"/>
                <w:spacing w:val="5"/>
                <w:sz w:val="21"/>
                <w:szCs w:val="21"/>
              </w:rPr>
            </w:r>
          </w:p>
        </w:tc>
        <w:tc>
          <w:tcPr>
            <w:tcW w:w="598"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single" w:sz="6" w:space="0" w:color="000000"/>
              <w:right w:val="nil" w:sz="6" w:space="0" w:color="auto"/>
            </w:tcBorders>
          </w:tcPr>
          <w:p>
            <w:pPr>
              <w:pStyle w:val="TableParagraph"/>
              <w:spacing w:line="240" w:lineRule="auto" w:before="24"/>
              <w:ind w:right="94"/>
              <w:jc w:val="right"/>
              <w:rPr>
                <w:rFonts w:ascii="Times New Roman" w:hAnsi="Times New Roman" w:cs="Times New Roman" w:eastAsia="Times New Roman" w:hint="default"/>
                <w:sz w:val="21"/>
                <w:szCs w:val="21"/>
              </w:rPr>
            </w:pPr>
            <w:r>
              <w:rPr>
                <w:rFonts w:ascii="Times New Roman"/>
                <w:spacing w:val="2"/>
                <w:sz w:val="21"/>
              </w:rPr>
              <w:t>52,226.30</w:t>
            </w:r>
          </w:p>
        </w:tc>
        <w:tc>
          <w:tcPr>
            <w:tcW w:w="28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single" w:sz="6" w:space="0" w:color="000000"/>
              <w:right w:val="nil" w:sz="6" w:space="0" w:color="auto"/>
            </w:tcBorders>
          </w:tcPr>
          <w:p>
            <w:pPr>
              <w:pStyle w:val="TableParagraph"/>
              <w:spacing w:line="240" w:lineRule="auto" w:before="24"/>
              <w:ind w:right="54"/>
              <w:jc w:val="right"/>
              <w:rPr>
                <w:rFonts w:ascii="Times New Roman" w:hAnsi="Times New Roman" w:cs="Times New Roman" w:eastAsia="Times New Roman" w:hint="default"/>
                <w:sz w:val="21"/>
                <w:szCs w:val="21"/>
              </w:rPr>
            </w:pPr>
            <w:r>
              <w:rPr>
                <w:rFonts w:ascii="Times New Roman"/>
                <w:sz w:val="21"/>
              </w:rPr>
              <w:t>1.52%</w:t>
            </w:r>
          </w:p>
        </w:tc>
        <w:tc>
          <w:tcPr>
            <w:tcW w:w="503" w:type="dxa"/>
            <w:tcBorders>
              <w:top w:val="nil" w:sz="6" w:space="0" w:color="auto"/>
              <w:left w:val="nil" w:sz="6" w:space="0" w:color="auto"/>
              <w:bottom w:val="nil" w:sz="6" w:space="0" w:color="auto"/>
              <w:right w:val="nil" w:sz="6" w:space="0" w:color="auto"/>
            </w:tcBorders>
          </w:tcPr>
          <w:p>
            <w:pPr/>
          </w:p>
        </w:tc>
        <w:tc>
          <w:tcPr>
            <w:tcW w:w="1840" w:type="dxa"/>
            <w:tcBorders>
              <w:top w:val="nil" w:sz="6" w:space="0" w:color="auto"/>
              <w:left w:val="nil" w:sz="6" w:space="0" w:color="auto"/>
              <w:bottom w:val="single" w:sz="6" w:space="0" w:color="000000"/>
              <w:right w:val="nil" w:sz="6" w:space="0" w:color="auto"/>
            </w:tcBorders>
          </w:tcPr>
          <w:p>
            <w:pPr>
              <w:pStyle w:val="TableParagraph"/>
              <w:spacing w:line="240" w:lineRule="auto" w:before="24"/>
              <w:ind w:right="318"/>
              <w:jc w:val="right"/>
              <w:rPr>
                <w:rFonts w:ascii="Times New Roman" w:hAnsi="Times New Roman" w:cs="Times New Roman" w:eastAsia="Times New Roman" w:hint="default"/>
                <w:sz w:val="21"/>
                <w:szCs w:val="21"/>
              </w:rPr>
            </w:pPr>
            <w:r>
              <w:rPr>
                <w:rFonts w:ascii="Times New Roman"/>
                <w:w w:val="102"/>
                <w:sz w:val="21"/>
              </w:rPr>
              <w:t>-</w:t>
            </w:r>
            <w:r>
              <w:rPr>
                <w:rFonts w:ascii="Times New Roman"/>
                <w:sz w:val="21"/>
              </w:rPr>
            </w:r>
          </w:p>
        </w:tc>
        <w:tc>
          <w:tcPr>
            <w:tcW w:w="283"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single" w:sz="6" w:space="0" w:color="000000"/>
              <w:right w:val="nil" w:sz="6" w:space="0" w:color="auto"/>
            </w:tcBorders>
          </w:tcPr>
          <w:p>
            <w:pPr>
              <w:pStyle w:val="TableParagraph"/>
              <w:spacing w:line="240" w:lineRule="auto" w:before="24"/>
              <w:ind w:left="786" w:right="0"/>
              <w:jc w:val="left"/>
              <w:rPr>
                <w:rFonts w:ascii="Times New Roman" w:hAnsi="Times New Roman" w:cs="Times New Roman" w:eastAsia="Times New Roman" w:hint="default"/>
                <w:sz w:val="21"/>
                <w:szCs w:val="21"/>
              </w:rPr>
            </w:pPr>
            <w:r>
              <w:rPr>
                <w:rFonts w:ascii="Times New Roman"/>
                <w:w w:val="102"/>
                <w:sz w:val="21"/>
              </w:rPr>
              <w:t>-</w:t>
            </w:r>
            <w:r>
              <w:rPr>
                <w:rFonts w:ascii="Times New Roman"/>
                <w:sz w:val="21"/>
              </w:rPr>
            </w:r>
          </w:p>
        </w:tc>
      </w:tr>
      <w:tr>
        <w:trPr>
          <w:trHeight w:val="340"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2" w:right="0"/>
              <w:jc w:val="left"/>
              <w:rPr>
                <w:rFonts w:ascii="宋体" w:hAnsi="宋体" w:cs="宋体" w:eastAsia="宋体" w:hint="default"/>
                <w:sz w:val="21"/>
                <w:szCs w:val="21"/>
              </w:rPr>
            </w:pPr>
            <w:r>
              <w:rPr>
                <w:rFonts w:ascii="宋体" w:hAnsi="宋体" w:cs="宋体" w:eastAsia="宋体" w:hint="default"/>
                <w:w w:val="105"/>
                <w:sz w:val="21"/>
                <w:szCs w:val="21"/>
              </w:rPr>
              <w:t>合</w:t>
            </w:r>
            <w:r>
              <w:rPr>
                <w:rFonts w:ascii="宋体" w:hAnsi="宋体" w:cs="宋体" w:eastAsia="宋体" w:hint="default"/>
                <w:spacing w:val="-6"/>
                <w:w w:val="105"/>
                <w:sz w:val="21"/>
                <w:szCs w:val="21"/>
              </w:rPr>
              <w:t> </w:t>
            </w:r>
            <w:r>
              <w:rPr>
                <w:rFonts w:ascii="宋体" w:hAnsi="宋体" w:cs="宋体" w:eastAsia="宋体" w:hint="default"/>
                <w:w w:val="105"/>
                <w:sz w:val="21"/>
                <w:szCs w:val="21"/>
              </w:rPr>
              <w:t>计</w:t>
            </w:r>
            <w:r>
              <w:rPr>
                <w:rFonts w:ascii="宋体" w:hAnsi="宋体" w:cs="宋体" w:eastAsia="宋体" w:hint="default"/>
                <w:sz w:val="21"/>
                <w:szCs w:val="21"/>
              </w:rPr>
            </w:r>
          </w:p>
        </w:tc>
        <w:tc>
          <w:tcPr>
            <w:tcW w:w="598" w:type="dxa"/>
            <w:tcBorders>
              <w:top w:val="nil" w:sz="6" w:space="0" w:color="auto"/>
              <w:left w:val="nil" w:sz="6" w:space="0" w:color="auto"/>
              <w:bottom w:val="nil" w:sz="6" w:space="0" w:color="auto"/>
              <w:right w:val="nil" w:sz="6" w:space="0" w:color="auto"/>
            </w:tcBorders>
          </w:tcPr>
          <w:p>
            <w:pPr/>
          </w:p>
        </w:tc>
        <w:tc>
          <w:tcPr>
            <w:tcW w:w="1840" w:type="dxa"/>
            <w:tcBorders>
              <w:top w:val="single" w:sz="6" w:space="0" w:color="000000"/>
              <w:left w:val="nil" w:sz="6" w:space="0" w:color="auto"/>
              <w:bottom w:val="single" w:sz="6" w:space="0" w:color="000000"/>
              <w:right w:val="nil" w:sz="6" w:space="0" w:color="auto"/>
            </w:tcBorders>
          </w:tcPr>
          <w:p>
            <w:pPr>
              <w:pStyle w:val="TableParagraph"/>
              <w:spacing w:line="240" w:lineRule="auto" w:before="28"/>
              <w:ind w:right="94"/>
              <w:jc w:val="right"/>
              <w:rPr>
                <w:rFonts w:ascii="Times New Roman" w:hAnsi="Times New Roman" w:cs="Times New Roman" w:eastAsia="Times New Roman" w:hint="default"/>
                <w:sz w:val="21"/>
                <w:szCs w:val="21"/>
              </w:rPr>
            </w:pPr>
            <w:r>
              <w:rPr>
                <w:rFonts w:ascii="Times New Roman"/>
                <w:spacing w:val="2"/>
                <w:sz w:val="21"/>
              </w:rPr>
              <w:t>3,427,885.99</w:t>
            </w:r>
          </w:p>
        </w:tc>
        <w:tc>
          <w:tcPr>
            <w:tcW w:w="283" w:type="dxa"/>
            <w:tcBorders>
              <w:top w:val="nil" w:sz="6" w:space="0" w:color="auto"/>
              <w:left w:val="nil" w:sz="6" w:space="0" w:color="auto"/>
              <w:bottom w:val="nil" w:sz="6" w:space="0" w:color="auto"/>
              <w:right w:val="nil" w:sz="6" w:space="0" w:color="auto"/>
            </w:tcBorders>
          </w:tcPr>
          <w:p>
            <w:pPr/>
          </w:p>
        </w:tc>
        <w:tc>
          <w:tcPr>
            <w:tcW w:w="1180" w:type="dxa"/>
            <w:tcBorders>
              <w:top w:val="single" w:sz="6" w:space="0" w:color="000000"/>
              <w:left w:val="nil" w:sz="6" w:space="0" w:color="auto"/>
              <w:bottom w:val="single" w:sz="6" w:space="0" w:color="000000"/>
              <w:right w:val="nil" w:sz="6" w:space="0" w:color="auto"/>
            </w:tcBorders>
          </w:tcPr>
          <w:p>
            <w:pPr>
              <w:pStyle w:val="TableParagraph"/>
              <w:spacing w:line="240" w:lineRule="auto" w:before="28"/>
              <w:ind w:right="54"/>
              <w:jc w:val="right"/>
              <w:rPr>
                <w:rFonts w:ascii="Times New Roman" w:hAnsi="Times New Roman" w:cs="Times New Roman" w:eastAsia="Times New Roman" w:hint="default"/>
                <w:sz w:val="21"/>
                <w:szCs w:val="21"/>
              </w:rPr>
            </w:pPr>
            <w:r>
              <w:rPr>
                <w:rFonts w:ascii="Times New Roman"/>
                <w:sz w:val="21"/>
              </w:rPr>
              <w:t>100.00%</w:t>
            </w:r>
          </w:p>
        </w:tc>
        <w:tc>
          <w:tcPr>
            <w:tcW w:w="503" w:type="dxa"/>
            <w:tcBorders>
              <w:top w:val="nil" w:sz="6" w:space="0" w:color="auto"/>
              <w:left w:val="nil" w:sz="6" w:space="0" w:color="auto"/>
              <w:bottom w:val="nil" w:sz="6" w:space="0" w:color="auto"/>
              <w:right w:val="nil" w:sz="6" w:space="0" w:color="auto"/>
            </w:tcBorders>
          </w:tcPr>
          <w:p>
            <w:pPr/>
          </w:p>
        </w:tc>
        <w:tc>
          <w:tcPr>
            <w:tcW w:w="1840" w:type="dxa"/>
            <w:tcBorders>
              <w:top w:val="single" w:sz="6" w:space="0" w:color="000000"/>
              <w:left w:val="nil" w:sz="6" w:space="0" w:color="auto"/>
              <w:bottom w:val="single" w:sz="6" w:space="0" w:color="000000"/>
              <w:right w:val="nil" w:sz="6" w:space="0" w:color="auto"/>
            </w:tcBorders>
          </w:tcPr>
          <w:p>
            <w:pPr>
              <w:pStyle w:val="TableParagraph"/>
              <w:spacing w:line="240" w:lineRule="auto" w:before="28"/>
              <w:ind w:right="109"/>
              <w:jc w:val="right"/>
              <w:rPr>
                <w:rFonts w:ascii="Times New Roman" w:hAnsi="Times New Roman" w:cs="Times New Roman" w:eastAsia="Times New Roman" w:hint="default"/>
                <w:sz w:val="21"/>
                <w:szCs w:val="21"/>
              </w:rPr>
            </w:pPr>
            <w:r>
              <w:rPr>
                <w:rFonts w:ascii="Times New Roman"/>
                <w:sz w:val="21"/>
              </w:rPr>
              <w:t>2,964,848.20</w:t>
            </w:r>
          </w:p>
        </w:tc>
        <w:tc>
          <w:tcPr>
            <w:tcW w:w="283" w:type="dxa"/>
            <w:tcBorders>
              <w:top w:val="nil" w:sz="6" w:space="0" w:color="auto"/>
              <w:left w:val="nil" w:sz="6" w:space="0" w:color="auto"/>
              <w:bottom w:val="nil" w:sz="6" w:space="0" w:color="auto"/>
              <w:right w:val="nil" w:sz="6" w:space="0" w:color="auto"/>
            </w:tcBorders>
          </w:tcPr>
          <w:p>
            <w:pPr/>
          </w:p>
        </w:tc>
        <w:tc>
          <w:tcPr>
            <w:tcW w:w="1180" w:type="dxa"/>
            <w:tcBorders>
              <w:top w:val="single" w:sz="6" w:space="0" w:color="000000"/>
              <w:left w:val="nil" w:sz="6" w:space="0" w:color="auto"/>
              <w:bottom w:val="single" w:sz="6" w:space="0" w:color="000000"/>
              <w:right w:val="nil" w:sz="6" w:space="0" w:color="auto"/>
            </w:tcBorders>
          </w:tcPr>
          <w:p>
            <w:pPr>
              <w:pStyle w:val="TableParagraph"/>
              <w:spacing w:line="240" w:lineRule="auto" w:before="28"/>
              <w:ind w:right="54"/>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12"/>
        <w:rPr>
          <w:rFonts w:ascii="宋体" w:hAnsi="宋体" w:cs="宋体" w:eastAsia="宋体" w:hint="default"/>
          <w:sz w:val="29"/>
          <w:szCs w:val="29"/>
        </w:rPr>
      </w:pPr>
    </w:p>
    <w:p>
      <w:pPr>
        <w:pStyle w:val="BodyText"/>
        <w:spacing w:line="310" w:lineRule="exact" w:before="59"/>
        <w:ind w:right="783" w:firstLine="480"/>
        <w:jc w:val="left"/>
      </w:pPr>
      <w:r>
        <w:rPr/>
        <w:pict>
          <v:group style="position:absolute;margin-left:183.419998pt;margin-top:-22.329348pt;width:92pt;height:.1pt;mso-position-horizontal-relative:page;mso-position-vertical-relative:paragraph;z-index:-592888" coordorigin="3668,-447" coordsize="1840,2">
            <v:shape style="position:absolute;left:3668;top:-447;width:1840;height:2" coordorigin="3668,-447" coordsize="1840,0" path="m3668,-447l5508,-447e" filled="false" stroked="true" strokeweight="1.56pt" strokecolor="#000000">
              <v:path arrowok="t"/>
            </v:shape>
            <w10:wrap type="none"/>
          </v:group>
        </w:pict>
      </w:r>
      <w:r>
        <w:rPr/>
        <w:pict>
          <v:group style="position:absolute;margin-left:289.559998pt;margin-top:-22.329348pt;width:59pt;height:.1pt;mso-position-horizontal-relative:page;mso-position-vertical-relative:paragraph;z-index:-592864" coordorigin="5791,-447" coordsize="1180,2">
            <v:shape style="position:absolute;left:5791;top:-447;width:1180;height:2" coordorigin="5791,-447" coordsize="1180,0" path="m5791,-447l6971,-447e" filled="false" stroked="true" strokeweight="1.56pt" strokecolor="#000000">
              <v:path arrowok="t"/>
            </v:shape>
            <w10:wrap type="none"/>
          </v:group>
        </w:pict>
      </w:r>
      <w:r>
        <w:rPr/>
        <w:pict>
          <v:group style="position:absolute;margin-left:373.679993pt;margin-top:-22.329348pt;width:92pt;height:.1pt;mso-position-horizontal-relative:page;mso-position-vertical-relative:paragraph;z-index:-592840" coordorigin="7474,-447" coordsize="1840,2">
            <v:shape style="position:absolute;left:7474;top:-447;width:1840;height:2" coordorigin="7474,-447" coordsize="1840,0" path="m7474,-447l9313,-447e" filled="false" stroked="true" strokeweight="1.56pt" strokecolor="#000000">
              <v:path arrowok="t"/>
            </v:shape>
            <w10:wrap type="none"/>
          </v:group>
        </w:pict>
      </w:r>
      <w:r>
        <w:rPr/>
        <w:pict>
          <v:group style="position:absolute;margin-left:479.820007pt;margin-top:-22.329348pt;width:59pt;height:.1pt;mso-position-horizontal-relative:page;mso-position-vertical-relative:paragraph;z-index:-592792" coordorigin="9596,-447" coordsize="1180,2">
            <v:shape style="position:absolute;left:9596;top:-447;width:1180;height:2" coordorigin="9596,-447" coordsize="1180,0" path="m9596,-447l10776,-447e" filled="false" stroked="true" strokeweight="1.56pt" strokecolor="#000000">
              <v:path arrowok="t"/>
            </v:shape>
            <w10:wrap type="none"/>
          </v:group>
        </w:pict>
      </w:r>
      <w:r>
        <w:rPr/>
        <w:t>注：截至</w:t>
      </w:r>
      <w:r>
        <w:rPr>
          <w:spacing w:val="-48"/>
        </w:rPr>
        <w:t> </w:t>
      </w:r>
      <w:r>
        <w:rPr/>
        <w:t>2007</w:t>
      </w:r>
      <w:r>
        <w:rPr>
          <w:spacing w:val="-48"/>
        </w:rPr>
        <w:t> </w:t>
      </w:r>
      <w:r>
        <w:rPr/>
        <w:t>年</w:t>
      </w:r>
      <w:r>
        <w:rPr>
          <w:spacing w:val="-48"/>
        </w:rPr>
        <w:t> </w:t>
      </w:r>
      <w:r>
        <w:rPr/>
        <w:t>12</w:t>
      </w:r>
      <w:r>
        <w:rPr>
          <w:spacing w:val="-48"/>
        </w:rPr>
        <w:t> </w:t>
      </w:r>
      <w:r>
        <w:rPr/>
        <w:t>月</w:t>
      </w:r>
      <w:r>
        <w:rPr>
          <w:spacing w:val="-48"/>
        </w:rPr>
        <w:t> </w:t>
      </w:r>
      <w:r>
        <w:rPr/>
        <w:t>31</w:t>
      </w:r>
      <w:r>
        <w:rPr>
          <w:spacing w:val="-48"/>
        </w:rPr>
        <w:t> </w:t>
      </w:r>
      <w:r>
        <w:rPr/>
        <w:t>日，本公司账龄超过一年的预付账款</w:t>
      </w:r>
      <w:r>
        <w:rPr>
          <w:spacing w:val="-48"/>
        </w:rPr>
        <w:t> </w:t>
      </w:r>
      <w:r>
        <w:rPr/>
        <w:t>74,546.30</w:t>
      </w:r>
      <w:r>
        <w:rPr>
          <w:spacing w:val="-1"/>
          <w:w w:val="100"/>
        </w:rPr>
        <w:t> </w:t>
      </w:r>
      <w:r>
        <w:rPr/>
        <w:t>元，为尚未收到存货的材料预付款项。</w:t>
      </w:r>
    </w:p>
    <w:p>
      <w:pPr>
        <w:pStyle w:val="BodyText"/>
        <w:spacing w:line="336" w:lineRule="auto" w:before="80"/>
        <w:ind w:right="787" w:firstLine="480"/>
        <w:jc w:val="left"/>
      </w:pPr>
      <w:r>
        <w:rPr/>
        <w:t>（2）截至</w:t>
      </w:r>
      <w:r>
        <w:rPr>
          <w:spacing w:val="-58"/>
        </w:rPr>
        <w:t> </w:t>
      </w:r>
      <w:r>
        <w:rPr/>
        <w:t>2007</w:t>
      </w:r>
      <w:r>
        <w:rPr>
          <w:spacing w:val="-57"/>
        </w:rPr>
        <w:t> </w:t>
      </w:r>
      <w:r>
        <w:rPr/>
        <w:t>年</w:t>
      </w:r>
      <w:r>
        <w:rPr>
          <w:spacing w:val="-58"/>
        </w:rPr>
        <w:t> </w:t>
      </w:r>
      <w:r>
        <w:rPr/>
        <w:t>12</w:t>
      </w:r>
      <w:r>
        <w:rPr>
          <w:spacing w:val="-56"/>
        </w:rPr>
        <w:t> </w:t>
      </w:r>
      <w:r>
        <w:rPr/>
        <w:t>月</w:t>
      </w:r>
      <w:r>
        <w:rPr>
          <w:spacing w:val="-58"/>
        </w:rPr>
        <w:t> </w:t>
      </w:r>
      <w:r>
        <w:rPr/>
        <w:t>31</w:t>
      </w:r>
      <w:r>
        <w:rPr>
          <w:spacing w:val="-57"/>
        </w:rPr>
        <w:t> </w:t>
      </w:r>
      <w:r>
        <w:rPr/>
        <w:t>日，无预付持本公司</w:t>
      </w:r>
      <w:r>
        <w:rPr>
          <w:spacing w:val="-58"/>
        </w:rPr>
        <w:t> </w:t>
      </w:r>
      <w:r>
        <w:rPr/>
        <w:t>5%（含</w:t>
      </w:r>
      <w:r>
        <w:rPr>
          <w:spacing w:val="-58"/>
        </w:rPr>
        <w:t> </w:t>
      </w:r>
      <w:r>
        <w:rPr/>
        <w:t>5%）以上有表决权</w:t>
      </w:r>
      <w:r>
        <w:rPr>
          <w:spacing w:val="-1"/>
          <w:w w:val="100"/>
        </w:rPr>
        <w:t> </w:t>
      </w:r>
      <w:r>
        <w:rPr/>
        <w:t>股份股东的款项。</w:t>
      </w:r>
    </w:p>
    <w:p>
      <w:pPr>
        <w:pStyle w:val="BodyText"/>
        <w:spacing w:line="240" w:lineRule="auto" w:before="29"/>
        <w:ind w:left="617" w:right="783"/>
        <w:jc w:val="left"/>
      </w:pPr>
      <w:r>
        <w:rPr/>
        <w:t>（3）金额较大的预付款项明细情况</w:t>
      </w:r>
    </w:p>
    <w:p>
      <w:pPr>
        <w:spacing w:line="240" w:lineRule="auto" w:before="2"/>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4325"/>
        <w:gridCol w:w="1668"/>
        <w:gridCol w:w="2555"/>
      </w:tblGrid>
      <w:tr>
        <w:trPr>
          <w:trHeight w:val="683" w:hRule="exact"/>
        </w:trPr>
        <w:tc>
          <w:tcPr>
            <w:tcW w:w="4325" w:type="dxa"/>
            <w:tcBorders>
              <w:top w:val="nil" w:sz="6" w:space="0" w:color="auto"/>
              <w:left w:val="nil" w:sz="6" w:space="0" w:color="auto"/>
              <w:bottom w:val="nil" w:sz="6" w:space="0" w:color="auto"/>
              <w:right w:val="nil" w:sz="6" w:space="0" w:color="auto"/>
            </w:tcBorders>
          </w:tcPr>
          <w:p>
            <w:pPr>
              <w:pStyle w:val="TableParagraph"/>
              <w:tabs>
                <w:tab w:pos="1292" w:val="left" w:leader="none"/>
                <w:tab w:pos="3620" w:val="left" w:leader="none"/>
              </w:tabs>
              <w:spacing w:line="256" w:lineRule="auto" w:before="32"/>
              <w:ind w:left="183" w:right="685" w:hanging="149"/>
              <w:jc w:val="left"/>
              <w:rPr>
                <w:rFonts w:ascii="宋体" w:hAnsi="宋体" w:cs="宋体" w:eastAsia="宋体" w:hint="default"/>
                <w:sz w:val="22"/>
                <w:szCs w:val="22"/>
              </w:rPr>
            </w:pPr>
            <w:r>
              <w:rPr>
                <w:rFonts w:ascii="Times New Roman" w:hAnsi="Times New Roman" w:cs="Times New Roman" w:eastAsia="Times New Roman" w:hint="default"/>
                <w:w w:val="100"/>
                <w:sz w:val="22"/>
                <w:szCs w:val="22"/>
              </w:rPr>
            </w:r>
            <w:r>
              <w:rPr>
                <w:rFonts w:ascii="Times New Roman" w:hAnsi="Times New Roman" w:cs="Times New Roman" w:eastAsia="Times New Roman" w:hint="default"/>
                <w:w w:val="100"/>
                <w:sz w:val="22"/>
                <w:szCs w:val="22"/>
                <w:u w:val="single" w:color="000000"/>
              </w:rPr>
              <w:t> </w:t>
            </w:r>
            <w:r>
              <w:rPr>
                <w:rFonts w:ascii="Times New Roman" w:hAnsi="Times New Roman" w:cs="Times New Roman" w:eastAsia="Times New Roman" w:hint="default"/>
                <w:sz w:val="22"/>
                <w:szCs w:val="22"/>
                <w:u w:val="single" w:color="000000"/>
              </w:rPr>
              <w:tab/>
              <w:tab/>
            </w:r>
            <w:r>
              <w:rPr>
                <w:rFonts w:ascii="宋体" w:hAnsi="宋体" w:cs="宋体" w:eastAsia="宋体" w:hint="default"/>
                <w:sz w:val="22"/>
                <w:szCs w:val="22"/>
                <w:u w:val="single" w:color="000000"/>
              </w:rPr>
              <w:t>债务人名称</w:t>
              <w:tab/>
            </w:r>
            <w:r>
              <w:rPr>
                <w:rFonts w:ascii="宋体" w:hAnsi="宋体" w:cs="宋体" w:eastAsia="宋体" w:hint="default"/>
                <w:w w:val="15"/>
                <w:sz w:val="22"/>
                <w:szCs w:val="22"/>
                <w:u w:val="single" w:color="000000"/>
              </w:rPr>
              <w:t> </w:t>
            </w:r>
            <w:r>
              <w:rPr>
                <w:rFonts w:ascii="宋体" w:hAnsi="宋体" w:cs="宋体" w:eastAsia="宋体" w:hint="default"/>
                <w:sz w:val="22"/>
                <w:szCs w:val="22"/>
                <w:u w:val="single" w:color="000000"/>
              </w:rPr>
            </w:r>
            <w:r>
              <w:rPr>
                <w:rFonts w:ascii="宋体" w:hAnsi="宋体" w:cs="宋体" w:eastAsia="宋体" w:hint="default"/>
                <w:sz w:val="22"/>
                <w:szCs w:val="22"/>
              </w:rPr>
            </w:r>
            <w:r>
              <w:rPr>
                <w:rFonts w:ascii="宋体" w:hAnsi="宋体" w:cs="宋体" w:eastAsia="宋体" w:hint="default"/>
                <w:sz w:val="22"/>
                <w:szCs w:val="22"/>
              </w:rPr>
              <w:t> </w:t>
            </w:r>
            <w:r>
              <w:rPr>
                <w:rFonts w:ascii="宋体" w:hAnsi="宋体" w:cs="宋体" w:eastAsia="宋体" w:hint="default"/>
                <w:spacing w:val="-1"/>
                <w:w w:val="100"/>
                <w:sz w:val="22"/>
                <w:szCs w:val="22"/>
              </w:rPr>
              <w:t>上海巨开装潢工程有限公司</w:t>
            </w:r>
            <w:r>
              <w:rPr>
                <w:rFonts w:ascii="宋体" w:hAnsi="宋体" w:cs="宋体" w:eastAsia="宋体" w:hint="default"/>
                <w:w w:val="100"/>
                <w:sz w:val="22"/>
                <w:szCs w:val="22"/>
              </w:rPr>
            </w:r>
          </w:p>
        </w:tc>
        <w:tc>
          <w:tcPr>
            <w:tcW w:w="1668" w:type="dxa"/>
            <w:tcBorders>
              <w:top w:val="nil" w:sz="6" w:space="0" w:color="auto"/>
              <w:left w:val="nil" w:sz="6" w:space="0" w:color="auto"/>
              <w:bottom w:val="nil" w:sz="6" w:space="0" w:color="auto"/>
              <w:right w:val="nil" w:sz="6" w:space="0" w:color="auto"/>
            </w:tcBorders>
          </w:tcPr>
          <w:p>
            <w:pPr>
              <w:pStyle w:val="TableParagraph"/>
              <w:tabs>
                <w:tab w:pos="621" w:val="left" w:leader="none"/>
                <w:tab w:pos="1667" w:val="left" w:leader="none"/>
              </w:tabs>
              <w:spacing w:line="240" w:lineRule="auto" w:before="32"/>
              <w:ind w:right="0"/>
              <w:jc w:val="left"/>
              <w:rPr>
                <w:rFonts w:ascii="宋体" w:hAnsi="宋体" w:cs="宋体" w:eastAsia="宋体" w:hint="default"/>
                <w:sz w:val="22"/>
                <w:szCs w:val="22"/>
              </w:rPr>
            </w:pPr>
            <w:r>
              <w:rPr>
                <w:rFonts w:ascii="Times New Roman" w:hAnsi="Times New Roman" w:cs="Times New Roman" w:eastAsia="Times New Roman" w:hint="default"/>
                <w:w w:val="100"/>
                <w:sz w:val="22"/>
                <w:szCs w:val="22"/>
              </w:rPr>
            </w:r>
            <w:r>
              <w:rPr>
                <w:rFonts w:ascii="Times New Roman" w:hAnsi="Times New Roman" w:cs="Times New Roman" w:eastAsia="Times New Roman" w:hint="default"/>
                <w:w w:val="100"/>
                <w:sz w:val="22"/>
                <w:szCs w:val="22"/>
                <w:u w:val="single" w:color="000000"/>
              </w:rPr>
              <w:t> </w:t>
            </w:r>
            <w:r>
              <w:rPr>
                <w:rFonts w:ascii="Times New Roman" w:hAnsi="Times New Roman" w:cs="Times New Roman" w:eastAsia="Times New Roman" w:hint="default"/>
                <w:sz w:val="22"/>
                <w:szCs w:val="22"/>
                <w:u w:val="single" w:color="000000"/>
              </w:rPr>
              <w:tab/>
            </w:r>
            <w:r>
              <w:rPr>
                <w:rFonts w:ascii="宋体" w:hAnsi="宋体" w:cs="宋体" w:eastAsia="宋体" w:hint="default"/>
                <w:sz w:val="22"/>
                <w:szCs w:val="22"/>
                <w:u w:val="single" w:color="000000"/>
              </w:rPr>
              <w:t>金额</w:t>
              <w:tab/>
            </w:r>
            <w:r>
              <w:rPr>
                <w:rFonts w:ascii="宋体" w:hAnsi="宋体" w:cs="宋体" w:eastAsia="宋体" w:hint="default"/>
                <w:sz w:val="22"/>
                <w:szCs w:val="22"/>
              </w:rPr>
            </w:r>
          </w:p>
          <w:p>
            <w:pPr>
              <w:pStyle w:val="TableParagraph"/>
              <w:spacing w:line="240" w:lineRule="auto" w:before="51"/>
              <w:ind w:left="412" w:right="0"/>
              <w:jc w:val="left"/>
              <w:rPr>
                <w:rFonts w:ascii="Times New Roman" w:hAnsi="Times New Roman" w:cs="Times New Roman" w:eastAsia="Times New Roman" w:hint="default"/>
                <w:sz w:val="22"/>
                <w:szCs w:val="22"/>
              </w:rPr>
            </w:pPr>
            <w:r>
              <w:rPr>
                <w:rFonts w:ascii="Times New Roman"/>
                <w:sz w:val="22"/>
              </w:rPr>
              <w:t>1,310,000.00</w:t>
            </w:r>
          </w:p>
        </w:tc>
        <w:tc>
          <w:tcPr>
            <w:tcW w:w="2555" w:type="dxa"/>
            <w:tcBorders>
              <w:top w:val="nil" w:sz="6" w:space="0" w:color="auto"/>
              <w:left w:val="nil" w:sz="6" w:space="0" w:color="auto"/>
              <w:bottom w:val="nil" w:sz="6" w:space="0" w:color="auto"/>
              <w:right w:val="nil" w:sz="6" w:space="0" w:color="auto"/>
            </w:tcBorders>
          </w:tcPr>
          <w:p>
            <w:pPr>
              <w:pStyle w:val="TableParagraph"/>
              <w:tabs>
                <w:tab w:pos="1142" w:val="left" w:leader="none"/>
                <w:tab w:pos="2502" w:val="left" w:leader="none"/>
              </w:tabs>
              <w:spacing w:line="256" w:lineRule="auto" w:before="32"/>
              <w:ind w:left="1000" w:right="33" w:hanging="149"/>
              <w:jc w:val="left"/>
              <w:rPr>
                <w:rFonts w:ascii="宋体" w:hAnsi="宋体" w:cs="宋体" w:eastAsia="宋体" w:hint="default"/>
                <w:sz w:val="22"/>
                <w:szCs w:val="22"/>
              </w:rPr>
            </w:pPr>
            <w:r>
              <w:rPr>
                <w:rFonts w:ascii="Times New Roman" w:hAnsi="Times New Roman" w:cs="Times New Roman" w:eastAsia="Times New Roman" w:hint="default"/>
                <w:w w:val="100"/>
                <w:sz w:val="22"/>
                <w:szCs w:val="22"/>
              </w:rPr>
            </w:r>
            <w:r>
              <w:rPr>
                <w:rFonts w:ascii="Times New Roman" w:hAnsi="Times New Roman" w:cs="Times New Roman" w:eastAsia="Times New Roman" w:hint="default"/>
                <w:w w:val="100"/>
                <w:sz w:val="22"/>
                <w:szCs w:val="22"/>
                <w:u w:val="single" w:color="000000"/>
              </w:rPr>
              <w:t> </w:t>
            </w:r>
            <w:r>
              <w:rPr>
                <w:rFonts w:ascii="Times New Roman" w:hAnsi="Times New Roman" w:cs="Times New Roman" w:eastAsia="Times New Roman" w:hint="default"/>
                <w:sz w:val="22"/>
                <w:szCs w:val="22"/>
                <w:u w:val="single" w:color="000000"/>
              </w:rPr>
              <w:tab/>
              <w:tab/>
            </w:r>
            <w:r>
              <w:rPr>
                <w:rFonts w:ascii="宋体" w:hAnsi="宋体" w:cs="宋体" w:eastAsia="宋体" w:hint="default"/>
                <w:sz w:val="22"/>
                <w:szCs w:val="22"/>
                <w:u w:val="single" w:color="000000"/>
              </w:rPr>
              <w:t>性质或内容</w:t>
              <w:tab/>
            </w:r>
            <w:r>
              <w:rPr>
                <w:rFonts w:ascii="宋体" w:hAnsi="宋体" w:cs="宋体" w:eastAsia="宋体" w:hint="default"/>
                <w:w w:val="15"/>
                <w:sz w:val="22"/>
                <w:szCs w:val="22"/>
                <w:u w:val="single" w:color="000000"/>
              </w:rPr>
              <w:t> </w:t>
            </w:r>
            <w:r>
              <w:rPr>
                <w:rFonts w:ascii="宋体" w:hAnsi="宋体" w:cs="宋体" w:eastAsia="宋体" w:hint="default"/>
                <w:sz w:val="22"/>
                <w:szCs w:val="22"/>
                <w:u w:val="single" w:color="000000"/>
              </w:rPr>
            </w:r>
            <w:r>
              <w:rPr>
                <w:rFonts w:ascii="宋体" w:hAnsi="宋体" w:cs="宋体" w:eastAsia="宋体" w:hint="default"/>
                <w:sz w:val="22"/>
                <w:szCs w:val="22"/>
              </w:rPr>
            </w:r>
            <w:r>
              <w:rPr>
                <w:rFonts w:ascii="宋体" w:hAnsi="宋体" w:cs="宋体" w:eastAsia="宋体" w:hint="default"/>
                <w:sz w:val="22"/>
                <w:szCs w:val="22"/>
              </w:rPr>
              <w:t> </w:t>
            </w:r>
            <w:r>
              <w:rPr>
                <w:rFonts w:ascii="宋体" w:hAnsi="宋体" w:cs="宋体" w:eastAsia="宋体" w:hint="default"/>
                <w:spacing w:val="-1"/>
                <w:w w:val="100"/>
                <w:sz w:val="22"/>
                <w:szCs w:val="22"/>
              </w:rPr>
              <w:t>预付装修款</w:t>
            </w:r>
            <w:r>
              <w:rPr>
                <w:rFonts w:ascii="宋体" w:hAnsi="宋体" w:cs="宋体" w:eastAsia="宋体" w:hint="default"/>
                <w:w w:val="100"/>
                <w:sz w:val="22"/>
                <w:szCs w:val="22"/>
              </w:rPr>
            </w:r>
          </w:p>
        </w:tc>
      </w:tr>
      <w:tr>
        <w:trPr>
          <w:trHeight w:val="338"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83" w:lineRule="exact"/>
              <w:ind w:left="183" w:right="0"/>
              <w:jc w:val="left"/>
              <w:rPr>
                <w:rFonts w:ascii="宋体" w:hAnsi="宋体" w:cs="宋体" w:eastAsia="宋体" w:hint="default"/>
                <w:sz w:val="22"/>
                <w:szCs w:val="22"/>
              </w:rPr>
            </w:pPr>
            <w:r>
              <w:rPr>
                <w:rFonts w:ascii="宋体" w:hAnsi="宋体" w:cs="宋体" w:eastAsia="宋体" w:hint="default"/>
                <w:sz w:val="22"/>
                <w:szCs w:val="22"/>
              </w:rPr>
              <w:t>山东康目文化用品有限公司</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4"/>
              <w:jc w:val="right"/>
              <w:rPr>
                <w:rFonts w:ascii="Times New Roman" w:hAnsi="Times New Roman" w:cs="Times New Roman" w:eastAsia="Times New Roman" w:hint="default"/>
                <w:sz w:val="22"/>
                <w:szCs w:val="22"/>
              </w:rPr>
            </w:pPr>
            <w:r>
              <w:rPr>
                <w:rFonts w:ascii="Times New Roman"/>
                <w:spacing w:val="-1"/>
                <w:sz w:val="22"/>
              </w:rPr>
              <w:t>610,305.00</w:t>
            </w:r>
            <w:r>
              <w:rPr>
                <w:rFonts w:ascii="Times New Roman"/>
                <w:sz w:val="22"/>
              </w:rPr>
            </w:r>
          </w:p>
        </w:tc>
        <w:tc>
          <w:tcPr>
            <w:tcW w:w="2555" w:type="dxa"/>
            <w:tcBorders>
              <w:top w:val="nil" w:sz="6" w:space="0" w:color="auto"/>
              <w:left w:val="nil" w:sz="6" w:space="0" w:color="auto"/>
              <w:bottom w:val="nil" w:sz="6" w:space="0" w:color="auto"/>
              <w:right w:val="nil" w:sz="6" w:space="0" w:color="auto"/>
            </w:tcBorders>
          </w:tcPr>
          <w:p>
            <w:pPr>
              <w:pStyle w:val="TableParagraph"/>
              <w:spacing w:line="283" w:lineRule="exact"/>
              <w:ind w:left="1000" w:right="0"/>
              <w:jc w:val="left"/>
              <w:rPr>
                <w:rFonts w:ascii="宋体" w:hAnsi="宋体" w:cs="宋体" w:eastAsia="宋体" w:hint="default"/>
                <w:sz w:val="22"/>
                <w:szCs w:val="22"/>
              </w:rPr>
            </w:pPr>
            <w:r>
              <w:rPr>
                <w:rFonts w:ascii="宋体" w:hAnsi="宋体" w:cs="宋体" w:eastAsia="宋体" w:hint="default"/>
                <w:sz w:val="22"/>
                <w:szCs w:val="22"/>
              </w:rPr>
              <w:t>货款</w:t>
            </w:r>
          </w:p>
        </w:tc>
      </w:tr>
      <w:tr>
        <w:trPr>
          <w:trHeight w:val="326"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83" w:lineRule="exact"/>
              <w:ind w:left="183" w:right="0"/>
              <w:jc w:val="left"/>
              <w:rPr>
                <w:rFonts w:ascii="宋体" w:hAnsi="宋体" w:cs="宋体" w:eastAsia="宋体" w:hint="default"/>
                <w:sz w:val="22"/>
                <w:szCs w:val="22"/>
              </w:rPr>
            </w:pPr>
            <w:r>
              <w:rPr>
                <w:rFonts w:ascii="宋体" w:hAnsi="宋体" w:cs="宋体" w:eastAsia="宋体" w:hint="default"/>
                <w:sz w:val="22"/>
                <w:szCs w:val="22"/>
              </w:rPr>
              <w:t>北京锐兴华盾科技有限公司</w:t>
            </w:r>
          </w:p>
        </w:tc>
        <w:tc>
          <w:tcPr>
            <w:tcW w:w="1668" w:type="dxa"/>
            <w:tcBorders>
              <w:top w:val="nil" w:sz="6" w:space="0" w:color="auto"/>
              <w:left w:val="nil" w:sz="6" w:space="0" w:color="auto"/>
              <w:bottom w:val="single" w:sz="8" w:space="0" w:color="000000"/>
              <w:right w:val="nil" w:sz="6" w:space="0" w:color="auto"/>
            </w:tcBorders>
          </w:tcPr>
          <w:p>
            <w:pPr>
              <w:pStyle w:val="TableParagraph"/>
              <w:spacing w:line="240" w:lineRule="auto" w:before="27"/>
              <w:ind w:right="94"/>
              <w:jc w:val="right"/>
              <w:rPr>
                <w:rFonts w:ascii="Times New Roman" w:hAnsi="Times New Roman" w:cs="Times New Roman" w:eastAsia="Times New Roman" w:hint="default"/>
                <w:sz w:val="22"/>
                <w:szCs w:val="22"/>
              </w:rPr>
            </w:pPr>
            <w:r>
              <w:rPr>
                <w:rFonts w:ascii="Times New Roman"/>
                <w:spacing w:val="-1"/>
                <w:sz w:val="22"/>
              </w:rPr>
              <w:t>450,401.00</w:t>
            </w:r>
            <w:r>
              <w:rPr>
                <w:rFonts w:ascii="Times New Roman"/>
                <w:sz w:val="22"/>
              </w:rPr>
            </w:r>
          </w:p>
        </w:tc>
        <w:tc>
          <w:tcPr>
            <w:tcW w:w="2555" w:type="dxa"/>
            <w:tcBorders>
              <w:top w:val="nil" w:sz="6" w:space="0" w:color="auto"/>
              <w:left w:val="nil" w:sz="6" w:space="0" w:color="auto"/>
              <w:bottom w:val="nil" w:sz="6" w:space="0" w:color="auto"/>
              <w:right w:val="nil" w:sz="6" w:space="0" w:color="auto"/>
            </w:tcBorders>
          </w:tcPr>
          <w:p>
            <w:pPr>
              <w:pStyle w:val="TableParagraph"/>
              <w:spacing w:line="283" w:lineRule="exact"/>
              <w:ind w:left="1000" w:right="0"/>
              <w:jc w:val="left"/>
              <w:rPr>
                <w:rFonts w:ascii="宋体" w:hAnsi="宋体" w:cs="宋体" w:eastAsia="宋体" w:hint="default"/>
                <w:sz w:val="22"/>
                <w:szCs w:val="22"/>
              </w:rPr>
            </w:pPr>
            <w:r>
              <w:rPr>
                <w:rFonts w:ascii="宋体" w:hAnsi="宋体" w:cs="宋体" w:eastAsia="宋体" w:hint="default"/>
                <w:sz w:val="22"/>
                <w:szCs w:val="22"/>
              </w:rPr>
              <w:t>货款</w:t>
            </w:r>
          </w:p>
        </w:tc>
      </w:tr>
      <w:tr>
        <w:trPr>
          <w:trHeight w:val="322" w:hRule="exact"/>
        </w:trPr>
        <w:tc>
          <w:tcPr>
            <w:tcW w:w="4325" w:type="dxa"/>
            <w:tcBorders>
              <w:top w:val="nil" w:sz="6" w:space="0" w:color="auto"/>
              <w:left w:val="nil" w:sz="6" w:space="0" w:color="auto"/>
              <w:bottom w:val="nil" w:sz="6" w:space="0" w:color="auto"/>
              <w:right w:val="nil" w:sz="6" w:space="0" w:color="auto"/>
            </w:tcBorders>
          </w:tcPr>
          <w:p>
            <w:pPr>
              <w:pStyle w:val="TableParagraph"/>
              <w:spacing w:line="286" w:lineRule="exact"/>
              <w:ind w:right="633"/>
              <w:jc w:val="center"/>
              <w:rPr>
                <w:rFonts w:ascii="宋体" w:hAnsi="宋体" w:cs="宋体" w:eastAsia="宋体" w:hint="default"/>
                <w:sz w:val="22"/>
                <w:szCs w:val="22"/>
              </w:rPr>
            </w:pPr>
            <w:r>
              <w:rPr>
                <w:rFonts w:ascii="宋体" w:hAnsi="宋体" w:cs="宋体" w:eastAsia="宋体" w:hint="default"/>
                <w:sz w:val="22"/>
                <w:szCs w:val="22"/>
              </w:rPr>
              <w:t>合计</w:t>
            </w:r>
          </w:p>
        </w:tc>
        <w:tc>
          <w:tcPr>
            <w:tcW w:w="1668" w:type="dxa"/>
            <w:tcBorders>
              <w:top w:val="single" w:sz="8" w:space="0" w:color="000000"/>
              <w:left w:val="nil" w:sz="6" w:space="0" w:color="auto"/>
              <w:bottom w:val="single" w:sz="23" w:space="0" w:color="000000"/>
              <w:right w:val="nil" w:sz="6" w:space="0" w:color="auto"/>
            </w:tcBorders>
          </w:tcPr>
          <w:p>
            <w:pPr>
              <w:pStyle w:val="TableParagraph"/>
              <w:spacing w:line="240" w:lineRule="auto" w:before="23"/>
              <w:ind w:right="94"/>
              <w:jc w:val="right"/>
              <w:rPr>
                <w:rFonts w:ascii="Times New Roman" w:hAnsi="Times New Roman" w:cs="Times New Roman" w:eastAsia="Times New Roman" w:hint="default"/>
                <w:sz w:val="22"/>
                <w:szCs w:val="22"/>
              </w:rPr>
            </w:pPr>
            <w:r>
              <w:rPr>
                <w:rFonts w:ascii="Times New Roman"/>
                <w:spacing w:val="-1"/>
                <w:sz w:val="22"/>
              </w:rPr>
              <w:t>2,370,706.00</w:t>
            </w:r>
            <w:r>
              <w:rPr>
                <w:rFonts w:ascii="Times New Roman"/>
                <w:sz w:val="22"/>
              </w:rPr>
            </w:r>
          </w:p>
        </w:tc>
        <w:tc>
          <w:tcPr>
            <w:tcW w:w="255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19"/>
        <w:ind w:left="681" w:right="783"/>
        <w:jc w:val="left"/>
        <w:rPr>
          <w:b w:val="0"/>
          <w:bCs w:val="0"/>
        </w:rPr>
      </w:pPr>
      <w:r>
        <w:rPr>
          <w:w w:val="105"/>
        </w:rPr>
        <w:t>e) </w:t>
      </w:r>
      <w:r>
        <w:rPr>
          <w:spacing w:val="3"/>
          <w:w w:val="105"/>
        </w:rPr>
        <w:t> </w:t>
      </w:r>
      <w:r>
        <w:rPr>
          <w:w w:val="105"/>
        </w:rPr>
        <w:t>其它应收款</w:t>
      </w:r>
      <w:r>
        <w:rPr>
          <w:b w:val="0"/>
          <w:bCs w:val="0"/>
          <w:w w:val="105"/>
        </w:rPr>
      </w:r>
    </w:p>
    <w:p>
      <w:pPr>
        <w:pStyle w:val="BodyText"/>
        <w:spacing w:line="240" w:lineRule="auto" w:before="99"/>
        <w:ind w:left="617" w:right="783"/>
        <w:jc w:val="left"/>
      </w:pPr>
      <w:r>
        <w:rPr/>
        <w:t>（1）按类别列示其它应收款明细情况</w:t>
      </w:r>
    </w:p>
    <w:p>
      <w:pPr>
        <w:spacing w:line="216" w:lineRule="exact" w:before="146"/>
        <w:ind w:left="3655" w:right="0" w:firstLine="0"/>
        <w:jc w:val="center"/>
        <w:rPr>
          <w:rFonts w:ascii="宋体" w:hAnsi="宋体" w:cs="宋体" w:eastAsia="宋体" w:hint="default"/>
          <w:sz w:val="19"/>
          <w:szCs w:val="19"/>
        </w:rPr>
      </w:pPr>
      <w:r>
        <w:rPr>
          <w:rFonts w:ascii="宋体" w:hAnsi="宋体" w:cs="宋体" w:eastAsia="宋体" w:hint="default"/>
          <w:w w:val="105"/>
          <w:sz w:val="19"/>
          <w:szCs w:val="19"/>
        </w:rPr>
        <w:t>年</w:t>
      </w:r>
      <w:r>
        <w:rPr>
          <w:rFonts w:ascii="宋体" w:hAnsi="宋体" w:cs="宋体" w:eastAsia="宋体" w:hint="default"/>
          <w:spacing w:val="-42"/>
          <w:w w:val="105"/>
          <w:sz w:val="19"/>
          <w:szCs w:val="19"/>
        </w:rPr>
        <w:t> </w:t>
      </w:r>
      <w:r>
        <w:rPr>
          <w:rFonts w:ascii="宋体" w:hAnsi="宋体" w:cs="宋体" w:eastAsia="宋体" w:hint="default"/>
          <w:w w:val="105"/>
          <w:sz w:val="19"/>
          <w:szCs w:val="19"/>
        </w:rPr>
        <w:t>末</w:t>
      </w:r>
      <w:r>
        <w:rPr>
          <w:rFonts w:ascii="宋体" w:hAnsi="宋体" w:cs="宋体" w:eastAsia="宋体" w:hint="default"/>
          <w:spacing w:val="-42"/>
          <w:w w:val="105"/>
          <w:sz w:val="19"/>
          <w:szCs w:val="19"/>
        </w:rPr>
        <w:t> </w:t>
      </w:r>
      <w:r>
        <w:rPr>
          <w:rFonts w:ascii="宋体" w:hAnsi="宋体" w:cs="宋体" w:eastAsia="宋体" w:hint="default"/>
          <w:w w:val="105"/>
          <w:sz w:val="19"/>
          <w:szCs w:val="19"/>
        </w:rPr>
        <w:t>数</w:t>
      </w:r>
      <w:r>
        <w:rPr>
          <w:rFonts w:ascii="宋体" w:hAnsi="宋体" w:cs="宋体" w:eastAsia="宋体" w:hint="default"/>
          <w:sz w:val="19"/>
          <w:szCs w:val="19"/>
        </w:rPr>
      </w:r>
    </w:p>
    <w:p>
      <w:pPr>
        <w:tabs>
          <w:tab w:pos="2011" w:val="left" w:leader="none"/>
        </w:tabs>
        <w:spacing w:line="184" w:lineRule="exact" w:before="0"/>
        <w:ind w:left="1608" w:right="783" w:firstLine="0"/>
        <w:jc w:val="left"/>
        <w:rPr>
          <w:rFonts w:ascii="宋体" w:hAnsi="宋体" w:cs="宋体" w:eastAsia="宋体" w:hint="default"/>
          <w:sz w:val="19"/>
          <w:szCs w:val="19"/>
        </w:rPr>
      </w:pPr>
      <w:r>
        <w:rPr/>
        <w:pict>
          <v:group style="position:absolute;margin-left:274.799988pt;margin-top:5.120971pt;width:260.9pt;height:.75pt;mso-position-horizontal-relative:page;mso-position-vertical-relative:paragraph;z-index:4000" coordorigin="5496,102" coordsize="5218,15">
            <v:group style="position:absolute;left:5503;top:103;width:5204;height:2" coordorigin="5503,103" coordsize="5204,2">
              <v:shape style="position:absolute;left:5503;top:103;width:5204;height:2" coordorigin="5503,103" coordsize="5204,0" path="m5503,103l10706,103e" filled="false" stroked="true" strokeweight=".06pt" strokecolor="#000000">
                <v:path arrowok="t"/>
              </v:shape>
            </v:group>
            <v:group style="position:absolute;left:5503;top:110;width:5204;height:2" coordorigin="5503,110" coordsize="5204,2">
              <v:shape style="position:absolute;left:5503;top:110;width:5204;height:2" coordorigin="5503,110" coordsize="5204,0" path="m5503,110l10706,110e" filled="false" stroked="true" strokeweight=".72pt" strokecolor="#000000">
                <v:path arrowok="t"/>
              </v:shape>
            </v:group>
            <w10:wrap type="none"/>
          </v:group>
        </w:pict>
      </w: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p>
      <w:pPr>
        <w:tabs>
          <w:tab w:pos="4031" w:val="left" w:leader="none"/>
          <w:tab w:pos="4953" w:val="left" w:leader="none"/>
          <w:tab w:pos="5861" w:val="left" w:leader="none"/>
          <w:tab w:pos="7489" w:val="left" w:leader="none"/>
        </w:tabs>
        <w:spacing w:line="216" w:lineRule="exact" w:before="0"/>
        <w:ind w:left="3612" w:right="0" w:firstLine="0"/>
        <w:jc w:val="center"/>
        <w:rPr>
          <w:rFonts w:ascii="宋体" w:hAnsi="宋体" w:cs="宋体" w:eastAsia="宋体" w:hint="default"/>
          <w:sz w:val="19"/>
          <w:szCs w:val="19"/>
        </w:rPr>
      </w:pPr>
      <w:r>
        <w:rPr>
          <w:rFonts w:ascii="宋体" w:hAnsi="宋体" w:cs="宋体" w:eastAsia="宋体" w:hint="default"/>
          <w:sz w:val="19"/>
          <w:szCs w:val="19"/>
        </w:rPr>
        <w:t>余</w:t>
        <w:tab/>
        <w:t>额</w:t>
        <w:tab/>
      </w:r>
      <w:r>
        <w:rPr>
          <w:rFonts w:ascii="宋体" w:hAnsi="宋体" w:cs="宋体" w:eastAsia="宋体" w:hint="default"/>
          <w:w w:val="105"/>
          <w:sz w:val="19"/>
          <w:szCs w:val="19"/>
        </w:rPr>
        <w:t>比例</w:t>
        <w:tab/>
      </w:r>
      <w:r>
        <w:rPr>
          <w:rFonts w:ascii="宋体" w:hAnsi="宋体" w:cs="宋体" w:eastAsia="宋体" w:hint="default"/>
          <w:spacing w:val="5"/>
          <w:sz w:val="19"/>
          <w:szCs w:val="19"/>
        </w:rPr>
        <w:t>坏账准备</w:t>
        <w:tab/>
      </w:r>
      <w:r>
        <w:rPr>
          <w:rFonts w:ascii="宋体" w:hAnsi="宋体" w:cs="宋体" w:eastAsia="宋体" w:hint="default"/>
          <w:w w:val="105"/>
          <w:sz w:val="19"/>
          <w:szCs w:val="19"/>
        </w:rPr>
        <w:t>净额</w:t>
      </w:r>
      <w:r>
        <w:rPr>
          <w:rFonts w:ascii="宋体" w:hAnsi="宋体" w:cs="宋体" w:eastAsia="宋体" w:hint="default"/>
          <w:sz w:val="19"/>
          <w:szCs w:val="19"/>
        </w:rPr>
      </w:r>
    </w:p>
    <w:p>
      <w:pPr>
        <w:spacing w:line="240" w:lineRule="auto" w:before="4"/>
        <w:rPr>
          <w:rFonts w:ascii="宋体" w:hAnsi="宋体" w:cs="宋体" w:eastAsia="宋体" w:hint="default"/>
          <w:sz w:val="4"/>
          <w:szCs w:val="4"/>
        </w:rPr>
      </w:pPr>
    </w:p>
    <w:p>
      <w:pPr>
        <w:spacing w:line="20" w:lineRule="exact"/>
        <w:ind w:left="146" w:right="0" w:firstLine="0"/>
        <w:rPr>
          <w:rFonts w:ascii="宋体" w:hAnsi="宋体" w:cs="宋体" w:eastAsia="宋体" w:hint="default"/>
          <w:sz w:val="2"/>
          <w:szCs w:val="2"/>
        </w:rPr>
      </w:pPr>
      <w:r>
        <w:rPr>
          <w:rFonts w:ascii="宋体"/>
          <w:sz w:val="2"/>
        </w:rPr>
        <w:pict>
          <v:group style="width:175.8pt;height:.7pt;mso-position-horizontal-relative:char;mso-position-vertical-relative:line" coordorigin="0,0" coordsize="3516,14">
            <v:group style="position:absolute;left:7;top:1;width:3503;height:2" coordorigin="7,1" coordsize="3503,2">
              <v:shape style="position:absolute;left:7;top:1;width:3503;height:2" coordorigin="7,1" coordsize="3503,0" path="m7,1l3509,1e" filled="false" stroked="true" strokeweight=".06pt" strokecolor="#000000">
                <v:path arrowok="t"/>
              </v:shape>
            </v:group>
            <v:group style="position:absolute;left:7;top:7;width:3503;height:2" coordorigin="7,7" coordsize="3503,2">
              <v:shape style="position:absolute;left:7;top:7;width:3503;height:2" coordorigin="7,7" coordsize="3503,0" path="m7,7l3509,7e" filled="false" stroked="true" strokeweight=".66pt" strokecolor="#000000">
                <v:path arrowok="t"/>
              </v:shape>
            </v:group>
          </v:group>
        </w:pict>
      </w:r>
      <w:r>
        <w:rPr>
          <w:rFonts w:ascii="宋体"/>
          <w:sz w:val="2"/>
        </w:rPr>
      </w:r>
      <w:r>
        <w:rPr>
          <w:rFonts w:ascii="Times New Roman"/>
          <w:spacing w:val="165"/>
          <w:sz w:val="2"/>
        </w:rPr>
        <w:t> </w:t>
      </w:r>
      <w:r>
        <w:rPr>
          <w:rFonts w:ascii="宋体"/>
          <w:spacing w:val="165"/>
          <w:sz w:val="2"/>
        </w:rPr>
        <w:pict>
          <v:group style="width:75.6pt;height:.7pt;mso-position-horizontal-relative:char;mso-position-vertical-relative:line" coordorigin="0,0" coordsize="1512,14">
            <v:group style="position:absolute;left:7;top:1;width:1499;height:2" coordorigin="7,1" coordsize="1499,2">
              <v:shape style="position:absolute;left:7;top:1;width:1499;height:2" coordorigin="7,1" coordsize="1499,0" path="m7,1l1505,1e" filled="false" stroked="true" strokeweight=".06pt" strokecolor="#000000">
                <v:path arrowok="t"/>
              </v:shape>
            </v:group>
            <v:group style="position:absolute;left:7;top:7;width:1499;height:2" coordorigin="7,7" coordsize="1499,2">
              <v:shape style="position:absolute;left:7;top:7;width:1499;height:2" coordorigin="7,7" coordsize="1499,0" path="m7,7l1505,7e" filled="false" stroked="true" strokeweight=".66pt" strokecolor="#000000">
                <v:path arrowok="t"/>
              </v:shape>
            </v:group>
          </v:group>
        </w:pict>
      </w:r>
      <w:r>
        <w:rPr>
          <w:rFonts w:ascii="宋体"/>
          <w:spacing w:val="165"/>
          <w:sz w:val="2"/>
        </w:rPr>
      </w:r>
      <w:r>
        <w:rPr>
          <w:rFonts w:ascii="Times New Roman"/>
          <w:spacing w:val="64"/>
          <w:sz w:val="2"/>
        </w:rPr>
        <w:t> </w:t>
      </w:r>
      <w:r>
        <w:rPr>
          <w:rFonts w:ascii="宋体"/>
          <w:spacing w:val="64"/>
          <w:sz w:val="2"/>
        </w:rPr>
        <w:pict>
          <v:group style="width:39.6pt;height:.7pt;mso-position-horizontal-relative:char;mso-position-vertical-relative:line" coordorigin="0,0" coordsize="792,14">
            <v:group style="position:absolute;left:7;top:1;width:779;height:2" coordorigin="7,1" coordsize="779,2">
              <v:shape style="position:absolute;left:7;top:1;width:779;height:2" coordorigin="7,1" coordsize="779,0" path="m7,1l785,1e" filled="false" stroked="true" strokeweight=".06pt" strokecolor="#000000">
                <v:path arrowok="t"/>
              </v:shape>
            </v:group>
            <v:group style="position:absolute;left:7;top:7;width:779;height:2" coordorigin="7,7" coordsize="779,2">
              <v:shape style="position:absolute;left:7;top:7;width:779;height:2" coordorigin="7,7" coordsize="779,0" path="m7,7l785,7e" filled="false" stroked="true" strokeweight=".66pt" strokecolor="#000000">
                <v:path arrowok="t"/>
              </v:shape>
            </v:group>
          </v:group>
        </w:pict>
      </w:r>
      <w:r>
        <w:rPr>
          <w:rFonts w:ascii="宋体"/>
          <w:spacing w:val="64"/>
          <w:sz w:val="2"/>
        </w:rPr>
      </w:r>
      <w:r>
        <w:rPr>
          <w:rFonts w:ascii="Times New Roman"/>
          <w:spacing w:val="79"/>
          <w:sz w:val="2"/>
        </w:rPr>
        <w:t> </w:t>
      </w:r>
      <w:r>
        <w:rPr>
          <w:rFonts w:ascii="宋体"/>
          <w:spacing w:val="79"/>
          <w:sz w:val="2"/>
        </w:rPr>
        <w:pict>
          <v:group style="width:64.1pt;height:.7pt;mso-position-horizontal-relative:char;mso-position-vertical-relative:line" coordorigin="0,0" coordsize="1282,14">
            <v:group style="position:absolute;left:7;top:1;width:1269;height:2" coordorigin="7,1" coordsize="1269,2">
              <v:shape style="position:absolute;left:7;top:1;width:1269;height:2" coordorigin="7,1" coordsize="1269,0" path="m7,1l1275,1e" filled="false" stroked="true" strokeweight=".06pt" strokecolor="#000000">
                <v:path arrowok="t"/>
              </v:shape>
            </v:group>
            <v:group style="position:absolute;left:7;top:7;width:1269;height:2" coordorigin="7,7" coordsize="1269,2">
              <v:shape style="position:absolute;left:7;top:7;width:1269;height:2" coordorigin="7,7" coordsize="1269,0" path="m7,7l1275,7e" filled="false" stroked="true" strokeweight=".66pt" strokecolor="#000000">
                <v:path arrowok="t"/>
              </v:shape>
            </v:group>
          </v:group>
        </w:pict>
      </w:r>
      <w:r>
        <w:rPr>
          <w:rFonts w:ascii="宋体"/>
          <w:spacing w:val="79"/>
          <w:sz w:val="2"/>
        </w:rPr>
      </w:r>
      <w:r>
        <w:rPr>
          <w:rFonts w:ascii="Times New Roman"/>
          <w:spacing w:val="78"/>
          <w:sz w:val="2"/>
        </w:rPr>
        <w:t> </w:t>
      </w:r>
      <w:r>
        <w:rPr>
          <w:rFonts w:ascii="宋体"/>
          <w:spacing w:val="78"/>
          <w:sz w:val="2"/>
        </w:rPr>
        <w:pict>
          <v:group style="width:69.150pt;height:.7pt;mso-position-horizontal-relative:char;mso-position-vertical-relative:line" coordorigin="0,0" coordsize="1383,14">
            <v:group style="position:absolute;left:7;top:1;width:1370;height:2" coordorigin="7,1" coordsize="1370,2">
              <v:shape style="position:absolute;left:7;top:1;width:1370;height:2" coordorigin="7,1" coordsize="1370,0" path="m7,1l1376,1e" filled="false" stroked="true" strokeweight=".06pt" strokecolor="#000000">
                <v:path arrowok="t"/>
              </v:shape>
            </v:group>
            <v:group style="position:absolute;left:7;top:7;width:1370;height:2" coordorigin="7,7" coordsize="1370,2">
              <v:shape style="position:absolute;left:7;top:7;width:1370;height:2" coordorigin="7,7" coordsize="1370,0" path="m7,7l1376,7e" filled="false" stroked="true" strokeweight=".66pt" strokecolor="#000000">
                <v:path arrowok="t"/>
              </v:shape>
            </v:group>
          </v:group>
        </w:pict>
      </w:r>
      <w:r>
        <w:rPr>
          <w:rFonts w:ascii="宋体"/>
          <w:spacing w:val="78"/>
          <w:sz w:val="2"/>
        </w:rPr>
      </w:r>
    </w:p>
    <w:p>
      <w:pPr>
        <w:tabs>
          <w:tab w:pos="4073" w:val="left" w:leader="none"/>
          <w:tab w:pos="5543" w:val="left" w:leader="none"/>
          <w:tab w:pos="6423" w:val="left" w:leader="none"/>
          <w:tab w:pos="7878" w:val="left" w:leader="none"/>
        </w:tabs>
        <w:spacing w:before="65"/>
        <w:ind w:left="181" w:right="0" w:firstLine="0"/>
        <w:jc w:val="left"/>
        <w:rPr>
          <w:rFonts w:ascii="Times New Roman" w:hAnsi="Times New Roman" w:cs="Times New Roman" w:eastAsia="Times New Roman" w:hint="default"/>
          <w:sz w:val="19"/>
          <w:szCs w:val="19"/>
        </w:rPr>
      </w:pPr>
      <w:r>
        <w:rPr>
          <w:rFonts w:ascii="宋体" w:hAnsi="宋体" w:cs="宋体" w:eastAsia="宋体" w:hint="default"/>
          <w:position w:val="-1"/>
          <w:sz w:val="18"/>
          <w:szCs w:val="18"/>
        </w:rPr>
        <w:t>单项金额重大的其他应收款</w:t>
        <w:tab/>
      </w:r>
      <w:r>
        <w:rPr>
          <w:rFonts w:ascii="Times New Roman" w:hAnsi="Times New Roman" w:cs="Times New Roman" w:eastAsia="Times New Roman" w:hint="default"/>
          <w:w w:val="105"/>
          <w:sz w:val="19"/>
          <w:szCs w:val="19"/>
        </w:rPr>
        <w:t>10,239,662.75</w:t>
        <w:tab/>
        <w:t>68.90%</w:t>
        <w:tab/>
        <w:t>1,656,033.14</w:t>
        <w:tab/>
        <w:t>8,583,629.61</w:t>
      </w:r>
      <w:r>
        <w:rPr>
          <w:rFonts w:ascii="Times New Roman" w:hAnsi="Times New Roman" w:cs="Times New Roman" w:eastAsia="Times New Roman" w:hint="default"/>
          <w:sz w:val="19"/>
          <w:szCs w:val="19"/>
        </w:rPr>
      </w:r>
    </w:p>
    <w:p>
      <w:pPr>
        <w:spacing w:line="140" w:lineRule="exact" w:before="108"/>
        <w:ind w:left="181" w:right="783"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w:t>
      </w:r>
    </w:p>
    <w:p>
      <w:pPr>
        <w:tabs>
          <w:tab w:pos="5847" w:val="left" w:leader="none"/>
          <w:tab w:pos="7216" w:val="left" w:leader="none"/>
          <w:tab w:pos="8686" w:val="left" w:leader="none"/>
        </w:tabs>
        <w:spacing w:line="200" w:lineRule="exact" w:before="0"/>
        <w:ind w:left="4982" w:right="0" w:firstLine="0"/>
        <w:jc w:val="left"/>
        <w:rPr>
          <w:rFonts w:ascii="Times New Roman" w:hAnsi="Times New Roman" w:cs="Times New Roman" w:eastAsia="Times New Roman" w:hint="default"/>
          <w:sz w:val="19"/>
          <w:szCs w:val="19"/>
        </w:rPr>
      </w:pPr>
      <w:r>
        <w:rPr/>
        <w:pict>
          <v:shape style="position:absolute;margin-left:90.349998pt;margin-top:6.246113pt;width:445pt;height:52.25pt;mso-position-horizontal-relative:page;mso-position-vertical-relative:paragraph;z-index:4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6"/>
                    <w:gridCol w:w="1499"/>
                    <w:gridCol w:w="865"/>
                    <w:gridCol w:w="101"/>
                    <w:gridCol w:w="1268"/>
                    <w:gridCol w:w="101"/>
                    <w:gridCol w:w="1369"/>
                  </w:tblGrid>
                  <w:tr>
                    <w:trPr>
                      <w:trHeight w:val="627" w:hRule="exact"/>
                    </w:trPr>
                    <w:tc>
                      <w:tcPr>
                        <w:tcW w:w="3696"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18"/>
                            <w:szCs w:val="18"/>
                          </w:rPr>
                        </w:pPr>
                        <w:r>
                          <w:rPr>
                            <w:rFonts w:ascii="宋体" w:hAnsi="宋体" w:cs="宋体" w:eastAsia="宋体" w:hint="default"/>
                            <w:sz w:val="18"/>
                            <w:szCs w:val="18"/>
                          </w:rPr>
                          <w:t>该组合的风险较大的其他应收款</w:t>
                        </w:r>
                      </w:p>
                      <w:p>
                        <w:pPr>
                          <w:pStyle w:val="TableParagraph"/>
                          <w:spacing w:line="240" w:lineRule="auto" w:before="103"/>
                          <w:ind w:left="35"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499" w:type="dxa"/>
                        <w:tcBorders>
                          <w:top w:val="nil" w:sz="6" w:space="0" w:color="auto"/>
                          <w:left w:val="nil" w:sz="6" w:space="0" w:color="auto"/>
                          <w:bottom w:val="single" w:sz="5"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84"/>
                          <w:jc w:val="right"/>
                          <w:rPr>
                            <w:rFonts w:ascii="Times New Roman" w:hAnsi="Times New Roman" w:cs="Times New Roman" w:eastAsia="Times New Roman" w:hint="default"/>
                            <w:sz w:val="19"/>
                            <w:szCs w:val="19"/>
                          </w:rPr>
                        </w:pPr>
                        <w:r>
                          <w:rPr>
                            <w:rFonts w:ascii="Times New Roman"/>
                            <w:w w:val="105"/>
                            <w:sz w:val="19"/>
                          </w:rPr>
                          <w:t>4,620,961.07</w:t>
                        </w:r>
                        <w:r>
                          <w:rPr>
                            <w:rFonts w:ascii="Times New Roman"/>
                            <w:sz w:val="19"/>
                          </w:rPr>
                        </w:r>
                      </w:p>
                    </w:tc>
                    <w:tc>
                      <w:tcPr>
                        <w:tcW w:w="865" w:type="dxa"/>
                        <w:tcBorders>
                          <w:top w:val="nil" w:sz="6" w:space="0" w:color="auto"/>
                          <w:left w:val="nil" w:sz="6" w:space="0" w:color="auto"/>
                          <w:bottom w:val="single" w:sz="5"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34"/>
                          <w:jc w:val="right"/>
                          <w:rPr>
                            <w:rFonts w:ascii="Times New Roman" w:hAnsi="Times New Roman" w:cs="Times New Roman" w:eastAsia="Times New Roman" w:hint="default"/>
                            <w:sz w:val="19"/>
                            <w:szCs w:val="19"/>
                          </w:rPr>
                        </w:pPr>
                        <w:r>
                          <w:rPr>
                            <w:rFonts w:ascii="Times New Roman"/>
                            <w:w w:val="105"/>
                            <w:sz w:val="19"/>
                          </w:rPr>
                          <w:t>31.10%</w:t>
                        </w:r>
                        <w:r>
                          <w:rPr>
                            <w:rFonts w:ascii="Times New Roman"/>
                            <w:sz w:val="19"/>
                          </w:rPr>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nil" w:sz="6" w:space="0" w:color="auto"/>
                          <w:left w:val="nil" w:sz="6" w:space="0" w:color="auto"/>
                          <w:bottom w:val="single" w:sz="5"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86"/>
                          <w:jc w:val="right"/>
                          <w:rPr>
                            <w:rFonts w:ascii="Times New Roman" w:hAnsi="Times New Roman" w:cs="Times New Roman" w:eastAsia="Times New Roman" w:hint="default"/>
                            <w:sz w:val="19"/>
                            <w:szCs w:val="19"/>
                          </w:rPr>
                        </w:pPr>
                        <w:r>
                          <w:rPr>
                            <w:rFonts w:ascii="Times New Roman"/>
                            <w:w w:val="105"/>
                            <w:sz w:val="19"/>
                          </w:rPr>
                          <w:t>383,978.12</w:t>
                        </w:r>
                        <w:r>
                          <w:rPr>
                            <w:rFonts w:ascii="Times New Roman"/>
                            <w:sz w:val="19"/>
                          </w:rPr>
                        </w:r>
                      </w:p>
                    </w:tc>
                    <w:tc>
                      <w:tcPr>
                        <w:tcW w:w="101"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single" w:sz="5"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13" w:right="0"/>
                          <w:jc w:val="center"/>
                          <w:rPr>
                            <w:rFonts w:ascii="Times New Roman" w:hAnsi="Times New Roman" w:cs="Times New Roman" w:eastAsia="Times New Roman" w:hint="default"/>
                            <w:sz w:val="19"/>
                            <w:szCs w:val="19"/>
                          </w:rPr>
                        </w:pPr>
                        <w:r>
                          <w:rPr>
                            <w:rFonts w:ascii="Times New Roman"/>
                            <w:w w:val="105"/>
                            <w:sz w:val="19"/>
                          </w:rPr>
                          <w:t>4,236,982.95</w:t>
                        </w:r>
                        <w:r>
                          <w:rPr>
                            <w:rFonts w:ascii="Times New Roman"/>
                            <w:sz w:val="19"/>
                          </w:rPr>
                        </w:r>
                      </w:p>
                    </w:tc>
                  </w:tr>
                  <w:tr>
                    <w:trPr>
                      <w:trHeight w:val="389" w:hRule="exact"/>
                    </w:trPr>
                    <w:tc>
                      <w:tcPr>
                        <w:tcW w:w="369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4"/>
                          <w:jc w:val="center"/>
                          <w:rPr>
                            <w:rFonts w:ascii="宋体" w:hAnsi="宋体" w:cs="宋体" w:eastAsia="宋体" w:hint="default"/>
                            <w:sz w:val="19"/>
                            <w:szCs w:val="19"/>
                          </w:rPr>
                        </w:pPr>
                        <w:r>
                          <w:rPr>
                            <w:rFonts w:ascii="宋体" w:hAnsi="宋体" w:cs="宋体" w:eastAsia="宋体" w:hint="default"/>
                            <w:w w:val="105"/>
                            <w:sz w:val="19"/>
                            <w:szCs w:val="19"/>
                          </w:rPr>
                          <w:t>合 计</w:t>
                        </w:r>
                        <w:r>
                          <w:rPr>
                            <w:rFonts w:ascii="宋体" w:hAnsi="宋体" w:cs="宋体" w:eastAsia="宋体" w:hint="default"/>
                            <w:sz w:val="19"/>
                            <w:szCs w:val="19"/>
                          </w:rPr>
                        </w:r>
                      </w:p>
                    </w:tc>
                    <w:tc>
                      <w:tcPr>
                        <w:tcW w:w="1499" w:type="dxa"/>
                        <w:tcBorders>
                          <w:top w:val="single" w:sz="5" w:space="0" w:color="000000"/>
                          <w:left w:val="nil" w:sz="6" w:space="0" w:color="auto"/>
                          <w:bottom w:val="single" w:sz="11" w:space="0" w:color="000000"/>
                          <w:right w:val="nil" w:sz="6" w:space="0" w:color="auto"/>
                        </w:tcBorders>
                      </w:tcPr>
                      <w:p>
                        <w:pPr>
                          <w:pStyle w:val="TableParagraph"/>
                          <w:spacing w:line="240" w:lineRule="auto" w:before="70"/>
                          <w:ind w:right="84"/>
                          <w:jc w:val="right"/>
                          <w:rPr>
                            <w:rFonts w:ascii="Times New Roman" w:hAnsi="Times New Roman" w:cs="Times New Roman" w:eastAsia="Times New Roman" w:hint="default"/>
                            <w:sz w:val="19"/>
                            <w:szCs w:val="19"/>
                          </w:rPr>
                        </w:pPr>
                        <w:r>
                          <w:rPr>
                            <w:rFonts w:ascii="Times New Roman"/>
                            <w:w w:val="105"/>
                            <w:sz w:val="19"/>
                          </w:rPr>
                          <w:t>14,860,623.82</w:t>
                        </w:r>
                        <w:r>
                          <w:rPr>
                            <w:rFonts w:ascii="Times New Roman"/>
                            <w:sz w:val="19"/>
                          </w:rPr>
                        </w:r>
                      </w:p>
                    </w:tc>
                    <w:tc>
                      <w:tcPr>
                        <w:tcW w:w="865" w:type="dxa"/>
                        <w:tcBorders>
                          <w:top w:val="single" w:sz="5" w:space="0" w:color="000000"/>
                          <w:left w:val="nil" w:sz="6" w:space="0" w:color="auto"/>
                          <w:bottom w:val="single" w:sz="11" w:space="0" w:color="000000"/>
                          <w:right w:val="nil" w:sz="6" w:space="0" w:color="auto"/>
                        </w:tcBorders>
                      </w:tcPr>
                      <w:p>
                        <w:pPr>
                          <w:pStyle w:val="TableParagraph"/>
                          <w:spacing w:line="240" w:lineRule="auto" w:before="70"/>
                          <w:ind w:right="26"/>
                          <w:jc w:val="right"/>
                          <w:rPr>
                            <w:rFonts w:ascii="Times New Roman" w:hAnsi="Times New Roman" w:cs="Times New Roman" w:eastAsia="Times New Roman" w:hint="default"/>
                            <w:sz w:val="19"/>
                            <w:szCs w:val="19"/>
                          </w:rPr>
                        </w:pPr>
                        <w:r>
                          <w:rPr>
                            <w:rFonts w:ascii="Times New Roman"/>
                            <w:w w:val="105"/>
                            <w:sz w:val="19"/>
                          </w:rPr>
                          <w:t>#######</w:t>
                        </w:r>
                        <w:r>
                          <w:rPr>
                            <w:rFonts w:ascii="Times New Roman"/>
                            <w:sz w:val="19"/>
                          </w:rPr>
                        </w:r>
                      </w:p>
                    </w:tc>
                    <w:tc>
                      <w:tcPr>
                        <w:tcW w:w="101" w:type="dxa"/>
                        <w:tcBorders>
                          <w:top w:val="nil" w:sz="6" w:space="0" w:color="auto"/>
                          <w:left w:val="nil" w:sz="6" w:space="0" w:color="auto"/>
                          <w:bottom w:val="nil" w:sz="6" w:space="0" w:color="auto"/>
                          <w:right w:val="nil" w:sz="6" w:space="0" w:color="auto"/>
                        </w:tcBorders>
                      </w:tcPr>
                      <w:p>
                        <w:pPr/>
                      </w:p>
                    </w:tc>
                    <w:tc>
                      <w:tcPr>
                        <w:tcW w:w="1268" w:type="dxa"/>
                        <w:tcBorders>
                          <w:top w:val="single" w:sz="5" w:space="0" w:color="000000"/>
                          <w:left w:val="nil" w:sz="6" w:space="0" w:color="auto"/>
                          <w:bottom w:val="single" w:sz="11" w:space="0" w:color="000000"/>
                          <w:right w:val="nil" w:sz="6" w:space="0" w:color="auto"/>
                        </w:tcBorders>
                      </w:tcPr>
                      <w:p>
                        <w:pPr>
                          <w:pStyle w:val="TableParagraph"/>
                          <w:spacing w:line="240" w:lineRule="auto" w:before="70"/>
                          <w:ind w:right="86"/>
                          <w:jc w:val="right"/>
                          <w:rPr>
                            <w:rFonts w:ascii="Times New Roman" w:hAnsi="Times New Roman" w:cs="Times New Roman" w:eastAsia="Times New Roman" w:hint="default"/>
                            <w:sz w:val="19"/>
                            <w:szCs w:val="19"/>
                          </w:rPr>
                        </w:pPr>
                        <w:r>
                          <w:rPr>
                            <w:rFonts w:ascii="Times New Roman"/>
                            <w:w w:val="105"/>
                            <w:sz w:val="19"/>
                          </w:rPr>
                          <w:t>2,040,011.26</w:t>
                        </w:r>
                        <w:r>
                          <w:rPr>
                            <w:rFonts w:ascii="Times New Roman"/>
                            <w:sz w:val="19"/>
                          </w:rPr>
                        </w:r>
                      </w:p>
                    </w:tc>
                    <w:tc>
                      <w:tcPr>
                        <w:tcW w:w="101" w:type="dxa"/>
                        <w:tcBorders>
                          <w:top w:val="nil" w:sz="6" w:space="0" w:color="auto"/>
                          <w:left w:val="nil" w:sz="6" w:space="0" w:color="auto"/>
                          <w:bottom w:val="nil" w:sz="6" w:space="0" w:color="auto"/>
                          <w:right w:val="nil" w:sz="6" w:space="0" w:color="auto"/>
                        </w:tcBorders>
                      </w:tcPr>
                      <w:p>
                        <w:pPr/>
                      </w:p>
                    </w:tc>
                    <w:tc>
                      <w:tcPr>
                        <w:tcW w:w="1369" w:type="dxa"/>
                        <w:tcBorders>
                          <w:top w:val="single" w:sz="5" w:space="0" w:color="000000"/>
                          <w:left w:val="nil" w:sz="6" w:space="0" w:color="auto"/>
                          <w:bottom w:val="single" w:sz="11" w:space="0" w:color="000000"/>
                          <w:right w:val="nil" w:sz="6" w:space="0" w:color="auto"/>
                        </w:tcBorders>
                      </w:tcPr>
                      <w:p>
                        <w:pPr>
                          <w:pStyle w:val="TableParagraph"/>
                          <w:spacing w:line="240" w:lineRule="auto" w:before="70"/>
                          <w:ind w:left="12" w:right="0"/>
                          <w:jc w:val="center"/>
                          <w:rPr>
                            <w:rFonts w:ascii="Times New Roman" w:hAnsi="Times New Roman" w:cs="Times New Roman" w:eastAsia="Times New Roman" w:hint="default"/>
                            <w:sz w:val="19"/>
                            <w:szCs w:val="19"/>
                          </w:rPr>
                        </w:pPr>
                        <w:r>
                          <w:rPr>
                            <w:rFonts w:ascii="Times New Roman"/>
                            <w:w w:val="105"/>
                            <w:sz w:val="19"/>
                          </w:rPr>
                          <w:t>12,820,612.56</w:t>
                        </w:r>
                        <w:r>
                          <w:rPr>
                            <w:rFonts w:ascii="Times New Roman"/>
                            <w:sz w:val="19"/>
                          </w:rPr>
                        </w:r>
                      </w:p>
                    </w:tc>
                  </w:tr>
                </w:tbl>
                <w:p>
                  <w:pPr/>
                </w:p>
              </w:txbxContent>
            </v:textbox>
            <w10:wrap type="none"/>
          </v:shape>
        </w:pict>
      </w:r>
      <w:r>
        <w:rPr>
          <w:rFonts w:ascii="Times New Roman"/>
          <w:sz w:val="19"/>
        </w:rPr>
        <w:t>-</w:t>
        <w:tab/>
        <w:t>-</w:t>
        <w:tab/>
        <w:t>-</w:t>
        <w:tab/>
      </w:r>
      <w:r>
        <w:rPr>
          <w:rFonts w:ascii="Times New Roman"/>
          <w:w w:val="105"/>
          <w:sz w:val="19"/>
        </w:rPr>
        <w:t>-</w:t>
      </w:r>
      <w:r>
        <w:rPr>
          <w:rFonts w:ascii="Times New Roman"/>
          <w:sz w:val="19"/>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p>
      <w:pPr>
        <w:spacing w:line="20" w:lineRule="exact"/>
        <w:ind w:left="3836" w:right="0" w:firstLine="0"/>
        <w:rPr>
          <w:rFonts w:ascii="Times New Roman" w:hAnsi="Times New Roman" w:cs="Times New Roman" w:eastAsia="Times New Roman" w:hint="default"/>
          <w:sz w:val="2"/>
          <w:szCs w:val="2"/>
        </w:rPr>
      </w:pPr>
      <w:r>
        <w:rPr>
          <w:rFonts w:ascii="Times New Roman"/>
          <w:sz w:val="2"/>
        </w:rPr>
        <w:pict>
          <v:group style="width:75.7pt;height:.75pt;mso-position-horizontal-relative:char;mso-position-vertical-relative:line" coordorigin="0,0" coordsize="1514,15">
            <v:group style="position:absolute;left:7;top:7;width:1499;height:2" coordorigin="7,7" coordsize="1499,2">
              <v:shape style="position:absolute;left:7;top:7;width:1499;height:2" coordorigin="7,7" coordsize="1499,0" path="m7,7l1506,7e" filled="false" stroked="true" strokeweight=".72pt" strokecolor="#000000">
                <v:path arrowok="t"/>
              </v:shape>
            </v:group>
          </v:group>
        </w:pict>
      </w:r>
      <w:r>
        <w:rPr>
          <w:rFonts w:ascii="Times New Roman"/>
          <w:sz w:val="2"/>
        </w:rPr>
      </w:r>
      <w:r>
        <w:rPr>
          <w:rFonts w:ascii="Times New Roman"/>
          <w:spacing w:val="63"/>
          <w:sz w:val="2"/>
        </w:rPr>
        <w:t> </w:t>
      </w:r>
      <w:r>
        <w:rPr>
          <w:rFonts w:ascii="Times New Roman"/>
          <w:spacing w:val="63"/>
          <w:sz w:val="2"/>
        </w:rPr>
        <w:pict>
          <v:group style="width:39.7pt;height:.75pt;mso-position-horizontal-relative:char;mso-position-vertical-relative:line" coordorigin="0,0" coordsize="794,15">
            <v:group style="position:absolute;left:7;top:7;width:779;height:2" coordorigin="7,7" coordsize="779,2">
              <v:shape style="position:absolute;left:7;top:7;width:779;height:2" coordorigin="7,7" coordsize="779,0" path="m7,7l786,7e" filled="false" stroked="true" strokeweight=".72pt" strokecolor="#000000">
                <v:path arrowok="t"/>
              </v:shape>
            </v:group>
          </v:group>
        </w:pict>
      </w:r>
      <w:r>
        <w:rPr>
          <w:rFonts w:ascii="Times New Roman"/>
          <w:spacing w:val="63"/>
          <w:sz w:val="2"/>
        </w:rPr>
      </w:r>
      <w:r>
        <w:rPr>
          <w:rFonts w:ascii="Times New Roman"/>
          <w:spacing w:val="78"/>
          <w:sz w:val="2"/>
        </w:rPr>
        <w:t> </w:t>
      </w:r>
      <w:r>
        <w:rPr>
          <w:rFonts w:ascii="Times New Roman"/>
          <w:spacing w:val="78"/>
          <w:sz w:val="2"/>
        </w:rPr>
        <w:pict>
          <v:group style="width:64.1500pt;height:.75pt;mso-position-horizontal-relative:char;mso-position-vertical-relative:line" coordorigin="0,0" coordsize="1283,15">
            <v:group style="position:absolute;left:7;top:7;width:1269;height:2" coordorigin="7,7" coordsize="1269,2">
              <v:shape style="position:absolute;left:7;top:7;width:1269;height:2" coordorigin="7,7" coordsize="1269,0" path="m7,7l1276,7e" filled="false" stroked="true" strokeweight=".72pt" strokecolor="#000000">
                <v:path arrowok="t"/>
              </v:shape>
            </v:group>
          </v:group>
        </w:pict>
      </w:r>
      <w:r>
        <w:rPr>
          <w:rFonts w:ascii="Times New Roman"/>
          <w:spacing w:val="78"/>
          <w:sz w:val="2"/>
        </w:rPr>
      </w:r>
      <w:r>
        <w:rPr>
          <w:rFonts w:ascii="Times New Roman"/>
          <w:spacing w:val="78"/>
          <w:sz w:val="2"/>
        </w:rPr>
        <w:t> </w:t>
      </w:r>
      <w:r>
        <w:rPr>
          <w:rFonts w:ascii="Times New Roman"/>
          <w:spacing w:val="78"/>
          <w:sz w:val="2"/>
        </w:rPr>
        <w:pict>
          <v:group style="width:69.2pt;height:.75pt;mso-position-horizontal-relative:char;mso-position-vertical-relative:line" coordorigin="0,0" coordsize="1384,15">
            <v:group style="position:absolute;left:7;top:7;width:1370;height:2" coordorigin="7,7" coordsize="1370,2">
              <v:shape style="position:absolute;left:7;top:7;width:1370;height:2" coordorigin="7,7" coordsize="1370,0" path="m7,7l1376,7e" filled="false" stroked="true" strokeweight=".72pt" strokecolor="#000000">
                <v:path arrowok="t"/>
              </v:shape>
            </v:group>
          </v:group>
        </w:pict>
      </w:r>
      <w:r>
        <w:rPr>
          <w:rFonts w:ascii="Times New Roman"/>
          <w:spacing w:val="78"/>
          <w:sz w:val="2"/>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0"/>
          <w:szCs w:val="20"/>
        </w:rPr>
      </w:pPr>
    </w:p>
    <w:p>
      <w:pPr>
        <w:spacing w:line="223" w:lineRule="exact" w:before="37"/>
        <w:ind w:left="3654" w:right="0" w:firstLine="0"/>
        <w:jc w:val="center"/>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宋体" w:hAnsi="宋体" w:cs="宋体" w:eastAsia="宋体" w:hint="default"/>
          <w:sz w:val="20"/>
          <w:szCs w:val="20"/>
        </w:rPr>
        <w:t>初</w:t>
      </w:r>
      <w:r>
        <w:rPr>
          <w:rFonts w:ascii="宋体" w:hAnsi="宋体" w:cs="宋体" w:eastAsia="宋体" w:hint="default"/>
          <w:spacing w:val="-43"/>
          <w:sz w:val="20"/>
          <w:szCs w:val="20"/>
        </w:rPr>
        <w:t> </w:t>
      </w:r>
      <w:r>
        <w:rPr>
          <w:rFonts w:ascii="宋体" w:hAnsi="宋体" w:cs="宋体" w:eastAsia="宋体" w:hint="default"/>
          <w:sz w:val="20"/>
          <w:szCs w:val="20"/>
        </w:rPr>
        <w:t>数</w:t>
      </w:r>
    </w:p>
    <w:p>
      <w:pPr>
        <w:tabs>
          <w:tab w:pos="2009" w:val="left" w:leader="none"/>
        </w:tabs>
        <w:spacing w:line="184" w:lineRule="exact" w:before="0"/>
        <w:ind w:left="1606" w:right="783" w:firstLine="0"/>
        <w:jc w:val="left"/>
        <w:rPr>
          <w:rFonts w:ascii="宋体" w:hAnsi="宋体" w:cs="宋体" w:eastAsia="宋体" w:hint="default"/>
          <w:sz w:val="20"/>
          <w:szCs w:val="20"/>
        </w:rPr>
      </w:pPr>
      <w:r>
        <w:rPr/>
        <w:pict>
          <v:group style="position:absolute;margin-left:275.279999pt;margin-top:5.436513pt;width:259.9pt;height:.75pt;mso-position-horizontal-relative:page;mso-position-vertical-relative:paragraph;z-index:4024" coordorigin="5506,109" coordsize="5198,15">
            <v:group style="position:absolute;left:5513;top:109;width:5183;height:2" coordorigin="5513,109" coordsize="5183,2">
              <v:shape style="position:absolute;left:5513;top:109;width:5183;height:2" coordorigin="5513,109" coordsize="5183,0" path="m5513,109l10696,109e" filled="false" stroked="true" strokeweight=".06pt" strokecolor="#000000">
                <v:path arrowok="t"/>
              </v:shape>
            </v:group>
            <v:group style="position:absolute;left:5513;top:117;width:5183;height:2" coordorigin="5513,117" coordsize="5183,2">
              <v:shape style="position:absolute;left:5513;top:117;width:5183;height:2" coordorigin="5513,117" coordsize="5183,0" path="m5513,117l10696,117e" filled="false" stroked="true" strokeweight=".72pt" strokecolor="#000000">
                <v:path arrowok="t"/>
              </v:shape>
            </v:group>
            <w10:wrap type="none"/>
          </v:group>
        </w:pict>
      </w:r>
      <w:r>
        <w:rPr>
          <w:rFonts w:ascii="宋体" w:hAnsi="宋体" w:cs="宋体" w:eastAsia="宋体" w:hint="default"/>
          <w:w w:val="95"/>
          <w:sz w:val="20"/>
          <w:szCs w:val="20"/>
        </w:rPr>
        <w:t>项</w:t>
        <w:tab/>
      </w:r>
      <w:r>
        <w:rPr>
          <w:rFonts w:ascii="宋体" w:hAnsi="宋体" w:cs="宋体" w:eastAsia="宋体" w:hint="default"/>
          <w:sz w:val="20"/>
          <w:szCs w:val="20"/>
        </w:rPr>
        <w:t>目</w:t>
      </w:r>
    </w:p>
    <w:p>
      <w:pPr>
        <w:tabs>
          <w:tab w:pos="3975" w:val="left" w:leader="none"/>
          <w:tab w:pos="4866" w:val="left" w:leader="none"/>
          <w:tab w:pos="5788" w:val="left" w:leader="none"/>
          <w:tab w:pos="7415" w:val="left" w:leader="none"/>
        </w:tabs>
        <w:spacing w:line="223" w:lineRule="exact" w:before="0"/>
        <w:ind w:left="3557" w:right="0" w:firstLine="0"/>
        <w:jc w:val="center"/>
        <w:rPr>
          <w:rFonts w:ascii="宋体" w:hAnsi="宋体" w:cs="宋体" w:eastAsia="宋体" w:hint="default"/>
          <w:sz w:val="20"/>
          <w:szCs w:val="20"/>
        </w:rPr>
      </w:pPr>
      <w:r>
        <w:rPr>
          <w:rFonts w:ascii="宋体" w:hAnsi="宋体" w:cs="宋体" w:eastAsia="宋体" w:hint="default"/>
          <w:w w:val="95"/>
          <w:sz w:val="20"/>
          <w:szCs w:val="20"/>
        </w:rPr>
        <w:t>余</w:t>
        <w:tab/>
        <w:t>额</w:t>
        <w:tab/>
      </w:r>
      <w:r>
        <w:rPr>
          <w:rFonts w:ascii="宋体" w:hAnsi="宋体" w:cs="宋体" w:eastAsia="宋体" w:hint="default"/>
          <w:spacing w:val="8"/>
          <w:w w:val="95"/>
          <w:sz w:val="20"/>
          <w:szCs w:val="20"/>
        </w:rPr>
        <w:t>比例</w:t>
        <w:tab/>
      </w:r>
      <w:r>
        <w:rPr>
          <w:rFonts w:ascii="宋体" w:hAnsi="宋体" w:cs="宋体" w:eastAsia="宋体" w:hint="default"/>
          <w:spacing w:val="2"/>
          <w:w w:val="95"/>
          <w:sz w:val="20"/>
          <w:szCs w:val="20"/>
        </w:rPr>
        <w:t>坏账准备</w:t>
        <w:tab/>
      </w:r>
      <w:r>
        <w:rPr>
          <w:rFonts w:ascii="宋体" w:hAnsi="宋体" w:cs="宋体" w:eastAsia="宋体" w:hint="default"/>
          <w:spacing w:val="3"/>
          <w:sz w:val="20"/>
          <w:szCs w:val="20"/>
        </w:rPr>
        <w:t>净额</w:t>
      </w:r>
      <w:r>
        <w:rPr>
          <w:rFonts w:ascii="宋体" w:hAnsi="宋体" w:cs="宋体" w:eastAsia="宋体" w:hint="default"/>
          <w:sz w:val="20"/>
          <w:szCs w:val="20"/>
        </w:rPr>
      </w:r>
    </w:p>
    <w:p>
      <w:pPr>
        <w:spacing w:line="240" w:lineRule="auto" w:before="4"/>
        <w:rPr>
          <w:rFonts w:ascii="宋体" w:hAnsi="宋体" w:cs="宋体" w:eastAsia="宋体" w:hint="default"/>
          <w:sz w:val="4"/>
          <w:szCs w:val="4"/>
        </w:rPr>
      </w:pPr>
    </w:p>
    <w:p>
      <w:pPr>
        <w:spacing w:line="20" w:lineRule="exact"/>
        <w:ind w:left="145" w:right="0" w:firstLine="0"/>
        <w:rPr>
          <w:rFonts w:ascii="宋体" w:hAnsi="宋体" w:cs="宋体" w:eastAsia="宋体" w:hint="default"/>
          <w:sz w:val="2"/>
          <w:szCs w:val="2"/>
        </w:rPr>
      </w:pPr>
      <w:r>
        <w:rPr>
          <w:rFonts w:ascii="宋体"/>
          <w:sz w:val="2"/>
        </w:rPr>
        <w:pict>
          <v:group style="width:176.35pt;height:.7pt;mso-position-horizontal-relative:char;mso-position-vertical-relative:line" coordorigin="0,0" coordsize="3527,14">
            <v:group style="position:absolute;left:7;top:1;width:3514;height:2" coordorigin="7,1" coordsize="3514,2">
              <v:shape style="position:absolute;left:7;top:1;width:3514;height:2" coordorigin="7,1" coordsize="3514,0" path="m7,1l3520,1e" filled="false" stroked="true" strokeweight=".06pt" strokecolor="#000000">
                <v:path arrowok="t"/>
              </v:shape>
            </v:group>
            <v:group style="position:absolute;left:7;top:7;width:3514;height:2" coordorigin="7,7" coordsize="3514,2">
              <v:shape style="position:absolute;left:7;top:7;width:3514;height:2" coordorigin="7,7" coordsize="3514,0" path="m7,7l3520,7e" filled="false" stroked="true" strokeweight=".66pt" strokecolor="#000000">
                <v:path arrowok="t"/>
              </v:shape>
            </v:group>
          </v:group>
        </w:pict>
      </w:r>
      <w:r>
        <w:rPr>
          <w:rFonts w:ascii="宋体"/>
          <w:sz w:val="2"/>
        </w:rPr>
      </w:r>
      <w:r>
        <w:rPr>
          <w:rFonts w:ascii="Times New Roman"/>
          <w:spacing w:val="165"/>
          <w:sz w:val="2"/>
        </w:rPr>
        <w:t> </w:t>
      </w:r>
      <w:r>
        <w:rPr>
          <w:rFonts w:ascii="宋体"/>
          <w:spacing w:val="165"/>
          <w:sz w:val="2"/>
        </w:rPr>
        <w:pict>
          <v:group style="width:72.6pt;height:.7pt;mso-position-horizontal-relative:char;mso-position-vertical-relative:line" coordorigin="0,0" coordsize="1452,14">
            <v:group style="position:absolute;left:7;top:1;width:1439;height:2" coordorigin="7,1" coordsize="1439,2">
              <v:shape style="position:absolute;left:7;top:1;width:1439;height:2" coordorigin="7,1" coordsize="1439,0" path="m7,1l1445,1e" filled="false" stroked="true" strokeweight=".06pt" strokecolor="#000000">
                <v:path arrowok="t"/>
              </v:shape>
            </v:group>
            <v:group style="position:absolute;left:7;top:7;width:1439;height:2" coordorigin="7,7" coordsize="1439,2">
              <v:shape style="position:absolute;left:7;top:7;width:1439;height:2" coordorigin="7,7" coordsize="1439,0" path="m7,7l1445,7e" filled="false" stroked="true" strokeweight=".66pt" strokecolor="#000000">
                <v:path arrowok="t"/>
              </v:shape>
            </v:group>
          </v:group>
        </w:pict>
      </w:r>
      <w:r>
        <w:rPr>
          <w:rFonts w:ascii="宋体"/>
          <w:spacing w:val="165"/>
          <w:sz w:val="2"/>
        </w:rPr>
      </w:r>
      <w:r>
        <w:rPr>
          <w:rFonts w:ascii="Times New Roman"/>
          <w:spacing w:val="64"/>
          <w:sz w:val="2"/>
        </w:rPr>
        <w:t> </w:t>
      </w:r>
      <w:r>
        <w:rPr>
          <w:rFonts w:ascii="宋体"/>
          <w:spacing w:val="64"/>
          <w:sz w:val="2"/>
        </w:rPr>
        <w:pict>
          <v:group style="width:41pt;height:.7pt;mso-position-horizontal-relative:char;mso-position-vertical-relative:line" coordorigin="0,0" coordsize="820,14">
            <v:group style="position:absolute;left:7;top:1;width:807;height:2" coordorigin="7,1" coordsize="807,2">
              <v:shape style="position:absolute;left:7;top:1;width:807;height:2" coordorigin="7,1" coordsize="807,0" path="m7,1l813,1e" filled="false" stroked="true" strokeweight=".06pt" strokecolor="#000000">
                <v:path arrowok="t"/>
              </v:shape>
            </v:group>
            <v:group style="position:absolute;left:7;top:7;width:807;height:2" coordorigin="7,7" coordsize="807,2">
              <v:shape style="position:absolute;left:7;top:7;width:807;height:2" coordorigin="7,7" coordsize="807,0" path="m7,7l813,7e" filled="false" stroked="true" strokeweight=".66pt" strokecolor="#000000">
                <v:path arrowok="t"/>
              </v:shape>
            </v:group>
          </v:group>
        </w:pict>
      </w:r>
      <w:r>
        <w:rPr>
          <w:rFonts w:ascii="宋体"/>
          <w:spacing w:val="64"/>
          <w:sz w:val="2"/>
        </w:rPr>
      </w:r>
      <w:r>
        <w:rPr>
          <w:rFonts w:ascii="Times New Roman"/>
          <w:spacing w:val="64"/>
          <w:sz w:val="2"/>
        </w:rPr>
        <w:t> </w:t>
      </w:r>
      <w:r>
        <w:rPr>
          <w:rFonts w:ascii="宋体"/>
          <w:spacing w:val="64"/>
          <w:sz w:val="2"/>
        </w:rPr>
        <w:pict>
          <v:group style="width:63.3pt;height:.7pt;mso-position-horizontal-relative:char;mso-position-vertical-relative:line" coordorigin="0,0" coordsize="1266,14">
            <v:group style="position:absolute;left:7;top:1;width:1253;height:2" coordorigin="7,1" coordsize="1253,2">
              <v:shape style="position:absolute;left:7;top:1;width:1253;height:2" coordorigin="7,1" coordsize="1253,0" path="m7,1l1259,1e" filled="false" stroked="true" strokeweight=".06pt" strokecolor="#000000">
                <v:path arrowok="t"/>
              </v:shape>
            </v:group>
            <v:group style="position:absolute;left:7;top:7;width:1253;height:2" coordorigin="7,7" coordsize="1253,2">
              <v:shape style="position:absolute;left:7;top:7;width:1253;height:2" coordorigin="7,7" coordsize="1253,0" path="m7,7l1259,7e" filled="false" stroked="true" strokeweight=".66pt" strokecolor="#000000">
                <v:path arrowok="t"/>
              </v:shape>
            </v:group>
          </v:group>
        </w:pict>
      </w:r>
      <w:r>
        <w:rPr>
          <w:rFonts w:ascii="宋体"/>
          <w:spacing w:val="64"/>
          <w:sz w:val="2"/>
        </w:rPr>
      </w:r>
      <w:r>
        <w:rPr>
          <w:rFonts w:ascii="Times New Roman"/>
          <w:spacing w:val="64"/>
          <w:sz w:val="2"/>
        </w:rPr>
        <w:t> </w:t>
      </w:r>
      <w:r>
        <w:rPr>
          <w:rFonts w:ascii="宋体"/>
          <w:spacing w:val="64"/>
          <w:sz w:val="2"/>
        </w:rPr>
        <w:pict>
          <v:group style="width:71.95pt;height:.7pt;mso-position-horizontal-relative:char;mso-position-vertical-relative:line" coordorigin="0,0" coordsize="1439,14">
            <v:group style="position:absolute;left:7;top:1;width:1426;height:2" coordorigin="7,1" coordsize="1426,2">
              <v:shape style="position:absolute;left:7;top:1;width:1426;height:2" coordorigin="7,1" coordsize="1426,0" path="m7,1l1432,1e" filled="false" stroked="true" strokeweight=".06pt" strokecolor="#000000">
                <v:path arrowok="t"/>
              </v:shape>
            </v:group>
            <v:group style="position:absolute;left:7;top:7;width:1426;height:2" coordorigin="7,7" coordsize="1426,2">
              <v:shape style="position:absolute;left:7;top:7;width:1426;height:2" coordorigin="7,7" coordsize="1426,0" path="m7,7l1432,7e" filled="false" stroked="true" strokeweight=".66pt" strokecolor="#000000">
                <v:path arrowok="t"/>
              </v:shape>
            </v:group>
          </v:group>
        </w:pict>
      </w:r>
      <w:r>
        <w:rPr>
          <w:rFonts w:ascii="宋体"/>
          <w:spacing w:val="64"/>
          <w:sz w:val="2"/>
        </w:rPr>
      </w:r>
    </w:p>
    <w:p>
      <w:pPr>
        <w:tabs>
          <w:tab w:pos="4025" w:val="left" w:leader="none"/>
          <w:tab w:pos="5521" w:val="left" w:leader="none"/>
          <w:tab w:pos="6357" w:val="left" w:leader="none"/>
          <w:tab w:pos="7869" w:val="left" w:leader="none"/>
        </w:tabs>
        <w:spacing w:before="56"/>
        <w:ind w:left="180" w:right="0" w:firstLine="0"/>
        <w:jc w:val="left"/>
        <w:rPr>
          <w:rFonts w:ascii="Times New Roman" w:hAnsi="Times New Roman" w:cs="Times New Roman" w:eastAsia="Times New Roman" w:hint="default"/>
          <w:sz w:val="20"/>
          <w:szCs w:val="20"/>
        </w:rPr>
      </w:pPr>
      <w:r>
        <w:rPr>
          <w:rFonts w:ascii="宋体" w:hAnsi="宋体" w:cs="宋体" w:eastAsia="宋体" w:hint="default"/>
          <w:spacing w:val="-1"/>
          <w:sz w:val="18"/>
          <w:szCs w:val="18"/>
        </w:rPr>
        <w:t>单项金额重大的其他应收款</w:t>
        <w:tab/>
      </w:r>
      <w:r>
        <w:rPr>
          <w:rFonts w:ascii="Times New Roman" w:hAnsi="Times New Roman" w:cs="Times New Roman" w:eastAsia="Times New Roman" w:hint="default"/>
          <w:spacing w:val="1"/>
          <w:w w:val="95"/>
          <w:position w:val="1"/>
          <w:sz w:val="20"/>
          <w:szCs w:val="20"/>
        </w:rPr>
        <w:t>10,032,371.19</w:t>
        <w:tab/>
      </w:r>
      <w:r>
        <w:rPr>
          <w:rFonts w:ascii="Times New Roman" w:hAnsi="Times New Roman" w:cs="Times New Roman" w:eastAsia="Times New Roman" w:hint="default"/>
          <w:spacing w:val="2"/>
          <w:w w:val="95"/>
          <w:position w:val="1"/>
          <w:sz w:val="20"/>
          <w:szCs w:val="20"/>
        </w:rPr>
        <w:t>71.92%</w:t>
        <w:tab/>
        <w:t>1,203,884.54</w:t>
        <w:tab/>
      </w:r>
      <w:r>
        <w:rPr>
          <w:rFonts w:ascii="Times New Roman" w:hAnsi="Times New Roman" w:cs="Times New Roman" w:eastAsia="Times New Roman" w:hint="default"/>
          <w:spacing w:val="1"/>
          <w:position w:val="1"/>
          <w:sz w:val="20"/>
          <w:szCs w:val="20"/>
        </w:rPr>
        <w:t>8,828,486.65</w:t>
      </w:r>
      <w:r>
        <w:rPr>
          <w:rFonts w:ascii="Times New Roman" w:hAnsi="Times New Roman" w:cs="Times New Roman" w:eastAsia="Times New Roman" w:hint="default"/>
          <w:sz w:val="20"/>
          <w:szCs w:val="20"/>
        </w:rPr>
      </w:r>
    </w:p>
    <w:p>
      <w:pPr>
        <w:spacing w:line="153" w:lineRule="exact" w:before="83"/>
        <w:ind w:left="180" w:right="783"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w:t>
      </w:r>
    </w:p>
    <w:p>
      <w:pPr>
        <w:tabs>
          <w:tab w:pos="5824" w:val="left" w:leader="none"/>
          <w:tab w:pos="7163" w:val="left" w:leader="none"/>
          <w:tab w:pos="8675" w:val="left" w:leader="none"/>
        </w:tabs>
        <w:spacing w:line="203" w:lineRule="exact" w:before="0"/>
        <w:ind w:left="4931" w:right="0" w:firstLine="0"/>
        <w:jc w:val="left"/>
        <w:rPr>
          <w:rFonts w:ascii="Times New Roman" w:hAnsi="Times New Roman" w:cs="Times New Roman" w:eastAsia="Times New Roman" w:hint="default"/>
          <w:sz w:val="20"/>
          <w:szCs w:val="20"/>
        </w:rPr>
      </w:pPr>
      <w:r>
        <w:rPr/>
        <w:pict>
          <v:shape style="position:absolute;margin-left:90.290001pt;margin-top:6.306708pt;width:444.5pt;height:47.85pt;mso-position-horizontal-relative:page;mso-position-vertical-relative:paragraph;z-index:4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7"/>
                    <w:gridCol w:w="1439"/>
                    <w:gridCol w:w="893"/>
                    <w:gridCol w:w="1339"/>
                    <w:gridCol w:w="1512"/>
                  </w:tblGrid>
                  <w:tr>
                    <w:trPr>
                      <w:trHeight w:val="601"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8"/>
                            <w:szCs w:val="18"/>
                          </w:rPr>
                        </w:pPr>
                        <w:r>
                          <w:rPr>
                            <w:rFonts w:ascii="宋体" w:hAnsi="宋体" w:cs="宋体" w:eastAsia="宋体" w:hint="default"/>
                            <w:sz w:val="18"/>
                            <w:szCs w:val="18"/>
                          </w:rPr>
                          <w:t>该组合的风险较大的其他应收款</w:t>
                        </w:r>
                      </w:p>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439" w:type="dxa"/>
                        <w:tcBorders>
                          <w:top w:val="nil" w:sz="6" w:space="0" w:color="auto"/>
                          <w:left w:val="nil" w:sz="6" w:space="0" w:color="auto"/>
                          <w:bottom w:val="single" w:sz="5"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3,916,537.26</w:t>
                        </w:r>
                      </w:p>
                    </w:tc>
                    <w:tc>
                      <w:tcPr>
                        <w:tcW w:w="893" w:type="dxa"/>
                        <w:tcBorders>
                          <w:top w:val="nil" w:sz="6" w:space="0" w:color="auto"/>
                          <w:left w:val="nil" w:sz="6" w:space="0" w:color="auto"/>
                          <w:bottom w:val="single" w:sz="5"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32"/>
                          <w:jc w:val="right"/>
                          <w:rPr>
                            <w:rFonts w:ascii="Times New Roman" w:hAnsi="Times New Roman" w:cs="Times New Roman" w:eastAsia="Times New Roman" w:hint="default"/>
                            <w:sz w:val="20"/>
                            <w:szCs w:val="20"/>
                          </w:rPr>
                        </w:pPr>
                        <w:r>
                          <w:rPr>
                            <w:rFonts w:ascii="Times New Roman"/>
                            <w:spacing w:val="2"/>
                            <w:w w:val="95"/>
                            <w:sz w:val="20"/>
                          </w:rPr>
                          <w:t>28.08%</w:t>
                        </w:r>
                        <w:r>
                          <w:rPr>
                            <w:rFonts w:ascii="Times New Roman"/>
                            <w:sz w:val="20"/>
                          </w:rPr>
                        </w:r>
                      </w:p>
                    </w:tc>
                    <w:tc>
                      <w:tcPr>
                        <w:tcW w:w="1339" w:type="dxa"/>
                        <w:tcBorders>
                          <w:top w:val="nil" w:sz="6" w:space="0" w:color="auto"/>
                          <w:left w:val="nil" w:sz="6" w:space="0" w:color="auto"/>
                          <w:bottom w:val="single" w:sz="5"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84"/>
                          <w:jc w:val="right"/>
                          <w:rPr>
                            <w:rFonts w:ascii="Times New Roman" w:hAnsi="Times New Roman" w:cs="Times New Roman" w:eastAsia="Times New Roman" w:hint="default"/>
                            <w:sz w:val="20"/>
                            <w:szCs w:val="20"/>
                          </w:rPr>
                        </w:pPr>
                        <w:r>
                          <w:rPr>
                            <w:rFonts w:ascii="Times New Roman"/>
                            <w:spacing w:val="2"/>
                            <w:w w:val="95"/>
                            <w:sz w:val="20"/>
                          </w:rPr>
                          <w:t>891,126.52</w:t>
                        </w:r>
                        <w:r>
                          <w:rPr>
                            <w:rFonts w:ascii="Times New Roman"/>
                            <w:sz w:val="20"/>
                          </w:rPr>
                        </w:r>
                      </w:p>
                    </w:tc>
                    <w:tc>
                      <w:tcPr>
                        <w:tcW w:w="1512" w:type="dxa"/>
                        <w:tcBorders>
                          <w:top w:val="nil" w:sz="6" w:space="0" w:color="auto"/>
                          <w:left w:val="nil" w:sz="6" w:space="0" w:color="auto"/>
                          <w:bottom w:val="single" w:sz="5" w:space="0" w:color="000000"/>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3,025,410.74</w:t>
                        </w:r>
                      </w:p>
                    </w:tc>
                  </w:tr>
                  <w:tr>
                    <w:trPr>
                      <w:trHeight w:val="341" w:hRule="exact"/>
                    </w:trPr>
                    <w:tc>
                      <w:tcPr>
                        <w:tcW w:w="370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7"/>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r>
                      </w:p>
                    </w:tc>
                    <w:tc>
                      <w:tcPr>
                        <w:tcW w:w="1439" w:type="dxa"/>
                        <w:tcBorders>
                          <w:top w:val="single" w:sz="5" w:space="0" w:color="000000"/>
                          <w:left w:val="nil" w:sz="6" w:space="0" w:color="auto"/>
                          <w:bottom w:val="single" w:sz="6"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20"/>
                            <w:szCs w:val="20"/>
                          </w:rPr>
                        </w:pPr>
                        <w:r>
                          <w:rPr>
                            <w:rFonts w:ascii="Times New Roman"/>
                            <w:sz w:val="20"/>
                          </w:rPr>
                          <w:t>13,948,908.45</w:t>
                        </w:r>
                      </w:p>
                    </w:tc>
                    <w:tc>
                      <w:tcPr>
                        <w:tcW w:w="893" w:type="dxa"/>
                        <w:tcBorders>
                          <w:top w:val="single" w:sz="5" w:space="0" w:color="000000"/>
                          <w:left w:val="nil" w:sz="6" w:space="0" w:color="auto"/>
                          <w:bottom w:val="single" w:sz="6" w:space="0" w:color="000000"/>
                          <w:right w:val="nil" w:sz="6" w:space="0" w:color="auto"/>
                        </w:tcBorders>
                      </w:tcPr>
                      <w:p>
                        <w:pPr>
                          <w:pStyle w:val="TableParagraph"/>
                          <w:spacing w:line="240" w:lineRule="auto" w:before="33"/>
                          <w:ind w:right="32"/>
                          <w:jc w:val="right"/>
                          <w:rPr>
                            <w:rFonts w:ascii="Times New Roman" w:hAnsi="Times New Roman" w:cs="Times New Roman" w:eastAsia="Times New Roman" w:hint="default"/>
                            <w:sz w:val="20"/>
                            <w:szCs w:val="20"/>
                          </w:rPr>
                        </w:pPr>
                        <w:r>
                          <w:rPr>
                            <w:rFonts w:ascii="Times New Roman"/>
                            <w:sz w:val="20"/>
                          </w:rPr>
                          <w:t>100.00%</w:t>
                        </w:r>
                      </w:p>
                    </w:tc>
                    <w:tc>
                      <w:tcPr>
                        <w:tcW w:w="1339" w:type="dxa"/>
                        <w:tcBorders>
                          <w:top w:val="single" w:sz="5" w:space="0" w:color="000000"/>
                          <w:left w:val="nil" w:sz="6" w:space="0" w:color="auto"/>
                          <w:bottom w:val="single" w:sz="6" w:space="0" w:color="000000"/>
                          <w:right w:val="nil" w:sz="6" w:space="0" w:color="auto"/>
                        </w:tcBorders>
                      </w:tcPr>
                      <w:p>
                        <w:pPr>
                          <w:pStyle w:val="TableParagraph"/>
                          <w:spacing w:line="240" w:lineRule="auto" w:before="33"/>
                          <w:ind w:right="84"/>
                          <w:jc w:val="right"/>
                          <w:rPr>
                            <w:rFonts w:ascii="Times New Roman" w:hAnsi="Times New Roman" w:cs="Times New Roman" w:eastAsia="Times New Roman" w:hint="default"/>
                            <w:sz w:val="20"/>
                            <w:szCs w:val="20"/>
                          </w:rPr>
                        </w:pPr>
                        <w:r>
                          <w:rPr>
                            <w:rFonts w:ascii="Times New Roman"/>
                            <w:spacing w:val="2"/>
                            <w:sz w:val="20"/>
                          </w:rPr>
                          <w:t>2,095,011.06</w:t>
                        </w:r>
                        <w:r>
                          <w:rPr>
                            <w:rFonts w:ascii="Times New Roman"/>
                            <w:sz w:val="20"/>
                          </w:rPr>
                        </w:r>
                      </w:p>
                    </w:tc>
                    <w:tc>
                      <w:tcPr>
                        <w:tcW w:w="1512" w:type="dxa"/>
                        <w:tcBorders>
                          <w:top w:val="single" w:sz="5" w:space="0" w:color="000000"/>
                          <w:left w:val="nil" w:sz="6" w:space="0" w:color="auto"/>
                          <w:bottom w:val="single" w:sz="6" w:space="0" w:color="000000"/>
                          <w:right w:val="nil" w:sz="6" w:space="0" w:color="auto"/>
                        </w:tcBorders>
                      </w:tcPr>
                      <w:p>
                        <w:pPr>
                          <w:pStyle w:val="TableParagraph"/>
                          <w:spacing w:line="240" w:lineRule="auto" w:before="33"/>
                          <w:ind w:right="98"/>
                          <w:jc w:val="right"/>
                          <w:rPr>
                            <w:rFonts w:ascii="Times New Roman" w:hAnsi="Times New Roman" w:cs="Times New Roman" w:eastAsia="Times New Roman" w:hint="default"/>
                            <w:sz w:val="20"/>
                            <w:szCs w:val="20"/>
                          </w:rPr>
                        </w:pPr>
                        <w:r>
                          <w:rPr>
                            <w:rFonts w:ascii="Times New Roman"/>
                            <w:sz w:val="20"/>
                          </w:rPr>
                          <w:t>11,853,897.39</w:t>
                        </w:r>
                      </w:p>
                    </w:tc>
                  </w:tr>
                </w:tbl>
                <w:p>
                  <w:pPr/>
                </w:p>
              </w:txbxContent>
            </v:textbox>
            <w10:wrap type="none"/>
          </v:shape>
        </w:pict>
      </w:r>
      <w:r>
        <w:rPr>
          <w:rFonts w:ascii="Times New Roman"/>
          <w:w w:val="95"/>
          <w:sz w:val="20"/>
        </w:rPr>
        <w:t>-</w:t>
        <w:tab/>
        <w:t>-</w:t>
        <w:tab/>
        <w:t>-</w:t>
        <w:tab/>
      </w:r>
      <w:r>
        <w:rPr>
          <w:rFonts w:ascii="Times New Roman"/>
          <w:sz w:val="20"/>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p>
      <w:pPr>
        <w:spacing w:line="20" w:lineRule="exact"/>
        <w:ind w:left="3845" w:right="0" w:firstLine="0"/>
        <w:rPr>
          <w:rFonts w:ascii="Times New Roman" w:hAnsi="Times New Roman" w:cs="Times New Roman" w:eastAsia="Times New Roman" w:hint="default"/>
          <w:sz w:val="2"/>
          <w:szCs w:val="2"/>
        </w:rPr>
      </w:pPr>
      <w:r>
        <w:rPr>
          <w:rFonts w:ascii="Times New Roman"/>
          <w:sz w:val="2"/>
        </w:rPr>
        <w:pict>
          <v:group style="width:72.7pt;height:.75pt;mso-position-horizontal-relative:char;mso-position-vertical-relative:line" coordorigin="0,0" coordsize="1454,15">
            <v:group style="position:absolute;left:7;top:7;width:1439;height:2" coordorigin="7,7" coordsize="1439,2">
              <v:shape style="position:absolute;left:7;top:7;width:1439;height:2" coordorigin="7,7" coordsize="1439,0" path="m7,7l1446,7e" filled="false" stroked="true" strokeweight=".72pt" strokecolor="#000000">
                <v:path arrowok="t"/>
              </v:shape>
            </v:group>
          </v:group>
        </w:pict>
      </w:r>
      <w:r>
        <w:rPr>
          <w:rFonts w:ascii="Times New Roman"/>
          <w:sz w:val="2"/>
        </w:rPr>
      </w:r>
      <w:r>
        <w:rPr>
          <w:rFonts w:ascii="Times New Roman"/>
          <w:spacing w:val="63"/>
          <w:sz w:val="2"/>
        </w:rPr>
        <w:t> </w:t>
      </w:r>
      <w:r>
        <w:rPr>
          <w:rFonts w:ascii="Times New Roman"/>
          <w:spacing w:val="63"/>
          <w:sz w:val="2"/>
        </w:rPr>
        <w:pict>
          <v:group style="width:41.05pt;height:.75pt;mso-position-horizontal-relative:char;mso-position-vertical-relative:line" coordorigin="0,0" coordsize="821,15">
            <v:group style="position:absolute;left:7;top:7;width:807;height:2" coordorigin="7,7" coordsize="807,2">
              <v:shape style="position:absolute;left:7;top:7;width:807;height:2" coordorigin="7,7" coordsize="807,0" path="m7,7l814,7e" filled="false" stroked="true" strokeweight=".72pt" strokecolor="#000000">
                <v:path arrowok="t"/>
              </v:shape>
            </v:group>
          </v:group>
        </w:pict>
      </w:r>
      <w:r>
        <w:rPr>
          <w:rFonts w:ascii="Times New Roman"/>
          <w:spacing w:val="63"/>
          <w:sz w:val="2"/>
        </w:rPr>
      </w:r>
      <w:r>
        <w:rPr>
          <w:rFonts w:ascii="Times New Roman"/>
          <w:spacing w:val="64"/>
          <w:sz w:val="2"/>
        </w:rPr>
        <w:t> </w:t>
      </w:r>
      <w:r>
        <w:rPr>
          <w:rFonts w:ascii="Times New Roman"/>
          <w:spacing w:val="64"/>
          <w:sz w:val="2"/>
        </w:rPr>
        <w:pict>
          <v:group style="width:63.4pt;height:.75pt;mso-position-horizontal-relative:char;mso-position-vertical-relative:line" coordorigin="0,0" coordsize="1268,15">
            <v:group style="position:absolute;left:7;top:7;width:1253;height:2" coordorigin="7,7" coordsize="1253,2">
              <v:shape style="position:absolute;left:7;top:7;width:1253;height:2" coordorigin="7,7" coordsize="1253,0" path="m7,7l1260,7e" filled="false" stroked="true" strokeweight=".72pt" strokecolor="#000000">
                <v:path arrowok="t"/>
              </v:shape>
            </v:group>
          </v:group>
        </w:pict>
      </w:r>
      <w:r>
        <w:rPr>
          <w:rFonts w:ascii="Times New Roman"/>
          <w:spacing w:val="64"/>
          <w:sz w:val="2"/>
        </w:rPr>
      </w:r>
      <w:r>
        <w:rPr>
          <w:rFonts w:ascii="Times New Roman"/>
          <w:spacing w:val="63"/>
          <w:sz w:val="2"/>
        </w:rPr>
        <w:t> </w:t>
      </w:r>
      <w:r>
        <w:rPr>
          <w:rFonts w:ascii="Times New Roman"/>
          <w:spacing w:val="63"/>
          <w:sz w:val="2"/>
        </w:rPr>
        <w:pict>
          <v:group style="width:72pt;height:.75pt;mso-position-horizontal-relative:char;mso-position-vertical-relative:line" coordorigin="0,0" coordsize="1440,15">
            <v:group style="position:absolute;left:7;top:7;width:1426;height:2" coordorigin="7,7" coordsize="1426,2">
              <v:shape style="position:absolute;left:7;top:7;width:1426;height:2" coordorigin="7,7" coordsize="1426,0" path="m7,7l1433,7e" filled="false" stroked="true" strokeweight=".72pt" strokecolor="#000000">
                <v:path arrowok="t"/>
              </v:shape>
            </v:group>
          </v:group>
        </w:pict>
      </w:r>
      <w:r>
        <w:rPr>
          <w:rFonts w:ascii="Times New Roman"/>
          <w:spacing w:val="63"/>
          <w:sz w:val="2"/>
        </w:rPr>
      </w:r>
    </w:p>
    <w:p>
      <w:pPr>
        <w:pStyle w:val="BodyText"/>
        <w:spacing w:line="240" w:lineRule="auto" w:before="68"/>
        <w:ind w:left="735" w:right="783"/>
        <w:jc w:val="left"/>
      </w:pPr>
      <w:r>
        <w:rPr/>
        <w:t>单项金额重大的其它应收款，为金额大于</w:t>
      </w:r>
      <w:r>
        <w:rPr>
          <w:spacing w:val="-60"/>
        </w:rPr>
        <w:t> </w:t>
      </w:r>
      <w:r>
        <w:rPr/>
        <w:t>50</w:t>
      </w:r>
      <w:r>
        <w:rPr>
          <w:spacing w:val="-59"/>
        </w:rPr>
        <w:t> </w:t>
      </w:r>
      <w:r>
        <w:rPr/>
        <w:t>万的其它应收款。</w:t>
      </w:r>
    </w:p>
    <w:p>
      <w:pPr>
        <w:spacing w:after="0" w:line="240" w:lineRule="auto"/>
        <w:jc w:val="left"/>
        <w:sectPr>
          <w:headerReference w:type="default" r:id="rId49"/>
          <w:pgSz w:w="11910" w:h="16840"/>
          <w:pgMar w:header="915" w:footer="1712" w:top="1100" w:bottom="1900" w:left="1660" w:right="1000"/>
        </w:sectPr>
      </w:pPr>
    </w:p>
    <w:p>
      <w:pPr>
        <w:pStyle w:val="BodyText"/>
        <w:spacing w:line="240" w:lineRule="auto" w:before="123"/>
        <w:ind w:left="617" w:right="627"/>
        <w:jc w:val="left"/>
      </w:pPr>
      <w:r>
        <w:rPr/>
        <w:t>（2）按账龄列示其它应收款明细情况</w:t>
      </w:r>
    </w:p>
    <w:p>
      <w:pPr>
        <w:spacing w:line="240" w:lineRule="auto" w:before="1"/>
        <w:rPr>
          <w:rFonts w:ascii="宋体" w:hAnsi="宋体" w:cs="宋体" w:eastAsia="宋体" w:hint="default"/>
          <w:sz w:val="4"/>
          <w:szCs w:val="4"/>
        </w:rPr>
      </w:pPr>
    </w:p>
    <w:tbl>
      <w:tblPr>
        <w:tblW w:w="0" w:type="auto"/>
        <w:jc w:val="left"/>
        <w:tblInd w:w="153" w:type="dxa"/>
        <w:tblLayout w:type="fixed"/>
        <w:tblCellMar>
          <w:top w:w="0" w:type="dxa"/>
          <w:left w:w="0" w:type="dxa"/>
          <w:bottom w:w="0" w:type="dxa"/>
          <w:right w:w="0" w:type="dxa"/>
        </w:tblCellMar>
        <w:tblLook w:val="01E0"/>
      </w:tblPr>
      <w:tblGrid>
        <w:gridCol w:w="1211"/>
        <w:gridCol w:w="1470"/>
        <w:gridCol w:w="1038"/>
        <w:gridCol w:w="1529"/>
        <w:gridCol w:w="115"/>
        <w:gridCol w:w="1404"/>
        <w:gridCol w:w="1017"/>
        <w:gridCol w:w="130"/>
        <w:gridCol w:w="1297"/>
      </w:tblGrid>
      <w:tr>
        <w:trPr>
          <w:trHeight w:val="398" w:hRule="exact"/>
        </w:trPr>
        <w:tc>
          <w:tcPr>
            <w:tcW w:w="2681" w:type="dxa"/>
            <w:gridSpan w:val="2"/>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single" w:sz="11" w:space="0" w:color="000000"/>
              <w:right w:val="nil" w:sz="6" w:space="0" w:color="auto"/>
            </w:tcBorders>
          </w:tcPr>
          <w:p>
            <w:pPr>
              <w:pStyle w:val="TableParagraph"/>
              <w:spacing w:line="240" w:lineRule="auto" w:before="37"/>
              <w:ind w:left="202" w:right="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43"/>
                <w:sz w:val="20"/>
                <w:szCs w:val="20"/>
              </w:rPr>
              <w:t> </w:t>
            </w:r>
            <w:r>
              <w:rPr>
                <w:rFonts w:ascii="宋体" w:hAnsi="宋体" w:cs="宋体" w:eastAsia="宋体" w:hint="default"/>
                <w:sz w:val="20"/>
                <w:szCs w:val="20"/>
              </w:rPr>
              <w:t>末</w:t>
            </w:r>
            <w:r>
              <w:rPr>
                <w:rFonts w:ascii="宋体" w:hAnsi="宋体" w:cs="宋体" w:eastAsia="宋体" w:hint="default"/>
                <w:spacing w:val="-56"/>
                <w:sz w:val="20"/>
                <w:szCs w:val="20"/>
              </w:rPr>
              <w:t> </w:t>
            </w:r>
            <w:r>
              <w:rPr>
                <w:rFonts w:ascii="宋体" w:hAnsi="宋体" w:cs="宋体" w:eastAsia="宋体" w:hint="default"/>
                <w:sz w:val="20"/>
                <w:szCs w:val="20"/>
              </w:rPr>
              <w:t>数</w:t>
            </w:r>
          </w:p>
        </w:tc>
        <w:tc>
          <w:tcPr>
            <w:tcW w:w="1529" w:type="dxa"/>
            <w:tcBorders>
              <w:top w:val="nil" w:sz="6" w:space="0" w:color="auto"/>
              <w:left w:val="nil" w:sz="6" w:space="0" w:color="auto"/>
              <w:bottom w:val="single" w:sz="11" w:space="0" w:color="000000"/>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11" w:space="0" w:color="000000"/>
              <w:right w:val="nil" w:sz="6" w:space="0" w:color="auto"/>
            </w:tcBorders>
          </w:tcPr>
          <w:p>
            <w:pPr/>
          </w:p>
        </w:tc>
        <w:tc>
          <w:tcPr>
            <w:tcW w:w="1017" w:type="dxa"/>
            <w:tcBorders>
              <w:top w:val="nil" w:sz="6" w:space="0" w:color="auto"/>
              <w:left w:val="nil" w:sz="6" w:space="0" w:color="auto"/>
              <w:bottom w:val="single" w:sz="11" w:space="0" w:color="000000"/>
              <w:right w:val="nil" w:sz="6" w:space="0" w:color="auto"/>
            </w:tcBorders>
          </w:tcPr>
          <w:p>
            <w:pPr>
              <w:pStyle w:val="TableParagraph"/>
              <w:spacing w:line="240" w:lineRule="auto" w:before="37"/>
              <w:ind w:right="58"/>
              <w:jc w:val="right"/>
              <w:rPr>
                <w:rFonts w:ascii="宋体" w:hAnsi="宋体" w:cs="宋体" w:eastAsia="宋体" w:hint="default"/>
                <w:sz w:val="20"/>
                <w:szCs w:val="20"/>
              </w:rPr>
            </w:pPr>
            <w:r>
              <w:rPr>
                <w:rFonts w:ascii="宋体" w:hAnsi="宋体" w:cs="宋体" w:eastAsia="宋体" w:hint="default"/>
                <w:sz w:val="20"/>
                <w:szCs w:val="20"/>
              </w:rPr>
              <w:t>年 初</w:t>
            </w:r>
            <w:r>
              <w:rPr>
                <w:rFonts w:ascii="宋体" w:hAnsi="宋体" w:cs="宋体" w:eastAsia="宋体" w:hint="default"/>
                <w:spacing w:val="60"/>
                <w:sz w:val="20"/>
                <w:szCs w:val="20"/>
              </w:rPr>
              <w:t> </w:t>
            </w:r>
            <w:r>
              <w:rPr>
                <w:rFonts w:ascii="宋体" w:hAnsi="宋体" w:cs="宋体" w:eastAsia="宋体" w:hint="default"/>
                <w:sz w:val="20"/>
                <w:szCs w:val="20"/>
              </w:rPr>
              <w:t>数</w:t>
            </w:r>
          </w:p>
        </w:tc>
        <w:tc>
          <w:tcPr>
            <w:tcW w:w="1427" w:type="dxa"/>
            <w:gridSpan w:val="2"/>
            <w:vMerge w:val="restart"/>
            <w:tcBorders>
              <w:top w:val="nil" w:sz="6" w:space="0" w:color="auto"/>
              <w:left w:val="nil" w:sz="6" w:space="0" w:color="auto"/>
              <w:right w:val="nil" w:sz="6" w:space="0" w:color="auto"/>
            </w:tcBorders>
          </w:tcPr>
          <w:p>
            <w:pPr/>
          </w:p>
        </w:tc>
      </w:tr>
      <w:tr>
        <w:trPr>
          <w:trHeight w:val="198" w:hRule="exact"/>
        </w:trPr>
        <w:tc>
          <w:tcPr>
            <w:tcW w:w="1211" w:type="dxa"/>
            <w:tcBorders>
              <w:top w:val="nil" w:sz="6" w:space="0" w:color="auto"/>
              <w:left w:val="nil" w:sz="6" w:space="0" w:color="auto"/>
              <w:bottom w:val="nil" w:sz="6" w:space="0" w:color="auto"/>
              <w:right w:val="nil" w:sz="6" w:space="0" w:color="auto"/>
            </w:tcBorders>
          </w:tcPr>
          <w:p>
            <w:pPr>
              <w:pStyle w:val="TableParagraph"/>
              <w:spacing w:line="199" w:lineRule="exact"/>
              <w:ind w:right="390"/>
              <w:jc w:val="righ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1"/>
                <w:sz w:val="20"/>
                <w:szCs w:val="20"/>
              </w:rPr>
              <w:t> </w:t>
            </w:r>
            <w:r>
              <w:rPr>
                <w:rFonts w:ascii="宋体" w:hAnsi="宋体" w:cs="宋体" w:eastAsia="宋体" w:hint="default"/>
                <w:sz w:val="20"/>
                <w:szCs w:val="20"/>
              </w:rPr>
              <w:t>龄</w:t>
            </w:r>
          </w:p>
        </w:tc>
        <w:tc>
          <w:tcPr>
            <w:tcW w:w="1470" w:type="dxa"/>
            <w:tcBorders>
              <w:top w:val="single" w:sz="11" w:space="0" w:color="000000"/>
              <w:left w:val="nil" w:sz="6" w:space="0" w:color="auto"/>
              <w:bottom w:val="nil" w:sz="6" w:space="0" w:color="auto"/>
              <w:right w:val="nil" w:sz="6" w:space="0" w:color="auto"/>
            </w:tcBorders>
          </w:tcPr>
          <w:p>
            <w:pPr/>
          </w:p>
        </w:tc>
        <w:tc>
          <w:tcPr>
            <w:tcW w:w="1038" w:type="dxa"/>
            <w:tcBorders>
              <w:top w:val="single" w:sz="11" w:space="0" w:color="000000"/>
              <w:left w:val="nil" w:sz="6" w:space="0" w:color="auto"/>
              <w:bottom w:val="nil" w:sz="6" w:space="0" w:color="auto"/>
              <w:right w:val="nil" w:sz="6" w:space="0" w:color="auto"/>
            </w:tcBorders>
          </w:tcPr>
          <w:p>
            <w:pPr/>
          </w:p>
        </w:tc>
        <w:tc>
          <w:tcPr>
            <w:tcW w:w="1529" w:type="dxa"/>
            <w:tcBorders>
              <w:top w:val="single" w:sz="11" w:space="0" w:color="000000"/>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404" w:type="dxa"/>
            <w:tcBorders>
              <w:top w:val="single" w:sz="11" w:space="0" w:color="000000"/>
              <w:left w:val="nil" w:sz="6" w:space="0" w:color="auto"/>
              <w:bottom w:val="nil" w:sz="6" w:space="0" w:color="auto"/>
              <w:right w:val="nil" w:sz="6" w:space="0" w:color="auto"/>
            </w:tcBorders>
          </w:tcPr>
          <w:p>
            <w:pPr/>
          </w:p>
        </w:tc>
        <w:tc>
          <w:tcPr>
            <w:tcW w:w="1017" w:type="dxa"/>
            <w:tcBorders>
              <w:top w:val="single" w:sz="11" w:space="0" w:color="000000"/>
              <w:left w:val="nil" w:sz="6" w:space="0" w:color="auto"/>
              <w:bottom w:val="nil" w:sz="6" w:space="0" w:color="auto"/>
              <w:right w:val="nil" w:sz="6" w:space="0" w:color="auto"/>
            </w:tcBorders>
          </w:tcPr>
          <w:p>
            <w:pPr/>
          </w:p>
        </w:tc>
        <w:tc>
          <w:tcPr>
            <w:tcW w:w="1427" w:type="dxa"/>
            <w:gridSpan w:val="2"/>
            <w:vMerge/>
            <w:tcBorders>
              <w:left w:val="nil" w:sz="6" w:space="0" w:color="auto"/>
              <w:bottom w:val="nil" w:sz="6" w:space="0" w:color="auto"/>
              <w:right w:val="nil" w:sz="6" w:space="0" w:color="auto"/>
            </w:tcBorders>
          </w:tcPr>
          <w:p>
            <w:pPr/>
          </w:p>
        </w:tc>
      </w:tr>
      <w:tr>
        <w:trPr>
          <w:trHeight w:val="369" w:hRule="exact"/>
        </w:trPr>
        <w:tc>
          <w:tcPr>
            <w:tcW w:w="1211" w:type="dxa"/>
            <w:tcBorders>
              <w:top w:val="nil" w:sz="6" w:space="0" w:color="auto"/>
              <w:left w:val="nil" w:sz="6" w:space="0" w:color="auto"/>
              <w:bottom w:val="single" w:sz="11" w:space="0" w:color="000000"/>
              <w:right w:val="nil" w:sz="6" w:space="0" w:color="auto"/>
            </w:tcBorders>
          </w:tcPr>
          <w:p>
            <w:pPr/>
          </w:p>
        </w:tc>
        <w:tc>
          <w:tcPr>
            <w:tcW w:w="1470" w:type="dxa"/>
            <w:tcBorders>
              <w:top w:val="nil" w:sz="6" w:space="0" w:color="auto"/>
              <w:left w:val="nil" w:sz="6" w:space="0" w:color="auto"/>
              <w:bottom w:val="single" w:sz="11" w:space="0" w:color="000000"/>
              <w:right w:val="nil" w:sz="6" w:space="0" w:color="auto"/>
            </w:tcBorders>
          </w:tcPr>
          <w:p>
            <w:pPr>
              <w:pStyle w:val="TableParagraph"/>
              <w:tabs>
                <w:tab w:pos="850" w:val="left" w:leader="none"/>
              </w:tabs>
              <w:spacing w:line="198" w:lineRule="exact"/>
              <w:ind w:left="432"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1038" w:type="dxa"/>
            <w:tcBorders>
              <w:top w:val="nil" w:sz="6" w:space="0" w:color="auto"/>
              <w:left w:val="nil" w:sz="6" w:space="0" w:color="auto"/>
              <w:bottom w:val="single" w:sz="11" w:space="0" w:color="000000"/>
              <w:right w:val="nil" w:sz="6" w:space="0" w:color="auto"/>
            </w:tcBorders>
          </w:tcPr>
          <w:p>
            <w:pPr>
              <w:pStyle w:val="TableParagraph"/>
              <w:spacing w:line="198" w:lineRule="exact"/>
              <w:ind w:left="361" w:right="0"/>
              <w:jc w:val="left"/>
              <w:rPr>
                <w:rFonts w:ascii="宋体" w:hAnsi="宋体" w:cs="宋体" w:eastAsia="宋体" w:hint="default"/>
                <w:sz w:val="20"/>
                <w:szCs w:val="20"/>
              </w:rPr>
            </w:pPr>
            <w:r>
              <w:rPr>
                <w:rFonts w:ascii="宋体" w:hAnsi="宋体" w:cs="宋体" w:eastAsia="宋体" w:hint="default"/>
                <w:spacing w:val="3"/>
                <w:sz w:val="20"/>
                <w:szCs w:val="20"/>
              </w:rPr>
              <w:t>比例</w:t>
            </w:r>
            <w:r>
              <w:rPr>
                <w:rFonts w:ascii="宋体" w:hAnsi="宋体" w:cs="宋体" w:eastAsia="宋体" w:hint="default"/>
                <w:sz w:val="20"/>
                <w:szCs w:val="20"/>
              </w:rPr>
            </w:r>
          </w:p>
        </w:tc>
        <w:tc>
          <w:tcPr>
            <w:tcW w:w="1529" w:type="dxa"/>
            <w:tcBorders>
              <w:top w:val="nil" w:sz="6" w:space="0" w:color="auto"/>
              <w:left w:val="nil" w:sz="6" w:space="0" w:color="auto"/>
              <w:bottom w:val="single" w:sz="11" w:space="0" w:color="000000"/>
              <w:right w:val="nil" w:sz="6" w:space="0" w:color="auto"/>
            </w:tcBorders>
          </w:tcPr>
          <w:p>
            <w:pPr>
              <w:pStyle w:val="TableParagraph"/>
              <w:spacing w:line="198" w:lineRule="exact"/>
              <w:ind w:left="404" w:right="0"/>
              <w:jc w:val="left"/>
              <w:rPr>
                <w:rFonts w:ascii="宋体" w:hAnsi="宋体" w:cs="宋体" w:eastAsia="宋体" w:hint="default"/>
                <w:sz w:val="20"/>
                <w:szCs w:val="20"/>
              </w:rPr>
            </w:pPr>
            <w:r>
              <w:rPr>
                <w:rFonts w:ascii="宋体" w:hAnsi="宋体" w:cs="宋体" w:eastAsia="宋体" w:hint="default"/>
                <w:spacing w:val="6"/>
                <w:sz w:val="20"/>
                <w:szCs w:val="20"/>
              </w:rPr>
              <w:t>坏账准备</w:t>
            </w:r>
            <w:r>
              <w:rPr>
                <w:rFonts w:ascii="宋体" w:hAnsi="宋体" w:cs="宋体" w:eastAsia="宋体" w:hint="default"/>
                <w:sz w:val="20"/>
                <w:szCs w:val="20"/>
              </w:rPr>
            </w:r>
          </w:p>
        </w:tc>
        <w:tc>
          <w:tcPr>
            <w:tcW w:w="115"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11" w:space="0" w:color="000000"/>
              <w:right w:val="nil" w:sz="6" w:space="0" w:color="auto"/>
            </w:tcBorders>
          </w:tcPr>
          <w:p>
            <w:pPr>
              <w:pStyle w:val="TableParagraph"/>
              <w:tabs>
                <w:tab w:pos="806" w:val="left" w:leader="none"/>
              </w:tabs>
              <w:spacing w:line="198" w:lineRule="exact"/>
              <w:ind w:left="388" w:right="0"/>
              <w:jc w:val="left"/>
              <w:rPr>
                <w:rFonts w:ascii="宋体" w:hAnsi="宋体" w:cs="宋体" w:eastAsia="宋体" w:hint="default"/>
                <w:sz w:val="20"/>
                <w:szCs w:val="20"/>
              </w:rPr>
            </w:pPr>
            <w:r>
              <w:rPr>
                <w:rFonts w:ascii="宋体" w:hAnsi="宋体" w:cs="宋体" w:eastAsia="宋体" w:hint="default"/>
                <w:w w:val="95"/>
                <w:sz w:val="20"/>
                <w:szCs w:val="20"/>
              </w:rPr>
              <w:t>金</w:t>
              <w:tab/>
            </w:r>
            <w:r>
              <w:rPr>
                <w:rFonts w:ascii="宋体" w:hAnsi="宋体" w:cs="宋体" w:eastAsia="宋体" w:hint="default"/>
                <w:sz w:val="20"/>
                <w:szCs w:val="20"/>
              </w:rPr>
              <w:t>额</w:t>
            </w:r>
          </w:p>
        </w:tc>
        <w:tc>
          <w:tcPr>
            <w:tcW w:w="1017" w:type="dxa"/>
            <w:tcBorders>
              <w:top w:val="nil" w:sz="6" w:space="0" w:color="auto"/>
              <w:left w:val="nil" w:sz="6" w:space="0" w:color="auto"/>
              <w:bottom w:val="single" w:sz="11" w:space="0" w:color="000000"/>
              <w:right w:val="nil" w:sz="6" w:space="0" w:color="auto"/>
            </w:tcBorders>
          </w:tcPr>
          <w:p>
            <w:pPr>
              <w:pStyle w:val="TableParagraph"/>
              <w:spacing w:line="198" w:lineRule="exact"/>
              <w:ind w:left="339" w:right="0"/>
              <w:jc w:val="left"/>
              <w:rPr>
                <w:rFonts w:ascii="宋体" w:hAnsi="宋体" w:cs="宋体" w:eastAsia="宋体" w:hint="default"/>
                <w:sz w:val="20"/>
                <w:szCs w:val="20"/>
              </w:rPr>
            </w:pPr>
            <w:r>
              <w:rPr>
                <w:rFonts w:ascii="宋体" w:hAnsi="宋体" w:cs="宋体" w:eastAsia="宋体" w:hint="default"/>
                <w:spacing w:val="3"/>
                <w:sz w:val="20"/>
                <w:szCs w:val="20"/>
              </w:rPr>
              <w:t>比例</w:t>
            </w:r>
            <w:r>
              <w:rPr>
                <w:rFonts w:ascii="宋体" w:hAnsi="宋体" w:cs="宋体" w:eastAsia="宋体" w:hint="default"/>
                <w:sz w:val="20"/>
                <w:szCs w:val="20"/>
              </w:rPr>
            </w:r>
          </w:p>
        </w:tc>
        <w:tc>
          <w:tcPr>
            <w:tcW w:w="1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single" w:sz="11" w:space="0" w:color="000000"/>
              <w:right w:val="nil" w:sz="6" w:space="0" w:color="auto"/>
            </w:tcBorders>
          </w:tcPr>
          <w:p>
            <w:pPr>
              <w:pStyle w:val="TableParagraph"/>
              <w:spacing w:line="198" w:lineRule="exact"/>
              <w:ind w:left="244" w:right="0"/>
              <w:jc w:val="left"/>
              <w:rPr>
                <w:rFonts w:ascii="宋体" w:hAnsi="宋体" w:cs="宋体" w:eastAsia="宋体" w:hint="default"/>
                <w:sz w:val="20"/>
                <w:szCs w:val="20"/>
              </w:rPr>
            </w:pPr>
            <w:r>
              <w:rPr>
                <w:rFonts w:ascii="宋体" w:hAnsi="宋体" w:cs="宋体" w:eastAsia="宋体" w:hint="default"/>
                <w:spacing w:val="6"/>
                <w:sz w:val="20"/>
                <w:szCs w:val="20"/>
              </w:rPr>
              <w:t>坏账准备</w:t>
            </w:r>
          </w:p>
        </w:tc>
      </w:tr>
      <w:tr>
        <w:trPr>
          <w:trHeight w:val="391" w:hRule="exact"/>
        </w:trPr>
        <w:tc>
          <w:tcPr>
            <w:tcW w:w="1211" w:type="dxa"/>
            <w:tcBorders>
              <w:top w:val="single" w:sz="11"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20"/>
                <w:szCs w:val="20"/>
              </w:rPr>
            </w:pPr>
            <w:r>
              <w:rPr>
                <w:rFonts w:ascii="宋体" w:hAnsi="宋体" w:cs="宋体" w:eastAsia="宋体" w:hint="default"/>
                <w:spacing w:val="5"/>
                <w:sz w:val="20"/>
                <w:szCs w:val="20"/>
              </w:rPr>
              <w:t>1年以内</w:t>
            </w:r>
          </w:p>
        </w:tc>
        <w:tc>
          <w:tcPr>
            <w:tcW w:w="1470" w:type="dxa"/>
            <w:tcBorders>
              <w:top w:val="single" w:sz="11" w:space="0" w:color="000000"/>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0"/>
                <w:szCs w:val="20"/>
              </w:rPr>
            </w:pPr>
            <w:r>
              <w:rPr>
                <w:rFonts w:ascii="Times New Roman"/>
                <w:sz w:val="20"/>
              </w:rPr>
              <w:t>4,266,762.79</w:t>
            </w:r>
          </w:p>
        </w:tc>
        <w:tc>
          <w:tcPr>
            <w:tcW w:w="1038" w:type="dxa"/>
            <w:tcBorders>
              <w:top w:val="single" w:sz="11" w:space="0" w:color="000000"/>
              <w:left w:val="nil" w:sz="6" w:space="0" w:color="auto"/>
              <w:bottom w:val="nil" w:sz="6" w:space="0" w:color="auto"/>
              <w:right w:val="nil" w:sz="6" w:space="0" w:color="auto"/>
            </w:tcBorders>
          </w:tcPr>
          <w:p>
            <w:pPr>
              <w:pStyle w:val="TableParagraph"/>
              <w:spacing w:line="240" w:lineRule="auto" w:before="60"/>
              <w:ind w:right="47"/>
              <w:jc w:val="right"/>
              <w:rPr>
                <w:rFonts w:ascii="Times New Roman" w:hAnsi="Times New Roman" w:cs="Times New Roman" w:eastAsia="Times New Roman" w:hint="default"/>
                <w:sz w:val="20"/>
                <w:szCs w:val="20"/>
              </w:rPr>
            </w:pPr>
            <w:r>
              <w:rPr>
                <w:rFonts w:ascii="Times New Roman"/>
                <w:sz w:val="20"/>
              </w:rPr>
              <w:t>71.00%</w:t>
            </w:r>
          </w:p>
        </w:tc>
        <w:tc>
          <w:tcPr>
            <w:tcW w:w="1529" w:type="dxa"/>
            <w:tcBorders>
              <w:top w:val="single" w:sz="11" w:space="0" w:color="000000"/>
              <w:left w:val="nil" w:sz="6" w:space="0" w:color="auto"/>
              <w:bottom w:val="nil" w:sz="6" w:space="0" w:color="auto"/>
              <w:right w:val="nil" w:sz="6" w:space="0" w:color="auto"/>
            </w:tcBorders>
          </w:tcPr>
          <w:p>
            <w:pPr>
              <w:pStyle w:val="TableParagraph"/>
              <w:spacing w:line="240" w:lineRule="auto" w:before="60"/>
              <w:ind w:right="85"/>
              <w:jc w:val="right"/>
              <w:rPr>
                <w:rFonts w:ascii="Times New Roman" w:hAnsi="Times New Roman" w:cs="Times New Roman" w:eastAsia="Times New Roman" w:hint="default"/>
                <w:sz w:val="20"/>
                <w:szCs w:val="20"/>
              </w:rPr>
            </w:pPr>
            <w:r>
              <w:rPr>
                <w:rFonts w:ascii="Times New Roman"/>
                <w:spacing w:val="2"/>
                <w:w w:val="95"/>
                <w:sz w:val="20"/>
              </w:rPr>
              <w:t>527,995.78</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1404" w:type="dxa"/>
            <w:tcBorders>
              <w:top w:val="single" w:sz="11" w:space="0" w:color="000000"/>
              <w:left w:val="nil" w:sz="6" w:space="0" w:color="auto"/>
              <w:bottom w:val="nil" w:sz="6" w:space="0" w:color="auto"/>
              <w:right w:val="nil" w:sz="6" w:space="0" w:color="auto"/>
            </w:tcBorders>
          </w:tcPr>
          <w:p>
            <w:pPr>
              <w:pStyle w:val="TableParagraph"/>
              <w:spacing w:line="240" w:lineRule="auto" w:before="60"/>
              <w:ind w:right="92"/>
              <w:jc w:val="right"/>
              <w:rPr>
                <w:rFonts w:ascii="Times New Roman" w:hAnsi="Times New Roman" w:cs="Times New Roman" w:eastAsia="Times New Roman" w:hint="default"/>
                <w:sz w:val="20"/>
                <w:szCs w:val="20"/>
              </w:rPr>
            </w:pPr>
            <w:r>
              <w:rPr>
                <w:rFonts w:ascii="Times New Roman"/>
                <w:spacing w:val="2"/>
                <w:w w:val="95"/>
                <w:sz w:val="20"/>
              </w:rPr>
              <w:t>6,536,914.58</w:t>
            </w:r>
            <w:r>
              <w:rPr>
                <w:rFonts w:ascii="Times New Roman"/>
                <w:spacing w:val="2"/>
                <w:sz w:val="20"/>
              </w:rPr>
            </w:r>
          </w:p>
        </w:tc>
        <w:tc>
          <w:tcPr>
            <w:tcW w:w="1017" w:type="dxa"/>
            <w:tcBorders>
              <w:top w:val="single" w:sz="11" w:space="0" w:color="000000"/>
              <w:left w:val="nil" w:sz="6" w:space="0" w:color="auto"/>
              <w:bottom w:val="nil" w:sz="6" w:space="0" w:color="auto"/>
              <w:right w:val="nil" w:sz="6" w:space="0" w:color="auto"/>
            </w:tcBorders>
          </w:tcPr>
          <w:p>
            <w:pPr>
              <w:pStyle w:val="TableParagraph"/>
              <w:spacing w:line="240" w:lineRule="auto" w:before="60"/>
              <w:ind w:right="47"/>
              <w:jc w:val="right"/>
              <w:rPr>
                <w:rFonts w:ascii="Times New Roman" w:hAnsi="Times New Roman" w:cs="Times New Roman" w:eastAsia="Times New Roman" w:hint="default"/>
                <w:sz w:val="20"/>
                <w:szCs w:val="20"/>
              </w:rPr>
            </w:pPr>
            <w:r>
              <w:rPr>
                <w:rFonts w:ascii="Times New Roman"/>
                <w:sz w:val="20"/>
              </w:rPr>
              <w:t>46.86%</w:t>
            </w:r>
          </w:p>
        </w:tc>
        <w:tc>
          <w:tcPr>
            <w:tcW w:w="130" w:type="dxa"/>
            <w:tcBorders>
              <w:top w:val="nil" w:sz="6" w:space="0" w:color="auto"/>
              <w:left w:val="nil" w:sz="6" w:space="0" w:color="auto"/>
              <w:bottom w:val="nil" w:sz="6" w:space="0" w:color="auto"/>
              <w:right w:val="nil" w:sz="6" w:space="0" w:color="auto"/>
            </w:tcBorders>
          </w:tcPr>
          <w:p>
            <w:pPr/>
          </w:p>
        </w:tc>
        <w:tc>
          <w:tcPr>
            <w:tcW w:w="1297" w:type="dxa"/>
            <w:tcBorders>
              <w:top w:val="single" w:sz="11" w:space="0" w:color="000000"/>
              <w:left w:val="nil" w:sz="6" w:space="0" w:color="auto"/>
              <w:bottom w:val="nil" w:sz="6" w:space="0" w:color="auto"/>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0"/>
                <w:szCs w:val="20"/>
              </w:rPr>
            </w:pPr>
            <w:r>
              <w:rPr>
                <w:rFonts w:ascii="Times New Roman"/>
                <w:sz w:val="20"/>
              </w:rPr>
              <w:t>317,882.18</w:t>
            </w:r>
          </w:p>
        </w:tc>
      </w:tr>
      <w:tr>
        <w:trPr>
          <w:trHeight w:val="384" w:hRule="exact"/>
        </w:trPr>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20"/>
                <w:szCs w:val="20"/>
              </w:rPr>
            </w:pPr>
            <w:r>
              <w:rPr>
                <w:rFonts w:ascii="宋体" w:hAnsi="宋体" w:cs="宋体" w:eastAsia="宋体" w:hint="default"/>
                <w:spacing w:val="4"/>
                <w:sz w:val="20"/>
                <w:szCs w:val="20"/>
              </w:rPr>
              <w:t>1至2年</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8"/>
              <w:jc w:val="right"/>
              <w:rPr>
                <w:rFonts w:ascii="Times New Roman" w:hAnsi="Times New Roman" w:cs="Times New Roman" w:eastAsia="Times New Roman" w:hint="default"/>
                <w:sz w:val="20"/>
                <w:szCs w:val="20"/>
              </w:rPr>
            </w:pPr>
            <w:r>
              <w:rPr>
                <w:rFonts w:ascii="Times New Roman"/>
                <w:sz w:val="20"/>
              </w:rPr>
              <w:t>3,661,946.26</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7"/>
              <w:jc w:val="right"/>
              <w:rPr>
                <w:rFonts w:ascii="Times New Roman" w:hAnsi="Times New Roman" w:cs="Times New Roman" w:eastAsia="Times New Roman" w:hint="default"/>
                <w:sz w:val="20"/>
                <w:szCs w:val="20"/>
              </w:rPr>
            </w:pPr>
            <w:r>
              <w:rPr>
                <w:rFonts w:ascii="Times New Roman"/>
                <w:sz w:val="20"/>
              </w:rPr>
              <w:t>13.00%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5"/>
              <w:jc w:val="right"/>
              <w:rPr>
                <w:rFonts w:ascii="Times New Roman" w:hAnsi="Times New Roman" w:cs="Times New Roman" w:eastAsia="Times New Roman" w:hint="default"/>
                <w:sz w:val="20"/>
                <w:szCs w:val="20"/>
              </w:rPr>
            </w:pPr>
            <w:r>
              <w:rPr>
                <w:rFonts w:ascii="Times New Roman"/>
                <w:spacing w:val="2"/>
                <w:w w:val="95"/>
                <w:sz w:val="20"/>
              </w:rPr>
              <w:t>193,259.66</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2"/>
              <w:jc w:val="right"/>
              <w:rPr>
                <w:rFonts w:ascii="Times New Roman" w:hAnsi="Times New Roman" w:cs="Times New Roman" w:eastAsia="Times New Roman" w:hint="default"/>
                <w:sz w:val="20"/>
                <w:szCs w:val="20"/>
              </w:rPr>
            </w:pPr>
            <w:r>
              <w:rPr>
                <w:rFonts w:ascii="Times New Roman"/>
                <w:spacing w:val="2"/>
                <w:w w:val="95"/>
                <w:sz w:val="20"/>
              </w:rPr>
              <w:t>6,340,614.77</w:t>
            </w:r>
            <w:r>
              <w:rPr>
                <w:rFonts w:ascii="Times New Roman"/>
                <w:spacing w:val="2"/>
                <w:sz w:val="20"/>
              </w:rPr>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7"/>
              <w:jc w:val="right"/>
              <w:rPr>
                <w:rFonts w:ascii="Times New Roman" w:hAnsi="Times New Roman" w:cs="Times New Roman" w:eastAsia="Times New Roman" w:hint="default"/>
                <w:sz w:val="20"/>
                <w:szCs w:val="20"/>
              </w:rPr>
            </w:pPr>
            <w:r>
              <w:rPr>
                <w:rFonts w:ascii="Times New Roman"/>
                <w:sz w:val="20"/>
              </w:rPr>
              <w:t>45.46%</w:t>
            </w:r>
          </w:p>
        </w:tc>
        <w:tc>
          <w:tcPr>
            <w:tcW w:w="1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8"/>
              <w:jc w:val="right"/>
              <w:rPr>
                <w:rFonts w:ascii="Times New Roman" w:hAnsi="Times New Roman" w:cs="Times New Roman" w:eastAsia="Times New Roman" w:hint="default"/>
                <w:sz w:val="20"/>
                <w:szCs w:val="20"/>
              </w:rPr>
            </w:pPr>
            <w:r>
              <w:rPr>
                <w:rFonts w:ascii="Times New Roman"/>
                <w:sz w:val="20"/>
              </w:rPr>
              <w:t>1,141,461.48</w:t>
            </w:r>
          </w:p>
        </w:tc>
      </w:tr>
      <w:tr>
        <w:trPr>
          <w:trHeight w:val="389" w:hRule="exact"/>
        </w:trPr>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8" w:right="0"/>
              <w:jc w:val="left"/>
              <w:rPr>
                <w:rFonts w:ascii="宋体" w:hAnsi="宋体" w:cs="宋体" w:eastAsia="宋体" w:hint="default"/>
                <w:sz w:val="20"/>
                <w:szCs w:val="20"/>
              </w:rPr>
            </w:pPr>
            <w:r>
              <w:rPr>
                <w:rFonts w:ascii="宋体" w:hAnsi="宋体" w:cs="宋体" w:eastAsia="宋体" w:hint="default"/>
                <w:spacing w:val="4"/>
                <w:sz w:val="20"/>
                <w:szCs w:val="20"/>
              </w:rPr>
              <w:t>2至3年</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8"/>
              <w:jc w:val="right"/>
              <w:rPr>
                <w:rFonts w:ascii="Times New Roman" w:hAnsi="Times New Roman" w:cs="Times New Roman" w:eastAsia="Times New Roman" w:hint="default"/>
                <w:sz w:val="20"/>
                <w:szCs w:val="20"/>
              </w:rPr>
            </w:pPr>
            <w:r>
              <w:rPr>
                <w:rFonts w:ascii="Times New Roman"/>
                <w:sz w:val="20"/>
              </w:rPr>
              <w:t>6,340,614.77</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7"/>
              <w:jc w:val="right"/>
              <w:rPr>
                <w:rFonts w:ascii="Times New Roman" w:hAnsi="Times New Roman" w:cs="Times New Roman" w:eastAsia="Times New Roman" w:hint="default"/>
                <w:sz w:val="20"/>
                <w:szCs w:val="20"/>
              </w:rPr>
            </w:pPr>
            <w:r>
              <w:rPr>
                <w:rFonts w:ascii="Times New Roman"/>
                <w:sz w:val="20"/>
              </w:rPr>
              <w:t>11.64%</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5"/>
              <w:jc w:val="right"/>
              <w:rPr>
                <w:rFonts w:ascii="Times New Roman" w:hAnsi="Times New Roman" w:cs="Times New Roman" w:eastAsia="Times New Roman" w:hint="default"/>
                <w:sz w:val="20"/>
                <w:szCs w:val="20"/>
              </w:rPr>
            </w:pPr>
            <w:r>
              <w:rPr>
                <w:rFonts w:ascii="Times New Roman"/>
                <w:spacing w:val="2"/>
                <w:w w:val="95"/>
                <w:sz w:val="20"/>
              </w:rPr>
              <w:t>763,105.82</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2"/>
              <w:jc w:val="right"/>
              <w:rPr>
                <w:rFonts w:ascii="Times New Roman" w:hAnsi="Times New Roman" w:cs="Times New Roman" w:eastAsia="Times New Roman" w:hint="default"/>
                <w:sz w:val="20"/>
                <w:szCs w:val="20"/>
              </w:rPr>
            </w:pPr>
            <w:r>
              <w:rPr>
                <w:rFonts w:ascii="Times New Roman"/>
                <w:spacing w:val="2"/>
                <w:w w:val="95"/>
                <w:sz w:val="20"/>
              </w:rPr>
              <w:t>474,507.34</w:t>
            </w:r>
            <w:r>
              <w:rPr>
                <w:rFonts w:ascii="Times New Roman"/>
                <w:spacing w:val="2"/>
                <w:sz w:val="20"/>
              </w:rPr>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48"/>
              <w:jc w:val="right"/>
              <w:rPr>
                <w:rFonts w:ascii="Times New Roman" w:hAnsi="Times New Roman" w:cs="Times New Roman" w:eastAsia="Times New Roman" w:hint="default"/>
                <w:sz w:val="20"/>
                <w:szCs w:val="20"/>
              </w:rPr>
            </w:pPr>
            <w:r>
              <w:rPr>
                <w:rFonts w:ascii="Times New Roman"/>
                <w:sz w:val="20"/>
              </w:rPr>
              <w:t>3.40%</w:t>
            </w:r>
          </w:p>
        </w:tc>
        <w:tc>
          <w:tcPr>
            <w:tcW w:w="1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8"/>
              <w:jc w:val="right"/>
              <w:rPr>
                <w:rFonts w:ascii="Times New Roman" w:hAnsi="Times New Roman" w:cs="Times New Roman" w:eastAsia="Times New Roman" w:hint="default"/>
                <w:sz w:val="20"/>
                <w:szCs w:val="20"/>
              </w:rPr>
            </w:pPr>
            <w:r>
              <w:rPr>
                <w:rFonts w:ascii="Times New Roman"/>
                <w:sz w:val="20"/>
              </w:rPr>
              <w:t>77,231.52</w:t>
            </w:r>
          </w:p>
        </w:tc>
      </w:tr>
      <w:tr>
        <w:trPr>
          <w:trHeight w:val="383" w:hRule="exact"/>
        </w:trPr>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20"/>
                <w:szCs w:val="20"/>
              </w:rPr>
            </w:pPr>
            <w:r>
              <w:rPr>
                <w:rFonts w:ascii="宋体" w:hAnsi="宋体" w:cs="宋体" w:eastAsia="宋体" w:hint="default"/>
                <w:spacing w:val="4"/>
                <w:sz w:val="20"/>
                <w:szCs w:val="20"/>
              </w:rPr>
              <w:t>3至4年</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20"/>
                <w:szCs w:val="20"/>
              </w:rPr>
            </w:pPr>
            <w:r>
              <w:rPr>
                <w:rFonts w:ascii="Times New Roman"/>
                <w:sz w:val="20"/>
              </w:rPr>
              <w:t>70,300.00</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
              <w:jc w:val="right"/>
              <w:rPr>
                <w:rFonts w:ascii="Times New Roman" w:hAnsi="Times New Roman" w:cs="Times New Roman" w:eastAsia="Times New Roman" w:hint="default"/>
                <w:sz w:val="20"/>
                <w:szCs w:val="20"/>
              </w:rPr>
            </w:pPr>
            <w:r>
              <w:rPr>
                <w:rFonts w:ascii="Times New Roman"/>
                <w:sz w:val="20"/>
              </w:rPr>
              <w:t>0.47%</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5"/>
              <w:jc w:val="right"/>
              <w:rPr>
                <w:rFonts w:ascii="Times New Roman" w:hAnsi="Times New Roman" w:cs="Times New Roman" w:eastAsia="Times New Roman" w:hint="default"/>
                <w:sz w:val="20"/>
                <w:szCs w:val="20"/>
              </w:rPr>
            </w:pPr>
            <w:r>
              <w:rPr>
                <w:rFonts w:ascii="Times New Roman"/>
                <w:spacing w:val="2"/>
                <w:w w:val="95"/>
                <w:sz w:val="20"/>
              </w:rPr>
              <w:t>35,150.00</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2"/>
              <w:jc w:val="right"/>
              <w:rPr>
                <w:rFonts w:ascii="Times New Roman" w:hAnsi="Times New Roman" w:cs="Times New Roman" w:eastAsia="Times New Roman" w:hint="default"/>
                <w:sz w:val="20"/>
                <w:szCs w:val="20"/>
              </w:rPr>
            </w:pPr>
            <w:r>
              <w:rPr>
                <w:rFonts w:ascii="Times New Roman"/>
                <w:spacing w:val="2"/>
                <w:w w:val="95"/>
                <w:sz w:val="20"/>
              </w:rPr>
              <w:t>76,871.76</w:t>
            </w:r>
            <w:r>
              <w:rPr>
                <w:rFonts w:ascii="Times New Roman"/>
                <w:spacing w:val="2"/>
                <w:sz w:val="20"/>
              </w:rPr>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8"/>
              <w:jc w:val="right"/>
              <w:rPr>
                <w:rFonts w:ascii="Times New Roman" w:hAnsi="Times New Roman" w:cs="Times New Roman" w:eastAsia="Times New Roman" w:hint="default"/>
                <w:sz w:val="20"/>
                <w:szCs w:val="20"/>
              </w:rPr>
            </w:pPr>
            <w:r>
              <w:rPr>
                <w:rFonts w:ascii="Times New Roman"/>
                <w:sz w:val="20"/>
              </w:rPr>
              <w:t>0.55%</w:t>
            </w:r>
          </w:p>
        </w:tc>
        <w:tc>
          <w:tcPr>
            <w:tcW w:w="1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20"/>
                <w:szCs w:val="20"/>
              </w:rPr>
            </w:pPr>
            <w:r>
              <w:rPr>
                <w:rFonts w:ascii="Times New Roman"/>
                <w:sz w:val="20"/>
              </w:rPr>
              <w:t>38,435.88</w:t>
            </w:r>
          </w:p>
        </w:tc>
      </w:tr>
      <w:tr>
        <w:trPr>
          <w:trHeight w:val="383" w:hRule="exact"/>
        </w:trPr>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20"/>
                <w:szCs w:val="20"/>
              </w:rPr>
            </w:pPr>
            <w:r>
              <w:rPr>
                <w:rFonts w:ascii="宋体" w:hAnsi="宋体" w:cs="宋体" w:eastAsia="宋体" w:hint="default"/>
                <w:spacing w:val="4"/>
                <w:sz w:val="20"/>
                <w:szCs w:val="20"/>
              </w:rPr>
              <w:t>4至5年</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20"/>
                <w:szCs w:val="20"/>
              </w:rPr>
            </w:pPr>
            <w:r>
              <w:rPr>
                <w:rFonts w:ascii="Times New Roman"/>
                <w:sz w:val="20"/>
              </w:rPr>
              <w:t>1,000.00</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7"/>
              <w:jc w:val="right"/>
              <w:rPr>
                <w:rFonts w:ascii="Times New Roman" w:hAnsi="Times New Roman" w:cs="Times New Roman" w:eastAsia="Times New Roman" w:hint="default"/>
                <w:sz w:val="20"/>
                <w:szCs w:val="20"/>
              </w:rPr>
            </w:pPr>
            <w:r>
              <w:rPr>
                <w:rFonts w:ascii="Times New Roman"/>
                <w:sz w:val="20"/>
              </w:rPr>
              <w:t>0.39%</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5"/>
              <w:jc w:val="right"/>
              <w:rPr>
                <w:rFonts w:ascii="Times New Roman" w:hAnsi="Times New Roman" w:cs="Times New Roman" w:eastAsia="Times New Roman" w:hint="default"/>
                <w:sz w:val="20"/>
                <w:szCs w:val="20"/>
              </w:rPr>
            </w:pPr>
            <w:r>
              <w:rPr>
                <w:rFonts w:ascii="Times New Roman"/>
                <w:sz w:val="20"/>
              </w:rPr>
              <w:t>500.00</w:t>
            </w:r>
          </w:p>
        </w:tc>
        <w:tc>
          <w:tcPr>
            <w:tcW w:w="115"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8"/>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1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56"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r>
      <w:tr>
        <w:trPr>
          <w:trHeight w:val="374" w:hRule="exact"/>
        </w:trPr>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20"/>
                <w:szCs w:val="20"/>
              </w:rPr>
            </w:pPr>
            <w:r>
              <w:rPr>
                <w:rFonts w:ascii="宋体" w:hAnsi="宋体" w:cs="宋体" w:eastAsia="宋体" w:hint="default"/>
                <w:spacing w:val="5"/>
                <w:sz w:val="20"/>
                <w:szCs w:val="20"/>
              </w:rPr>
              <w:t>5年以上</w:t>
            </w:r>
          </w:p>
        </w:tc>
        <w:tc>
          <w:tcPr>
            <w:tcW w:w="1470" w:type="dxa"/>
            <w:tcBorders>
              <w:top w:val="nil" w:sz="6" w:space="0" w:color="auto"/>
              <w:left w:val="nil" w:sz="6" w:space="0" w:color="auto"/>
              <w:bottom w:val="single" w:sz="6" w:space="0" w:color="000000"/>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20"/>
                <w:szCs w:val="20"/>
              </w:rPr>
            </w:pPr>
            <w:r>
              <w:rPr>
                <w:rFonts w:ascii="Times New Roman"/>
                <w:sz w:val="20"/>
              </w:rPr>
              <w:t>520,000.00</w:t>
            </w:r>
          </w:p>
        </w:tc>
        <w:tc>
          <w:tcPr>
            <w:tcW w:w="1038" w:type="dxa"/>
            <w:tcBorders>
              <w:top w:val="nil" w:sz="6" w:space="0" w:color="auto"/>
              <w:left w:val="nil" w:sz="6" w:space="0" w:color="auto"/>
              <w:bottom w:val="single" w:sz="6" w:space="0" w:color="000000"/>
              <w:right w:val="nil" w:sz="6" w:space="0" w:color="auto"/>
            </w:tcBorders>
          </w:tcPr>
          <w:p>
            <w:pPr>
              <w:pStyle w:val="TableParagraph"/>
              <w:spacing w:line="240" w:lineRule="auto" w:before="59"/>
              <w:ind w:right="47"/>
              <w:jc w:val="right"/>
              <w:rPr>
                <w:rFonts w:ascii="Times New Roman" w:hAnsi="Times New Roman" w:cs="Times New Roman" w:eastAsia="Times New Roman" w:hint="default"/>
                <w:sz w:val="20"/>
                <w:szCs w:val="20"/>
              </w:rPr>
            </w:pPr>
            <w:r>
              <w:rPr>
                <w:rFonts w:ascii="Times New Roman"/>
                <w:sz w:val="20"/>
              </w:rPr>
              <w:t>3.50%</w:t>
            </w:r>
          </w:p>
        </w:tc>
        <w:tc>
          <w:tcPr>
            <w:tcW w:w="1529" w:type="dxa"/>
            <w:tcBorders>
              <w:top w:val="nil" w:sz="6" w:space="0" w:color="auto"/>
              <w:left w:val="nil" w:sz="6" w:space="0" w:color="auto"/>
              <w:bottom w:val="single" w:sz="6" w:space="0" w:color="000000"/>
              <w:right w:val="nil" w:sz="6" w:space="0" w:color="auto"/>
            </w:tcBorders>
          </w:tcPr>
          <w:p>
            <w:pPr>
              <w:pStyle w:val="TableParagraph"/>
              <w:spacing w:line="240" w:lineRule="auto" w:before="59"/>
              <w:ind w:right="85"/>
              <w:jc w:val="right"/>
              <w:rPr>
                <w:rFonts w:ascii="Times New Roman" w:hAnsi="Times New Roman" w:cs="Times New Roman" w:eastAsia="Times New Roman" w:hint="default"/>
                <w:sz w:val="20"/>
                <w:szCs w:val="20"/>
              </w:rPr>
            </w:pPr>
            <w:r>
              <w:rPr>
                <w:rFonts w:ascii="Times New Roman"/>
                <w:spacing w:val="2"/>
                <w:w w:val="95"/>
                <w:sz w:val="20"/>
              </w:rPr>
              <w:t>520,000.00</w:t>
            </w:r>
            <w:r>
              <w:rPr>
                <w:rFonts w:ascii="Times New Roman"/>
                <w:sz w:val="20"/>
              </w:rPr>
            </w:r>
          </w:p>
        </w:tc>
        <w:tc>
          <w:tcPr>
            <w:tcW w:w="115"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6" w:space="0" w:color="000000"/>
              <w:right w:val="nil" w:sz="6" w:space="0" w:color="auto"/>
            </w:tcBorders>
          </w:tcPr>
          <w:p>
            <w:pPr>
              <w:pStyle w:val="TableParagraph"/>
              <w:spacing w:line="240" w:lineRule="auto" w:before="59"/>
              <w:ind w:right="92"/>
              <w:jc w:val="right"/>
              <w:rPr>
                <w:rFonts w:ascii="Times New Roman" w:hAnsi="Times New Roman" w:cs="Times New Roman" w:eastAsia="Times New Roman" w:hint="default"/>
                <w:sz w:val="20"/>
                <w:szCs w:val="20"/>
              </w:rPr>
            </w:pPr>
            <w:r>
              <w:rPr>
                <w:rFonts w:ascii="Times New Roman"/>
                <w:spacing w:val="2"/>
                <w:w w:val="95"/>
                <w:sz w:val="20"/>
              </w:rPr>
              <w:t>520,000.00</w:t>
            </w:r>
            <w:r>
              <w:rPr>
                <w:rFonts w:ascii="Times New Roman"/>
                <w:spacing w:val="2"/>
                <w:sz w:val="20"/>
              </w:rPr>
            </w:r>
          </w:p>
        </w:tc>
        <w:tc>
          <w:tcPr>
            <w:tcW w:w="1017" w:type="dxa"/>
            <w:tcBorders>
              <w:top w:val="nil" w:sz="6" w:space="0" w:color="auto"/>
              <w:left w:val="nil" w:sz="6" w:space="0" w:color="auto"/>
              <w:bottom w:val="single" w:sz="6" w:space="0" w:color="000000"/>
              <w:right w:val="nil" w:sz="6" w:space="0" w:color="auto"/>
            </w:tcBorders>
          </w:tcPr>
          <w:p>
            <w:pPr>
              <w:pStyle w:val="TableParagraph"/>
              <w:spacing w:line="240" w:lineRule="auto" w:before="59"/>
              <w:ind w:right="48"/>
              <w:jc w:val="right"/>
              <w:rPr>
                <w:rFonts w:ascii="Times New Roman" w:hAnsi="Times New Roman" w:cs="Times New Roman" w:eastAsia="Times New Roman" w:hint="default"/>
                <w:sz w:val="20"/>
                <w:szCs w:val="20"/>
              </w:rPr>
            </w:pPr>
            <w:r>
              <w:rPr>
                <w:rFonts w:ascii="Times New Roman"/>
                <w:sz w:val="20"/>
              </w:rPr>
              <w:t>3.73%</w:t>
            </w:r>
          </w:p>
        </w:tc>
        <w:tc>
          <w:tcPr>
            <w:tcW w:w="130"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single" w:sz="6" w:space="0" w:color="000000"/>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20"/>
                <w:szCs w:val="20"/>
              </w:rPr>
            </w:pPr>
            <w:r>
              <w:rPr>
                <w:rFonts w:ascii="Times New Roman"/>
                <w:sz w:val="20"/>
              </w:rPr>
              <w:t>520,000.00</w:t>
            </w:r>
          </w:p>
        </w:tc>
      </w:tr>
      <w:tr>
        <w:trPr>
          <w:trHeight w:val="397" w:hRule="exact"/>
        </w:trPr>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90"/>
              <w:jc w:val="righ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r>
          </w:p>
        </w:tc>
        <w:tc>
          <w:tcPr>
            <w:tcW w:w="1470"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0"/>
                <w:szCs w:val="20"/>
              </w:rPr>
            </w:pPr>
            <w:r>
              <w:rPr>
                <w:rFonts w:ascii="Times New Roman"/>
                <w:sz w:val="20"/>
              </w:rPr>
              <w:t>14,860,623.82</w:t>
            </w:r>
          </w:p>
        </w:tc>
        <w:tc>
          <w:tcPr>
            <w:tcW w:w="1038"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47"/>
              <w:jc w:val="right"/>
              <w:rPr>
                <w:rFonts w:ascii="Times New Roman" w:hAnsi="Times New Roman" w:cs="Times New Roman" w:eastAsia="Times New Roman" w:hint="default"/>
                <w:sz w:val="20"/>
                <w:szCs w:val="20"/>
              </w:rPr>
            </w:pPr>
            <w:r>
              <w:rPr>
                <w:rFonts w:ascii="Times New Roman"/>
                <w:sz w:val="20"/>
              </w:rPr>
              <w:t>100.00%</w:t>
            </w:r>
          </w:p>
        </w:tc>
        <w:tc>
          <w:tcPr>
            <w:tcW w:w="1529"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85"/>
              <w:jc w:val="right"/>
              <w:rPr>
                <w:rFonts w:ascii="Times New Roman" w:hAnsi="Times New Roman" w:cs="Times New Roman" w:eastAsia="Times New Roman" w:hint="default"/>
                <w:sz w:val="20"/>
                <w:szCs w:val="20"/>
              </w:rPr>
            </w:pPr>
            <w:r>
              <w:rPr>
                <w:rFonts w:ascii="Times New Roman"/>
                <w:sz w:val="20"/>
              </w:rPr>
              <w:t>2,040,011.26</w:t>
            </w:r>
          </w:p>
        </w:tc>
        <w:tc>
          <w:tcPr>
            <w:tcW w:w="115" w:type="dxa"/>
            <w:tcBorders>
              <w:top w:val="nil" w:sz="6" w:space="0" w:color="auto"/>
              <w:left w:val="nil" w:sz="6" w:space="0" w:color="auto"/>
              <w:bottom w:val="nil" w:sz="6" w:space="0" w:color="auto"/>
              <w:right w:val="nil" w:sz="6" w:space="0" w:color="auto"/>
            </w:tcBorders>
          </w:tcPr>
          <w:p>
            <w:pPr/>
          </w:p>
        </w:tc>
        <w:tc>
          <w:tcPr>
            <w:tcW w:w="1404"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92"/>
              <w:jc w:val="right"/>
              <w:rPr>
                <w:rFonts w:ascii="Times New Roman" w:hAnsi="Times New Roman" w:cs="Times New Roman" w:eastAsia="Times New Roman" w:hint="default"/>
                <w:sz w:val="20"/>
                <w:szCs w:val="20"/>
              </w:rPr>
            </w:pPr>
            <w:r>
              <w:rPr>
                <w:rFonts w:ascii="Times New Roman"/>
                <w:spacing w:val="2"/>
                <w:w w:val="95"/>
                <w:sz w:val="20"/>
              </w:rPr>
              <w:t>13,948,908.45</w:t>
            </w:r>
            <w:r>
              <w:rPr>
                <w:rFonts w:ascii="Times New Roman"/>
                <w:spacing w:val="2"/>
                <w:sz w:val="20"/>
              </w:rPr>
            </w:r>
          </w:p>
        </w:tc>
        <w:tc>
          <w:tcPr>
            <w:tcW w:w="1017"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20"/>
                <w:szCs w:val="20"/>
              </w:rPr>
            </w:pPr>
            <w:r>
              <w:rPr>
                <w:rFonts w:ascii="Times New Roman"/>
                <w:sz w:val="20"/>
              </w:rPr>
              <w:t>100.00%</w:t>
            </w:r>
          </w:p>
        </w:tc>
        <w:tc>
          <w:tcPr>
            <w:tcW w:w="130" w:type="dxa"/>
            <w:tcBorders>
              <w:top w:val="nil" w:sz="6" w:space="0" w:color="auto"/>
              <w:left w:val="nil" w:sz="6" w:space="0" w:color="auto"/>
              <w:bottom w:val="nil" w:sz="6" w:space="0" w:color="auto"/>
              <w:right w:val="nil" w:sz="6" w:space="0" w:color="auto"/>
            </w:tcBorders>
          </w:tcPr>
          <w:p>
            <w:pPr/>
          </w:p>
        </w:tc>
        <w:tc>
          <w:tcPr>
            <w:tcW w:w="1297" w:type="dxa"/>
            <w:tcBorders>
              <w:top w:val="single" w:sz="6" w:space="0" w:color="000000"/>
              <w:left w:val="nil" w:sz="6" w:space="0" w:color="auto"/>
              <w:bottom w:val="single" w:sz="6" w:space="0" w:color="000000"/>
              <w:right w:val="nil" w:sz="6" w:space="0" w:color="auto"/>
            </w:tcBorders>
          </w:tcPr>
          <w:p>
            <w:pPr>
              <w:pStyle w:val="TableParagraph"/>
              <w:spacing w:line="240" w:lineRule="auto" w:before="60"/>
              <w:ind w:right="98"/>
              <w:jc w:val="right"/>
              <w:rPr>
                <w:rFonts w:ascii="Times New Roman" w:hAnsi="Times New Roman" w:cs="Times New Roman" w:eastAsia="Times New Roman" w:hint="default"/>
                <w:sz w:val="20"/>
                <w:szCs w:val="20"/>
              </w:rPr>
            </w:pPr>
            <w:r>
              <w:rPr>
                <w:rFonts w:ascii="Times New Roman"/>
                <w:sz w:val="20"/>
              </w:rPr>
              <w:t>2,095,011.06</w:t>
            </w:r>
          </w:p>
        </w:tc>
      </w:tr>
    </w:tbl>
    <w:p>
      <w:pPr>
        <w:spacing w:after="0" w:line="240" w:lineRule="auto"/>
        <w:jc w:val="right"/>
        <w:rPr>
          <w:rFonts w:ascii="Times New Roman" w:hAnsi="Times New Roman" w:cs="Times New Roman" w:eastAsia="Times New Roman" w:hint="default"/>
          <w:sz w:val="20"/>
          <w:szCs w:val="20"/>
        </w:rPr>
        <w:sectPr>
          <w:pgSz w:w="11910" w:h="16840"/>
          <w:pgMar w:header="915" w:footer="1712" w:top="1100" w:bottom="1900" w:left="1660" w:right="740"/>
        </w:sectPr>
      </w:pPr>
    </w:p>
    <w:p>
      <w:pPr>
        <w:pStyle w:val="BodyText"/>
        <w:spacing w:line="240" w:lineRule="auto" w:before="24"/>
        <w:ind w:left="1035" w:right="-11"/>
        <w:jc w:val="left"/>
      </w:pPr>
      <w:r>
        <w:rPr/>
        <w:pict>
          <v:group style="position:absolute;margin-left:151.199997pt;margin-top:-2.513998pt;width:73.5pt;height:.1pt;mso-position-horizontal-relative:page;mso-position-vertical-relative:paragraph;z-index:-592648" coordorigin="3024,-50" coordsize="1470,2">
            <v:shape style="position:absolute;left:3024;top:-50;width:1470;height:2" coordorigin="3024,-50" coordsize="1470,0" path="m3024,-50l4494,-50e" filled="false" stroked="true" strokeweight="1.37990pt" strokecolor="#000000">
              <v:path arrowok="t"/>
            </v:shape>
            <w10:wrap type="none"/>
          </v:group>
        </w:pict>
      </w:r>
      <w:r>
        <w:rPr/>
        <w:pict>
          <v:group style="position:absolute;margin-left:229.020004pt;margin-top:-2.513998pt;width:47.6pt;height:.1pt;mso-position-horizontal-relative:page;mso-position-vertical-relative:paragraph;z-index:-592624" coordorigin="4580,-50" coordsize="952,2">
            <v:shape style="position:absolute;left:4580;top:-50;width:952;height:2" coordorigin="4580,-50" coordsize="952,0" path="m4580,-50l5532,-50e" filled="false" stroked="true" strokeweight="1.37990pt" strokecolor="#000000">
              <v:path arrowok="t"/>
            </v:shape>
            <w10:wrap type="none"/>
          </v:group>
        </w:pict>
      </w:r>
      <w:r>
        <w:rPr/>
        <w:pict>
          <v:group style="position:absolute;margin-left:280.920013pt;margin-top:-2.513998pt;width:72.150pt;height:.1pt;mso-position-horizontal-relative:page;mso-position-vertical-relative:paragraph;z-index:-592600" coordorigin="5618,-50" coordsize="1443,2">
            <v:shape style="position:absolute;left:5618;top:-50;width:1443;height:2" coordorigin="5618,-50" coordsize="1443,0" path="m5618,-50l7061,-50e" filled="false" stroked="true" strokeweight="1.37990pt" strokecolor="#000000">
              <v:path arrowok="t"/>
            </v:shape>
            <w10:wrap type="none"/>
          </v:group>
        </w:pict>
      </w:r>
      <w:r>
        <w:rPr/>
        <w:pict>
          <v:group style="position:absolute;margin-left:358.110046pt;margin-top:-3.203948pt;width:122.5pt;height:1.4pt;mso-position-horizontal-relative:page;mso-position-vertical-relative:paragraph;z-index:-592576" coordorigin="7162,-64" coordsize="2450,28">
            <v:group style="position:absolute;left:7176;top:-50;width:1398;height:2" coordorigin="7176,-50" coordsize="1398,2">
              <v:shape style="position:absolute;left:7176;top:-50;width:1398;height:2" coordorigin="7176,-50" coordsize="1398,0" path="m7176,-50l8574,-50e" filled="false" stroked="true" strokeweight="1.37990pt" strokecolor="#000000">
                <v:path arrowok="t"/>
              </v:shape>
            </v:group>
            <v:group style="position:absolute;left:8646;top:-50;width:952;height:2" coordorigin="8646,-50" coordsize="952,2">
              <v:shape style="position:absolute;left:8646;top:-50;width:952;height:2" coordorigin="8646,-50" coordsize="952,0" path="m8646,-50l9598,-50e" filled="false" stroked="true" strokeweight="1.37990pt" strokecolor="#000000">
                <v:path arrowok="t"/>
              </v:shape>
            </v:group>
            <w10:wrap type="none"/>
          </v:group>
        </w:pict>
      </w:r>
      <w:r>
        <w:rPr/>
        <w:pict>
          <v:group style="position:absolute;margin-left:486.359985pt;margin-top:-2.513998pt;width:64.9pt;height:.1pt;mso-position-horizontal-relative:page;mso-position-vertical-relative:paragraph;z-index:-592552" coordorigin="9727,-50" coordsize="1298,2">
            <v:shape style="position:absolute;left:9727;top:-50;width:1298;height:2" coordorigin="9727,-50" coordsize="1298,0" path="m9727,-50l11024,-50e" filled="false" stroked="true" strokeweight="1.37990pt" strokecolor="#000000">
              <v:path arrowok="t"/>
            </v:shape>
            <w10:wrap type="none"/>
          </v:group>
        </w:pict>
      </w:r>
      <w:r>
        <w:rPr/>
        <w:t>（3）其它应收款期末欠款前五名明细情况</w:t>
      </w:r>
    </w:p>
    <w:p>
      <w:pPr>
        <w:tabs>
          <w:tab w:pos="3553" w:val="left" w:leader="none"/>
          <w:tab w:pos="4643" w:val="left" w:leader="none"/>
        </w:tabs>
        <w:spacing w:line="185" w:lineRule="exact" w:before="95"/>
        <w:ind w:left="1084" w:right="-11" w:firstLine="0"/>
        <w:jc w:val="left"/>
        <w:rPr>
          <w:rFonts w:ascii="宋体" w:hAnsi="宋体" w:cs="宋体" w:eastAsia="宋体" w:hint="default"/>
          <w:sz w:val="20"/>
          <w:szCs w:val="20"/>
        </w:rPr>
      </w:pPr>
      <w:r>
        <w:rPr>
          <w:rFonts w:ascii="宋体" w:hAnsi="宋体" w:cs="宋体" w:eastAsia="宋体" w:hint="default"/>
          <w:position w:val="-11"/>
          <w:sz w:val="20"/>
          <w:szCs w:val="20"/>
        </w:rPr>
        <w:t>债务人名称</w:t>
        <w:tab/>
      </w:r>
      <w:r>
        <w:rPr>
          <w:rFonts w:ascii="宋体" w:hAnsi="宋体" w:cs="宋体" w:eastAsia="宋体" w:hint="default"/>
          <w:w w:val="95"/>
          <w:position w:val="-11"/>
          <w:sz w:val="20"/>
          <w:szCs w:val="20"/>
        </w:rPr>
        <w:t>金额</w:t>
        <w:tab/>
      </w:r>
      <w:r>
        <w:rPr>
          <w:rFonts w:ascii="宋体" w:hAnsi="宋体" w:cs="宋体" w:eastAsia="宋体" w:hint="default"/>
          <w:sz w:val="20"/>
          <w:szCs w:val="20"/>
        </w:rPr>
        <w:t>占其他应收款总额</w:t>
      </w:r>
    </w:p>
    <w:p>
      <w:pPr>
        <w:spacing w:line="240" w:lineRule="auto" w:before="0"/>
        <w:rPr>
          <w:rFonts w:ascii="宋体" w:hAnsi="宋体" w:cs="宋体" w:eastAsia="宋体" w:hint="default"/>
          <w:sz w:val="20"/>
          <w:szCs w:val="20"/>
        </w:rPr>
      </w:pPr>
      <w:r>
        <w:rPr/>
        <w:br w:type="column"/>
      </w:r>
      <w:r>
        <w:rPr>
          <w:rFonts w:ascii="宋体"/>
          <w:sz w:val="20"/>
        </w:rPr>
      </w:r>
    </w:p>
    <w:p>
      <w:pPr>
        <w:spacing w:line="185" w:lineRule="exact" w:before="172"/>
        <w:ind w:left="1035" w:right="0" w:firstLine="0"/>
        <w:jc w:val="left"/>
        <w:rPr>
          <w:rFonts w:ascii="宋体" w:hAnsi="宋体" w:cs="宋体" w:eastAsia="宋体" w:hint="default"/>
          <w:sz w:val="20"/>
          <w:szCs w:val="20"/>
        </w:rPr>
      </w:pPr>
      <w:r>
        <w:rPr>
          <w:rFonts w:ascii="宋体" w:hAnsi="宋体" w:cs="宋体" w:eastAsia="宋体" w:hint="default"/>
          <w:sz w:val="20"/>
          <w:szCs w:val="20"/>
        </w:rPr>
        <w:t>款项性质（或内</w:t>
      </w:r>
    </w:p>
    <w:p>
      <w:pPr>
        <w:spacing w:after="0" w:line="185" w:lineRule="exact"/>
        <w:jc w:val="left"/>
        <w:rPr>
          <w:rFonts w:ascii="宋体" w:hAnsi="宋体" w:cs="宋体" w:eastAsia="宋体" w:hint="default"/>
          <w:sz w:val="20"/>
          <w:szCs w:val="20"/>
        </w:rPr>
        <w:sectPr>
          <w:type w:val="continuous"/>
          <w:pgSz w:w="11910" w:h="16840"/>
          <w:pgMar w:top="1060" w:bottom="1460" w:left="1660" w:right="740"/>
          <w:cols w:num="2" w:equalWidth="0">
            <w:col w:w="6253" w:space="560"/>
            <w:col w:w="2697"/>
          </w:cols>
        </w:sectPr>
      </w:pPr>
    </w:p>
    <w:p>
      <w:pPr>
        <w:tabs>
          <w:tab w:pos="4354" w:val="left" w:leader="none"/>
          <w:tab w:pos="5095" w:val="left" w:leader="none"/>
          <w:tab w:pos="6297" w:val="left" w:leader="none"/>
          <w:tab w:pos="6797" w:val="left" w:leader="none"/>
          <w:tab w:pos="8301" w:val="left" w:leader="none"/>
        </w:tabs>
        <w:spacing w:line="324" w:lineRule="exact" w:before="0"/>
        <w:ind w:left="3140" w:right="627" w:firstLine="0"/>
        <w:jc w:val="left"/>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409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pict>
          <v:group style="position:absolute;margin-left:403.980011pt;margin-top:16.854979pt;width:148.5pt;height:1pt;mso-position-horizontal-relative:page;mso-position-vertical-relative:paragraph;z-index:-592528" coordorigin="8080,337" coordsize="2970,20">
            <v:group style="position:absolute;left:8088;top:338;width:1126;height:2" coordorigin="8088,338" coordsize="1126,2">
              <v:shape style="position:absolute;left:8088;top:338;width:1126;height:2" coordorigin="8088,338" coordsize="1126,0" path="m8088,338l9214,338e" filled="false" stroked="true" strokeweight=".06pt" strokecolor="#000000">
                <v:path arrowok="t"/>
              </v:shape>
            </v:group>
            <v:group style="position:absolute;left:8089;top:347;width:1125;height:2" coordorigin="8089,347" coordsize="1125,2">
              <v:shape style="position:absolute;left:8089;top:347;width:1125;height:2" coordorigin="8089,347" coordsize="1125,0" path="m8089,347l9214,347e" filled="false" stroked="true" strokeweight=".95996pt" strokecolor="#000000">
                <v:path arrowok="t"/>
              </v:shape>
            </v:group>
            <v:group style="position:absolute;left:9271;top:338;width:1769;height:2" coordorigin="9271,338" coordsize="1769,2">
              <v:shape style="position:absolute;left:9271;top:338;width:1769;height:2" coordorigin="9271,338" coordsize="1769,0" path="m9271,338l11040,338e" filled="false" stroked="true" strokeweight=".06pt" strokecolor="#000000">
                <v:path arrowok="t"/>
              </v:shape>
            </v:group>
            <v:group style="position:absolute;left:9271;top:347;width:1769;height:2" coordorigin="9271,347" coordsize="1769,2">
              <v:shape style="position:absolute;left:9271;top:347;width:1769;height:2" coordorigin="9271,347" coordsize="1769,0" path="m9271,347l11040,347e" filled="false" stroked="true" strokeweight=".95996pt" strokecolor="#000000">
                <v:path arrowok="t"/>
              </v:shape>
            </v:group>
            <w10:wrap type="none"/>
          </v:group>
        </w:pict>
      </w: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20"/>
          <w:sz w:val="20"/>
          <w:szCs w:val="20"/>
        </w:rPr>
        <w:t> </w:t>
      </w:r>
      <w:r>
        <w:rPr>
          <w:rFonts w:ascii="Times New Roman" w:hAnsi="Times New Roman" w:cs="Times New Roman" w:eastAsia="Times New Roman" w:hint="default"/>
          <w:spacing w:val="-20"/>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w w:val="95"/>
          <w:sz w:val="20"/>
          <w:szCs w:val="20"/>
          <w:u w:val="single" w:color="000000"/>
        </w:rPr>
        <w:t>的比例</w:t>
        <w:tab/>
      </w:r>
      <w:r>
        <w:rPr>
          <w:rFonts w:ascii="宋体" w:hAnsi="宋体" w:cs="宋体" w:eastAsia="宋体" w:hint="default"/>
          <w:w w:val="95"/>
          <w:sz w:val="20"/>
          <w:szCs w:val="20"/>
        </w:rPr>
        <w:tab/>
      </w:r>
      <w:r>
        <w:rPr>
          <w:rFonts w:ascii="宋体" w:hAnsi="宋体" w:cs="宋体" w:eastAsia="宋体" w:hint="default"/>
          <w:w w:val="95"/>
          <w:position w:val="12"/>
          <w:sz w:val="20"/>
          <w:szCs w:val="20"/>
        </w:rPr>
        <w:t>账龄</w:t>
        <w:tab/>
      </w:r>
      <w:r>
        <w:rPr>
          <w:rFonts w:ascii="宋体" w:hAnsi="宋体" w:cs="宋体" w:eastAsia="宋体" w:hint="default"/>
          <w:sz w:val="20"/>
          <w:szCs w:val="20"/>
        </w:rPr>
        <w:t>容）</w:t>
      </w:r>
    </w:p>
    <w:tbl>
      <w:tblPr>
        <w:tblW w:w="0" w:type="auto"/>
        <w:jc w:val="left"/>
        <w:tblInd w:w="148" w:type="dxa"/>
        <w:tblLayout w:type="fixed"/>
        <w:tblCellMar>
          <w:top w:w="0" w:type="dxa"/>
          <w:left w:w="0" w:type="dxa"/>
          <w:bottom w:w="0" w:type="dxa"/>
          <w:right w:w="0" w:type="dxa"/>
        </w:tblCellMar>
        <w:tblLook w:val="01E0"/>
      </w:tblPr>
      <w:tblGrid>
        <w:gridCol w:w="2861"/>
        <w:gridCol w:w="131"/>
        <w:gridCol w:w="1214"/>
        <w:gridCol w:w="131"/>
        <w:gridCol w:w="1812"/>
        <w:gridCol w:w="131"/>
        <w:gridCol w:w="1080"/>
        <w:gridCol w:w="1680"/>
      </w:tblGrid>
      <w:tr>
        <w:trPr>
          <w:trHeight w:val="364" w:hRule="exact"/>
        </w:trPr>
        <w:tc>
          <w:tcPr>
            <w:tcW w:w="2861" w:type="dxa"/>
            <w:tcBorders>
              <w:top w:val="single" w:sz="8" w:space="0" w:color="000000"/>
              <w:left w:val="nil" w:sz="6" w:space="0" w:color="auto"/>
              <w:bottom w:val="nil" w:sz="6" w:space="0" w:color="auto"/>
              <w:right w:val="nil" w:sz="6" w:space="0" w:color="auto"/>
            </w:tcBorders>
          </w:tcPr>
          <w:p>
            <w:pPr>
              <w:pStyle w:val="TableParagraph"/>
              <w:spacing w:line="240" w:lineRule="auto" w:before="18"/>
              <w:ind w:left="36" w:right="0"/>
              <w:jc w:val="left"/>
              <w:rPr>
                <w:rFonts w:ascii="宋体" w:hAnsi="宋体" w:cs="宋体" w:eastAsia="宋体" w:hint="default"/>
                <w:sz w:val="20"/>
                <w:szCs w:val="20"/>
              </w:rPr>
            </w:pPr>
            <w:r>
              <w:rPr>
                <w:rFonts w:ascii="宋体" w:hAnsi="宋体" w:cs="宋体" w:eastAsia="宋体" w:hint="default"/>
                <w:sz w:val="20"/>
                <w:szCs w:val="20"/>
              </w:rPr>
              <w:t>遥墙镇政府土地款</w:t>
            </w:r>
          </w:p>
        </w:tc>
        <w:tc>
          <w:tcPr>
            <w:tcW w:w="131"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6"/>
              <w:jc w:val="right"/>
              <w:rPr>
                <w:rFonts w:ascii="Times New Roman" w:hAnsi="Times New Roman" w:cs="Times New Roman" w:eastAsia="Times New Roman" w:hint="default"/>
                <w:sz w:val="20"/>
                <w:szCs w:val="20"/>
              </w:rPr>
            </w:pPr>
            <w:r>
              <w:rPr>
                <w:rFonts w:ascii="Times New Roman"/>
                <w:sz w:val="20"/>
              </w:rPr>
              <w:t>6,186,662.75</w:t>
            </w:r>
          </w:p>
        </w:tc>
        <w:tc>
          <w:tcPr>
            <w:tcW w:w="131"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20"/>
                <w:szCs w:val="20"/>
              </w:rPr>
            </w:pPr>
            <w:r>
              <w:rPr>
                <w:rFonts w:ascii="Times New Roman"/>
                <w:sz w:val="20"/>
              </w:rPr>
              <w:t>41.63%</w:t>
            </w:r>
          </w:p>
        </w:tc>
        <w:tc>
          <w:tcPr>
            <w:tcW w:w="131"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38" w:right="0"/>
              <w:jc w:val="left"/>
              <w:rPr>
                <w:rFonts w:ascii="宋体" w:hAnsi="宋体" w:cs="宋体" w:eastAsia="宋体" w:hint="default"/>
                <w:sz w:val="20"/>
                <w:szCs w:val="20"/>
              </w:rPr>
            </w:pPr>
            <w:r>
              <w:rPr>
                <w:rFonts w:ascii="宋体" w:hAnsi="宋体" w:cs="宋体" w:eastAsia="宋体" w:hint="default"/>
                <w:sz w:val="20"/>
                <w:szCs w:val="20"/>
              </w:rPr>
              <w:t>2-3年</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40" w:right="0"/>
              <w:jc w:val="left"/>
              <w:rPr>
                <w:rFonts w:ascii="宋体" w:hAnsi="宋体" w:cs="宋体" w:eastAsia="宋体" w:hint="default"/>
                <w:sz w:val="20"/>
                <w:szCs w:val="20"/>
              </w:rPr>
            </w:pPr>
            <w:r>
              <w:rPr>
                <w:rFonts w:ascii="宋体" w:hAnsi="宋体" w:cs="宋体" w:eastAsia="宋体" w:hint="default"/>
                <w:sz w:val="20"/>
                <w:szCs w:val="20"/>
              </w:rPr>
              <w:t>土地款</w:t>
            </w:r>
          </w:p>
        </w:tc>
      </w:tr>
      <w:tr>
        <w:trPr>
          <w:trHeight w:val="352"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6" w:right="0"/>
              <w:jc w:val="left"/>
              <w:rPr>
                <w:rFonts w:ascii="宋体" w:hAnsi="宋体" w:cs="宋体" w:eastAsia="宋体" w:hint="default"/>
                <w:sz w:val="20"/>
                <w:szCs w:val="20"/>
              </w:rPr>
            </w:pPr>
            <w:r>
              <w:rPr>
                <w:rFonts w:ascii="宋体" w:hAnsi="宋体" w:cs="宋体" w:eastAsia="宋体" w:hint="default"/>
                <w:sz w:val="20"/>
                <w:szCs w:val="20"/>
              </w:rPr>
              <w:t>大连跃达冷水机组款</w:t>
            </w:r>
          </w:p>
        </w:tc>
        <w:tc>
          <w:tcPr>
            <w:tcW w:w="131"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6"/>
              <w:jc w:val="right"/>
              <w:rPr>
                <w:rFonts w:ascii="Times New Roman" w:hAnsi="Times New Roman" w:cs="Times New Roman" w:eastAsia="Times New Roman" w:hint="default"/>
                <w:sz w:val="20"/>
                <w:szCs w:val="20"/>
              </w:rPr>
            </w:pPr>
            <w:r>
              <w:rPr>
                <w:rFonts w:ascii="Times New Roman"/>
                <w:sz w:val="20"/>
              </w:rPr>
              <w:t>1,296,000.00</w:t>
            </w:r>
          </w:p>
        </w:tc>
        <w:tc>
          <w:tcPr>
            <w:tcW w:w="131"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20"/>
                <w:szCs w:val="20"/>
              </w:rPr>
            </w:pPr>
            <w:r>
              <w:rPr>
                <w:rFonts w:ascii="Times New Roman"/>
                <w:sz w:val="20"/>
              </w:rPr>
              <w:t>8.72%</w:t>
            </w:r>
          </w:p>
        </w:tc>
        <w:tc>
          <w:tcPr>
            <w:tcW w:w="131"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8" w:right="0"/>
              <w:jc w:val="left"/>
              <w:rPr>
                <w:rFonts w:ascii="宋体" w:hAnsi="宋体" w:cs="宋体" w:eastAsia="宋体" w:hint="default"/>
                <w:sz w:val="20"/>
                <w:szCs w:val="20"/>
              </w:rPr>
            </w:pPr>
            <w:r>
              <w:rPr>
                <w:rFonts w:ascii="宋体" w:hAnsi="宋体" w:cs="宋体" w:eastAsia="宋体" w:hint="default"/>
                <w:sz w:val="20"/>
                <w:szCs w:val="20"/>
              </w:rPr>
              <w:t>1-2年</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40" w:right="0"/>
              <w:jc w:val="left"/>
              <w:rPr>
                <w:rFonts w:ascii="宋体" w:hAnsi="宋体" w:cs="宋体" w:eastAsia="宋体" w:hint="default"/>
                <w:sz w:val="20"/>
                <w:szCs w:val="20"/>
              </w:rPr>
            </w:pPr>
            <w:r>
              <w:rPr>
                <w:rFonts w:ascii="宋体" w:hAnsi="宋体" w:cs="宋体" w:eastAsia="宋体" w:hint="default"/>
                <w:sz w:val="20"/>
                <w:szCs w:val="20"/>
              </w:rPr>
              <w:t>货款</w:t>
            </w:r>
          </w:p>
        </w:tc>
      </w:tr>
      <w:tr>
        <w:trPr>
          <w:trHeight w:val="352"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6" w:right="0"/>
              <w:jc w:val="left"/>
              <w:rPr>
                <w:rFonts w:ascii="宋体" w:hAnsi="宋体" w:cs="宋体" w:eastAsia="宋体" w:hint="default"/>
                <w:sz w:val="20"/>
                <w:szCs w:val="20"/>
              </w:rPr>
            </w:pPr>
            <w:r>
              <w:rPr>
                <w:rFonts w:ascii="宋体" w:hAnsi="宋体" w:cs="宋体" w:eastAsia="宋体" w:hint="default"/>
                <w:sz w:val="20"/>
                <w:szCs w:val="20"/>
              </w:rPr>
              <w:t>济南市建委劳务工资保证金</w:t>
            </w:r>
          </w:p>
        </w:tc>
        <w:tc>
          <w:tcPr>
            <w:tcW w:w="131"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6"/>
              <w:jc w:val="right"/>
              <w:rPr>
                <w:rFonts w:ascii="Times New Roman" w:hAnsi="Times New Roman" w:cs="Times New Roman" w:eastAsia="Times New Roman" w:hint="default"/>
                <w:sz w:val="20"/>
                <w:szCs w:val="20"/>
              </w:rPr>
            </w:pPr>
            <w:r>
              <w:rPr>
                <w:rFonts w:ascii="Times New Roman"/>
                <w:sz w:val="20"/>
              </w:rPr>
              <w:t>931,000.00</w:t>
            </w:r>
          </w:p>
        </w:tc>
        <w:tc>
          <w:tcPr>
            <w:tcW w:w="131"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20"/>
                <w:szCs w:val="20"/>
              </w:rPr>
            </w:pPr>
            <w:r>
              <w:rPr>
                <w:rFonts w:ascii="Times New Roman"/>
                <w:sz w:val="20"/>
              </w:rPr>
              <w:t>6.26%</w:t>
            </w:r>
          </w:p>
        </w:tc>
        <w:tc>
          <w:tcPr>
            <w:tcW w:w="131"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38" w:right="0"/>
              <w:jc w:val="left"/>
              <w:rPr>
                <w:rFonts w:ascii="宋体" w:hAnsi="宋体" w:cs="宋体" w:eastAsia="宋体" w:hint="default"/>
                <w:sz w:val="20"/>
                <w:szCs w:val="20"/>
              </w:rPr>
            </w:pPr>
            <w:r>
              <w:rPr>
                <w:rFonts w:ascii="宋体" w:hAnsi="宋体" w:cs="宋体" w:eastAsia="宋体" w:hint="default"/>
                <w:sz w:val="20"/>
                <w:szCs w:val="20"/>
              </w:rPr>
              <w:t>1年以内</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0" w:right="0"/>
              <w:jc w:val="left"/>
              <w:rPr>
                <w:rFonts w:ascii="宋体" w:hAnsi="宋体" w:cs="宋体" w:eastAsia="宋体" w:hint="default"/>
                <w:sz w:val="20"/>
                <w:szCs w:val="20"/>
              </w:rPr>
            </w:pPr>
            <w:r>
              <w:rPr>
                <w:rFonts w:ascii="宋体" w:hAnsi="宋体" w:cs="宋体" w:eastAsia="宋体" w:hint="default"/>
                <w:sz w:val="20"/>
                <w:szCs w:val="20"/>
              </w:rPr>
              <w:t>劳务工资保证金</w:t>
            </w:r>
          </w:p>
        </w:tc>
      </w:tr>
      <w:tr>
        <w:trPr>
          <w:trHeight w:val="352"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6" w:right="0"/>
              <w:jc w:val="left"/>
              <w:rPr>
                <w:rFonts w:ascii="宋体" w:hAnsi="宋体" w:cs="宋体" w:eastAsia="宋体" w:hint="default"/>
                <w:sz w:val="20"/>
                <w:szCs w:val="20"/>
              </w:rPr>
            </w:pPr>
            <w:r>
              <w:rPr>
                <w:rFonts w:ascii="宋体" w:hAnsi="宋体" w:cs="宋体" w:eastAsia="宋体" w:hint="default"/>
                <w:sz w:val="20"/>
                <w:szCs w:val="20"/>
              </w:rPr>
              <w:t>北京市地税局</w:t>
            </w:r>
          </w:p>
        </w:tc>
        <w:tc>
          <w:tcPr>
            <w:tcW w:w="131"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6"/>
              <w:jc w:val="right"/>
              <w:rPr>
                <w:rFonts w:ascii="Times New Roman" w:hAnsi="Times New Roman" w:cs="Times New Roman" w:eastAsia="Times New Roman" w:hint="default"/>
                <w:sz w:val="20"/>
                <w:szCs w:val="20"/>
              </w:rPr>
            </w:pPr>
            <w:r>
              <w:rPr>
                <w:rFonts w:ascii="Times New Roman"/>
                <w:sz w:val="20"/>
              </w:rPr>
              <w:t>500,000.00</w:t>
            </w:r>
          </w:p>
        </w:tc>
        <w:tc>
          <w:tcPr>
            <w:tcW w:w="131"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4"/>
              <w:jc w:val="right"/>
              <w:rPr>
                <w:rFonts w:ascii="Times New Roman" w:hAnsi="Times New Roman" w:cs="Times New Roman" w:eastAsia="Times New Roman" w:hint="default"/>
                <w:sz w:val="20"/>
                <w:szCs w:val="20"/>
              </w:rPr>
            </w:pPr>
            <w:r>
              <w:rPr>
                <w:rFonts w:ascii="Times New Roman"/>
                <w:sz w:val="20"/>
              </w:rPr>
              <w:t>3.36%</w:t>
            </w:r>
          </w:p>
        </w:tc>
        <w:tc>
          <w:tcPr>
            <w:tcW w:w="131"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8" w:right="0"/>
              <w:jc w:val="left"/>
              <w:rPr>
                <w:rFonts w:ascii="宋体" w:hAnsi="宋体" w:cs="宋体" w:eastAsia="宋体" w:hint="default"/>
                <w:sz w:val="20"/>
                <w:szCs w:val="20"/>
              </w:rPr>
            </w:pPr>
            <w:r>
              <w:rPr>
                <w:rFonts w:ascii="宋体" w:hAnsi="宋体" w:cs="宋体" w:eastAsia="宋体" w:hint="default"/>
                <w:sz w:val="20"/>
                <w:szCs w:val="20"/>
              </w:rPr>
              <w:t>1年以内</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40" w:right="0"/>
              <w:jc w:val="left"/>
              <w:rPr>
                <w:rFonts w:ascii="宋体" w:hAnsi="宋体" w:cs="宋体" w:eastAsia="宋体" w:hint="default"/>
                <w:sz w:val="20"/>
                <w:szCs w:val="20"/>
              </w:rPr>
            </w:pPr>
            <w:r>
              <w:rPr>
                <w:rFonts w:ascii="宋体" w:hAnsi="宋体" w:cs="宋体" w:eastAsia="宋体" w:hint="default"/>
                <w:sz w:val="20"/>
                <w:szCs w:val="20"/>
              </w:rPr>
              <w:t>暂扣款</w:t>
            </w:r>
          </w:p>
        </w:tc>
      </w:tr>
      <w:tr>
        <w:trPr>
          <w:trHeight w:val="341"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6" w:right="0"/>
              <w:jc w:val="left"/>
              <w:rPr>
                <w:rFonts w:ascii="宋体" w:hAnsi="宋体" w:cs="宋体" w:eastAsia="宋体" w:hint="default"/>
                <w:sz w:val="20"/>
                <w:szCs w:val="20"/>
              </w:rPr>
            </w:pPr>
            <w:r>
              <w:rPr>
                <w:rFonts w:ascii="宋体" w:hAnsi="宋体" w:cs="宋体" w:eastAsia="宋体" w:hint="default"/>
                <w:sz w:val="20"/>
                <w:szCs w:val="20"/>
              </w:rPr>
              <w:t>河南省公安厅二处</w:t>
            </w:r>
          </w:p>
        </w:tc>
        <w:tc>
          <w:tcPr>
            <w:tcW w:w="131"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86"/>
              <w:jc w:val="right"/>
              <w:rPr>
                <w:rFonts w:ascii="Times New Roman" w:hAnsi="Times New Roman" w:cs="Times New Roman" w:eastAsia="Times New Roman" w:hint="default"/>
                <w:sz w:val="20"/>
                <w:szCs w:val="20"/>
              </w:rPr>
            </w:pPr>
            <w:r>
              <w:rPr>
                <w:rFonts w:ascii="Times New Roman"/>
                <w:sz w:val="20"/>
              </w:rPr>
              <w:t>520,000.00</w:t>
            </w:r>
          </w:p>
        </w:tc>
        <w:tc>
          <w:tcPr>
            <w:tcW w:w="131"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34"/>
              <w:jc w:val="right"/>
              <w:rPr>
                <w:rFonts w:ascii="Times New Roman" w:hAnsi="Times New Roman" w:cs="Times New Roman" w:eastAsia="Times New Roman" w:hint="default"/>
                <w:sz w:val="20"/>
                <w:szCs w:val="20"/>
              </w:rPr>
            </w:pPr>
            <w:r>
              <w:rPr>
                <w:rFonts w:ascii="Times New Roman"/>
                <w:sz w:val="20"/>
              </w:rPr>
              <w:t>3.50%</w:t>
            </w:r>
          </w:p>
        </w:tc>
        <w:tc>
          <w:tcPr>
            <w:tcW w:w="131"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38" w:right="0"/>
              <w:jc w:val="left"/>
              <w:rPr>
                <w:rFonts w:ascii="宋体" w:hAnsi="宋体" w:cs="宋体" w:eastAsia="宋体" w:hint="default"/>
                <w:sz w:val="20"/>
                <w:szCs w:val="20"/>
              </w:rPr>
            </w:pPr>
            <w:r>
              <w:rPr>
                <w:rFonts w:ascii="宋体" w:hAnsi="宋体" w:cs="宋体" w:eastAsia="宋体" w:hint="default"/>
                <w:sz w:val="20"/>
                <w:szCs w:val="20"/>
              </w:rPr>
              <w:t>5年以上</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0" w:right="0"/>
              <w:jc w:val="left"/>
              <w:rPr>
                <w:rFonts w:ascii="宋体" w:hAnsi="宋体" w:cs="宋体" w:eastAsia="宋体" w:hint="default"/>
                <w:sz w:val="20"/>
                <w:szCs w:val="20"/>
              </w:rPr>
            </w:pPr>
            <w:r>
              <w:rPr>
                <w:rFonts w:ascii="宋体" w:hAnsi="宋体" w:cs="宋体" w:eastAsia="宋体" w:hint="default"/>
                <w:sz w:val="20"/>
                <w:szCs w:val="20"/>
              </w:rPr>
              <w:t>投标保证金</w:t>
            </w:r>
          </w:p>
        </w:tc>
      </w:tr>
      <w:tr>
        <w:trPr>
          <w:trHeight w:val="372" w:hRule="exact"/>
        </w:trPr>
        <w:tc>
          <w:tcPr>
            <w:tcW w:w="2861"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29"/>
              <w:ind w:left="14"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31" w:type="dxa"/>
            <w:tcBorders>
              <w:top w:val="nil" w:sz="6" w:space="0" w:color="auto"/>
              <w:left w:val="nil" w:sz="6" w:space="0" w:color="auto"/>
              <w:bottom w:val="nil" w:sz="6" w:space="0" w:color="auto"/>
              <w:right w:val="nil" w:sz="6" w:space="0" w:color="auto"/>
            </w:tcBorders>
          </w:tcPr>
          <w:p>
            <w:pPr/>
          </w:p>
        </w:tc>
        <w:tc>
          <w:tcPr>
            <w:tcW w:w="1214" w:type="dxa"/>
            <w:tcBorders>
              <w:top w:val="single" w:sz="8" w:space="0" w:color="000000"/>
              <w:left w:val="nil" w:sz="6" w:space="0" w:color="auto"/>
              <w:bottom w:val="single" w:sz="8" w:space="0" w:color="000000"/>
              <w:right w:val="nil" w:sz="6" w:space="0" w:color="auto"/>
            </w:tcBorders>
          </w:tcPr>
          <w:p>
            <w:pPr>
              <w:pStyle w:val="TableParagraph"/>
              <w:spacing w:line="240" w:lineRule="auto" w:before="48"/>
              <w:ind w:right="86"/>
              <w:jc w:val="right"/>
              <w:rPr>
                <w:rFonts w:ascii="Times New Roman" w:hAnsi="Times New Roman" w:cs="Times New Roman" w:eastAsia="Times New Roman" w:hint="default"/>
                <w:sz w:val="20"/>
                <w:szCs w:val="20"/>
              </w:rPr>
            </w:pPr>
            <w:r>
              <w:rPr>
                <w:rFonts w:ascii="Times New Roman"/>
                <w:sz w:val="20"/>
              </w:rPr>
              <w:t>9,433,662.75</w:t>
            </w:r>
          </w:p>
        </w:tc>
        <w:tc>
          <w:tcPr>
            <w:tcW w:w="131" w:type="dxa"/>
            <w:tcBorders>
              <w:top w:val="nil" w:sz="6" w:space="0" w:color="auto"/>
              <w:left w:val="nil" w:sz="6" w:space="0" w:color="auto"/>
              <w:bottom w:val="nil" w:sz="6" w:space="0" w:color="auto"/>
              <w:right w:val="nil" w:sz="6" w:space="0" w:color="auto"/>
            </w:tcBorders>
          </w:tcPr>
          <w:p>
            <w:pPr/>
          </w:p>
        </w:tc>
        <w:tc>
          <w:tcPr>
            <w:tcW w:w="1812" w:type="dxa"/>
            <w:tcBorders>
              <w:top w:val="single" w:sz="8" w:space="0" w:color="000000"/>
              <w:left w:val="nil" w:sz="6" w:space="0" w:color="auto"/>
              <w:bottom w:val="single" w:sz="8" w:space="0" w:color="000000"/>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20"/>
                <w:szCs w:val="20"/>
              </w:rPr>
            </w:pPr>
            <w:r>
              <w:rPr>
                <w:rFonts w:ascii="Times New Roman"/>
                <w:sz w:val="20"/>
              </w:rPr>
              <w:t>63.48%</w:t>
            </w:r>
          </w:p>
        </w:tc>
        <w:tc>
          <w:tcPr>
            <w:tcW w:w="131"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36" w:lineRule="auto" w:before="27"/>
        <w:ind w:right="627" w:firstLine="480"/>
        <w:jc w:val="left"/>
      </w:pPr>
      <w:r>
        <w:rPr/>
        <w:pict>
          <v:group style="position:absolute;margin-left:240pt;margin-top:-25.734058pt;width:60.75pt;height:.1pt;mso-position-horizontal-relative:page;mso-position-vertical-relative:paragraph;z-index:-592504" coordorigin="4800,-515" coordsize="1215,2">
            <v:shape style="position:absolute;left:4800;top:-515;width:1215;height:2" coordorigin="4800,-515" coordsize="1215,0" path="m4800,-515l6014,-515e" filled="false" stroked="true" strokeweight=".95999pt" strokecolor="#000000">
              <v:path arrowok="t"/>
            </v:shape>
            <w10:wrap type="none"/>
          </v:group>
        </w:pict>
      </w:r>
      <w:r>
        <w:rPr/>
        <w:pict>
          <v:group style="position:absolute;margin-left:307.260010pt;margin-top:-25.734058pt;width:90.6pt;height:.1pt;mso-position-horizontal-relative:page;mso-position-vertical-relative:paragraph;z-index:-592480" coordorigin="6145,-515" coordsize="1812,2">
            <v:shape style="position:absolute;left:6145;top:-515;width:1812;height:2" coordorigin="6145,-515" coordsize="1812,0" path="m6145,-515l7957,-515e" filled="false" stroked="true" strokeweight=".95999pt" strokecolor="#000000">
              <v:path arrowok="t"/>
            </v:shape>
            <w10:wrap type="none"/>
          </v:group>
        </w:pict>
      </w:r>
      <w:r>
        <w:rPr>
          <w:spacing w:val="-15"/>
        </w:rPr>
        <w:t>（4）其它应收款年末数中无持本公司</w:t>
      </w:r>
      <w:r>
        <w:rPr>
          <w:spacing w:val="-59"/>
        </w:rPr>
        <w:t> </w:t>
      </w:r>
      <w:r>
        <w:rPr>
          <w:spacing w:val="-15"/>
        </w:rPr>
        <w:t>5%（含</w:t>
      </w:r>
      <w:r>
        <w:rPr>
          <w:spacing w:val="-57"/>
        </w:rPr>
        <w:t> </w:t>
      </w:r>
      <w:r>
        <w:rPr>
          <w:spacing w:val="-19"/>
        </w:rPr>
        <w:t>5%）以上有表决权股份的股东单位</w:t>
      </w:r>
      <w:r>
        <w:rPr>
          <w:spacing w:val="-18"/>
          <w:w w:val="100"/>
        </w:rPr>
        <w:t> </w:t>
      </w:r>
      <w:r>
        <w:rPr>
          <w:spacing w:val="-18"/>
        </w:rPr>
        <w:t>欠款。</w:t>
      </w:r>
      <w:r>
        <w:rPr/>
      </w:r>
    </w:p>
    <w:p>
      <w:pPr>
        <w:pStyle w:val="BodyText"/>
        <w:spacing w:line="240" w:lineRule="auto"/>
        <w:ind w:left="617" w:right="627"/>
        <w:jc w:val="left"/>
      </w:pPr>
      <w:r>
        <w:rPr>
          <w:spacing w:val="6"/>
        </w:rPr>
        <w:t>（5）截至 </w:t>
      </w:r>
      <w:r>
        <w:rPr/>
        <w:t>2007 年 12 月 31</w:t>
      </w:r>
      <w:r>
        <w:rPr>
          <w:spacing w:val="95"/>
        </w:rPr>
        <w:t> </w:t>
      </w:r>
      <w:r>
        <w:rPr>
          <w:spacing w:val="7"/>
        </w:rPr>
        <w:t>日，本公司应收河南省公安厅二处暂扣款</w:t>
      </w:r>
    </w:p>
    <w:p>
      <w:pPr>
        <w:pStyle w:val="BodyText"/>
        <w:spacing w:line="336" w:lineRule="auto" w:before="125"/>
        <w:ind w:right="627"/>
        <w:jc w:val="left"/>
      </w:pPr>
      <w:r>
        <w:rPr/>
        <w:t>520,000.00</w:t>
      </w:r>
      <w:r>
        <w:rPr>
          <w:spacing w:val="1"/>
        </w:rPr>
        <w:t> </w:t>
      </w:r>
      <w:r>
        <w:rPr/>
        <w:t>元，账龄已逾五年，收回可能极小，本公司对此款项全额计提坏账</w:t>
      </w:r>
      <w:r>
        <w:rPr>
          <w:w w:val="100"/>
        </w:rPr>
        <w:t> </w:t>
      </w:r>
      <w:r>
        <w:rPr>
          <w:spacing w:val="-2"/>
        </w:rPr>
        <w:t>准备。</w:t>
      </w:r>
      <w:r>
        <w:rPr/>
      </w:r>
    </w:p>
    <w:p>
      <w:pPr>
        <w:pStyle w:val="BodyText"/>
        <w:spacing w:line="336" w:lineRule="auto"/>
        <w:ind w:right="1039" w:firstLine="480"/>
        <w:jc w:val="left"/>
      </w:pPr>
      <w:r>
        <w:rPr/>
        <w:t>本公司预付大连跃达制冷空调工程有限公司济南分公司（以下简称“该公</w:t>
      </w:r>
      <w:r>
        <w:rPr>
          <w:spacing w:val="3"/>
          <w:w w:val="100"/>
        </w:rPr>
        <w:t> </w:t>
      </w:r>
      <w:r>
        <w:rPr>
          <w:spacing w:val="-26"/>
          <w:w w:val="100"/>
        </w:rPr>
        <w:t>司”）设备款</w:t>
      </w:r>
      <w:r>
        <w:rPr>
          <w:spacing w:val="-57"/>
          <w:w w:val="100"/>
        </w:rPr>
        <w:t> </w:t>
      </w:r>
      <w:r>
        <w:rPr>
          <w:spacing w:val="-1"/>
          <w:w w:val="100"/>
        </w:rPr>
        <w:t>1,296,000.00</w:t>
      </w:r>
      <w:r>
        <w:rPr>
          <w:spacing w:val="-56"/>
          <w:w w:val="100"/>
        </w:rPr>
        <w:t> </w:t>
      </w:r>
      <w:r>
        <w:rPr>
          <w:spacing w:val="-4"/>
          <w:w w:val="100"/>
        </w:rPr>
        <w:t>元购买制冷机组，该公司一直未交付设备，本公司根</w:t>
      </w:r>
      <w:r>
        <w:rPr>
          <w:w w:val="100"/>
        </w:rPr>
      </w:r>
    </w:p>
    <w:p>
      <w:pPr>
        <w:pStyle w:val="BodyText"/>
        <w:spacing w:line="336" w:lineRule="auto"/>
        <w:ind w:right="627"/>
        <w:jc w:val="left"/>
      </w:pPr>
      <w:r>
        <w:rPr/>
        <w:t>据预计的可回收性，对此款项计提了 50%的坏账准备，计提金额为 648,000.00</w:t>
      </w:r>
      <w:r>
        <w:rPr>
          <w:spacing w:val="-1"/>
          <w:w w:val="100"/>
        </w:rPr>
        <w:t> </w:t>
      </w:r>
      <w:r>
        <w:rPr/>
        <w:t>元。</w:t>
      </w:r>
    </w:p>
    <w:p>
      <w:pPr>
        <w:pStyle w:val="Heading3"/>
        <w:spacing w:line="355" w:lineRule="exact"/>
        <w:ind w:left="681" w:right="627"/>
        <w:jc w:val="left"/>
        <w:rPr>
          <w:b w:val="0"/>
          <w:bCs w:val="0"/>
        </w:rPr>
      </w:pPr>
      <w:r>
        <w:rPr>
          <w:w w:val="120"/>
        </w:rPr>
        <w:t>f)</w:t>
      </w:r>
      <w:r>
        <w:rPr>
          <w:spacing w:val="49"/>
          <w:w w:val="120"/>
        </w:rPr>
        <w:t> </w:t>
      </w:r>
      <w:r>
        <w:rPr>
          <w:w w:val="120"/>
        </w:rPr>
        <w:t>存货</w:t>
      </w:r>
      <w:r>
        <w:rPr>
          <w:b w:val="0"/>
          <w:bCs w:val="0"/>
          <w:w w:val="120"/>
        </w:rPr>
      </w:r>
    </w:p>
    <w:p>
      <w:pPr>
        <w:pStyle w:val="BodyText"/>
        <w:spacing w:line="240" w:lineRule="auto" w:before="94"/>
        <w:ind w:left="617" w:right="627"/>
        <w:jc w:val="left"/>
      </w:pPr>
      <w:r>
        <w:rPr/>
        <w:t>（1）存货明细情况</w:t>
      </w:r>
    </w:p>
    <w:p>
      <w:pPr>
        <w:spacing w:after="0" w:line="240" w:lineRule="auto"/>
        <w:jc w:val="left"/>
        <w:sectPr>
          <w:type w:val="continuous"/>
          <w:pgSz w:w="11910" w:h="16840"/>
          <w:pgMar w:top="1060" w:bottom="1460" w:left="1660" w:right="740"/>
        </w:sectPr>
      </w:pPr>
    </w:p>
    <w:p>
      <w:pPr>
        <w:spacing w:line="256" w:lineRule="exact" w:before="49"/>
        <w:ind w:left="1781" w:right="0" w:firstLine="0"/>
        <w:jc w:val="center"/>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59224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rFonts w:ascii="宋体" w:hAnsi="宋体" w:cs="宋体" w:eastAsia="宋体" w:hint="default"/>
          <w:sz w:val="20"/>
          <w:szCs w:val="20"/>
        </w:rPr>
        <w:t>年末数</w:t>
      </w:r>
    </w:p>
    <w:p>
      <w:pPr>
        <w:tabs>
          <w:tab w:pos="1128" w:val="left" w:leader="none"/>
          <w:tab w:pos="3874" w:val="left" w:leader="none"/>
        </w:tabs>
        <w:spacing w:line="216" w:lineRule="exact" w:before="0"/>
        <w:ind w:left="626" w:right="783" w:firstLine="0"/>
        <w:jc w:val="left"/>
        <w:rPr>
          <w:rFonts w:ascii="宋体" w:hAnsi="宋体" w:cs="宋体" w:eastAsia="宋体" w:hint="default"/>
          <w:sz w:val="20"/>
          <w:szCs w:val="20"/>
        </w:rPr>
      </w:pPr>
      <w:r>
        <w:rPr/>
        <w:pict>
          <v:group style="position:absolute;margin-left:177.509995pt;margin-top:1.927223pt;width:361.6pt;height:1pt;mso-position-horizontal-relative:page;mso-position-vertical-relative:paragraph;z-index:-592072" coordorigin="3550,39" coordsize="7232,20">
            <v:group style="position:absolute;left:3559;top:39;width:7212;height:2" coordorigin="3559,39" coordsize="7212,2">
              <v:shape style="position:absolute;left:3559;top:39;width:7212;height:2" coordorigin="3559,39" coordsize="7212,0" path="m3559,39l10771,39e" filled="false" stroked="true" strokeweight=".06pt" strokecolor="#000000">
                <v:path arrowok="t"/>
              </v:shape>
            </v:group>
            <v:group style="position:absolute;left:3559;top:49;width:7214;height:2" coordorigin="3559,49" coordsize="7214,2">
              <v:shape style="position:absolute;left:3559;top:49;width:7214;height:2" coordorigin="3559,49" coordsize="7214,0" path="m3559,49l10772,49e" filled="false" stroked="true" strokeweight=".90002pt" strokecolor="#000000">
                <v:path arrowok="t"/>
              </v:shape>
            </v:group>
            <w10:wrap type="none"/>
          </v:group>
        </w:pict>
      </w:r>
      <w:r>
        <w:rPr/>
        <w:pict>
          <v:shape style="position:absolute;margin-left:203.100006pt;margin-top:10.454220pt;width:35.1pt;height:9.950pt;mso-position-horizontal-relative:page;mso-position-vertical-relative:paragraph;z-index:-591976" type="#_x0000_t202" filled="false" stroked="false">
            <v:textbox inset="0,0,0,0">
              <w:txbxContent>
                <w:p>
                  <w:pPr>
                    <w:tabs>
                      <w:tab w:pos="502" w:val="left" w:leader="none"/>
                    </w:tabs>
                    <w:spacing w:line="199" w:lineRule="exact" w:before="0"/>
                    <w:ind w:left="0" w:right="0" w:firstLine="0"/>
                    <w:jc w:val="left"/>
                    <w:rPr>
                      <w:rFonts w:ascii="宋体" w:hAnsi="宋体" w:cs="宋体" w:eastAsia="宋体" w:hint="default"/>
                      <w:sz w:val="20"/>
                      <w:szCs w:val="20"/>
                    </w:rPr>
                  </w:pPr>
                  <w:r>
                    <w:rPr>
                      <w:rFonts w:ascii="宋体" w:hAnsi="宋体" w:cs="宋体" w:eastAsia="宋体" w:hint="default"/>
                      <w:w w:val="95"/>
                      <w:sz w:val="20"/>
                      <w:szCs w:val="20"/>
                    </w:rPr>
                    <w:t>余</w:t>
                    <w:tab/>
                    <w:t>额</w:t>
                  </w:r>
                  <w:r>
                    <w:rPr>
                      <w:rFonts w:ascii="宋体" w:hAnsi="宋体" w:cs="宋体" w:eastAsia="宋体" w:hint="default"/>
                      <w:sz w:val="20"/>
                      <w:szCs w:val="20"/>
                    </w:rPr>
                  </w:r>
                </w:p>
              </w:txbxContent>
            </v:textbox>
            <w10:wrap type="none"/>
          </v:shape>
        </w:pict>
      </w:r>
      <w:r>
        <w:rPr>
          <w:rFonts w:ascii="宋体" w:hAnsi="宋体" w:cs="宋体" w:eastAsia="宋体" w:hint="default"/>
          <w:w w:val="95"/>
          <w:position w:val="3"/>
          <w:sz w:val="20"/>
          <w:szCs w:val="20"/>
        </w:rPr>
        <w:t>项</w:t>
        <w:tab/>
        <w:t>目</w:t>
        <w:tab/>
      </w:r>
      <w:r>
        <w:rPr>
          <w:rFonts w:ascii="宋体" w:hAnsi="宋体" w:cs="宋体" w:eastAsia="宋体" w:hint="default"/>
          <w:sz w:val="20"/>
          <w:szCs w:val="20"/>
        </w:rPr>
        <w:t>其中:借款费用资</w:t>
      </w:r>
    </w:p>
    <w:p>
      <w:pPr>
        <w:tabs>
          <w:tab w:pos="4175" w:val="left" w:leader="none"/>
          <w:tab w:pos="5447" w:val="left" w:leader="none"/>
          <w:tab w:pos="5849" w:val="left" w:leader="none"/>
          <w:tab w:pos="8049" w:val="left" w:leader="none"/>
        </w:tabs>
        <w:spacing w:line="312" w:lineRule="exact" w:before="0"/>
        <w:ind w:left="3694" w:right="0" w:firstLine="0"/>
        <w:jc w:val="left"/>
        <w:rPr>
          <w:rFonts w:ascii="宋体" w:hAnsi="宋体" w:cs="宋体" w:eastAsia="宋体" w:hint="default"/>
          <w:sz w:val="20"/>
          <w:szCs w:val="20"/>
        </w:rPr>
      </w:pPr>
      <w:r>
        <w:rPr/>
        <w:pict>
          <v:group style="position:absolute;margin-left:360.000031pt;margin-top:15.667235pt;width:85.65pt;height:1.05pt;mso-position-horizontal-relative:page;mso-position-vertical-relative:paragraph;z-index:-592216" coordorigin="7200,313" coordsize="1713,21">
            <v:group style="position:absolute;left:7210;top:314;width:1692;height:2" coordorigin="7210,314" coordsize="1692,2">
              <v:shape style="position:absolute;left:7210;top:314;width:1692;height:2" coordorigin="7210,314" coordsize="1692,0" path="m7210,314l8902,314e" filled="false" stroked="true" strokeweight=".06pt" strokecolor="#000000">
                <v:path arrowok="t"/>
              </v:shape>
            </v:group>
            <v:group style="position:absolute;left:7210;top:325;width:1694;height:2" coordorigin="7210,325" coordsize="1694,2">
              <v:shape style="position:absolute;left:7210;top:325;width:1694;height:2" coordorigin="7210,325" coordsize="1694,0" path="m7210,325l8903,325e" filled="false" stroked="true" strokeweight=".95996pt" strokecolor="#000000">
                <v:path arrowok="t"/>
              </v:shape>
            </v:group>
            <w10:wrap type="none"/>
          </v:group>
        </w:pict>
      </w:r>
      <w:r>
        <w:rPr>
          <w:rFonts w:ascii="Times New Roman" w:hAnsi="Times New Roman" w:cs="Times New Roman" w:eastAsia="Times New Roman" w:hint="default"/>
          <w:w w:val="99"/>
          <w:position w:val="-11"/>
          <w:sz w:val="20"/>
          <w:szCs w:val="20"/>
        </w:rPr>
      </w:r>
      <w:r>
        <w:rPr>
          <w:rFonts w:ascii="Times New Roman" w:hAnsi="Times New Roman" w:cs="Times New Roman" w:eastAsia="Times New Roman" w:hint="default"/>
          <w:w w:val="99"/>
          <w:position w:val="-11"/>
          <w:sz w:val="20"/>
          <w:szCs w:val="20"/>
          <w:u w:val="thick" w:color="000000"/>
        </w:rPr>
        <w:t> </w:t>
      </w:r>
      <w:r>
        <w:rPr>
          <w:rFonts w:ascii="Times New Roman" w:hAnsi="Times New Roman" w:cs="Times New Roman" w:eastAsia="Times New Roman" w:hint="default"/>
          <w:position w:val="-11"/>
          <w:sz w:val="20"/>
          <w:szCs w:val="20"/>
          <w:u w:val="thick" w:color="000000"/>
        </w:rPr>
        <w:tab/>
      </w:r>
      <w:r>
        <w:rPr>
          <w:rFonts w:ascii="宋体" w:hAnsi="宋体" w:cs="宋体" w:eastAsia="宋体" w:hint="default"/>
          <w:position w:val="-11"/>
          <w:sz w:val="20"/>
          <w:szCs w:val="20"/>
          <w:u w:val="thick" w:color="000000"/>
        </w:rPr>
        <w:t>本化金额</w:t>
        <w:tab/>
      </w:r>
      <w:r>
        <w:rPr>
          <w:rFonts w:ascii="宋体" w:hAnsi="宋体" w:cs="宋体" w:eastAsia="宋体" w:hint="default"/>
          <w:position w:val="-11"/>
          <w:sz w:val="20"/>
          <w:szCs w:val="20"/>
        </w:rPr>
        <w:tab/>
      </w:r>
      <w:r>
        <w:rPr>
          <w:rFonts w:ascii="宋体" w:hAnsi="宋体" w:cs="宋体" w:eastAsia="宋体" w:hint="default"/>
          <w:sz w:val="20"/>
          <w:szCs w:val="20"/>
        </w:rPr>
        <w:t>存货跌价准备</w:t>
        <w:tab/>
        <w:t>净额</w:t>
      </w:r>
    </w:p>
    <w:tbl>
      <w:tblPr>
        <w:tblW w:w="0" w:type="auto"/>
        <w:jc w:val="left"/>
        <w:tblInd w:w="147" w:type="dxa"/>
        <w:tblLayout w:type="fixed"/>
        <w:tblCellMar>
          <w:top w:w="0" w:type="dxa"/>
          <w:left w:w="0" w:type="dxa"/>
          <w:bottom w:w="0" w:type="dxa"/>
          <w:right w:w="0" w:type="dxa"/>
        </w:tblCellMar>
        <w:tblLook w:val="01E0"/>
      </w:tblPr>
      <w:tblGrid>
        <w:gridCol w:w="1544"/>
        <w:gridCol w:w="208"/>
        <w:gridCol w:w="1693"/>
        <w:gridCol w:w="102"/>
        <w:gridCol w:w="5418"/>
      </w:tblGrid>
      <w:tr>
        <w:trPr>
          <w:trHeight w:val="302" w:hRule="exact"/>
        </w:trPr>
        <w:tc>
          <w:tcPr>
            <w:tcW w:w="1544" w:type="dxa"/>
            <w:tcBorders>
              <w:top w:val="single" w:sz="8" w:space="0" w:color="000000"/>
              <w:left w:val="nil" w:sz="6" w:space="0" w:color="auto"/>
              <w:bottom w:val="nil" w:sz="6" w:space="0" w:color="auto"/>
              <w:right w:val="nil" w:sz="6" w:space="0" w:color="auto"/>
            </w:tcBorders>
          </w:tcPr>
          <w:p>
            <w:pPr>
              <w:pStyle w:val="TableParagraph"/>
              <w:spacing w:line="240" w:lineRule="auto" w:before="4"/>
              <w:ind w:left="3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08" w:type="dxa"/>
            <w:tcBorders>
              <w:top w:val="nil" w:sz="6" w:space="0" w:color="auto"/>
              <w:left w:val="nil" w:sz="6" w:space="0" w:color="auto"/>
              <w:bottom w:val="nil" w:sz="6" w:space="0" w:color="auto"/>
              <w:right w:val="nil" w:sz="6" w:space="0" w:color="auto"/>
            </w:tcBorders>
          </w:tcPr>
          <w:p>
            <w:pPr/>
          </w:p>
        </w:tc>
        <w:tc>
          <w:tcPr>
            <w:tcW w:w="1693" w:type="dxa"/>
            <w:tcBorders>
              <w:top w:val="single" w:sz="8" w:space="0" w:color="000000"/>
              <w:left w:val="nil" w:sz="6" w:space="0" w:color="auto"/>
              <w:bottom w:val="nil" w:sz="6" w:space="0" w:color="auto"/>
              <w:right w:val="nil" w:sz="6" w:space="0" w:color="auto"/>
            </w:tcBorders>
          </w:tcPr>
          <w:p>
            <w:pPr>
              <w:pStyle w:val="TableParagraph"/>
              <w:spacing w:line="240" w:lineRule="auto" w:before="19"/>
              <w:ind w:right="86"/>
              <w:jc w:val="right"/>
              <w:rPr>
                <w:rFonts w:ascii="Times New Roman" w:hAnsi="Times New Roman" w:cs="Times New Roman" w:eastAsia="Times New Roman" w:hint="default"/>
                <w:sz w:val="20"/>
                <w:szCs w:val="20"/>
              </w:rPr>
            </w:pPr>
            <w:r>
              <w:rPr>
                <w:rFonts w:ascii="Times New Roman"/>
                <w:sz w:val="20"/>
              </w:rPr>
              <w:t>32,458,203.52</w:t>
            </w:r>
          </w:p>
        </w:tc>
        <w:tc>
          <w:tcPr>
            <w:tcW w:w="102" w:type="dxa"/>
            <w:tcBorders>
              <w:top w:val="nil" w:sz="6" w:space="0" w:color="auto"/>
              <w:left w:val="nil" w:sz="6" w:space="0" w:color="auto"/>
              <w:bottom w:val="nil" w:sz="6" w:space="0" w:color="auto"/>
              <w:right w:val="nil" w:sz="6" w:space="0" w:color="auto"/>
            </w:tcBorders>
          </w:tcPr>
          <w:p>
            <w:pPr/>
          </w:p>
        </w:tc>
        <w:tc>
          <w:tcPr>
            <w:tcW w:w="5418" w:type="dxa"/>
            <w:tcBorders>
              <w:top w:val="single" w:sz="8" w:space="0" w:color="000000"/>
              <w:left w:val="nil" w:sz="6" w:space="0" w:color="auto"/>
              <w:bottom w:val="nil" w:sz="6" w:space="0" w:color="auto"/>
              <w:right w:val="nil" w:sz="6" w:space="0" w:color="auto"/>
            </w:tcBorders>
          </w:tcPr>
          <w:p>
            <w:pPr>
              <w:pStyle w:val="TableParagraph"/>
              <w:tabs>
                <w:tab w:pos="1796" w:val="left" w:leader="none"/>
                <w:tab w:pos="2774" w:val="left" w:leader="none"/>
              </w:tabs>
              <w:spacing w:line="240" w:lineRule="auto" w:before="19"/>
              <w:ind w:right="90"/>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spacing w:val="-1"/>
                <w:sz w:val="20"/>
              </w:rPr>
              <w:t>32,458,203.52</w:t>
            </w:r>
          </w:p>
        </w:tc>
      </w:tr>
      <w:tr>
        <w:trPr>
          <w:trHeight w:val="292"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3"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208"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6"/>
              <w:jc w:val="right"/>
              <w:rPr>
                <w:rFonts w:ascii="Times New Roman" w:hAnsi="Times New Roman" w:cs="Times New Roman" w:eastAsia="Times New Roman" w:hint="default"/>
                <w:sz w:val="20"/>
                <w:szCs w:val="20"/>
              </w:rPr>
            </w:pPr>
            <w:r>
              <w:rPr>
                <w:rFonts w:ascii="Times New Roman"/>
                <w:sz w:val="20"/>
              </w:rPr>
              <w:t>2,676,087.84</w:t>
            </w:r>
          </w:p>
        </w:tc>
        <w:tc>
          <w:tcPr>
            <w:tcW w:w="102" w:type="dxa"/>
            <w:tcBorders>
              <w:top w:val="nil" w:sz="6" w:space="0" w:color="auto"/>
              <w:left w:val="nil" w:sz="6" w:space="0" w:color="auto"/>
              <w:bottom w:val="nil" w:sz="6" w:space="0" w:color="auto"/>
              <w:right w:val="nil" w:sz="6" w:space="0" w:color="auto"/>
            </w:tcBorders>
          </w:tcPr>
          <w:p>
            <w:pPr/>
          </w:p>
        </w:tc>
        <w:tc>
          <w:tcPr>
            <w:tcW w:w="5418" w:type="dxa"/>
            <w:tcBorders>
              <w:top w:val="nil" w:sz="6" w:space="0" w:color="auto"/>
              <w:left w:val="nil" w:sz="6" w:space="0" w:color="auto"/>
              <w:bottom w:val="nil" w:sz="6" w:space="0" w:color="auto"/>
              <w:right w:val="nil" w:sz="6" w:space="0" w:color="auto"/>
            </w:tcBorders>
          </w:tcPr>
          <w:p>
            <w:pPr>
              <w:pStyle w:val="TableParagraph"/>
              <w:tabs>
                <w:tab w:pos="1796" w:val="left" w:leader="none"/>
                <w:tab w:pos="2875" w:val="left" w:leader="none"/>
              </w:tabs>
              <w:spacing w:line="240" w:lineRule="auto" w:before="19"/>
              <w:ind w:right="90"/>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spacing w:val="-1"/>
                <w:sz w:val="20"/>
              </w:rPr>
              <w:t>2,676,087.84</w:t>
            </w:r>
          </w:p>
        </w:tc>
      </w:tr>
      <w:tr>
        <w:trPr>
          <w:trHeight w:val="292"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3"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08"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6"/>
              <w:jc w:val="right"/>
              <w:rPr>
                <w:rFonts w:ascii="Times New Roman" w:hAnsi="Times New Roman" w:cs="Times New Roman" w:eastAsia="Times New Roman" w:hint="default"/>
                <w:sz w:val="20"/>
                <w:szCs w:val="20"/>
              </w:rPr>
            </w:pPr>
            <w:r>
              <w:rPr>
                <w:rFonts w:ascii="Times New Roman"/>
                <w:sz w:val="20"/>
              </w:rPr>
              <w:t>1,657,106.63</w:t>
            </w:r>
          </w:p>
        </w:tc>
        <w:tc>
          <w:tcPr>
            <w:tcW w:w="102" w:type="dxa"/>
            <w:tcBorders>
              <w:top w:val="nil" w:sz="6" w:space="0" w:color="auto"/>
              <w:left w:val="nil" w:sz="6" w:space="0" w:color="auto"/>
              <w:bottom w:val="nil" w:sz="6" w:space="0" w:color="auto"/>
              <w:right w:val="nil" w:sz="6" w:space="0" w:color="auto"/>
            </w:tcBorders>
          </w:tcPr>
          <w:p>
            <w:pPr/>
          </w:p>
        </w:tc>
        <w:tc>
          <w:tcPr>
            <w:tcW w:w="5418" w:type="dxa"/>
            <w:tcBorders>
              <w:top w:val="nil" w:sz="6" w:space="0" w:color="auto"/>
              <w:left w:val="nil" w:sz="6" w:space="0" w:color="auto"/>
              <w:bottom w:val="nil" w:sz="6" w:space="0" w:color="auto"/>
              <w:right w:val="nil" w:sz="6" w:space="0" w:color="auto"/>
            </w:tcBorders>
          </w:tcPr>
          <w:p>
            <w:pPr>
              <w:pStyle w:val="TableParagraph"/>
              <w:tabs>
                <w:tab w:pos="1796" w:val="left" w:leader="none"/>
                <w:tab w:pos="2875" w:val="left" w:leader="none"/>
              </w:tabs>
              <w:spacing w:line="240" w:lineRule="auto" w:before="20"/>
              <w:ind w:right="90"/>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spacing w:val="-1"/>
                <w:sz w:val="20"/>
              </w:rPr>
              <w:t>1,657,106.63</w:t>
            </w:r>
          </w:p>
        </w:tc>
      </w:tr>
      <w:tr>
        <w:trPr>
          <w:trHeight w:val="292"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08"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6"/>
              <w:jc w:val="right"/>
              <w:rPr>
                <w:rFonts w:ascii="Times New Roman" w:hAnsi="Times New Roman" w:cs="Times New Roman" w:eastAsia="Times New Roman" w:hint="default"/>
                <w:sz w:val="20"/>
                <w:szCs w:val="20"/>
              </w:rPr>
            </w:pPr>
            <w:r>
              <w:rPr>
                <w:rFonts w:ascii="Times New Roman"/>
                <w:sz w:val="20"/>
              </w:rPr>
              <w:t>16,667,583.57</w:t>
            </w:r>
          </w:p>
        </w:tc>
        <w:tc>
          <w:tcPr>
            <w:tcW w:w="102" w:type="dxa"/>
            <w:tcBorders>
              <w:top w:val="nil" w:sz="6" w:space="0" w:color="auto"/>
              <w:left w:val="nil" w:sz="6" w:space="0" w:color="auto"/>
              <w:bottom w:val="nil" w:sz="6" w:space="0" w:color="auto"/>
              <w:right w:val="nil" w:sz="6" w:space="0" w:color="auto"/>
            </w:tcBorders>
          </w:tcPr>
          <w:p>
            <w:pPr/>
          </w:p>
        </w:tc>
        <w:tc>
          <w:tcPr>
            <w:tcW w:w="5418" w:type="dxa"/>
            <w:tcBorders>
              <w:top w:val="nil" w:sz="6" w:space="0" w:color="auto"/>
              <w:left w:val="nil" w:sz="6" w:space="0" w:color="auto"/>
              <w:bottom w:val="nil" w:sz="6" w:space="0" w:color="auto"/>
              <w:right w:val="nil" w:sz="6" w:space="0" w:color="auto"/>
            </w:tcBorders>
          </w:tcPr>
          <w:p>
            <w:pPr>
              <w:pStyle w:val="TableParagraph"/>
              <w:tabs>
                <w:tab w:pos="1796" w:val="left" w:leader="none"/>
                <w:tab w:pos="2774" w:val="left" w:leader="none"/>
              </w:tabs>
              <w:spacing w:line="240" w:lineRule="auto" w:before="19"/>
              <w:ind w:right="90"/>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spacing w:val="-1"/>
                <w:sz w:val="20"/>
              </w:rPr>
              <w:t>16,667,583.57</w:t>
            </w:r>
          </w:p>
        </w:tc>
      </w:tr>
      <w:tr>
        <w:trPr>
          <w:trHeight w:val="292"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3"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208"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6"/>
              <w:jc w:val="right"/>
              <w:rPr>
                <w:rFonts w:ascii="Times New Roman" w:hAnsi="Times New Roman" w:cs="Times New Roman" w:eastAsia="Times New Roman" w:hint="default"/>
                <w:sz w:val="20"/>
                <w:szCs w:val="20"/>
              </w:rPr>
            </w:pPr>
            <w:r>
              <w:rPr>
                <w:rFonts w:ascii="Times New Roman"/>
                <w:sz w:val="20"/>
              </w:rPr>
              <w:t>3,285,308.27</w:t>
            </w:r>
          </w:p>
        </w:tc>
        <w:tc>
          <w:tcPr>
            <w:tcW w:w="102" w:type="dxa"/>
            <w:tcBorders>
              <w:top w:val="nil" w:sz="6" w:space="0" w:color="auto"/>
              <w:left w:val="nil" w:sz="6" w:space="0" w:color="auto"/>
              <w:bottom w:val="nil" w:sz="6" w:space="0" w:color="auto"/>
              <w:right w:val="nil" w:sz="6" w:space="0" w:color="auto"/>
            </w:tcBorders>
          </w:tcPr>
          <w:p>
            <w:pPr/>
          </w:p>
        </w:tc>
        <w:tc>
          <w:tcPr>
            <w:tcW w:w="5418" w:type="dxa"/>
            <w:tcBorders>
              <w:top w:val="nil" w:sz="6" w:space="0" w:color="auto"/>
              <w:left w:val="nil" w:sz="6" w:space="0" w:color="auto"/>
              <w:bottom w:val="nil" w:sz="6" w:space="0" w:color="auto"/>
              <w:right w:val="nil" w:sz="6" w:space="0" w:color="auto"/>
            </w:tcBorders>
          </w:tcPr>
          <w:p>
            <w:pPr>
              <w:pStyle w:val="TableParagraph"/>
              <w:tabs>
                <w:tab w:pos="1796" w:val="left" w:leader="none"/>
                <w:tab w:pos="2875" w:val="left" w:leader="none"/>
              </w:tabs>
              <w:spacing w:line="240" w:lineRule="auto" w:before="20"/>
              <w:ind w:right="90"/>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spacing w:val="-1"/>
                <w:sz w:val="20"/>
              </w:rPr>
              <w:t>3,285,308.27</w:t>
            </w:r>
          </w:p>
        </w:tc>
      </w:tr>
      <w:tr>
        <w:trPr>
          <w:trHeight w:val="282"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4"/>
              <w:ind w:left="3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08"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86"/>
              <w:jc w:val="right"/>
              <w:rPr>
                <w:rFonts w:ascii="Times New Roman" w:hAnsi="Times New Roman" w:cs="Times New Roman" w:eastAsia="Times New Roman" w:hint="default"/>
                <w:sz w:val="20"/>
                <w:szCs w:val="20"/>
              </w:rPr>
            </w:pPr>
            <w:r>
              <w:rPr>
                <w:rFonts w:ascii="Times New Roman"/>
                <w:sz w:val="20"/>
              </w:rPr>
              <w:t>969,927.94</w:t>
            </w:r>
          </w:p>
        </w:tc>
        <w:tc>
          <w:tcPr>
            <w:tcW w:w="102" w:type="dxa"/>
            <w:tcBorders>
              <w:top w:val="nil" w:sz="6" w:space="0" w:color="auto"/>
              <w:left w:val="nil" w:sz="6" w:space="0" w:color="auto"/>
              <w:bottom w:val="nil" w:sz="6" w:space="0" w:color="auto"/>
              <w:right w:val="nil" w:sz="6" w:space="0" w:color="auto"/>
            </w:tcBorders>
          </w:tcPr>
          <w:p>
            <w:pPr/>
          </w:p>
        </w:tc>
        <w:tc>
          <w:tcPr>
            <w:tcW w:w="5418" w:type="dxa"/>
            <w:tcBorders>
              <w:top w:val="nil" w:sz="6" w:space="0" w:color="auto"/>
              <w:left w:val="nil" w:sz="6" w:space="0" w:color="auto"/>
              <w:bottom w:val="single" w:sz="8" w:space="0" w:color="000000"/>
              <w:right w:val="nil" w:sz="6" w:space="0" w:color="auto"/>
            </w:tcBorders>
          </w:tcPr>
          <w:p>
            <w:pPr>
              <w:pStyle w:val="TableParagraph"/>
              <w:tabs>
                <w:tab w:pos="1796" w:val="left" w:leader="none"/>
                <w:tab w:pos="3026" w:val="left" w:leader="none"/>
              </w:tabs>
              <w:spacing w:line="240" w:lineRule="auto" w:before="19"/>
              <w:ind w:right="90"/>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spacing w:val="-1"/>
                <w:sz w:val="20"/>
              </w:rPr>
              <w:t>969,927.94</w:t>
            </w:r>
          </w:p>
        </w:tc>
      </w:tr>
      <w:tr>
        <w:trPr>
          <w:trHeight w:val="326" w:hRule="exact"/>
        </w:trPr>
        <w:tc>
          <w:tcPr>
            <w:tcW w:w="1544" w:type="dxa"/>
            <w:tcBorders>
              <w:top w:val="nil" w:sz="6" w:space="0" w:color="auto"/>
              <w:left w:val="nil" w:sz="6" w:space="0" w:color="auto"/>
              <w:bottom w:val="nil" w:sz="6" w:space="0" w:color="auto"/>
              <w:right w:val="nil" w:sz="6" w:space="0" w:color="auto"/>
            </w:tcBorders>
          </w:tcPr>
          <w:p>
            <w:pPr>
              <w:pStyle w:val="TableParagraph"/>
              <w:tabs>
                <w:tab w:pos="880" w:val="left" w:leader="none"/>
              </w:tabs>
              <w:spacing w:line="240" w:lineRule="auto" w:before="5"/>
              <w:ind w:left="478"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08" w:type="dxa"/>
            <w:tcBorders>
              <w:top w:val="nil" w:sz="6" w:space="0" w:color="auto"/>
              <w:left w:val="nil" w:sz="6" w:space="0" w:color="auto"/>
              <w:bottom w:val="nil" w:sz="6" w:space="0" w:color="auto"/>
              <w:right w:val="nil" w:sz="6" w:space="0" w:color="auto"/>
            </w:tcBorders>
          </w:tcPr>
          <w:p>
            <w:pPr/>
          </w:p>
        </w:tc>
        <w:tc>
          <w:tcPr>
            <w:tcW w:w="1693"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86"/>
              <w:jc w:val="right"/>
              <w:rPr>
                <w:rFonts w:ascii="Times New Roman" w:hAnsi="Times New Roman" w:cs="Times New Roman" w:eastAsia="Times New Roman" w:hint="default"/>
                <w:sz w:val="20"/>
                <w:szCs w:val="20"/>
              </w:rPr>
            </w:pPr>
            <w:r>
              <w:rPr>
                <w:rFonts w:ascii="Times New Roman"/>
                <w:sz w:val="20"/>
              </w:rPr>
              <w:t>57,714,217.77</w:t>
            </w:r>
          </w:p>
        </w:tc>
        <w:tc>
          <w:tcPr>
            <w:tcW w:w="102" w:type="dxa"/>
            <w:tcBorders>
              <w:top w:val="nil" w:sz="6" w:space="0" w:color="auto"/>
              <w:left w:val="nil" w:sz="6" w:space="0" w:color="auto"/>
              <w:bottom w:val="nil" w:sz="6" w:space="0" w:color="auto"/>
              <w:right w:val="nil" w:sz="6" w:space="0" w:color="auto"/>
            </w:tcBorders>
          </w:tcPr>
          <w:p>
            <w:pPr/>
          </w:p>
        </w:tc>
        <w:tc>
          <w:tcPr>
            <w:tcW w:w="5418" w:type="dxa"/>
            <w:tcBorders>
              <w:top w:val="single" w:sz="8" w:space="0" w:color="000000"/>
              <w:left w:val="nil" w:sz="6" w:space="0" w:color="auto"/>
              <w:bottom w:val="single" w:sz="8" w:space="0" w:color="000000"/>
              <w:right w:val="nil" w:sz="6" w:space="0" w:color="auto"/>
            </w:tcBorders>
          </w:tcPr>
          <w:p>
            <w:pPr>
              <w:pStyle w:val="TableParagraph"/>
              <w:tabs>
                <w:tab w:pos="1796" w:val="left" w:leader="none"/>
                <w:tab w:pos="2774" w:val="left" w:leader="none"/>
              </w:tabs>
              <w:spacing w:line="240" w:lineRule="auto" w:before="27"/>
              <w:ind w:right="90"/>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spacing w:val="-1"/>
                <w:sz w:val="20"/>
              </w:rPr>
              <w:t>57,714,217.77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37"/>
        <w:ind w:left="1752" w:right="0" w:firstLine="0"/>
        <w:jc w:val="center"/>
        <w:rPr>
          <w:rFonts w:ascii="宋体" w:hAnsi="宋体" w:cs="宋体" w:eastAsia="宋体" w:hint="default"/>
          <w:sz w:val="20"/>
          <w:szCs w:val="20"/>
        </w:rPr>
      </w:pPr>
      <w:r>
        <w:rPr/>
        <w:pict>
          <v:group style="position:absolute;margin-left:267.239990pt;margin-top:-55.620831pt;width:88.65pt;height:1.05pt;mso-position-horizontal-relative:page;mso-position-vertical-relative:paragraph;z-index:-592192" coordorigin="5345,-1112" coordsize="1773,21">
            <v:group style="position:absolute;left:5354;top:-1112;width:1752;height:2" coordorigin="5354,-1112" coordsize="1752,2">
              <v:shape style="position:absolute;left:5354;top:-1112;width:1752;height:2" coordorigin="5354,-1112" coordsize="1752,0" path="m5354,-1112l7106,-1112e" filled="false" stroked="true" strokeweight=".06pt" strokecolor="#000000">
                <v:path arrowok="t"/>
              </v:shape>
            </v:group>
            <v:group style="position:absolute;left:5354;top:-1101;width:1754;height:2" coordorigin="5354,-1101" coordsize="1754,2">
              <v:shape style="position:absolute;left:5354;top:-1101;width:1754;height:2" coordorigin="5354,-1101" coordsize="1754,0" path="m5354,-1101l7108,-1101e" filled="false" stroked="true" strokeweight=".96002pt" strokecolor="#000000">
                <v:path arrowok="t"/>
              </v:shape>
            </v:group>
            <w10:wrap type="none"/>
          </v:group>
        </w:pict>
      </w:r>
      <w:r>
        <w:rPr/>
        <w:pict>
          <v:group style="position:absolute;margin-left:360pt;margin-top:-55.620831pt;width:85.65pt;height:1.05pt;mso-position-horizontal-relative:page;mso-position-vertical-relative:paragraph;z-index:-592168" coordorigin="7200,-1112" coordsize="1713,21">
            <v:group style="position:absolute;left:7210;top:-1112;width:1692;height:2" coordorigin="7210,-1112" coordsize="1692,2">
              <v:shape style="position:absolute;left:7210;top:-1112;width:1692;height:2" coordorigin="7210,-1112" coordsize="1692,0" path="m7210,-1112l8902,-1112e" filled="false" stroked="true" strokeweight=".06pt" strokecolor="#000000">
                <v:path arrowok="t"/>
              </v:shape>
            </v:group>
            <v:group style="position:absolute;left:7210;top:-1101;width:1694;height:2" coordorigin="7210,-1101" coordsize="1694,2">
              <v:shape style="position:absolute;left:7210;top:-1101;width:1694;height:2" coordorigin="7210,-1101" coordsize="1694,0" path="m7210,-1101l8903,-1101e" filled="false" stroked="true" strokeweight=".96002pt" strokecolor="#000000">
                <v:path arrowok="t"/>
              </v:shape>
            </v:group>
            <w10:wrap type="none"/>
          </v:group>
        </w:pict>
      </w:r>
      <w:r>
        <w:rPr/>
        <w:pict>
          <v:group style="position:absolute;margin-left:177.960007pt;margin-top:-40.710812pt;width:84.7pt;height:.1pt;mso-position-horizontal-relative:page;mso-position-vertical-relative:paragraph;z-index:-592144" coordorigin="3559,-814" coordsize="1694,2">
            <v:shape style="position:absolute;left:3559;top:-814;width:1694;height:2" coordorigin="3559,-814" coordsize="1694,0" path="m3559,-814l5252,-814e" filled="false" stroked="true" strokeweight=".95996pt" strokecolor="#000000">
              <v:path arrowok="t"/>
            </v:shape>
            <w10:wrap type="none"/>
          </v:group>
        </w:pict>
      </w:r>
      <w:r>
        <w:rPr/>
        <w:pict>
          <v:group style="position:absolute;margin-left:267.239990pt;margin-top:-41.190788pt;width:88.65pt;height:2.9pt;mso-position-horizontal-relative:page;mso-position-vertical-relative:paragraph;z-index:-592120" coordorigin="5345,-824" coordsize="1773,58">
            <v:group style="position:absolute;left:5354;top:-814;width:1754;height:2" coordorigin="5354,-814" coordsize="1754,2">
              <v:shape style="position:absolute;left:5354;top:-814;width:1754;height:2" coordorigin="5354,-814" coordsize="1754,0" path="m5354,-814l7108,-814e" filled="false" stroked="true" strokeweight=".95996pt" strokecolor="#000000">
                <v:path arrowok="t"/>
              </v:shape>
            </v:group>
            <v:group style="position:absolute;left:5354;top:-776;width:1754;height:2" coordorigin="5354,-776" coordsize="1754,2">
              <v:shape style="position:absolute;left:5354;top:-776;width:1754;height:2" coordorigin="5354,-776" coordsize="1754,0" path="m5354,-776l7108,-776e" filled="false" stroked="true" strokeweight=".96002pt" strokecolor="#000000">
                <v:path arrowok="t"/>
              </v:shape>
            </v:group>
            <w10:wrap type="none"/>
          </v:group>
        </w:pict>
      </w:r>
      <w:r>
        <w:rPr/>
        <w:pict>
          <v:group style="position:absolute;margin-left:360pt;margin-top:-41.190788pt;width:85.65pt;height:2.9pt;mso-position-horizontal-relative:page;mso-position-vertical-relative:paragraph;z-index:-592096" coordorigin="7200,-824" coordsize="1713,58">
            <v:group style="position:absolute;left:7210;top:-814;width:1694;height:2" coordorigin="7210,-814" coordsize="1694,2">
              <v:shape style="position:absolute;left:7210;top:-814;width:1694;height:2" coordorigin="7210,-814" coordsize="1694,0" path="m7210,-814l8903,-814e" filled="false" stroked="true" strokeweight=".95996pt" strokecolor="#000000">
                <v:path arrowok="t"/>
              </v:shape>
            </v:group>
            <v:group style="position:absolute;left:7210;top:-776;width:1694;height:2" coordorigin="7210,-776" coordsize="1694,2">
              <v:shape style="position:absolute;left:7210;top:-776;width:1694;height:2" coordorigin="7210,-776" coordsize="1694,0" path="m7210,-776l8903,-776e" filled="false" stroked="true" strokeweight=".96002pt" strokecolor="#000000">
                <v:path arrowok="t"/>
              </v:shape>
            </v:group>
            <w10:wrap type="none"/>
          </v:group>
        </w:pict>
      </w:r>
      <w:r>
        <w:rPr/>
        <w:pict>
          <v:group style="position:absolute;margin-left:451.73999pt;margin-top:-40.710812pt;width:86.9pt;height:.1pt;mso-position-horizontal-relative:page;mso-position-vertical-relative:paragraph;z-index:-592048" coordorigin="9035,-814" coordsize="1738,2">
            <v:shape style="position:absolute;left:9035;top:-814;width:1738;height:2" coordorigin="9035,-814" coordsize="1738,0" path="m9035,-814l10772,-814e" filled="false" stroked="true" strokeweight=".95996pt" strokecolor="#000000">
              <v:path arrowok="t"/>
            </v:shape>
            <w10:wrap type="none"/>
          </v:group>
        </w:pict>
      </w:r>
      <w:r>
        <w:rPr>
          <w:rFonts w:ascii="宋体" w:hAnsi="宋体" w:cs="宋体" w:eastAsia="宋体" w:hint="default"/>
          <w:sz w:val="20"/>
          <w:szCs w:val="20"/>
        </w:rPr>
        <w:t>年初数</w:t>
      </w:r>
    </w:p>
    <w:p>
      <w:pPr>
        <w:spacing w:line="240" w:lineRule="auto" w:before="6"/>
        <w:rPr>
          <w:rFonts w:ascii="宋体" w:hAnsi="宋体" w:cs="宋体" w:eastAsia="宋体" w:hint="default"/>
          <w:sz w:val="2"/>
          <w:szCs w:val="2"/>
        </w:rPr>
      </w:pPr>
    </w:p>
    <w:p>
      <w:pPr>
        <w:spacing w:line="21" w:lineRule="exact"/>
        <w:ind w:left="1904" w:right="0" w:firstLine="0"/>
        <w:rPr>
          <w:rFonts w:ascii="宋体" w:hAnsi="宋体" w:cs="宋体" w:eastAsia="宋体" w:hint="default"/>
          <w:sz w:val="2"/>
          <w:szCs w:val="2"/>
        </w:rPr>
      </w:pPr>
      <w:r>
        <w:rPr>
          <w:rFonts w:ascii="宋体" w:hAnsi="宋体" w:cs="宋体" w:eastAsia="宋体" w:hint="default"/>
          <w:sz w:val="2"/>
          <w:szCs w:val="2"/>
        </w:rPr>
        <w:pict>
          <v:group style="width:358.75pt;height:1.05pt;mso-position-horizontal-relative:char;mso-position-vertical-relative:line" coordorigin="0,0" coordsize="7175,21">
            <v:group style="position:absolute;left:10;top:1;width:7155;height:2" coordorigin="10,1" coordsize="7155,2">
              <v:shape style="position:absolute;left:10;top:1;width:7155;height:2" coordorigin="10,1" coordsize="7155,0" path="m10,1l7164,1e" filled="false" stroked="true" strokeweight=".06pt" strokecolor="#000000">
                <v:path arrowok="t"/>
              </v:shape>
            </v:group>
            <v:group style="position:absolute;left:10;top:11;width:7156;height:2" coordorigin="10,11" coordsize="7156,2">
              <v:shape style="position:absolute;left:10;top:11;width:7156;height:2" coordorigin="10,11" coordsize="7156,0" path="m10,11l7165,11e" filled="false" stroked="true" strokeweight=".9600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3"/>
          <w:szCs w:val="13"/>
        </w:rPr>
      </w:pPr>
    </w:p>
    <w:p>
      <w:pPr>
        <w:tabs>
          <w:tab w:pos="5851" w:val="left" w:leader="none"/>
          <w:tab w:pos="8029" w:val="left" w:leader="none"/>
        </w:tabs>
        <w:spacing w:before="37"/>
        <w:ind w:left="4161" w:right="0" w:firstLine="0"/>
        <w:jc w:val="left"/>
        <w:rPr>
          <w:rFonts w:ascii="宋体" w:hAnsi="宋体" w:cs="宋体" w:eastAsia="宋体" w:hint="default"/>
          <w:sz w:val="20"/>
          <w:szCs w:val="20"/>
        </w:rPr>
      </w:pPr>
      <w:r>
        <w:rPr/>
        <w:pict>
          <v:shape style="position:absolute;margin-left:90.360001pt;margin-top:4.986646pt;width:446.1pt;height:127.75pt;mso-position-horizontal-relative:page;mso-position-vertical-relative:paragraph;z-index:4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9"/>
                    <w:gridCol w:w="208"/>
                    <w:gridCol w:w="1664"/>
                    <w:gridCol w:w="5491"/>
                  </w:tblGrid>
                  <w:tr>
                    <w:trPr>
                      <w:trHeight w:val="199" w:hRule="exact"/>
                    </w:trPr>
                    <w:tc>
                      <w:tcPr>
                        <w:tcW w:w="3431" w:type="dxa"/>
                        <w:gridSpan w:val="3"/>
                        <w:tcBorders>
                          <w:top w:val="nil" w:sz="6" w:space="0" w:color="auto"/>
                          <w:left w:val="nil" w:sz="6" w:space="0" w:color="auto"/>
                          <w:bottom w:val="nil" w:sz="6" w:space="0" w:color="auto"/>
                          <w:right w:val="nil" w:sz="6" w:space="0" w:color="auto"/>
                        </w:tcBorders>
                      </w:tcPr>
                      <w:p>
                        <w:pPr>
                          <w:pStyle w:val="TableParagraph"/>
                          <w:tabs>
                            <w:tab w:pos="988" w:val="left" w:leader="none"/>
                          </w:tabs>
                          <w:spacing w:line="10" w:lineRule="exact"/>
                          <w:ind w:left="486" w:right="0"/>
                          <w:jc w:val="left"/>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p>
                        <w:pPr>
                          <w:pStyle w:val="TableParagraph"/>
                          <w:spacing w:line="199" w:lineRule="exact"/>
                          <w:ind w:left="2254" w:right="0"/>
                          <w:jc w:val="left"/>
                          <w:rPr>
                            <w:rFonts w:ascii="宋体" w:hAnsi="宋体" w:cs="宋体" w:eastAsia="宋体" w:hint="default"/>
                            <w:sz w:val="20"/>
                            <w:szCs w:val="20"/>
                          </w:rPr>
                        </w:pPr>
                        <w:r>
                          <w:rPr>
                            <w:rFonts w:ascii="宋体" w:hAnsi="宋体" w:cs="宋体" w:eastAsia="宋体" w:hint="default"/>
                            <w:w w:val="99"/>
                            <w:sz w:val="20"/>
                            <w:szCs w:val="20"/>
                          </w:rPr>
                          <w:t>余</w:t>
                        </w:r>
                        <w:r>
                          <w:rPr>
                            <w:rFonts w:ascii="宋体" w:hAnsi="宋体" w:cs="宋体" w:eastAsia="宋体" w:hint="default"/>
                            <w:sz w:val="20"/>
                            <w:szCs w:val="20"/>
                          </w:rPr>
                        </w:r>
                      </w:p>
                    </w:tc>
                    <w:tc>
                      <w:tcPr>
                        <w:tcW w:w="5491" w:type="dxa"/>
                        <w:tcBorders>
                          <w:top w:val="nil" w:sz="6" w:space="0" w:color="auto"/>
                          <w:left w:val="nil" w:sz="6" w:space="0" w:color="auto"/>
                          <w:bottom w:val="nil" w:sz="6" w:space="0" w:color="auto"/>
                          <w:right w:val="nil" w:sz="6" w:space="0" w:color="auto"/>
                        </w:tcBorders>
                      </w:tcPr>
                      <w:p>
                        <w:pPr>
                          <w:pStyle w:val="TableParagraph"/>
                          <w:tabs>
                            <w:tab w:pos="1107" w:val="left" w:leader="none"/>
                          </w:tabs>
                          <w:spacing w:line="197" w:lineRule="exact"/>
                          <w:ind w:left="151" w:right="0"/>
                          <w:jc w:val="left"/>
                          <w:rPr>
                            <w:rFonts w:ascii="宋体" w:hAnsi="宋体" w:cs="宋体" w:eastAsia="宋体" w:hint="default"/>
                            <w:sz w:val="20"/>
                            <w:szCs w:val="20"/>
                          </w:rPr>
                        </w:pPr>
                        <w:r>
                          <w:rPr>
                            <w:rFonts w:ascii="宋体" w:hAnsi="宋体" w:cs="宋体" w:eastAsia="宋体" w:hint="default"/>
                            <w:w w:val="95"/>
                            <w:position w:val="-11"/>
                            <w:sz w:val="20"/>
                            <w:szCs w:val="20"/>
                          </w:rPr>
                          <w:t>额</w:t>
                          <w:tab/>
                        </w:r>
                        <w:r>
                          <w:rPr>
                            <w:rFonts w:ascii="宋体" w:hAnsi="宋体" w:cs="宋体" w:eastAsia="宋体" w:hint="default"/>
                            <w:sz w:val="20"/>
                            <w:szCs w:val="20"/>
                          </w:rPr>
                          <w:t>其中:借款费用资</w:t>
                        </w:r>
                      </w:p>
                    </w:tc>
                  </w:tr>
                  <w:tr>
                    <w:trPr>
                      <w:trHeight w:val="256" w:hRule="exact"/>
                    </w:trPr>
                    <w:tc>
                      <w:tcPr>
                        <w:tcW w:w="892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4"/>
                            <w:szCs w:val="14"/>
                          </w:rPr>
                        </w:pPr>
                      </w:p>
                    </w:tc>
                  </w:tr>
                  <w:tr>
                    <w:trPr>
                      <w:trHeight w:val="302" w:hRule="exact"/>
                    </w:trPr>
                    <w:tc>
                      <w:tcPr>
                        <w:tcW w:w="1559" w:type="dxa"/>
                        <w:tcBorders>
                          <w:top w:val="single" w:sz="8" w:space="0" w:color="000000"/>
                          <w:left w:val="nil" w:sz="6" w:space="0" w:color="auto"/>
                          <w:bottom w:val="nil" w:sz="6" w:space="0" w:color="auto"/>
                          <w:right w:val="nil" w:sz="6" w:space="0" w:color="auto"/>
                        </w:tcBorders>
                      </w:tcPr>
                      <w:p>
                        <w:pPr>
                          <w:pStyle w:val="TableParagraph"/>
                          <w:spacing w:line="240" w:lineRule="auto" w:before="5"/>
                          <w:ind w:left="3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08" w:type="dxa"/>
                        <w:tcBorders>
                          <w:top w:val="nil" w:sz="6" w:space="0" w:color="auto"/>
                          <w:left w:val="nil" w:sz="6" w:space="0" w:color="auto"/>
                          <w:bottom w:val="nil" w:sz="6" w:space="0" w:color="auto"/>
                          <w:right w:val="nil" w:sz="6" w:space="0" w:color="auto"/>
                        </w:tcBorders>
                      </w:tcPr>
                      <w:p>
                        <w:pPr/>
                      </w:p>
                    </w:tc>
                    <w:tc>
                      <w:tcPr>
                        <w:tcW w:w="1664" w:type="dxa"/>
                        <w:tcBorders>
                          <w:top w:val="single" w:sz="8" w:space="0" w:color="000000"/>
                          <w:left w:val="nil" w:sz="6" w:space="0" w:color="auto"/>
                          <w:bottom w:val="nil" w:sz="6" w:space="0" w:color="auto"/>
                          <w:right w:val="nil" w:sz="6" w:space="0" w:color="auto"/>
                        </w:tcBorders>
                      </w:tcPr>
                      <w:p>
                        <w:pPr>
                          <w:pStyle w:val="TableParagraph"/>
                          <w:spacing w:line="240" w:lineRule="auto" w:before="20"/>
                          <w:ind w:left="418" w:right="0"/>
                          <w:jc w:val="left"/>
                          <w:rPr>
                            <w:rFonts w:ascii="Times New Roman" w:hAnsi="Times New Roman" w:cs="Times New Roman" w:eastAsia="Times New Roman" w:hint="default"/>
                            <w:sz w:val="20"/>
                            <w:szCs w:val="20"/>
                          </w:rPr>
                        </w:pPr>
                        <w:r>
                          <w:rPr>
                            <w:rFonts w:ascii="Times New Roman"/>
                            <w:sz w:val="20"/>
                          </w:rPr>
                          <w:t>20,517,455.26</w:t>
                        </w:r>
                      </w:p>
                    </w:tc>
                    <w:tc>
                      <w:tcPr>
                        <w:tcW w:w="5491" w:type="dxa"/>
                        <w:tcBorders>
                          <w:top w:val="single" w:sz="8" w:space="0" w:color="000000"/>
                          <w:left w:val="nil" w:sz="6" w:space="0" w:color="auto"/>
                          <w:bottom w:val="nil" w:sz="6" w:space="0" w:color="auto"/>
                          <w:right w:val="nil" w:sz="6" w:space="0" w:color="auto"/>
                        </w:tcBorders>
                      </w:tcPr>
                      <w:p>
                        <w:pPr>
                          <w:pStyle w:val="TableParagraph"/>
                          <w:tabs>
                            <w:tab w:pos="1796" w:val="left" w:leader="none"/>
                            <w:tab w:pos="2728" w:val="left" w:leader="none"/>
                          </w:tabs>
                          <w:spacing w:line="240" w:lineRule="auto" w:before="20"/>
                          <w:ind w:right="90"/>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spacing w:val="-1"/>
                            <w:sz w:val="20"/>
                          </w:rPr>
                          <w:t>20,517,455.26</w:t>
                        </w:r>
                      </w:p>
                    </w:tc>
                  </w:tr>
                  <w:tr>
                    <w:trPr>
                      <w:trHeight w:val="292"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3"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208"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670" w:right="0"/>
                          <w:jc w:val="left"/>
                          <w:rPr>
                            <w:rFonts w:ascii="Times New Roman" w:hAnsi="Times New Roman" w:cs="Times New Roman" w:eastAsia="Times New Roman" w:hint="default"/>
                            <w:sz w:val="20"/>
                            <w:szCs w:val="20"/>
                          </w:rPr>
                        </w:pPr>
                        <w:r>
                          <w:rPr>
                            <w:rFonts w:ascii="Times New Roman"/>
                            <w:sz w:val="20"/>
                          </w:rPr>
                          <w:t>236,017.71</w:t>
                        </w:r>
                      </w:p>
                    </w:tc>
                    <w:tc>
                      <w:tcPr>
                        <w:tcW w:w="5491" w:type="dxa"/>
                        <w:tcBorders>
                          <w:top w:val="nil" w:sz="6" w:space="0" w:color="auto"/>
                          <w:left w:val="nil" w:sz="6" w:space="0" w:color="auto"/>
                          <w:bottom w:val="nil" w:sz="6" w:space="0" w:color="auto"/>
                          <w:right w:val="nil" w:sz="6" w:space="0" w:color="auto"/>
                        </w:tcBorders>
                      </w:tcPr>
                      <w:p>
                        <w:pPr>
                          <w:pStyle w:val="TableParagraph"/>
                          <w:tabs>
                            <w:tab w:pos="1796" w:val="left" w:leader="none"/>
                            <w:tab w:pos="2980" w:val="left" w:leader="none"/>
                          </w:tabs>
                          <w:spacing w:line="240" w:lineRule="auto" w:before="20"/>
                          <w:ind w:right="90"/>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spacing w:val="-1"/>
                            <w:sz w:val="20"/>
                          </w:rPr>
                          <w:t>236,017.71</w:t>
                        </w:r>
                      </w:p>
                    </w:tc>
                  </w:tr>
                  <w:tr>
                    <w:trPr>
                      <w:trHeight w:val="292"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
                          <w:ind w:left="33"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08"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19" w:right="0"/>
                          <w:jc w:val="left"/>
                          <w:rPr>
                            <w:rFonts w:ascii="Times New Roman" w:hAnsi="Times New Roman" w:cs="Times New Roman" w:eastAsia="Times New Roman" w:hint="default"/>
                            <w:sz w:val="20"/>
                            <w:szCs w:val="20"/>
                          </w:rPr>
                        </w:pPr>
                        <w:r>
                          <w:rPr>
                            <w:rFonts w:ascii="Times New Roman"/>
                            <w:sz w:val="20"/>
                          </w:rPr>
                          <w:t>1,054,088.00</w:t>
                        </w:r>
                      </w:p>
                    </w:tc>
                    <w:tc>
                      <w:tcPr>
                        <w:tcW w:w="5491" w:type="dxa"/>
                        <w:tcBorders>
                          <w:top w:val="nil" w:sz="6" w:space="0" w:color="auto"/>
                          <w:left w:val="nil" w:sz="6" w:space="0" w:color="auto"/>
                          <w:bottom w:val="nil" w:sz="6" w:space="0" w:color="auto"/>
                          <w:right w:val="nil" w:sz="6" w:space="0" w:color="auto"/>
                        </w:tcBorders>
                      </w:tcPr>
                      <w:p>
                        <w:pPr>
                          <w:pStyle w:val="TableParagraph"/>
                          <w:tabs>
                            <w:tab w:pos="1796" w:val="left" w:leader="none"/>
                            <w:tab w:pos="2829" w:val="left" w:leader="none"/>
                          </w:tabs>
                          <w:spacing w:line="240" w:lineRule="auto" w:before="19"/>
                          <w:ind w:right="90"/>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spacing w:val="-1"/>
                            <w:sz w:val="20"/>
                          </w:rPr>
                          <w:t>1,054,088.00</w:t>
                        </w:r>
                      </w:p>
                    </w:tc>
                  </w:tr>
                  <w:tr>
                    <w:trPr>
                      <w:trHeight w:val="292"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08"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18" w:right="0"/>
                          <w:jc w:val="left"/>
                          <w:rPr>
                            <w:rFonts w:ascii="Times New Roman" w:hAnsi="Times New Roman" w:cs="Times New Roman" w:eastAsia="Times New Roman" w:hint="default"/>
                            <w:sz w:val="20"/>
                            <w:szCs w:val="20"/>
                          </w:rPr>
                        </w:pPr>
                        <w:r>
                          <w:rPr>
                            <w:rFonts w:ascii="Times New Roman"/>
                            <w:sz w:val="20"/>
                          </w:rPr>
                          <w:t>10,301,721.81</w:t>
                        </w:r>
                      </w:p>
                    </w:tc>
                    <w:tc>
                      <w:tcPr>
                        <w:tcW w:w="5491" w:type="dxa"/>
                        <w:tcBorders>
                          <w:top w:val="nil" w:sz="6" w:space="0" w:color="auto"/>
                          <w:left w:val="nil" w:sz="6" w:space="0" w:color="auto"/>
                          <w:bottom w:val="nil" w:sz="6" w:space="0" w:color="auto"/>
                          <w:right w:val="nil" w:sz="6" w:space="0" w:color="auto"/>
                        </w:tcBorders>
                      </w:tcPr>
                      <w:p>
                        <w:pPr>
                          <w:pStyle w:val="TableParagraph"/>
                          <w:tabs>
                            <w:tab w:pos="1796" w:val="left" w:leader="none"/>
                            <w:tab w:pos="2728" w:val="left" w:leader="none"/>
                          </w:tabs>
                          <w:spacing w:line="240" w:lineRule="auto" w:before="20"/>
                          <w:ind w:right="90"/>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spacing w:val="-1"/>
                            <w:sz w:val="20"/>
                          </w:rPr>
                          <w:t>10,301,721.81</w:t>
                        </w:r>
                      </w:p>
                    </w:tc>
                  </w:tr>
                  <w:tr>
                    <w:trPr>
                      <w:trHeight w:val="292"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
                          <w:ind w:left="33"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208"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19" w:right="0"/>
                          <w:jc w:val="left"/>
                          <w:rPr>
                            <w:rFonts w:ascii="Times New Roman" w:hAnsi="Times New Roman" w:cs="Times New Roman" w:eastAsia="Times New Roman" w:hint="default"/>
                            <w:sz w:val="20"/>
                            <w:szCs w:val="20"/>
                          </w:rPr>
                        </w:pPr>
                        <w:r>
                          <w:rPr>
                            <w:rFonts w:ascii="Times New Roman"/>
                            <w:sz w:val="20"/>
                          </w:rPr>
                          <w:t>1,986,711.74</w:t>
                        </w:r>
                      </w:p>
                    </w:tc>
                    <w:tc>
                      <w:tcPr>
                        <w:tcW w:w="5491" w:type="dxa"/>
                        <w:tcBorders>
                          <w:top w:val="nil" w:sz="6" w:space="0" w:color="auto"/>
                          <w:left w:val="nil" w:sz="6" w:space="0" w:color="auto"/>
                          <w:bottom w:val="nil" w:sz="6" w:space="0" w:color="auto"/>
                          <w:right w:val="nil" w:sz="6" w:space="0" w:color="auto"/>
                        </w:tcBorders>
                      </w:tcPr>
                      <w:p>
                        <w:pPr>
                          <w:pStyle w:val="TableParagraph"/>
                          <w:tabs>
                            <w:tab w:pos="1796" w:val="left" w:leader="none"/>
                            <w:tab w:pos="2829" w:val="left" w:leader="none"/>
                          </w:tabs>
                          <w:spacing w:line="240" w:lineRule="auto" w:before="19"/>
                          <w:ind w:right="90"/>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spacing w:val="-1"/>
                            <w:sz w:val="20"/>
                          </w:rPr>
                          <w:t>1,986,711.74</w:t>
                        </w:r>
                      </w:p>
                    </w:tc>
                  </w:tr>
                  <w:tr>
                    <w:trPr>
                      <w:trHeight w:val="283" w:hRule="exact"/>
                    </w:trPr>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
                          <w:ind w:left="3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08"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left="519" w:right="0"/>
                          <w:jc w:val="left"/>
                          <w:rPr>
                            <w:rFonts w:ascii="Times New Roman" w:hAnsi="Times New Roman" w:cs="Times New Roman" w:eastAsia="Times New Roman" w:hint="default"/>
                            <w:sz w:val="20"/>
                            <w:szCs w:val="20"/>
                          </w:rPr>
                        </w:pPr>
                        <w:r>
                          <w:rPr>
                            <w:rFonts w:ascii="Times New Roman"/>
                            <w:sz w:val="20"/>
                          </w:rPr>
                          <w:t>2,775,763.51</w:t>
                        </w:r>
                      </w:p>
                    </w:tc>
                    <w:tc>
                      <w:tcPr>
                        <w:tcW w:w="5491" w:type="dxa"/>
                        <w:tcBorders>
                          <w:top w:val="nil" w:sz="6" w:space="0" w:color="auto"/>
                          <w:left w:val="nil" w:sz="6" w:space="0" w:color="auto"/>
                          <w:bottom w:val="single" w:sz="8" w:space="0" w:color="000000"/>
                          <w:right w:val="nil" w:sz="6" w:space="0" w:color="auto"/>
                        </w:tcBorders>
                      </w:tcPr>
                      <w:p>
                        <w:pPr>
                          <w:pStyle w:val="TableParagraph"/>
                          <w:tabs>
                            <w:tab w:pos="1796" w:val="left" w:leader="none"/>
                            <w:tab w:pos="2829" w:val="left" w:leader="none"/>
                          </w:tabs>
                          <w:spacing w:line="240" w:lineRule="auto" w:before="20"/>
                          <w:ind w:right="90"/>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spacing w:val="-1"/>
                            <w:sz w:val="20"/>
                          </w:rPr>
                          <w:t>2,775,763.51</w:t>
                        </w:r>
                      </w:p>
                    </w:tc>
                  </w:tr>
                  <w:tr>
                    <w:trPr>
                      <w:trHeight w:val="326" w:hRule="exact"/>
                    </w:trPr>
                    <w:tc>
                      <w:tcPr>
                        <w:tcW w:w="1559" w:type="dxa"/>
                        <w:tcBorders>
                          <w:top w:val="nil" w:sz="6" w:space="0" w:color="auto"/>
                          <w:left w:val="nil" w:sz="6" w:space="0" w:color="auto"/>
                          <w:bottom w:val="nil" w:sz="6" w:space="0" w:color="auto"/>
                          <w:right w:val="nil" w:sz="6" w:space="0" w:color="auto"/>
                        </w:tcBorders>
                      </w:tcPr>
                      <w:p>
                        <w:pPr>
                          <w:pStyle w:val="TableParagraph"/>
                          <w:tabs>
                            <w:tab w:pos="887" w:val="left" w:leader="none"/>
                          </w:tabs>
                          <w:spacing w:line="240" w:lineRule="auto" w:before="3"/>
                          <w:ind w:left="486"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08" w:type="dxa"/>
                        <w:tcBorders>
                          <w:top w:val="nil" w:sz="6" w:space="0" w:color="auto"/>
                          <w:left w:val="nil" w:sz="6" w:space="0" w:color="auto"/>
                          <w:bottom w:val="nil" w:sz="6" w:space="0" w:color="auto"/>
                          <w:right w:val="nil" w:sz="6" w:space="0" w:color="auto"/>
                        </w:tcBorders>
                      </w:tcPr>
                      <w:p>
                        <w:pPr/>
                      </w:p>
                    </w:tc>
                    <w:tc>
                      <w:tcPr>
                        <w:tcW w:w="1664"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left="418" w:right="0"/>
                          <w:jc w:val="left"/>
                          <w:rPr>
                            <w:rFonts w:ascii="Times New Roman" w:hAnsi="Times New Roman" w:cs="Times New Roman" w:eastAsia="Times New Roman" w:hint="default"/>
                            <w:sz w:val="20"/>
                            <w:szCs w:val="20"/>
                          </w:rPr>
                        </w:pPr>
                        <w:r>
                          <w:rPr>
                            <w:rFonts w:ascii="Times New Roman"/>
                            <w:sz w:val="20"/>
                          </w:rPr>
                          <w:t>36,871,758.03</w:t>
                        </w:r>
                      </w:p>
                    </w:tc>
                    <w:tc>
                      <w:tcPr>
                        <w:tcW w:w="5491" w:type="dxa"/>
                        <w:tcBorders>
                          <w:top w:val="single" w:sz="8" w:space="0" w:color="000000"/>
                          <w:left w:val="nil" w:sz="6" w:space="0" w:color="auto"/>
                          <w:bottom w:val="single" w:sz="8" w:space="0" w:color="000000"/>
                          <w:right w:val="nil" w:sz="6" w:space="0" w:color="auto"/>
                        </w:tcBorders>
                      </w:tcPr>
                      <w:p>
                        <w:pPr>
                          <w:pStyle w:val="TableParagraph"/>
                          <w:tabs>
                            <w:tab w:pos="1796" w:val="left" w:leader="none"/>
                            <w:tab w:pos="2728" w:val="left" w:leader="none"/>
                          </w:tabs>
                          <w:spacing w:line="240" w:lineRule="auto" w:before="27"/>
                          <w:ind w:right="90"/>
                          <w:jc w:val="right"/>
                          <w:rPr>
                            <w:rFonts w:ascii="Times New Roman" w:hAnsi="Times New Roman" w:cs="Times New Roman" w:eastAsia="Times New Roman" w:hint="default"/>
                            <w:sz w:val="20"/>
                            <w:szCs w:val="20"/>
                          </w:rPr>
                        </w:pPr>
                        <w:r>
                          <w:rPr>
                            <w:rFonts w:ascii="Times New Roman"/>
                            <w:w w:val="95"/>
                            <w:sz w:val="20"/>
                          </w:rPr>
                          <w:t>-</w:t>
                          <w:tab/>
                          <w:t>-</w:t>
                          <w:tab/>
                        </w:r>
                        <w:r>
                          <w:rPr>
                            <w:rFonts w:ascii="Times New Roman"/>
                            <w:spacing w:val="-1"/>
                            <w:sz w:val="20"/>
                          </w:rPr>
                          <w:t>36,871,758.03</w:t>
                        </w:r>
                      </w:p>
                    </w:tc>
                  </w:tr>
                </w:tbl>
                <w:p>
                  <w:pPr/>
                </w:p>
              </w:txbxContent>
            </v:textbox>
            <w10:wrap type="none"/>
          </v:shape>
        </w:pict>
      </w:r>
      <w:r>
        <w:rPr>
          <w:rFonts w:ascii="宋体" w:hAnsi="宋体" w:cs="宋体" w:eastAsia="宋体" w:hint="default"/>
          <w:position w:val="-11"/>
          <w:sz w:val="20"/>
          <w:szCs w:val="20"/>
        </w:rPr>
        <w:t>本化金额</w:t>
        <w:tab/>
      </w:r>
      <w:r>
        <w:rPr>
          <w:rFonts w:ascii="宋体" w:hAnsi="宋体" w:cs="宋体" w:eastAsia="宋体" w:hint="default"/>
          <w:sz w:val="20"/>
          <w:szCs w:val="20"/>
        </w:rPr>
        <w:t>存货跌价准备</w:t>
        <w:tab/>
        <w:t>净额</w:t>
      </w:r>
    </w:p>
    <w:p>
      <w:pPr>
        <w:spacing w:line="240" w:lineRule="auto" w:before="8"/>
        <w:rPr>
          <w:rFonts w:ascii="宋体" w:hAnsi="宋体" w:cs="宋体" w:eastAsia="宋体" w:hint="default"/>
          <w:sz w:val="9"/>
          <w:szCs w:val="9"/>
        </w:rPr>
      </w:pPr>
    </w:p>
    <w:p>
      <w:pPr>
        <w:spacing w:line="20" w:lineRule="exact"/>
        <w:ind w:left="3656" w:right="0" w:firstLine="0"/>
        <w:rPr>
          <w:rFonts w:ascii="宋体" w:hAnsi="宋体" w:cs="宋体" w:eastAsia="宋体" w:hint="default"/>
          <w:sz w:val="2"/>
          <w:szCs w:val="2"/>
        </w:rPr>
      </w:pPr>
      <w:r>
        <w:rPr>
          <w:rFonts w:ascii="宋体"/>
          <w:sz w:val="2"/>
        </w:rPr>
        <w:pict>
          <v:group style="width:90.2pt;height:1pt;mso-position-horizontal-relative:char;mso-position-vertical-relative:line" coordorigin="0,0" coordsize="1804,20">
            <v:group style="position:absolute;left:10;top:1;width:1784;height:2" coordorigin="10,1" coordsize="1784,2">
              <v:shape style="position:absolute;left:10;top:1;width:1784;height:2" coordorigin="10,1" coordsize="1784,0" path="m10,1l1793,1e" filled="false" stroked="true" strokeweight=".06pt" strokecolor="#000000">
                <v:path arrowok="t"/>
              </v:shape>
            </v:group>
            <v:group style="position:absolute;left:10;top:10;width:1785;height:2" coordorigin="10,10" coordsize="1785,2">
              <v:shape style="position:absolute;left:10;top:10;width:1785;height:2" coordorigin="10,10" coordsize="1785,0" path="m10,10l1794,10e" filled="false" stroked="true" strokeweight=".96002pt" strokecolor="#000000">
                <v:path arrowok="t"/>
              </v:shape>
            </v:group>
          </v:group>
        </w:pict>
      </w:r>
      <w:r>
        <w:rPr>
          <w:rFonts w:ascii="宋体"/>
          <w:sz w:val="2"/>
        </w:rPr>
      </w:r>
      <w:r>
        <w:rPr>
          <w:rFonts w:ascii="Times New Roman"/>
          <w:spacing w:val="79"/>
          <w:sz w:val="2"/>
        </w:rPr>
        <w:t> </w:t>
      </w:r>
      <w:r>
        <w:rPr>
          <w:rFonts w:ascii="宋体"/>
          <w:spacing w:val="79"/>
          <w:sz w:val="2"/>
        </w:rPr>
        <w:pict>
          <v:group style="width:85.65pt;height:1pt;mso-position-horizontal-relative:char;mso-position-vertical-relative:line" coordorigin="0,0" coordsize="1713,20">
            <v:group style="position:absolute;left:10;top:1;width:1692;height:2" coordorigin="10,1" coordsize="1692,2">
              <v:shape style="position:absolute;left:10;top:1;width:1692;height:2" coordorigin="10,1" coordsize="1692,0" path="m10,1l1702,1e" filled="false" stroked="true" strokeweight=".06pt" strokecolor="#000000">
                <v:path arrowok="t"/>
              </v:shape>
            </v:group>
            <v:group style="position:absolute;left:10;top:10;width:1694;height:2" coordorigin="10,10" coordsize="1694,2">
              <v:shape style="position:absolute;left:10;top:10;width:1694;height:2" coordorigin="10,10" coordsize="1694,0" path="m10,10l1703,10e" filled="false" stroked="true" strokeweight=".96002pt" strokecolor="#000000">
                <v:path arrowok="t"/>
              </v:shape>
            </v:group>
          </v:group>
        </w:pict>
      </w:r>
      <w:r>
        <w:rPr>
          <w:rFonts w:ascii="宋体"/>
          <w:spacing w:val="79"/>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2"/>
          <w:szCs w:val="12"/>
        </w:rPr>
      </w:pPr>
    </w:p>
    <w:p>
      <w:pPr>
        <w:spacing w:line="21" w:lineRule="exact"/>
        <w:ind w:left="3656" w:right="0" w:firstLine="0"/>
        <w:rPr>
          <w:rFonts w:ascii="宋体" w:hAnsi="宋体" w:cs="宋体" w:eastAsia="宋体" w:hint="default"/>
          <w:sz w:val="2"/>
          <w:szCs w:val="2"/>
        </w:rPr>
      </w:pPr>
      <w:r>
        <w:rPr>
          <w:rFonts w:ascii="宋体"/>
          <w:sz w:val="2"/>
        </w:rPr>
        <w:pict>
          <v:group style="width:90.2pt;height:1.05pt;mso-position-horizontal-relative:char;mso-position-vertical-relative:line" coordorigin="0,0" coordsize="1804,21">
            <v:group style="position:absolute;left:10;top:1;width:1784;height:2" coordorigin="10,1" coordsize="1784,2">
              <v:shape style="position:absolute;left:10;top:1;width:1784;height:2" coordorigin="10,1" coordsize="1784,0" path="m10,1l1793,1e" filled="false" stroked="true" strokeweight=".06pt" strokecolor="#000000">
                <v:path arrowok="t"/>
              </v:shape>
            </v:group>
            <v:group style="position:absolute;left:10;top:11;width:1785;height:2" coordorigin="10,11" coordsize="1785,2">
              <v:shape style="position:absolute;left:10;top:11;width:1785;height:2" coordorigin="10,11" coordsize="1785,0" path="m10,11l1794,11e" filled="false" stroked="true" strokeweight=".95999pt" strokecolor="#000000">
                <v:path arrowok="t"/>
              </v:shape>
            </v:group>
          </v:group>
        </w:pict>
      </w:r>
      <w:r>
        <w:rPr>
          <w:rFonts w:ascii="宋体"/>
          <w:sz w:val="2"/>
        </w:rPr>
      </w:r>
      <w:r>
        <w:rPr>
          <w:rFonts w:ascii="Times New Roman"/>
          <w:spacing w:val="77"/>
          <w:sz w:val="2"/>
        </w:rPr>
        <w:t> </w:t>
      </w:r>
      <w:r>
        <w:rPr>
          <w:rFonts w:ascii="宋体"/>
          <w:spacing w:val="77"/>
          <w:sz w:val="2"/>
        </w:rPr>
        <w:pict>
          <v:group style="width:85.65pt;height:1.05pt;mso-position-horizontal-relative:char;mso-position-vertical-relative:line" coordorigin="0,0" coordsize="1713,21">
            <v:group style="position:absolute;left:10;top:1;width:1692;height:2" coordorigin="10,1" coordsize="1692,2">
              <v:shape style="position:absolute;left:10;top:1;width:1692;height:2" coordorigin="10,1" coordsize="1692,0" path="m10,1l1702,1e" filled="false" stroked="true" strokeweight=".06pt" strokecolor="#000000">
                <v:path arrowok="t"/>
              </v:shape>
            </v:group>
            <v:group style="position:absolute;left:10;top:11;width:1694;height:2" coordorigin="10,11" coordsize="1694,2">
              <v:shape style="position:absolute;left:10;top:11;width:1694;height:2" coordorigin="10,11" coordsize="1694,0" path="m10,11l1703,11e" filled="false" stroked="true" strokeweight=".95999pt" strokecolor="#000000">
                <v:path arrowok="t"/>
              </v:shape>
            </v:group>
          </v:group>
        </w:pict>
      </w:r>
      <w:r>
        <w:rPr>
          <w:rFonts w:ascii="宋体"/>
          <w:spacing w:val="77"/>
          <w:sz w:val="2"/>
        </w:rPr>
      </w:r>
    </w:p>
    <w:p>
      <w:pPr>
        <w:spacing w:line="240" w:lineRule="auto" w:before="6"/>
        <w:rPr>
          <w:rFonts w:ascii="宋体" w:hAnsi="宋体" w:cs="宋体" w:eastAsia="宋体" w:hint="default"/>
          <w:sz w:val="20"/>
          <w:szCs w:val="20"/>
        </w:rPr>
      </w:pPr>
    </w:p>
    <w:p>
      <w:pPr>
        <w:spacing w:line="57" w:lineRule="exact"/>
        <w:ind w:left="1904" w:right="0" w:firstLine="0"/>
        <w:rPr>
          <w:rFonts w:ascii="宋体" w:hAnsi="宋体" w:cs="宋体" w:eastAsia="宋体" w:hint="default"/>
          <w:sz w:val="2"/>
          <w:szCs w:val="2"/>
        </w:rPr>
      </w:pPr>
      <w:r>
        <w:rPr>
          <w:rFonts w:ascii="宋体"/>
          <w:position w:val="3"/>
          <w:sz w:val="2"/>
        </w:rPr>
        <w:pict>
          <v:group style="width:84.2pt;height:1pt;mso-position-horizontal-relative:char;mso-position-vertical-relative:line" coordorigin="0,0" coordsize="1684,20">
            <v:group style="position:absolute;left:10;top:10;width:1665;height:2" coordorigin="10,10" coordsize="1665,2">
              <v:shape style="position:absolute;left:10;top:10;width:1665;height:2" coordorigin="10,10" coordsize="1665,0" path="m10,10l1674,10e" filled="false" stroked="true" strokeweight=".95999pt" strokecolor="#000000">
                <v:path arrowok="t"/>
              </v:shape>
            </v:group>
          </v:group>
        </w:pict>
      </w:r>
      <w:r>
        <w:rPr>
          <w:rFonts w:ascii="宋体"/>
          <w:position w:val="3"/>
          <w:sz w:val="2"/>
        </w:rPr>
      </w:r>
      <w:r>
        <w:rPr>
          <w:rFonts w:ascii="Times New Roman"/>
          <w:spacing w:val="55"/>
          <w:position w:val="3"/>
          <w:sz w:val="5"/>
        </w:rPr>
        <w:t> </w:t>
      </w:r>
      <w:r>
        <w:rPr>
          <w:rFonts w:ascii="宋体"/>
          <w:spacing w:val="55"/>
          <w:position w:val="0"/>
          <w:sz w:val="5"/>
        </w:rPr>
        <w:pict>
          <v:group style="width:90.2pt;height:2.9pt;mso-position-horizontal-relative:char;mso-position-vertical-relative:line" coordorigin="0,0" coordsize="1804,58">
            <v:group style="position:absolute;left:10;top:10;width:1785;height:2" coordorigin="10,10" coordsize="1785,2">
              <v:shape style="position:absolute;left:10;top:10;width:1785;height:2" coordorigin="10,10" coordsize="1785,0" path="m10,10l1794,10e" filled="false" stroked="true" strokeweight=".95999pt" strokecolor="#000000">
                <v:path arrowok="t"/>
              </v:shape>
            </v:group>
            <v:group style="position:absolute;left:10;top:48;width:1785;height:2" coordorigin="10,48" coordsize="1785,2">
              <v:shape style="position:absolute;left:10;top:48;width:1785;height:2" coordorigin="10,48" coordsize="1785,0" path="m10,48l1794,48e" filled="false" stroked="true" strokeweight=".96002pt" strokecolor="#000000">
                <v:path arrowok="t"/>
              </v:shape>
            </v:group>
          </v:group>
        </w:pict>
      </w:r>
      <w:r>
        <w:rPr>
          <w:rFonts w:ascii="宋体"/>
          <w:spacing w:val="55"/>
          <w:position w:val="0"/>
          <w:sz w:val="5"/>
        </w:rPr>
      </w:r>
      <w:r>
        <w:rPr>
          <w:rFonts w:ascii="Times New Roman"/>
          <w:spacing w:val="69"/>
          <w:position w:val="0"/>
          <w:sz w:val="5"/>
        </w:rPr>
        <w:t> </w:t>
      </w:r>
      <w:r>
        <w:rPr>
          <w:rFonts w:ascii="宋体"/>
          <w:spacing w:val="69"/>
          <w:position w:val="0"/>
          <w:sz w:val="5"/>
        </w:rPr>
        <w:pict>
          <v:group style="width:85.65pt;height:2.9pt;mso-position-horizontal-relative:char;mso-position-vertical-relative:line" coordorigin="0,0" coordsize="1713,58">
            <v:group style="position:absolute;left:10;top:10;width:1694;height:2" coordorigin="10,10" coordsize="1694,2">
              <v:shape style="position:absolute;left:10;top:10;width:1694;height:2" coordorigin="10,10" coordsize="1694,0" path="m10,10l1703,10e" filled="false" stroked="true" strokeweight=".95999pt" strokecolor="#000000">
                <v:path arrowok="t"/>
              </v:shape>
            </v:group>
            <v:group style="position:absolute;left:10;top:48;width:1694;height:2" coordorigin="10,48" coordsize="1694,2">
              <v:shape style="position:absolute;left:10;top:48;width:1694;height:2" coordorigin="10,48" coordsize="1694,0" path="m10,48l1703,48e" filled="false" stroked="true" strokeweight=".96002pt" strokecolor="#000000">
                <v:path arrowok="t"/>
              </v:shape>
            </v:group>
          </v:group>
        </w:pict>
      </w:r>
      <w:r>
        <w:rPr>
          <w:rFonts w:ascii="宋体"/>
          <w:spacing w:val="69"/>
          <w:position w:val="0"/>
          <w:sz w:val="5"/>
        </w:rPr>
      </w:r>
      <w:r>
        <w:rPr>
          <w:rFonts w:ascii="Times New Roman"/>
          <w:spacing w:val="108"/>
          <w:position w:val="0"/>
          <w:sz w:val="2"/>
        </w:rPr>
        <w:t> </w:t>
      </w:r>
      <w:r>
        <w:rPr>
          <w:rFonts w:ascii="宋体"/>
          <w:spacing w:val="108"/>
          <w:position w:val="3"/>
          <w:sz w:val="2"/>
        </w:rPr>
        <w:pict>
          <v:group style="width:85.65pt;height:1pt;mso-position-horizontal-relative:char;mso-position-vertical-relative:line" coordorigin="0,0" coordsize="1713,20">
            <v:group style="position:absolute;left:10;top:10;width:1694;height:2" coordorigin="10,10" coordsize="1694,2">
              <v:shape style="position:absolute;left:10;top:10;width:1694;height:2" coordorigin="10,10" coordsize="1694,0" path="m10,10l1703,10e" filled="false" stroked="true" strokeweight=".95999pt" strokecolor="#000000">
                <v:path arrowok="t"/>
              </v:shape>
            </v:group>
          </v:group>
        </w:pict>
      </w:r>
      <w:r>
        <w:rPr>
          <w:rFonts w:ascii="宋体"/>
          <w:spacing w:val="108"/>
          <w:position w:val="3"/>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36" w:lineRule="auto" w:before="27"/>
        <w:ind w:right="783" w:firstLine="480"/>
        <w:jc w:val="left"/>
      </w:pPr>
      <w:r>
        <w:rPr/>
        <w:t>存货年末数比年初数增加</w:t>
      </w:r>
      <w:r>
        <w:rPr>
          <w:spacing w:val="1"/>
        </w:rPr>
        <w:t> </w:t>
      </w:r>
      <w:r>
        <w:rPr/>
        <w:t>56.53%，其主要原因是本年生产规模扩大，期末</w:t>
      </w:r>
      <w:r>
        <w:rPr>
          <w:spacing w:val="-1"/>
          <w:w w:val="100"/>
        </w:rPr>
        <w:t> </w:t>
      </w:r>
      <w:r>
        <w:rPr/>
        <w:t>库存材料及库存商品增加所致。</w:t>
      </w:r>
    </w:p>
    <w:p>
      <w:pPr>
        <w:pStyle w:val="BodyText"/>
        <w:spacing w:line="336" w:lineRule="auto"/>
        <w:ind w:right="696" w:firstLine="480"/>
        <w:jc w:val="left"/>
      </w:pPr>
      <w:r>
        <w:rPr/>
        <w:t>（2）截至</w:t>
      </w:r>
      <w:r>
        <w:rPr>
          <w:spacing w:val="-62"/>
        </w:rPr>
        <w:t> </w:t>
      </w:r>
      <w:r>
        <w:rPr/>
        <w:t>2007</w:t>
      </w:r>
      <w:r>
        <w:rPr>
          <w:spacing w:val="-61"/>
        </w:rPr>
        <w:t> </w:t>
      </w:r>
      <w:r>
        <w:rPr/>
        <w:t>年</w:t>
      </w:r>
      <w:r>
        <w:rPr>
          <w:spacing w:val="-62"/>
        </w:rPr>
        <w:t> </w:t>
      </w:r>
      <w:r>
        <w:rPr/>
        <w:t>12</w:t>
      </w:r>
      <w:r>
        <w:rPr>
          <w:spacing w:val="-61"/>
        </w:rPr>
        <w:t> </w:t>
      </w:r>
      <w:r>
        <w:rPr/>
        <w:t>月</w:t>
      </w:r>
      <w:r>
        <w:rPr>
          <w:spacing w:val="-62"/>
        </w:rPr>
        <w:t> </w:t>
      </w:r>
      <w:r>
        <w:rPr/>
        <w:t>31</w:t>
      </w:r>
      <w:r>
        <w:rPr>
          <w:spacing w:val="-61"/>
        </w:rPr>
        <w:t> </w:t>
      </w:r>
      <w:r>
        <w:rPr/>
        <w:t>日，本公司存货无成本高于可变现净值的情况，</w:t>
      </w:r>
      <w:r>
        <w:rPr>
          <w:spacing w:val="-1"/>
          <w:w w:val="100"/>
        </w:rPr>
        <w:t> </w:t>
      </w:r>
      <w:r>
        <w:rPr/>
        <w:t>故未计提跌价准备。</w:t>
      </w:r>
    </w:p>
    <w:p>
      <w:pPr>
        <w:pStyle w:val="Heading3"/>
        <w:spacing w:line="356" w:lineRule="exact"/>
        <w:ind w:left="681" w:right="783"/>
        <w:jc w:val="left"/>
        <w:rPr>
          <w:b w:val="0"/>
          <w:bCs w:val="0"/>
        </w:rPr>
      </w:pPr>
      <w:r>
        <w:rPr/>
        <w:t>g)  </w:t>
      </w:r>
      <w:r>
        <w:rPr>
          <w:spacing w:val="2"/>
        </w:rPr>
        <w:t> </w:t>
      </w:r>
      <w:r>
        <w:rPr/>
        <w:t>其它流动资产</w:t>
      </w:r>
      <w:r>
        <w:rPr>
          <w:b w:val="0"/>
          <w:bCs w:val="0"/>
        </w:rPr>
      </w:r>
    </w:p>
    <w:p>
      <w:pPr>
        <w:spacing w:line="240" w:lineRule="auto" w:before="15"/>
        <w:rPr>
          <w:rFonts w:ascii="Microsoft JhengHei" w:hAnsi="Microsoft JhengHei" w:cs="Microsoft JhengHei" w:eastAsia="Microsoft JhengHei" w:hint="default"/>
          <w:b/>
          <w:bCs/>
          <w:sz w:val="5"/>
          <w:szCs w:val="5"/>
        </w:rPr>
      </w:pPr>
    </w:p>
    <w:tbl>
      <w:tblPr>
        <w:tblW w:w="0" w:type="auto"/>
        <w:jc w:val="left"/>
        <w:tblInd w:w="153" w:type="dxa"/>
        <w:tblLayout w:type="fixed"/>
        <w:tblCellMar>
          <w:top w:w="0" w:type="dxa"/>
          <w:left w:w="0" w:type="dxa"/>
          <w:bottom w:w="0" w:type="dxa"/>
          <w:right w:w="0" w:type="dxa"/>
        </w:tblCellMar>
        <w:tblLook w:val="01E0"/>
      </w:tblPr>
      <w:tblGrid>
        <w:gridCol w:w="1285"/>
        <w:gridCol w:w="1272"/>
        <w:gridCol w:w="256"/>
        <w:gridCol w:w="2628"/>
        <w:gridCol w:w="212"/>
        <w:gridCol w:w="1548"/>
        <w:gridCol w:w="214"/>
        <w:gridCol w:w="1548"/>
      </w:tblGrid>
      <w:tr>
        <w:trPr>
          <w:trHeight w:val="347" w:hRule="exact"/>
        </w:trPr>
        <w:tc>
          <w:tcPr>
            <w:tcW w:w="1285" w:type="dxa"/>
            <w:tcBorders>
              <w:top w:val="nil" w:sz="6" w:space="0" w:color="auto"/>
              <w:left w:val="nil" w:sz="6" w:space="0" w:color="auto"/>
              <w:bottom w:val="single" w:sz="6" w:space="0" w:color="000000"/>
              <w:right w:val="nil" w:sz="6" w:space="0" w:color="auto"/>
            </w:tcBorders>
          </w:tcPr>
          <w:p>
            <w:pPr>
              <w:pStyle w:val="TableParagraph"/>
              <w:spacing w:line="240" w:lineRule="auto" w:before="37"/>
              <w:ind w:right="303"/>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272" w:type="dxa"/>
            <w:tcBorders>
              <w:top w:val="nil" w:sz="6" w:space="0" w:color="auto"/>
              <w:left w:val="nil" w:sz="6" w:space="0" w:color="auto"/>
              <w:bottom w:val="single" w:sz="6" w:space="0" w:color="000000"/>
              <w:right w:val="nil" w:sz="6" w:space="0" w:color="auto"/>
            </w:tcBorders>
          </w:tcPr>
          <w:p>
            <w:pPr>
              <w:pStyle w:val="TableParagraph"/>
              <w:spacing w:line="240" w:lineRule="auto" w:before="37"/>
              <w:ind w:left="306"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256"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single" w:sz="6" w:space="0" w:color="000000"/>
              <w:right w:val="nil" w:sz="6" w:space="0" w:color="auto"/>
            </w:tcBorders>
          </w:tcPr>
          <w:p>
            <w:pPr>
              <w:pStyle w:val="TableParagraph"/>
              <w:spacing w:line="240" w:lineRule="auto" w:before="37"/>
              <w:ind w:left="611" w:right="0"/>
              <w:jc w:val="left"/>
              <w:rPr>
                <w:rFonts w:ascii="宋体" w:hAnsi="宋体" w:cs="宋体" w:eastAsia="宋体" w:hint="default"/>
                <w:sz w:val="20"/>
                <w:szCs w:val="20"/>
              </w:rPr>
            </w:pPr>
            <w:r>
              <w:rPr>
                <w:rFonts w:ascii="宋体" w:hAnsi="宋体" w:cs="宋体" w:eastAsia="宋体" w:hint="default"/>
                <w:spacing w:val="4"/>
                <w:sz w:val="20"/>
                <w:szCs w:val="20"/>
              </w:rPr>
              <w:t>性质（或内容）</w:t>
            </w:r>
          </w:p>
        </w:tc>
        <w:tc>
          <w:tcPr>
            <w:tcW w:w="212"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6" w:space="0" w:color="000000"/>
              <w:right w:val="nil" w:sz="6" w:space="0" w:color="auto"/>
            </w:tcBorders>
          </w:tcPr>
          <w:p>
            <w:pPr>
              <w:pStyle w:val="TableParagraph"/>
              <w:spacing w:line="240" w:lineRule="auto" w:before="37"/>
              <w:ind w:left="470" w:right="0"/>
              <w:jc w:val="left"/>
              <w:rPr>
                <w:rFonts w:ascii="宋体" w:hAnsi="宋体" w:cs="宋体" w:eastAsia="宋体" w:hint="default"/>
                <w:sz w:val="20"/>
                <w:szCs w:val="20"/>
              </w:rPr>
            </w:pPr>
            <w:r>
              <w:rPr>
                <w:rFonts w:ascii="宋体" w:hAnsi="宋体" w:cs="宋体" w:eastAsia="宋体" w:hint="default"/>
                <w:spacing w:val="4"/>
                <w:sz w:val="20"/>
                <w:szCs w:val="20"/>
              </w:rPr>
              <w:t>年末数</w:t>
            </w:r>
          </w:p>
        </w:tc>
        <w:tc>
          <w:tcPr>
            <w:tcW w:w="214"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6" w:space="0" w:color="000000"/>
              <w:right w:val="nil" w:sz="6" w:space="0" w:color="auto"/>
            </w:tcBorders>
          </w:tcPr>
          <w:p>
            <w:pPr>
              <w:pStyle w:val="TableParagraph"/>
              <w:spacing w:line="240" w:lineRule="auto" w:before="37"/>
              <w:ind w:left="483"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49" w:hRule="exact"/>
        </w:trPr>
        <w:tc>
          <w:tcPr>
            <w:tcW w:w="1285" w:type="dxa"/>
            <w:tcBorders>
              <w:top w:val="single" w:sz="6" w:space="0" w:color="000000"/>
              <w:left w:val="nil" w:sz="6" w:space="0" w:color="auto"/>
              <w:bottom w:val="nil" w:sz="6" w:space="0" w:color="auto"/>
              <w:right w:val="nil" w:sz="6" w:space="0" w:color="auto"/>
            </w:tcBorders>
          </w:tcPr>
          <w:p>
            <w:pPr>
              <w:pStyle w:val="TableParagraph"/>
              <w:spacing w:line="240" w:lineRule="auto" w:before="7"/>
              <w:ind w:left="28" w:right="0"/>
              <w:jc w:val="left"/>
              <w:rPr>
                <w:rFonts w:ascii="宋体" w:hAnsi="宋体" w:cs="宋体" w:eastAsia="宋体" w:hint="default"/>
                <w:sz w:val="20"/>
                <w:szCs w:val="20"/>
              </w:rPr>
            </w:pPr>
            <w:r>
              <w:rPr>
                <w:rFonts w:ascii="宋体" w:hAnsi="宋体" w:cs="宋体" w:eastAsia="宋体" w:hint="default"/>
                <w:spacing w:val="3"/>
                <w:sz w:val="20"/>
                <w:szCs w:val="20"/>
              </w:rPr>
              <w:t>待摊费用</w:t>
            </w:r>
          </w:p>
        </w:tc>
        <w:tc>
          <w:tcPr>
            <w:tcW w:w="1272" w:type="dxa"/>
            <w:tcBorders>
              <w:top w:val="single" w:sz="6" w:space="0" w:color="000000"/>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2628" w:type="dxa"/>
            <w:tcBorders>
              <w:top w:val="single" w:sz="6" w:space="0" w:color="000000"/>
              <w:left w:val="nil" w:sz="6" w:space="0" w:color="auto"/>
              <w:bottom w:val="nil" w:sz="6" w:space="0" w:color="auto"/>
              <w:right w:val="nil" w:sz="6" w:space="0" w:color="auto"/>
            </w:tcBorders>
          </w:tcPr>
          <w:p>
            <w:pPr>
              <w:pStyle w:val="TableParagraph"/>
              <w:spacing w:line="240" w:lineRule="auto" w:before="7"/>
              <w:ind w:left="141" w:right="0"/>
              <w:jc w:val="left"/>
              <w:rPr>
                <w:rFonts w:ascii="宋体" w:hAnsi="宋体" w:cs="宋体" w:eastAsia="宋体" w:hint="default"/>
                <w:sz w:val="20"/>
                <w:szCs w:val="20"/>
              </w:rPr>
            </w:pPr>
            <w:r>
              <w:rPr>
                <w:rFonts w:ascii="宋体" w:hAnsi="宋体" w:cs="宋体" w:eastAsia="宋体" w:hint="default"/>
                <w:sz w:val="20"/>
                <w:szCs w:val="20"/>
              </w:rPr>
              <w:t>保险费</w:t>
            </w:r>
          </w:p>
        </w:tc>
        <w:tc>
          <w:tcPr>
            <w:tcW w:w="212" w:type="dxa"/>
            <w:tcBorders>
              <w:top w:val="nil" w:sz="6" w:space="0" w:color="auto"/>
              <w:left w:val="nil" w:sz="6" w:space="0" w:color="auto"/>
              <w:bottom w:val="nil" w:sz="6" w:space="0" w:color="auto"/>
              <w:right w:val="nil" w:sz="6" w:space="0" w:color="auto"/>
            </w:tcBorders>
          </w:tcPr>
          <w:p>
            <w:pPr/>
          </w:p>
        </w:tc>
        <w:tc>
          <w:tcPr>
            <w:tcW w:w="1548" w:type="dxa"/>
            <w:tcBorders>
              <w:top w:val="single" w:sz="6" w:space="0" w:color="000000"/>
              <w:left w:val="nil" w:sz="6" w:space="0" w:color="auto"/>
              <w:bottom w:val="nil" w:sz="6" w:space="0" w:color="auto"/>
              <w:right w:val="nil" w:sz="6" w:space="0" w:color="auto"/>
            </w:tcBorders>
          </w:tcPr>
          <w:p>
            <w:pPr>
              <w:pStyle w:val="TableParagraph"/>
              <w:spacing w:line="240" w:lineRule="auto" w:before="47"/>
              <w:ind w:right="96"/>
              <w:jc w:val="right"/>
              <w:rPr>
                <w:rFonts w:ascii="Times New Roman" w:hAnsi="Times New Roman" w:cs="Times New Roman" w:eastAsia="Times New Roman" w:hint="default"/>
                <w:sz w:val="20"/>
                <w:szCs w:val="20"/>
              </w:rPr>
            </w:pPr>
            <w:r>
              <w:rPr>
                <w:rFonts w:ascii="Times New Roman"/>
                <w:sz w:val="20"/>
              </w:rPr>
              <w:t>146,589.30</w:t>
            </w:r>
          </w:p>
        </w:tc>
        <w:tc>
          <w:tcPr>
            <w:tcW w:w="214" w:type="dxa"/>
            <w:tcBorders>
              <w:top w:val="nil" w:sz="6" w:space="0" w:color="auto"/>
              <w:left w:val="nil" w:sz="6" w:space="0" w:color="auto"/>
              <w:bottom w:val="nil" w:sz="6" w:space="0" w:color="auto"/>
              <w:right w:val="nil" w:sz="6" w:space="0" w:color="auto"/>
            </w:tcBorders>
          </w:tcPr>
          <w:p>
            <w:pPr/>
          </w:p>
        </w:tc>
        <w:tc>
          <w:tcPr>
            <w:tcW w:w="1548" w:type="dxa"/>
            <w:tcBorders>
              <w:top w:val="single" w:sz="6" w:space="0" w:color="000000"/>
              <w:left w:val="nil" w:sz="6" w:space="0" w:color="auto"/>
              <w:bottom w:val="nil" w:sz="6" w:space="0" w:color="auto"/>
              <w:right w:val="nil" w:sz="6" w:space="0" w:color="auto"/>
            </w:tcBorders>
          </w:tcPr>
          <w:p>
            <w:pPr>
              <w:pStyle w:val="TableParagraph"/>
              <w:spacing w:line="240" w:lineRule="auto" w:before="47"/>
              <w:ind w:right="97"/>
              <w:jc w:val="right"/>
              <w:rPr>
                <w:rFonts w:ascii="Times New Roman" w:hAnsi="Times New Roman" w:cs="Times New Roman" w:eastAsia="Times New Roman" w:hint="default"/>
                <w:sz w:val="20"/>
                <w:szCs w:val="20"/>
              </w:rPr>
            </w:pPr>
            <w:r>
              <w:rPr>
                <w:rFonts w:ascii="Times New Roman"/>
                <w:sz w:val="20"/>
              </w:rPr>
              <w:t>210,449.29</w:t>
            </w:r>
          </w:p>
        </w:tc>
      </w:tr>
      <w:tr>
        <w:trPr>
          <w:trHeight w:val="334" w:hRule="exact"/>
        </w:trPr>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pacing w:val="3"/>
                <w:sz w:val="20"/>
                <w:szCs w:val="20"/>
              </w:rPr>
              <w:t>待摊费用</w:t>
            </w:r>
          </w:p>
        </w:tc>
        <w:tc>
          <w:tcPr>
            <w:tcW w:w="1272"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1" w:right="0"/>
              <w:jc w:val="left"/>
              <w:rPr>
                <w:rFonts w:ascii="宋体" w:hAnsi="宋体" w:cs="宋体" w:eastAsia="宋体" w:hint="default"/>
                <w:sz w:val="20"/>
                <w:szCs w:val="20"/>
              </w:rPr>
            </w:pPr>
            <w:r>
              <w:rPr>
                <w:rFonts w:ascii="宋体" w:hAnsi="宋体" w:cs="宋体" w:eastAsia="宋体" w:hint="default"/>
                <w:sz w:val="20"/>
                <w:szCs w:val="20"/>
              </w:rPr>
              <w:t>车管费</w:t>
            </w:r>
          </w:p>
        </w:tc>
        <w:tc>
          <w:tcPr>
            <w:tcW w:w="212"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6"/>
              <w:jc w:val="right"/>
              <w:rPr>
                <w:rFonts w:ascii="Times New Roman" w:hAnsi="Times New Roman" w:cs="Times New Roman" w:eastAsia="Times New Roman" w:hint="default"/>
                <w:sz w:val="20"/>
                <w:szCs w:val="20"/>
              </w:rPr>
            </w:pPr>
            <w:r>
              <w:rPr>
                <w:rFonts w:ascii="Times New Roman"/>
                <w:sz w:val="20"/>
              </w:rPr>
              <w:t>7,777.12</w:t>
            </w:r>
          </w:p>
        </w:tc>
        <w:tc>
          <w:tcPr>
            <w:tcW w:w="214"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7"/>
              <w:jc w:val="right"/>
              <w:rPr>
                <w:rFonts w:ascii="Times New Roman" w:hAnsi="Times New Roman" w:cs="Times New Roman" w:eastAsia="Times New Roman" w:hint="default"/>
                <w:sz w:val="20"/>
                <w:szCs w:val="20"/>
              </w:rPr>
            </w:pPr>
            <w:r>
              <w:rPr>
                <w:rFonts w:ascii="Times New Roman"/>
                <w:spacing w:val="-1"/>
                <w:sz w:val="20"/>
              </w:rPr>
              <w:t>20,070.75</w:t>
            </w:r>
          </w:p>
        </w:tc>
      </w:tr>
      <w:tr>
        <w:trPr>
          <w:trHeight w:val="338" w:hRule="exact"/>
        </w:trPr>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20"/>
                <w:szCs w:val="20"/>
              </w:rPr>
            </w:pPr>
            <w:r>
              <w:rPr>
                <w:rFonts w:ascii="宋体" w:hAnsi="宋体" w:cs="宋体" w:eastAsia="宋体" w:hint="default"/>
                <w:spacing w:val="3"/>
                <w:sz w:val="20"/>
                <w:szCs w:val="20"/>
              </w:rPr>
              <w:t>待摊费用</w:t>
            </w:r>
          </w:p>
        </w:tc>
        <w:tc>
          <w:tcPr>
            <w:tcW w:w="1272"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41" w:right="0"/>
              <w:jc w:val="left"/>
              <w:rPr>
                <w:rFonts w:ascii="宋体" w:hAnsi="宋体" w:cs="宋体" w:eastAsia="宋体" w:hint="default"/>
                <w:sz w:val="20"/>
                <w:szCs w:val="20"/>
              </w:rPr>
            </w:pPr>
            <w:r>
              <w:rPr>
                <w:rFonts w:ascii="宋体" w:hAnsi="宋体" w:cs="宋体" w:eastAsia="宋体" w:hint="default"/>
                <w:sz w:val="20"/>
                <w:szCs w:val="20"/>
              </w:rPr>
              <w:t>厂房租金</w:t>
            </w:r>
          </w:p>
        </w:tc>
        <w:tc>
          <w:tcPr>
            <w:tcW w:w="212"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6"/>
              <w:jc w:val="right"/>
              <w:rPr>
                <w:rFonts w:ascii="Times New Roman" w:hAnsi="Times New Roman" w:cs="Times New Roman" w:eastAsia="Times New Roman" w:hint="default"/>
                <w:sz w:val="20"/>
                <w:szCs w:val="20"/>
              </w:rPr>
            </w:pPr>
            <w:r>
              <w:rPr>
                <w:rFonts w:ascii="Times New Roman"/>
                <w:sz w:val="20"/>
              </w:rPr>
              <w:t>86,400.00</w:t>
            </w:r>
          </w:p>
        </w:tc>
        <w:tc>
          <w:tcPr>
            <w:tcW w:w="214"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7"/>
              <w:jc w:val="right"/>
              <w:rPr>
                <w:rFonts w:ascii="Times New Roman" w:hAnsi="Times New Roman" w:cs="Times New Roman" w:eastAsia="Times New Roman" w:hint="default"/>
                <w:sz w:val="20"/>
                <w:szCs w:val="20"/>
              </w:rPr>
            </w:pPr>
            <w:r>
              <w:rPr>
                <w:rFonts w:ascii="Times New Roman"/>
                <w:sz w:val="20"/>
              </w:rPr>
              <w:t>151,866.39</w:t>
            </w:r>
          </w:p>
        </w:tc>
      </w:tr>
      <w:tr>
        <w:trPr>
          <w:trHeight w:val="341" w:hRule="exact"/>
        </w:trPr>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20"/>
                <w:szCs w:val="20"/>
              </w:rPr>
            </w:pPr>
            <w:r>
              <w:rPr>
                <w:rFonts w:ascii="宋体" w:hAnsi="宋体" w:cs="宋体" w:eastAsia="宋体" w:hint="default"/>
                <w:spacing w:val="3"/>
                <w:sz w:val="20"/>
                <w:szCs w:val="20"/>
              </w:rPr>
              <w:t>待摊费用</w:t>
            </w:r>
          </w:p>
        </w:tc>
        <w:tc>
          <w:tcPr>
            <w:tcW w:w="1272"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1" w:right="0"/>
              <w:jc w:val="left"/>
              <w:rPr>
                <w:rFonts w:ascii="宋体" w:hAnsi="宋体" w:cs="宋体" w:eastAsia="宋体" w:hint="default"/>
                <w:sz w:val="20"/>
                <w:szCs w:val="20"/>
              </w:rPr>
            </w:pPr>
            <w:r>
              <w:rPr>
                <w:rFonts w:ascii="宋体" w:hAnsi="宋体" w:cs="宋体" w:eastAsia="宋体" w:hint="default"/>
                <w:sz w:val="20"/>
                <w:szCs w:val="20"/>
              </w:rPr>
              <w:t>供热费</w:t>
            </w:r>
          </w:p>
        </w:tc>
        <w:tc>
          <w:tcPr>
            <w:tcW w:w="212"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6"/>
              <w:jc w:val="right"/>
              <w:rPr>
                <w:rFonts w:ascii="Times New Roman" w:hAnsi="Times New Roman" w:cs="Times New Roman" w:eastAsia="Times New Roman" w:hint="default"/>
                <w:sz w:val="20"/>
                <w:szCs w:val="20"/>
              </w:rPr>
            </w:pPr>
            <w:r>
              <w:rPr>
                <w:rFonts w:ascii="Times New Roman"/>
                <w:sz w:val="20"/>
              </w:rPr>
              <w:t>40,753.17</w:t>
            </w:r>
          </w:p>
        </w:tc>
        <w:tc>
          <w:tcPr>
            <w:tcW w:w="214"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7"/>
              <w:jc w:val="right"/>
              <w:rPr>
                <w:rFonts w:ascii="Times New Roman" w:hAnsi="Times New Roman" w:cs="Times New Roman" w:eastAsia="Times New Roman" w:hint="default"/>
                <w:sz w:val="20"/>
                <w:szCs w:val="20"/>
              </w:rPr>
            </w:pPr>
            <w:r>
              <w:rPr>
                <w:rFonts w:ascii="Times New Roman"/>
                <w:sz w:val="20"/>
              </w:rPr>
              <w:t>252,323.49</w:t>
            </w:r>
          </w:p>
        </w:tc>
      </w:tr>
      <w:tr>
        <w:trPr>
          <w:trHeight w:val="340" w:hRule="exact"/>
        </w:trPr>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20"/>
                <w:szCs w:val="20"/>
              </w:rPr>
            </w:pPr>
            <w:r>
              <w:rPr>
                <w:rFonts w:ascii="宋体" w:hAnsi="宋体" w:cs="宋体" w:eastAsia="宋体" w:hint="default"/>
                <w:spacing w:val="3"/>
                <w:sz w:val="20"/>
                <w:szCs w:val="20"/>
              </w:rPr>
              <w:t>待摊费用</w:t>
            </w:r>
          </w:p>
        </w:tc>
        <w:tc>
          <w:tcPr>
            <w:tcW w:w="1272"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1" w:right="0"/>
              <w:jc w:val="left"/>
              <w:rPr>
                <w:rFonts w:ascii="宋体" w:hAnsi="宋体" w:cs="宋体" w:eastAsia="宋体" w:hint="default"/>
                <w:sz w:val="20"/>
                <w:szCs w:val="20"/>
              </w:rPr>
            </w:pPr>
            <w:r>
              <w:rPr>
                <w:rFonts w:ascii="宋体" w:hAnsi="宋体" w:cs="宋体" w:eastAsia="宋体" w:hint="default"/>
                <w:sz w:val="20"/>
                <w:szCs w:val="20"/>
              </w:rPr>
              <w:t>车间租金</w:t>
            </w:r>
          </w:p>
        </w:tc>
        <w:tc>
          <w:tcPr>
            <w:tcW w:w="212"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6"/>
              <w:jc w:val="right"/>
              <w:rPr>
                <w:rFonts w:ascii="Times New Roman" w:hAnsi="Times New Roman" w:cs="Times New Roman" w:eastAsia="Times New Roman" w:hint="default"/>
                <w:sz w:val="20"/>
                <w:szCs w:val="20"/>
              </w:rPr>
            </w:pPr>
            <w:r>
              <w:rPr>
                <w:rFonts w:ascii="Times New Roman"/>
                <w:sz w:val="20"/>
              </w:rPr>
              <w:t>326,983.50</w:t>
            </w:r>
          </w:p>
        </w:tc>
        <w:tc>
          <w:tcPr>
            <w:tcW w:w="214"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7"/>
              <w:jc w:val="right"/>
              <w:rPr>
                <w:rFonts w:ascii="Times New Roman" w:hAnsi="Times New Roman" w:cs="Times New Roman" w:eastAsia="Times New Roman" w:hint="default"/>
                <w:sz w:val="20"/>
                <w:szCs w:val="20"/>
              </w:rPr>
            </w:pPr>
            <w:r>
              <w:rPr>
                <w:rFonts w:ascii="Times New Roman"/>
                <w:sz w:val="20"/>
              </w:rPr>
              <w:t>307,260.00</w:t>
            </w:r>
          </w:p>
        </w:tc>
      </w:tr>
      <w:tr>
        <w:trPr>
          <w:trHeight w:val="325" w:hRule="exact"/>
        </w:trPr>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20"/>
                <w:szCs w:val="20"/>
              </w:rPr>
            </w:pPr>
            <w:r>
              <w:rPr>
                <w:rFonts w:ascii="宋体" w:hAnsi="宋体" w:cs="宋体" w:eastAsia="宋体" w:hint="default"/>
                <w:spacing w:val="3"/>
                <w:sz w:val="20"/>
                <w:szCs w:val="20"/>
              </w:rPr>
              <w:t>待摊费用</w:t>
            </w:r>
          </w:p>
        </w:tc>
        <w:tc>
          <w:tcPr>
            <w:tcW w:w="1272"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1"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12"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5" w:space="0" w:color="000000"/>
              <w:right w:val="nil" w:sz="6" w:space="0" w:color="auto"/>
            </w:tcBorders>
          </w:tcPr>
          <w:p>
            <w:pPr>
              <w:pStyle w:val="TableParagraph"/>
              <w:spacing w:line="240" w:lineRule="auto" w:before="38"/>
              <w:ind w:right="96"/>
              <w:jc w:val="right"/>
              <w:rPr>
                <w:rFonts w:ascii="Times New Roman" w:hAnsi="Times New Roman" w:cs="Times New Roman" w:eastAsia="Times New Roman" w:hint="default"/>
                <w:sz w:val="20"/>
                <w:szCs w:val="20"/>
              </w:rPr>
            </w:pPr>
            <w:r>
              <w:rPr>
                <w:rFonts w:ascii="Times New Roman"/>
                <w:sz w:val="20"/>
              </w:rPr>
              <w:t>209,184.97</w:t>
            </w:r>
          </w:p>
        </w:tc>
        <w:tc>
          <w:tcPr>
            <w:tcW w:w="214"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single" w:sz="5" w:space="0" w:color="000000"/>
              <w:right w:val="nil" w:sz="6" w:space="0" w:color="auto"/>
            </w:tcBorders>
          </w:tcPr>
          <w:p>
            <w:pPr>
              <w:pStyle w:val="TableParagraph"/>
              <w:spacing w:line="240" w:lineRule="auto" w:before="38"/>
              <w:ind w:right="97"/>
              <w:jc w:val="right"/>
              <w:rPr>
                <w:rFonts w:ascii="Times New Roman" w:hAnsi="Times New Roman" w:cs="Times New Roman" w:eastAsia="Times New Roman" w:hint="default"/>
                <w:sz w:val="20"/>
                <w:szCs w:val="20"/>
              </w:rPr>
            </w:pPr>
            <w:r>
              <w:rPr>
                <w:rFonts w:ascii="Times New Roman"/>
                <w:sz w:val="20"/>
              </w:rPr>
              <w:t>237,989.48</w:t>
            </w:r>
          </w:p>
        </w:tc>
      </w:tr>
      <w:tr>
        <w:trPr>
          <w:trHeight w:val="355" w:hRule="exact"/>
        </w:trPr>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6"/>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48"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256"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
        </w:tc>
        <w:tc>
          <w:tcPr>
            <w:tcW w:w="212" w:type="dxa"/>
            <w:tcBorders>
              <w:top w:val="nil" w:sz="6" w:space="0" w:color="auto"/>
              <w:left w:val="nil" w:sz="6" w:space="0" w:color="auto"/>
              <w:bottom w:val="nil" w:sz="6" w:space="0" w:color="auto"/>
              <w:right w:val="nil" w:sz="6" w:space="0" w:color="auto"/>
            </w:tcBorders>
          </w:tcPr>
          <w:p>
            <w:pPr/>
          </w:p>
        </w:tc>
        <w:tc>
          <w:tcPr>
            <w:tcW w:w="1548" w:type="dxa"/>
            <w:tcBorders>
              <w:top w:val="single" w:sz="5" w:space="0" w:color="000000"/>
              <w:left w:val="nil" w:sz="6" w:space="0" w:color="auto"/>
              <w:bottom w:val="single" w:sz="6" w:space="0" w:color="000000"/>
              <w:right w:val="nil" w:sz="6" w:space="0" w:color="auto"/>
            </w:tcBorders>
          </w:tcPr>
          <w:p>
            <w:pPr>
              <w:pStyle w:val="TableParagraph"/>
              <w:spacing w:line="240" w:lineRule="auto" w:before="47"/>
              <w:ind w:right="96"/>
              <w:jc w:val="right"/>
              <w:rPr>
                <w:rFonts w:ascii="Times New Roman" w:hAnsi="Times New Roman" w:cs="Times New Roman" w:eastAsia="Times New Roman" w:hint="default"/>
                <w:sz w:val="20"/>
                <w:szCs w:val="20"/>
              </w:rPr>
            </w:pPr>
            <w:r>
              <w:rPr>
                <w:rFonts w:ascii="Times New Roman"/>
                <w:sz w:val="20"/>
              </w:rPr>
              <w:t>817,688.06</w:t>
            </w:r>
          </w:p>
        </w:tc>
        <w:tc>
          <w:tcPr>
            <w:tcW w:w="214" w:type="dxa"/>
            <w:tcBorders>
              <w:top w:val="nil" w:sz="6" w:space="0" w:color="auto"/>
              <w:left w:val="nil" w:sz="6" w:space="0" w:color="auto"/>
              <w:bottom w:val="nil" w:sz="6" w:space="0" w:color="auto"/>
              <w:right w:val="nil" w:sz="6" w:space="0" w:color="auto"/>
            </w:tcBorders>
          </w:tcPr>
          <w:p>
            <w:pPr/>
          </w:p>
        </w:tc>
        <w:tc>
          <w:tcPr>
            <w:tcW w:w="1548" w:type="dxa"/>
            <w:tcBorders>
              <w:top w:val="single" w:sz="5" w:space="0" w:color="000000"/>
              <w:left w:val="nil" w:sz="6" w:space="0" w:color="auto"/>
              <w:bottom w:val="single" w:sz="6" w:space="0" w:color="000000"/>
              <w:right w:val="nil" w:sz="6" w:space="0" w:color="auto"/>
            </w:tcBorders>
          </w:tcPr>
          <w:p>
            <w:pPr>
              <w:pStyle w:val="TableParagraph"/>
              <w:spacing w:line="240" w:lineRule="auto" w:before="47"/>
              <w:ind w:right="97"/>
              <w:jc w:val="right"/>
              <w:rPr>
                <w:rFonts w:ascii="Times New Roman" w:hAnsi="Times New Roman" w:cs="Times New Roman" w:eastAsia="Times New Roman" w:hint="default"/>
                <w:sz w:val="20"/>
                <w:szCs w:val="20"/>
              </w:rPr>
            </w:pPr>
            <w:r>
              <w:rPr>
                <w:rFonts w:ascii="Times New Roman"/>
                <w:w w:val="95"/>
                <w:sz w:val="20"/>
              </w:rPr>
              <w:t>1,179,959.40</w:t>
            </w:r>
            <w:r>
              <w:rPr>
                <w:rFonts w:ascii="Times New Roman"/>
                <w:sz w:val="20"/>
              </w:rPr>
            </w:r>
          </w:p>
        </w:tc>
      </w:tr>
    </w:tbl>
    <w:p>
      <w:pPr>
        <w:spacing w:line="240" w:lineRule="auto" w:before="8"/>
        <w:rPr>
          <w:rFonts w:ascii="Microsoft JhengHei" w:hAnsi="Microsoft JhengHei" w:cs="Microsoft JhengHei" w:eastAsia="Microsoft JhengHei" w:hint="default"/>
          <w:b/>
          <w:bCs/>
          <w:sz w:val="26"/>
          <w:szCs w:val="26"/>
        </w:rPr>
      </w:pPr>
    </w:p>
    <w:p>
      <w:pPr>
        <w:pStyle w:val="Heading3"/>
        <w:spacing w:line="368" w:lineRule="exact"/>
        <w:ind w:left="681" w:right="783"/>
        <w:jc w:val="left"/>
        <w:rPr>
          <w:b w:val="0"/>
          <w:bCs w:val="0"/>
        </w:rPr>
      </w:pPr>
      <w:r>
        <w:rPr/>
        <w:pict>
          <v:group style="position:absolute;margin-left:373.320007pt;margin-top:-25.558544pt;width:77.4pt;height:.1pt;mso-position-horizontal-relative:page;mso-position-vertical-relative:paragraph;z-index:-592024" coordorigin="7466,-511" coordsize="1548,2">
            <v:shape style="position:absolute;left:7466;top:-511;width:1548;height:2" coordorigin="7466,-511" coordsize="1548,0" path="m7466,-511l9014,-511e" filled="false" stroked="true" strokeweight="1.44pt" strokecolor="#000000">
              <v:path arrowok="t"/>
            </v:shape>
            <w10:wrap type="none"/>
          </v:group>
        </w:pict>
      </w:r>
      <w:r>
        <w:rPr/>
        <w:pict>
          <v:group style="position:absolute;margin-left:461.399994pt;margin-top:-25.558544pt;width:77.4pt;height:.1pt;mso-position-horizontal-relative:page;mso-position-vertical-relative:paragraph;z-index:-592000" coordorigin="9228,-511" coordsize="1548,2">
            <v:shape style="position:absolute;left:9228;top:-511;width:1548;height:2" coordorigin="9228,-511" coordsize="1548,0" path="m9228,-511l10776,-511e" filled="false" stroked="true" strokeweight="1.44pt" strokecolor="#000000">
              <v:path arrowok="t"/>
            </v:shape>
            <w10:wrap type="none"/>
          </v:group>
        </w:pict>
      </w:r>
      <w:r>
        <w:rPr/>
        <w:t>h)  </w:t>
      </w:r>
      <w:r>
        <w:rPr>
          <w:spacing w:val="7"/>
        </w:rPr>
        <w:t> </w:t>
      </w:r>
      <w:r>
        <w:rPr/>
        <w:t>长期股权投资</w:t>
      </w:r>
      <w:r>
        <w:rPr>
          <w:b w:val="0"/>
          <w:bCs w:val="0"/>
        </w:rPr>
      </w:r>
    </w:p>
    <w:p>
      <w:pPr>
        <w:spacing w:after="0" w:line="368" w:lineRule="exact"/>
        <w:jc w:val="left"/>
        <w:sectPr>
          <w:pgSz w:w="11910" w:h="16840"/>
          <w:pgMar w:header="915" w:footer="1712" w:top="1100" w:bottom="1900" w:left="1660" w:right="1000"/>
        </w:sectPr>
      </w:pPr>
    </w:p>
    <w:p>
      <w:pPr>
        <w:pStyle w:val="BodyText"/>
        <w:spacing w:line="240" w:lineRule="auto" w:before="123"/>
        <w:ind w:left="617" w:right="219"/>
        <w:jc w:val="left"/>
      </w:pPr>
      <w:r>
        <w:rPr/>
        <w:pict>
          <v:group style="position:absolute;margin-left:88.019981pt;margin-top:41.999668pt;width:419.35pt;height:16.4pt;mso-position-horizontal-relative:page;mso-position-vertical-relative:page;z-index:488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t>（1）长期股权投资明细情况</w:t>
      </w:r>
    </w:p>
    <w:p>
      <w:pPr>
        <w:tabs>
          <w:tab w:pos="1800" w:val="left" w:leader="none"/>
          <w:tab w:pos="3346" w:val="left" w:leader="none"/>
          <w:tab w:pos="3934" w:val="left" w:leader="none"/>
          <w:tab w:pos="4596" w:val="left" w:leader="none"/>
          <w:tab w:pos="4714" w:val="left" w:leader="none"/>
          <w:tab w:pos="6201" w:val="left" w:leader="none"/>
          <w:tab w:pos="6922" w:val="left" w:leader="none"/>
          <w:tab w:pos="7614" w:val="left" w:leader="none"/>
          <w:tab w:pos="7805" w:val="left" w:leader="none"/>
        </w:tabs>
        <w:spacing w:line="338" w:lineRule="auto" w:before="107"/>
        <w:ind w:left="285" w:right="219" w:firstLine="780"/>
        <w:jc w:val="left"/>
        <w:rPr>
          <w:rFonts w:ascii="Times New Roman" w:hAnsi="Times New Roman" w:cs="Times New Roman" w:eastAsia="Times New Roman" w:hint="default"/>
          <w:sz w:val="20"/>
          <w:szCs w:val="20"/>
        </w:rPr>
      </w:pPr>
      <w:r>
        <w:rPr/>
        <w:pict>
          <v:group style="position:absolute;margin-left:90.239983pt;margin-top:21.229971pt;width:437.9pt;height:.75pt;mso-position-horizontal-relative:page;mso-position-vertical-relative:paragraph;z-index:-591856" coordorigin="1805,425" coordsize="8758,15">
            <v:group style="position:absolute;left:1812;top:426;width:2768;height:2" coordorigin="1812,426" coordsize="2768,2">
              <v:shape style="position:absolute;left:1812;top:426;width:2768;height:2" coordorigin="1812,426" coordsize="2768,0" path="m1812,426l4579,426e" filled="false" stroked="true" strokeweight=".06pt" strokecolor="#000000">
                <v:path arrowok="t"/>
              </v:shape>
            </v:group>
            <v:group style="position:absolute;left:1812;top:432;width:2768;height:2" coordorigin="1812,432" coordsize="2768,2">
              <v:shape style="position:absolute;left:1812;top:432;width:2768;height:2" coordorigin="1812,432" coordsize="2768,0" path="m1812,432l4579,432e" filled="false" stroked="true" strokeweight=".72003pt" strokecolor="#000000">
                <v:path arrowok="t"/>
              </v:shape>
            </v:group>
            <v:group style="position:absolute;left:4624;top:426;width:1370;height:2" coordorigin="4624,426" coordsize="1370,2">
              <v:shape style="position:absolute;left:4624;top:426;width:1370;height:2" coordorigin="4624,426" coordsize="1370,0" path="m4624,426l5993,426e" filled="false" stroked="true" strokeweight=".06pt" strokecolor="#000000">
                <v:path arrowok="t"/>
              </v:shape>
            </v:group>
            <v:group style="position:absolute;left:4624;top:432;width:1370;height:2" coordorigin="4624,432" coordsize="1370,2">
              <v:shape style="position:absolute;left:4624;top:432;width:1370;height:2" coordorigin="4624,432" coordsize="1370,0" path="m4624,432l5993,432e" filled="false" stroked="true" strokeweight=".72003pt" strokecolor="#000000">
                <v:path arrowok="t"/>
              </v:shape>
            </v:group>
            <v:group style="position:absolute;left:6036;top:426;width:1517;height:2" coordorigin="6036,426" coordsize="1517,2">
              <v:shape style="position:absolute;left:6036;top:426;width:1517;height:2" coordorigin="6036,426" coordsize="1517,0" path="m6036,426l7553,426e" filled="false" stroked="true" strokeweight=".06pt" strokecolor="#000000">
                <v:path arrowok="t"/>
              </v:shape>
            </v:group>
            <v:group style="position:absolute;left:6036;top:432;width:1517;height:2" coordorigin="6036,432" coordsize="1517,2">
              <v:shape style="position:absolute;left:6036;top:432;width:1517;height:2" coordorigin="6036,432" coordsize="1517,0" path="m6036,432l7553,432e" filled="false" stroked="true" strokeweight=".72003pt" strokecolor="#000000">
                <v:path arrowok="t"/>
              </v:shape>
            </v:group>
            <v:group style="position:absolute;left:7596;top:426;width:1355;height:2" coordorigin="7596,426" coordsize="1355,2">
              <v:shape style="position:absolute;left:7596;top:426;width:1355;height:2" coordorigin="7596,426" coordsize="1355,0" path="m7596,426l8951,426e" filled="false" stroked="true" strokeweight=".06pt" strokecolor="#000000">
                <v:path arrowok="t"/>
              </v:shape>
            </v:group>
            <v:group style="position:absolute;left:7596;top:432;width:1355;height:2" coordorigin="7596,432" coordsize="1355,2">
              <v:shape style="position:absolute;left:7596;top:432;width:1355;height:2" coordorigin="7596,432" coordsize="1355,0" path="m7596,432l8951,432e" filled="false" stroked="true" strokeweight=".72003pt" strokecolor="#000000">
                <v:path arrowok="t"/>
              </v:shape>
            </v:group>
            <v:group style="position:absolute;left:8995;top:426;width:1560;height:2" coordorigin="8995,426" coordsize="1560,2">
              <v:shape style="position:absolute;left:8995;top:426;width:1560;height:2" coordorigin="8995,426" coordsize="1560,0" path="m8995,426l10555,426e" filled="false" stroked="true" strokeweight=".06pt" strokecolor="#000000">
                <v:path arrowok="t"/>
              </v:shape>
            </v:group>
            <v:group style="position:absolute;left:8995;top:432;width:1560;height:2" coordorigin="8995,432" coordsize="1560,2">
              <v:shape style="position:absolute;left:8995;top:432;width:1560;height:2" coordorigin="8995,432" coordsize="1560,0" path="m8995,432l10555,432e" filled="false" stroked="true" strokeweight=".72003pt" strokecolor="#000000">
                <v:path arrowok="t"/>
              </v:shape>
            </v:group>
            <w10:wrap type="none"/>
          </v:group>
        </w:pict>
      </w:r>
      <w:r>
        <w:rPr>
          <w:rFonts w:ascii="宋体" w:hAnsi="宋体" w:cs="宋体" w:eastAsia="宋体" w:hint="default"/>
          <w:w w:val="95"/>
          <w:sz w:val="20"/>
          <w:szCs w:val="20"/>
        </w:rPr>
        <w:t>项</w:t>
        <w:tab/>
        <w:t>目</w:t>
        <w:tab/>
      </w:r>
      <w:r>
        <w:rPr>
          <w:rFonts w:ascii="宋体" w:hAnsi="宋体" w:cs="宋体" w:eastAsia="宋体" w:hint="default"/>
          <w:spacing w:val="4"/>
          <w:w w:val="95"/>
          <w:sz w:val="20"/>
          <w:szCs w:val="20"/>
        </w:rPr>
        <w:t>年初数</w:t>
        <w:tab/>
        <w:tab/>
        <w:tab/>
      </w:r>
      <w:r>
        <w:rPr>
          <w:rFonts w:ascii="宋体" w:hAnsi="宋体" w:cs="宋体" w:eastAsia="宋体" w:hint="default"/>
          <w:spacing w:val="8"/>
          <w:sz w:val="20"/>
          <w:szCs w:val="20"/>
        </w:rPr>
        <w:t>本年增加</w:t>
        <w:tab/>
      </w:r>
      <w:r>
        <w:rPr>
          <w:rFonts w:ascii="宋体" w:hAnsi="宋体" w:cs="宋体" w:eastAsia="宋体" w:hint="default"/>
          <w:spacing w:val="4"/>
          <w:sz w:val="20"/>
          <w:szCs w:val="20"/>
        </w:rPr>
        <w:t>本年减少</w:t>
        <w:tab/>
        <w:tab/>
      </w:r>
      <w:r>
        <w:rPr>
          <w:rFonts w:ascii="宋体" w:hAnsi="宋体" w:cs="宋体" w:eastAsia="宋体" w:hint="default"/>
          <w:spacing w:val="9"/>
          <w:sz w:val="20"/>
          <w:szCs w:val="20"/>
        </w:rPr>
        <w:t>年末数</w:t>
      </w:r>
      <w:r>
        <w:rPr>
          <w:rFonts w:ascii="宋体" w:hAnsi="宋体" w:cs="宋体" w:eastAsia="宋体" w:hint="default"/>
          <w:w w:val="99"/>
          <w:sz w:val="20"/>
          <w:szCs w:val="20"/>
        </w:rPr>
        <w:t> </w:t>
      </w:r>
      <w:r>
        <w:rPr>
          <w:rFonts w:ascii="宋体" w:hAnsi="宋体" w:cs="宋体" w:eastAsia="宋体" w:hint="default"/>
          <w:spacing w:val="7"/>
          <w:w w:val="95"/>
          <w:position w:val="-1"/>
          <w:sz w:val="20"/>
          <w:szCs w:val="20"/>
        </w:rPr>
        <w:t>对子公司投资</w:t>
        <w:tab/>
        <w:tab/>
        <w:tab/>
      </w:r>
      <w:r>
        <w:rPr>
          <w:rFonts w:ascii="Times New Roman" w:hAnsi="Times New Roman" w:cs="Times New Roman" w:eastAsia="Times New Roman" w:hint="default"/>
          <w:position w:val="0"/>
          <w:sz w:val="22"/>
          <w:szCs w:val="22"/>
        </w:rPr>
        <w:t>-</w:t>
        <w:tab/>
      </w:r>
      <w:r>
        <w:rPr>
          <w:rFonts w:ascii="Times New Roman" w:hAnsi="Times New Roman" w:cs="Times New Roman" w:eastAsia="Times New Roman" w:hint="default"/>
          <w:spacing w:val="2"/>
          <w:sz w:val="20"/>
          <w:szCs w:val="20"/>
        </w:rPr>
        <w:t>15,000,000.00</w:t>
        <w:tab/>
        <w:tab/>
      </w:r>
      <w:r>
        <w:rPr>
          <w:rFonts w:ascii="Times New Roman" w:hAnsi="Times New Roman" w:cs="Times New Roman" w:eastAsia="Times New Roman" w:hint="default"/>
          <w:w w:val="95"/>
          <w:sz w:val="20"/>
          <w:szCs w:val="20"/>
        </w:rPr>
        <w:t>-</w:t>
        <w:tab/>
      </w:r>
      <w:r>
        <w:rPr>
          <w:rFonts w:ascii="Times New Roman" w:hAnsi="Times New Roman" w:cs="Times New Roman" w:eastAsia="Times New Roman" w:hint="default"/>
          <w:sz w:val="20"/>
          <w:szCs w:val="20"/>
        </w:rPr>
        <w:t>15,000</w:t>
      </w:r>
      <w:r>
        <w:rPr>
          <w:rFonts w:ascii="Times New Roman" w:hAnsi="Times New Roman" w:cs="Times New Roman" w:eastAsia="Times New Roman" w:hint="default"/>
          <w:spacing w:val="-19"/>
          <w:sz w:val="20"/>
          <w:szCs w:val="20"/>
        </w:rPr>
        <w:t> </w:t>
      </w:r>
      <w:r>
        <w:rPr>
          <w:rFonts w:ascii="Times New Roman" w:hAnsi="Times New Roman" w:cs="Times New Roman" w:eastAsia="Times New Roman" w:hint="default"/>
          <w:sz w:val="20"/>
          <w:szCs w:val="20"/>
        </w:rPr>
        <w:t>,000.00</w:t>
      </w:r>
    </w:p>
    <w:p>
      <w:pPr>
        <w:tabs>
          <w:tab w:pos="3934" w:val="left" w:leader="none"/>
          <w:tab w:pos="5524" w:val="left" w:leader="none"/>
          <w:tab w:pos="6922" w:val="left" w:leader="none"/>
          <w:tab w:pos="8526" w:val="left" w:leader="none"/>
        </w:tabs>
        <w:spacing w:before="1"/>
        <w:ind w:left="285" w:right="219" w:firstLine="0"/>
        <w:jc w:val="left"/>
        <w:rPr>
          <w:rFonts w:ascii="Times New Roman" w:hAnsi="Times New Roman" w:cs="Times New Roman" w:eastAsia="Times New Roman" w:hint="default"/>
          <w:sz w:val="20"/>
          <w:szCs w:val="20"/>
        </w:rPr>
      </w:pPr>
      <w:r>
        <w:rPr>
          <w:rFonts w:ascii="宋体" w:hAnsi="宋体" w:cs="宋体" w:eastAsia="宋体" w:hint="default"/>
          <w:spacing w:val="7"/>
          <w:w w:val="95"/>
          <w:sz w:val="20"/>
          <w:szCs w:val="20"/>
        </w:rPr>
        <w:t>对合营企业投资</w:t>
        <w:tab/>
      </w:r>
      <w:r>
        <w:rPr>
          <w:rFonts w:ascii="Times New Roman" w:hAnsi="Times New Roman" w:cs="Times New Roman" w:eastAsia="Times New Roman" w:hint="default"/>
          <w:position w:val="1"/>
          <w:sz w:val="22"/>
          <w:szCs w:val="22"/>
        </w:rPr>
        <w:t>-</w:t>
        <w:tab/>
      </w:r>
      <w:r>
        <w:rPr>
          <w:rFonts w:ascii="Times New Roman" w:hAnsi="Times New Roman" w:cs="Times New Roman" w:eastAsia="Times New Roman" w:hint="default"/>
          <w:w w:val="95"/>
          <w:position w:val="2"/>
          <w:sz w:val="20"/>
          <w:szCs w:val="20"/>
        </w:rPr>
        <w:t>-</w:t>
        <w:tab/>
        <w:t>-</w:t>
        <w:tab/>
      </w:r>
      <w:r>
        <w:rPr>
          <w:rFonts w:ascii="Times New Roman" w:hAnsi="Times New Roman" w:cs="Times New Roman" w:eastAsia="Times New Roman" w:hint="default"/>
          <w:position w:val="2"/>
          <w:sz w:val="20"/>
          <w:szCs w:val="20"/>
        </w:rPr>
        <w:t>-</w:t>
      </w:r>
      <w:r>
        <w:rPr>
          <w:rFonts w:ascii="Times New Roman" w:hAnsi="Times New Roman" w:cs="Times New Roman" w:eastAsia="Times New Roman" w:hint="default"/>
          <w:sz w:val="20"/>
          <w:szCs w:val="20"/>
        </w:rPr>
      </w:r>
    </w:p>
    <w:p>
      <w:pPr>
        <w:tabs>
          <w:tab w:pos="3934" w:val="left" w:leader="none"/>
          <w:tab w:pos="5524" w:val="left" w:leader="none"/>
          <w:tab w:pos="6922" w:val="left" w:leader="none"/>
          <w:tab w:pos="8526" w:val="left" w:leader="none"/>
        </w:tabs>
        <w:spacing w:before="98"/>
        <w:ind w:left="285" w:right="219" w:firstLine="0"/>
        <w:jc w:val="left"/>
        <w:rPr>
          <w:rFonts w:ascii="Times New Roman" w:hAnsi="Times New Roman" w:cs="Times New Roman" w:eastAsia="Times New Roman" w:hint="default"/>
          <w:sz w:val="20"/>
          <w:szCs w:val="20"/>
        </w:rPr>
      </w:pPr>
      <w:r>
        <w:rPr>
          <w:rFonts w:ascii="宋体" w:hAnsi="宋体" w:cs="宋体" w:eastAsia="宋体" w:hint="default"/>
          <w:spacing w:val="7"/>
          <w:w w:val="95"/>
          <w:sz w:val="20"/>
          <w:szCs w:val="20"/>
        </w:rPr>
        <w:t>对联营企业投资</w:t>
        <w:tab/>
      </w:r>
      <w:r>
        <w:rPr>
          <w:rFonts w:ascii="Times New Roman" w:hAnsi="Times New Roman" w:cs="Times New Roman" w:eastAsia="Times New Roman" w:hint="default"/>
          <w:position w:val="1"/>
          <w:sz w:val="22"/>
          <w:szCs w:val="22"/>
        </w:rPr>
        <w:t>-</w:t>
        <w:tab/>
      </w:r>
      <w:r>
        <w:rPr>
          <w:rFonts w:ascii="Times New Roman" w:hAnsi="Times New Roman" w:cs="Times New Roman" w:eastAsia="Times New Roman" w:hint="default"/>
          <w:w w:val="95"/>
          <w:position w:val="2"/>
          <w:sz w:val="20"/>
          <w:szCs w:val="20"/>
        </w:rPr>
        <w:t>-</w:t>
        <w:tab/>
        <w:t>-</w:t>
        <w:tab/>
      </w:r>
      <w:r>
        <w:rPr>
          <w:rFonts w:ascii="Times New Roman" w:hAnsi="Times New Roman" w:cs="Times New Roman" w:eastAsia="Times New Roman" w:hint="default"/>
          <w:position w:val="2"/>
          <w:sz w:val="20"/>
          <w:szCs w:val="20"/>
        </w:rPr>
        <w:t>-</w:t>
      </w:r>
      <w:r>
        <w:rPr>
          <w:rFonts w:ascii="Times New Roman" w:hAnsi="Times New Roman" w:cs="Times New Roman" w:eastAsia="Times New Roman" w:hint="default"/>
          <w:sz w:val="20"/>
          <w:szCs w:val="20"/>
        </w:rPr>
      </w:r>
    </w:p>
    <w:p>
      <w:pPr>
        <w:tabs>
          <w:tab w:pos="3934" w:val="left" w:leader="none"/>
          <w:tab w:pos="5524" w:val="left" w:leader="none"/>
          <w:tab w:pos="6922" w:val="left" w:leader="none"/>
          <w:tab w:pos="8526" w:val="left" w:leader="none"/>
        </w:tabs>
        <w:spacing w:before="131"/>
        <w:ind w:left="285" w:right="219" w:firstLine="0"/>
        <w:jc w:val="left"/>
        <w:rPr>
          <w:rFonts w:ascii="Times New Roman" w:hAnsi="Times New Roman" w:cs="Times New Roman" w:eastAsia="Times New Roman" w:hint="default"/>
          <w:sz w:val="20"/>
          <w:szCs w:val="20"/>
        </w:rPr>
      </w:pPr>
      <w:r>
        <w:rPr>
          <w:rFonts w:ascii="宋体" w:hAnsi="宋体" w:cs="宋体" w:eastAsia="宋体" w:hint="default"/>
          <w:spacing w:val="2"/>
          <w:sz w:val="20"/>
          <w:szCs w:val="20"/>
        </w:rPr>
        <w:t>减：</w:t>
      </w:r>
      <w:r>
        <w:rPr>
          <w:rFonts w:ascii="宋体" w:hAnsi="宋体" w:cs="宋体" w:eastAsia="宋体" w:hint="default"/>
          <w:spacing w:val="-84"/>
          <w:sz w:val="20"/>
          <w:szCs w:val="20"/>
        </w:rPr>
        <w:t> </w:t>
      </w:r>
      <w:r>
        <w:rPr>
          <w:rFonts w:ascii="宋体" w:hAnsi="宋体" w:cs="宋体" w:eastAsia="宋体" w:hint="default"/>
          <w:spacing w:val="7"/>
          <w:sz w:val="20"/>
          <w:szCs w:val="20"/>
        </w:rPr>
        <w:t>长期股权投资减值准备</w:t>
        <w:tab/>
      </w:r>
      <w:r>
        <w:rPr>
          <w:rFonts w:ascii="Times New Roman" w:hAnsi="Times New Roman" w:cs="Times New Roman" w:eastAsia="Times New Roman" w:hint="default"/>
          <w:sz w:val="22"/>
          <w:szCs w:val="22"/>
        </w:rPr>
        <w:t>-</w:t>
        <w:tab/>
      </w:r>
      <w:r>
        <w:rPr>
          <w:rFonts w:ascii="Times New Roman" w:hAnsi="Times New Roman" w:cs="Times New Roman" w:eastAsia="Times New Roman" w:hint="default"/>
          <w:w w:val="95"/>
          <w:position w:val="1"/>
          <w:sz w:val="20"/>
          <w:szCs w:val="20"/>
        </w:rPr>
        <w:t>-</w:t>
        <w:tab/>
        <w:t>-</w:t>
        <w:tab/>
      </w:r>
      <w:r>
        <w:rPr>
          <w:rFonts w:ascii="Times New Roman" w:hAnsi="Times New Roman" w:cs="Times New Roman" w:eastAsia="Times New Roman" w:hint="default"/>
          <w:position w:val="1"/>
          <w:sz w:val="20"/>
          <w:szCs w:val="20"/>
        </w:rPr>
        <w:t>-</w:t>
      </w:r>
      <w:r>
        <w:rPr>
          <w:rFonts w:ascii="Times New Roman" w:hAnsi="Times New Roman" w:cs="Times New Roman" w:eastAsia="Times New Roman" w:hint="default"/>
          <w:sz w:val="20"/>
          <w:szCs w:val="20"/>
        </w:rPr>
      </w:r>
    </w:p>
    <w:p>
      <w:pPr>
        <w:spacing w:line="240" w:lineRule="auto" w:before="11"/>
        <w:rPr>
          <w:rFonts w:ascii="Times New Roman" w:hAnsi="Times New Roman" w:cs="Times New Roman" w:eastAsia="Times New Roman" w:hint="default"/>
          <w:sz w:val="7"/>
          <w:szCs w:val="7"/>
        </w:rPr>
      </w:pPr>
    </w:p>
    <w:p>
      <w:pPr>
        <w:spacing w:line="20" w:lineRule="exact"/>
        <w:ind w:left="295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97.25pt;height:.7pt;mso-position-horizontal-relative:char;mso-position-vertical-relative:line" coordorigin="0,0" coordsize="5945,14">
            <v:group style="position:absolute;left:7;top:1;width:1370;height:2" coordorigin="7,1" coordsize="1370,2">
              <v:shape style="position:absolute;left:7;top:1;width:1370;height:2" coordorigin="7,1" coordsize="1370,0" path="m7,1l1376,1e" filled="false" stroked="true" strokeweight=".06pt" strokecolor="#000000">
                <v:path arrowok="t"/>
              </v:shape>
            </v:group>
            <v:group style="position:absolute;left:7;top:7;width:1370;height:2" coordorigin="7,7" coordsize="1370,2">
              <v:shape style="position:absolute;left:7;top:7;width:1370;height:2" coordorigin="7,7" coordsize="1370,0" path="m7,7l1376,7e" filled="false" stroked="true" strokeweight=".65997pt" strokecolor="#000000">
                <v:path arrowok="t"/>
              </v:shape>
            </v:group>
            <v:group style="position:absolute;left:1419;top:1;width:1517;height:2" coordorigin="1419,1" coordsize="1517,2">
              <v:shape style="position:absolute;left:1419;top:1;width:1517;height:2" coordorigin="1419,1" coordsize="1517,0" path="m1419,1l2936,1e" filled="false" stroked="true" strokeweight=".06pt" strokecolor="#000000">
                <v:path arrowok="t"/>
              </v:shape>
            </v:group>
            <v:group style="position:absolute;left:1419;top:7;width:1517;height:2" coordorigin="1419,7" coordsize="1517,2">
              <v:shape style="position:absolute;left:1419;top:7;width:1517;height:2" coordorigin="1419,7" coordsize="1517,0" path="m1419,7l2936,7e" filled="false" stroked="true" strokeweight=".65997pt" strokecolor="#000000">
                <v:path arrowok="t"/>
              </v:shape>
            </v:group>
            <v:group style="position:absolute;left:2979;top:1;width:1355;height:2" coordorigin="2979,1" coordsize="1355,2">
              <v:shape style="position:absolute;left:2979;top:1;width:1355;height:2" coordorigin="2979,1" coordsize="1355,0" path="m2979,1l4334,1e" filled="false" stroked="true" strokeweight=".06pt" strokecolor="#000000">
                <v:path arrowok="t"/>
              </v:shape>
            </v:group>
            <v:group style="position:absolute;left:2979;top:7;width:1355;height:2" coordorigin="2979,7" coordsize="1355,2">
              <v:shape style="position:absolute;left:2979;top:7;width:1355;height:2" coordorigin="2979,7" coordsize="1355,0" path="m2979,7l4334,7e" filled="false" stroked="true" strokeweight=".65997pt" strokecolor="#000000">
                <v:path arrowok="t"/>
              </v:shape>
            </v:group>
            <v:group style="position:absolute;left:4378;top:1;width:1560;height:2" coordorigin="4378,1" coordsize="1560,2">
              <v:shape style="position:absolute;left:4378;top:1;width:1560;height:2" coordorigin="4378,1" coordsize="1560,0" path="m4378,1l5938,1e" filled="false" stroked="true" strokeweight=".06pt" strokecolor="#000000">
                <v:path arrowok="t"/>
              </v:shape>
            </v:group>
            <v:group style="position:absolute;left:4378;top:7;width:1560;height:2" coordorigin="4378,7" coordsize="1560,2">
              <v:shape style="position:absolute;left:4378;top:7;width:1560;height:2" coordorigin="4378,7" coordsize="1560,0" path="m4378,7l5938,7e" filled="false" stroked="true" strokeweight=".65997pt" strokecolor="#000000">
                <v:path arrowok="t"/>
              </v:shape>
            </v:group>
          </v:group>
        </w:pict>
      </w:r>
      <w:r>
        <w:rPr>
          <w:rFonts w:ascii="Times New Roman" w:hAnsi="Times New Roman" w:cs="Times New Roman" w:eastAsia="Times New Roman" w:hint="default"/>
          <w:sz w:val="2"/>
          <w:szCs w:val="2"/>
        </w:rPr>
      </w:r>
    </w:p>
    <w:p>
      <w:pPr>
        <w:tabs>
          <w:tab w:pos="1800" w:val="left" w:leader="none"/>
          <w:tab w:pos="3964" w:val="left" w:leader="none"/>
          <w:tab w:pos="4596" w:val="left" w:leader="none"/>
          <w:tab w:pos="6922" w:val="left" w:leader="none"/>
          <w:tab w:pos="7614" w:val="left" w:leader="none"/>
        </w:tabs>
        <w:spacing w:before="18"/>
        <w:ind w:left="1065"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w:t>
        <w:tab/>
        <w:t>计</w:t>
        <w:tab/>
      </w:r>
      <w:r>
        <w:rPr>
          <w:rFonts w:ascii="Times New Roman" w:hAnsi="Times New Roman" w:cs="Times New Roman" w:eastAsia="Times New Roman" w:hint="default"/>
          <w:w w:val="95"/>
          <w:position w:val="1"/>
          <w:sz w:val="20"/>
          <w:szCs w:val="20"/>
        </w:rPr>
        <w:t>-</w:t>
        <w:tab/>
      </w:r>
      <w:r>
        <w:rPr>
          <w:rFonts w:ascii="Times New Roman" w:hAnsi="Times New Roman" w:cs="Times New Roman" w:eastAsia="Times New Roman" w:hint="default"/>
          <w:spacing w:val="2"/>
          <w:position w:val="1"/>
          <w:sz w:val="20"/>
          <w:szCs w:val="20"/>
        </w:rPr>
        <w:t>15,000,000</w:t>
      </w:r>
      <w:r>
        <w:rPr>
          <w:rFonts w:ascii="Times New Roman" w:hAnsi="Times New Roman" w:cs="Times New Roman" w:eastAsia="Times New Roman" w:hint="default"/>
          <w:spacing w:val="-38"/>
          <w:position w:val="1"/>
          <w:sz w:val="20"/>
          <w:szCs w:val="20"/>
        </w:rPr>
        <w:t> </w:t>
      </w:r>
      <w:r>
        <w:rPr>
          <w:rFonts w:ascii="Times New Roman" w:hAnsi="Times New Roman" w:cs="Times New Roman" w:eastAsia="Times New Roman" w:hint="default"/>
          <w:position w:val="1"/>
          <w:sz w:val="20"/>
          <w:szCs w:val="20"/>
        </w:rPr>
        <w:t>.00</w:t>
        <w:tab/>
      </w:r>
      <w:r>
        <w:rPr>
          <w:rFonts w:ascii="Times New Roman" w:hAnsi="Times New Roman" w:cs="Times New Roman" w:eastAsia="Times New Roman" w:hint="default"/>
          <w:w w:val="95"/>
          <w:position w:val="1"/>
          <w:sz w:val="20"/>
          <w:szCs w:val="20"/>
        </w:rPr>
        <w:t>-</w:t>
        <w:tab/>
      </w:r>
      <w:r>
        <w:rPr>
          <w:rFonts w:ascii="Times New Roman" w:hAnsi="Times New Roman" w:cs="Times New Roman" w:eastAsia="Times New Roman" w:hint="default"/>
          <w:position w:val="1"/>
          <w:sz w:val="20"/>
          <w:szCs w:val="20"/>
        </w:rPr>
        <w:t>15,000</w:t>
      </w:r>
      <w:r>
        <w:rPr>
          <w:rFonts w:ascii="Times New Roman" w:hAnsi="Times New Roman" w:cs="Times New Roman" w:eastAsia="Times New Roman" w:hint="default"/>
          <w:spacing w:val="-19"/>
          <w:position w:val="1"/>
          <w:sz w:val="20"/>
          <w:szCs w:val="20"/>
        </w:rPr>
        <w:t> </w:t>
      </w:r>
      <w:r>
        <w:rPr>
          <w:rFonts w:ascii="Times New Roman" w:hAnsi="Times New Roman" w:cs="Times New Roman" w:eastAsia="Times New Roman" w:hint="default"/>
          <w:position w:val="1"/>
          <w:sz w:val="20"/>
          <w:szCs w:val="20"/>
        </w:rPr>
        <w:t>,000.00</w:t>
      </w:r>
      <w:r>
        <w:rPr>
          <w:rFonts w:ascii="Times New Roman" w:hAnsi="Times New Roman" w:cs="Times New Roman" w:eastAsia="Times New Roman" w:hint="default"/>
          <w:sz w:val="20"/>
          <w:szCs w:val="20"/>
        </w:rPr>
      </w:r>
    </w:p>
    <w:p>
      <w:pPr>
        <w:spacing w:line="240" w:lineRule="auto" w:before="2"/>
        <w:rPr>
          <w:rFonts w:ascii="Times New Roman" w:hAnsi="Times New Roman" w:cs="Times New Roman" w:eastAsia="Times New Roman" w:hint="default"/>
          <w:sz w:val="3"/>
          <w:szCs w:val="3"/>
        </w:rPr>
      </w:pPr>
    </w:p>
    <w:p>
      <w:pPr>
        <w:spacing w:line="57" w:lineRule="exact"/>
        <w:ind w:left="2949" w:right="0" w:firstLine="0"/>
        <w:rPr>
          <w:rFonts w:ascii="Times New Roman" w:hAnsi="Times New Roman" w:cs="Times New Roman" w:eastAsia="Times New Roman" w:hint="default"/>
          <w:sz w:val="5"/>
          <w:szCs w:val="5"/>
        </w:rPr>
      </w:pPr>
      <w:r>
        <w:rPr>
          <w:rFonts w:ascii="Times New Roman" w:hAnsi="Times New Roman" w:cs="Times New Roman" w:eastAsia="Times New Roman" w:hint="default"/>
          <w:position w:val="0"/>
          <w:sz w:val="5"/>
          <w:szCs w:val="5"/>
        </w:rPr>
        <w:pict>
          <v:group style="width:298.05pt;height:2.9pt;mso-position-horizontal-relative:char;mso-position-vertical-relative:line" coordorigin="0,0" coordsize="5961,58">
            <v:group style="position:absolute;left:14;top:14;width:1370;height:2" coordorigin="14,14" coordsize="1370,2">
              <v:shape style="position:absolute;left:14;top:14;width:1370;height:2" coordorigin="14,14" coordsize="1370,0" path="m14,14l1384,14e" filled="false" stroked="true" strokeweight="1.44pt" strokecolor="#000000">
                <v:path arrowok="t"/>
              </v:shape>
            </v:group>
            <v:group style="position:absolute;left:14;top:50;width:1370;height:2" coordorigin="14,50" coordsize="1370,2">
              <v:shape style="position:absolute;left:14;top:50;width:1370;height:2" coordorigin="14,50" coordsize="1370,0" path="m14,50l1384,50e" filled="false" stroked="true" strokeweight=".71997pt" strokecolor="#000000">
                <v:path arrowok="t"/>
              </v:shape>
            </v:group>
            <v:group style="position:absolute;left:1427;top:14;width:1517;height:2" coordorigin="1427,14" coordsize="1517,2">
              <v:shape style="position:absolute;left:1427;top:14;width:1517;height:2" coordorigin="1427,14" coordsize="1517,0" path="m1427,14l2944,14e" filled="false" stroked="true" strokeweight="1.44pt" strokecolor="#000000">
                <v:path arrowok="t"/>
              </v:shape>
            </v:group>
            <v:group style="position:absolute;left:1427;top:50;width:1517;height:2" coordorigin="1427,50" coordsize="1517,2">
              <v:shape style="position:absolute;left:1427;top:50;width:1517;height:2" coordorigin="1427,50" coordsize="1517,0" path="m1427,50l2944,50e" filled="false" stroked="true" strokeweight=".71997pt" strokecolor="#000000">
                <v:path arrowok="t"/>
              </v:shape>
            </v:group>
            <v:group style="position:absolute;left:2987;top:14;width:1355;height:2" coordorigin="2987,14" coordsize="1355,2">
              <v:shape style="position:absolute;left:2987;top:14;width:1355;height:2" coordorigin="2987,14" coordsize="1355,0" path="m2987,14l4342,14e" filled="false" stroked="true" strokeweight="1.44pt" strokecolor="#000000">
                <v:path arrowok="t"/>
              </v:shape>
            </v:group>
            <v:group style="position:absolute;left:2987;top:50;width:1355;height:2" coordorigin="2987,50" coordsize="1355,2">
              <v:shape style="position:absolute;left:2987;top:50;width:1355;height:2" coordorigin="2987,50" coordsize="1355,0" path="m2987,50l4342,50e" filled="false" stroked="true" strokeweight=".71997pt" strokecolor="#000000">
                <v:path arrowok="t"/>
              </v:shape>
            </v:group>
            <v:group style="position:absolute;left:4386;top:14;width:1560;height:2" coordorigin="4386,14" coordsize="1560,2">
              <v:shape style="position:absolute;left:4386;top:14;width:1560;height:2" coordorigin="4386,14" coordsize="1560,0" path="m4386,14l5946,14e" filled="false" stroked="true" strokeweight="1.44pt" strokecolor="#000000">
                <v:path arrowok="t"/>
              </v:shape>
            </v:group>
            <v:group style="position:absolute;left:4386;top:50;width:1560;height:2" coordorigin="4386,50" coordsize="1560,2">
              <v:shape style="position:absolute;left:4386;top:50;width:1560;height:2" coordorigin="4386,50" coordsize="1560,0" path="m4386,50l5946,50e" filled="false" stroked="true" strokeweight=".71997pt" strokecolor="#000000">
                <v:path arrowok="t"/>
              </v:shape>
            </v:group>
          </v:group>
        </w:pict>
      </w:r>
      <w:r>
        <w:rPr>
          <w:rFonts w:ascii="Times New Roman" w:hAnsi="Times New Roman" w:cs="Times New Roman" w:eastAsia="Times New Roman" w:hint="default"/>
          <w:position w:val="0"/>
          <w:sz w:val="5"/>
          <w:szCs w:val="5"/>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7"/>
          <w:szCs w:val="27"/>
        </w:rPr>
      </w:pPr>
    </w:p>
    <w:p>
      <w:pPr>
        <w:pStyle w:val="BodyText"/>
        <w:spacing w:line="336" w:lineRule="auto" w:before="27"/>
        <w:ind w:right="572" w:firstLine="480"/>
        <w:jc w:val="both"/>
      </w:pPr>
      <w:r>
        <w:rPr>
          <w:spacing w:val="-2"/>
        </w:rPr>
        <w:t>（2）北京东港印刷有限公司为本公司全资子公司山东东港安全印刷有限公</w:t>
      </w:r>
      <w:r>
        <w:rPr>
          <w:spacing w:val="-1"/>
          <w:w w:val="100"/>
        </w:rPr>
        <w:t> </w:t>
      </w:r>
      <w:r>
        <w:rPr/>
        <w:t>司的全资子公司，截至</w:t>
      </w:r>
      <w:r>
        <w:rPr>
          <w:spacing w:val="-56"/>
        </w:rPr>
        <w:t> </w:t>
      </w:r>
      <w:r>
        <w:rPr/>
        <w:t>2007</w:t>
      </w:r>
      <w:r>
        <w:rPr>
          <w:spacing w:val="-55"/>
        </w:rPr>
        <w:t> </w:t>
      </w:r>
      <w:r>
        <w:rPr/>
        <w:t>年</w:t>
      </w:r>
      <w:r>
        <w:rPr>
          <w:spacing w:val="-55"/>
        </w:rPr>
        <w:t> </w:t>
      </w:r>
      <w:r>
        <w:rPr/>
        <w:t>12</w:t>
      </w:r>
      <w:r>
        <w:rPr>
          <w:spacing w:val="-55"/>
        </w:rPr>
        <w:t> </w:t>
      </w:r>
      <w:r>
        <w:rPr/>
        <w:t>月</w:t>
      </w:r>
      <w:r>
        <w:rPr>
          <w:spacing w:val="-56"/>
        </w:rPr>
        <w:t> </w:t>
      </w:r>
      <w:r>
        <w:rPr/>
        <w:t>31</w:t>
      </w:r>
      <w:r>
        <w:rPr>
          <w:spacing w:val="-55"/>
        </w:rPr>
        <w:t> </w:t>
      </w:r>
      <w:r>
        <w:rPr/>
        <w:t>日工商登记尚未办理完毕，故未纳入合</w:t>
      </w:r>
      <w:r>
        <w:rPr>
          <w:spacing w:val="-1"/>
          <w:w w:val="100"/>
        </w:rPr>
        <w:t> </w:t>
      </w:r>
      <w:r>
        <w:rPr/>
        <w:t>并范围。</w:t>
      </w:r>
    </w:p>
    <w:p>
      <w:pPr>
        <w:pStyle w:val="BodyText"/>
        <w:spacing w:line="336" w:lineRule="auto" w:before="29"/>
        <w:ind w:right="572" w:firstLine="480"/>
        <w:jc w:val="both"/>
      </w:pPr>
      <w:r>
        <w:rPr>
          <w:spacing w:val="-10"/>
        </w:rPr>
        <w:t>（3）截至</w:t>
      </w:r>
      <w:r>
        <w:rPr>
          <w:spacing w:val="-55"/>
        </w:rPr>
        <w:t> </w:t>
      </w:r>
      <w:r>
        <w:rPr/>
        <w:t>2007</w:t>
      </w:r>
      <w:r>
        <w:rPr>
          <w:spacing w:val="-54"/>
        </w:rPr>
        <w:t> </w:t>
      </w:r>
      <w:r>
        <w:rPr/>
        <w:t>年</w:t>
      </w:r>
      <w:r>
        <w:rPr>
          <w:spacing w:val="-55"/>
        </w:rPr>
        <w:t> </w:t>
      </w:r>
      <w:r>
        <w:rPr/>
        <w:t>12</w:t>
      </w:r>
      <w:r>
        <w:rPr>
          <w:spacing w:val="-54"/>
        </w:rPr>
        <w:t> </w:t>
      </w:r>
      <w:r>
        <w:rPr/>
        <w:t>月</w:t>
      </w:r>
      <w:r>
        <w:rPr>
          <w:spacing w:val="-55"/>
        </w:rPr>
        <w:t> </w:t>
      </w:r>
      <w:r>
        <w:rPr/>
        <w:t>31</w:t>
      </w:r>
      <w:r>
        <w:rPr>
          <w:spacing w:val="-54"/>
        </w:rPr>
        <w:t> </w:t>
      </w:r>
      <w:r>
        <w:rPr>
          <w:spacing w:val="-4"/>
        </w:rPr>
        <w:t>日，本公司不存在对被投资公司持股比例低于在</w:t>
      </w:r>
      <w:r>
        <w:rPr>
          <w:spacing w:val="-1"/>
          <w:w w:val="100"/>
        </w:rPr>
        <w:t> </w:t>
      </w:r>
      <w:r>
        <w:rPr/>
        <w:t>被投资单位表决权比例的情况。</w:t>
      </w:r>
    </w:p>
    <w:p>
      <w:pPr>
        <w:pStyle w:val="BodyText"/>
        <w:spacing w:line="336" w:lineRule="auto"/>
        <w:ind w:right="572" w:firstLine="480"/>
        <w:jc w:val="both"/>
      </w:pPr>
      <w:r>
        <w:rPr>
          <w:spacing w:val="-10"/>
        </w:rPr>
        <w:t>（4）截至</w:t>
      </w:r>
      <w:r>
        <w:rPr>
          <w:spacing w:val="-55"/>
        </w:rPr>
        <w:t> </w:t>
      </w:r>
      <w:r>
        <w:rPr/>
        <w:t>2007</w:t>
      </w:r>
      <w:r>
        <w:rPr>
          <w:spacing w:val="-54"/>
        </w:rPr>
        <w:t> </w:t>
      </w:r>
      <w:r>
        <w:rPr/>
        <w:t>年</w:t>
      </w:r>
      <w:r>
        <w:rPr>
          <w:spacing w:val="-55"/>
        </w:rPr>
        <w:t> </w:t>
      </w:r>
      <w:r>
        <w:rPr/>
        <w:t>12</w:t>
      </w:r>
      <w:r>
        <w:rPr>
          <w:spacing w:val="-54"/>
        </w:rPr>
        <w:t> </w:t>
      </w:r>
      <w:r>
        <w:rPr/>
        <w:t>月</w:t>
      </w:r>
      <w:r>
        <w:rPr>
          <w:spacing w:val="-55"/>
        </w:rPr>
        <w:t> </w:t>
      </w:r>
      <w:r>
        <w:rPr/>
        <w:t>31</w:t>
      </w:r>
      <w:r>
        <w:rPr>
          <w:spacing w:val="-54"/>
        </w:rPr>
        <w:t> </w:t>
      </w:r>
      <w:r>
        <w:rPr>
          <w:spacing w:val="-4"/>
        </w:rPr>
        <w:t>日，本公司长期股权投资无账面价值高于可收回</w:t>
      </w:r>
      <w:r>
        <w:rPr>
          <w:spacing w:val="-1"/>
          <w:w w:val="100"/>
        </w:rPr>
        <w:t> </w:t>
      </w:r>
      <w:r>
        <w:rPr>
          <w:spacing w:val="-2"/>
        </w:rPr>
        <w:t>金额的情况。</w:t>
      </w:r>
      <w:r>
        <w:rPr/>
      </w:r>
    </w:p>
    <w:p>
      <w:pPr>
        <w:pStyle w:val="Heading3"/>
        <w:spacing w:line="356" w:lineRule="exact"/>
        <w:ind w:left="681" w:right="219"/>
        <w:jc w:val="left"/>
        <w:rPr>
          <w:b w:val="0"/>
          <w:bCs w:val="0"/>
        </w:rPr>
      </w:pPr>
      <w:r>
        <w:rPr>
          <w:w w:val="115"/>
        </w:rPr>
        <w:t>i)</w:t>
      </w:r>
      <w:r>
        <w:rPr>
          <w:spacing w:val="39"/>
          <w:w w:val="115"/>
        </w:rPr>
        <w:t> </w:t>
      </w:r>
      <w:r>
        <w:rPr>
          <w:w w:val="115"/>
        </w:rPr>
        <w:t>固定资产</w:t>
      </w:r>
      <w:r>
        <w:rPr>
          <w:b w:val="0"/>
          <w:bCs w:val="0"/>
          <w:w w:val="115"/>
        </w:rPr>
      </w:r>
    </w:p>
    <w:p>
      <w:pPr>
        <w:pStyle w:val="BodyText"/>
        <w:spacing w:line="240" w:lineRule="auto" w:before="94"/>
        <w:ind w:left="677" w:right="219"/>
        <w:jc w:val="left"/>
      </w:pPr>
      <w:r>
        <w:rPr/>
        <w:t>（1）固定资产明细情况</w:t>
      </w:r>
    </w:p>
    <w:p>
      <w:pPr>
        <w:spacing w:after="0" w:line="240" w:lineRule="auto"/>
        <w:jc w:val="left"/>
        <w:sectPr>
          <w:pgSz w:w="11910" w:h="16840"/>
          <w:pgMar w:header="915" w:footer="1712" w:top="1100" w:bottom="1900" w:left="1660" w:right="1220"/>
        </w:sectPr>
      </w:pPr>
    </w:p>
    <w:p>
      <w:pPr>
        <w:spacing w:line="240" w:lineRule="auto" w:before="6"/>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92"/>
        <w:gridCol w:w="1885"/>
        <w:gridCol w:w="1654"/>
        <w:gridCol w:w="3188"/>
      </w:tblGrid>
      <w:tr>
        <w:trPr>
          <w:trHeight w:val="314" w:hRule="exact"/>
        </w:trPr>
        <w:tc>
          <w:tcPr>
            <w:tcW w:w="2092" w:type="dxa"/>
            <w:tcBorders>
              <w:top w:val="single" w:sz="6" w:space="0" w:color="000000"/>
              <w:left w:val="nil" w:sz="6" w:space="0" w:color="auto"/>
              <w:bottom w:val="single" w:sz="6" w:space="0" w:color="000000"/>
              <w:right w:val="nil" w:sz="6" w:space="0" w:color="auto"/>
            </w:tcBorders>
          </w:tcPr>
          <w:p>
            <w:pPr>
              <w:pStyle w:val="TableParagraph"/>
              <w:tabs>
                <w:tab w:pos="1193" w:val="left" w:leader="none"/>
              </w:tabs>
              <w:spacing w:line="240" w:lineRule="auto" w:before="10"/>
              <w:ind w:left="690" w:right="0"/>
              <w:jc w:val="left"/>
              <w:rPr>
                <w:rFonts w:ascii="宋体" w:hAnsi="宋体" w:cs="宋体" w:eastAsia="宋体" w:hint="default"/>
                <w:sz w:val="20"/>
                <w:szCs w:val="20"/>
              </w:rPr>
            </w:pPr>
            <w:r>
              <w:rPr>
                <w:rFonts w:ascii="宋体" w:hAnsi="宋体" w:cs="宋体" w:eastAsia="宋体" w:hint="default"/>
                <w:sz w:val="20"/>
                <w:szCs w:val="20"/>
              </w:rPr>
              <w:t>项</w:t>
              <w:tab/>
              <w:t>目</w:t>
            </w:r>
          </w:p>
        </w:tc>
        <w:tc>
          <w:tcPr>
            <w:tcW w:w="1885"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588"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1654"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357" w:right="0"/>
              <w:jc w:val="left"/>
              <w:rPr>
                <w:rFonts w:ascii="宋体" w:hAnsi="宋体" w:cs="宋体" w:eastAsia="宋体" w:hint="default"/>
                <w:sz w:val="20"/>
                <w:szCs w:val="20"/>
              </w:rPr>
            </w:pPr>
            <w:r>
              <w:rPr>
                <w:rFonts w:ascii="宋体" w:hAnsi="宋体" w:cs="宋体" w:eastAsia="宋体" w:hint="default"/>
                <w:spacing w:val="-5"/>
                <w:sz w:val="20"/>
                <w:szCs w:val="20"/>
              </w:rPr>
              <w:t>本年增加</w:t>
            </w:r>
            <w:r>
              <w:rPr>
                <w:rFonts w:ascii="宋体" w:hAnsi="宋体" w:cs="宋体" w:eastAsia="宋体" w:hint="default"/>
                <w:sz w:val="20"/>
                <w:szCs w:val="20"/>
              </w:rPr>
            </w:r>
          </w:p>
        </w:tc>
        <w:tc>
          <w:tcPr>
            <w:tcW w:w="3188" w:type="dxa"/>
            <w:tcBorders>
              <w:top w:val="single" w:sz="6" w:space="0" w:color="000000"/>
              <w:left w:val="nil" w:sz="6" w:space="0" w:color="auto"/>
              <w:bottom w:val="single" w:sz="6" w:space="0" w:color="000000"/>
              <w:right w:val="nil" w:sz="6" w:space="0" w:color="auto"/>
            </w:tcBorders>
          </w:tcPr>
          <w:p>
            <w:pPr>
              <w:pStyle w:val="TableParagraph"/>
              <w:tabs>
                <w:tab w:pos="2052" w:val="left" w:leader="none"/>
              </w:tabs>
              <w:spacing w:line="240" w:lineRule="auto" w:before="10"/>
              <w:ind w:left="314" w:right="0"/>
              <w:jc w:val="left"/>
              <w:rPr>
                <w:rFonts w:ascii="宋体" w:hAnsi="宋体" w:cs="宋体" w:eastAsia="宋体" w:hint="default"/>
                <w:sz w:val="20"/>
                <w:szCs w:val="20"/>
              </w:rPr>
            </w:pPr>
            <w:r>
              <w:rPr>
                <w:rFonts w:ascii="宋体" w:hAnsi="宋体" w:cs="宋体" w:eastAsia="宋体" w:hint="default"/>
                <w:spacing w:val="-4"/>
                <w:sz w:val="20"/>
                <w:szCs w:val="20"/>
              </w:rPr>
              <w:t>本年减少</w:t>
              <w:tab/>
            </w:r>
            <w:r>
              <w:rPr>
                <w:rFonts w:ascii="宋体" w:hAnsi="宋体" w:cs="宋体" w:eastAsia="宋体" w:hint="default"/>
                <w:sz w:val="20"/>
                <w:szCs w:val="20"/>
              </w:rPr>
              <w:t>年末数</w:t>
            </w:r>
          </w:p>
        </w:tc>
      </w:tr>
      <w:tr>
        <w:trPr>
          <w:trHeight w:val="308" w:hRule="exact"/>
        </w:trPr>
        <w:tc>
          <w:tcPr>
            <w:tcW w:w="2092" w:type="dxa"/>
            <w:tcBorders>
              <w:top w:val="single" w:sz="6" w:space="0" w:color="000000"/>
              <w:left w:val="nil" w:sz="6" w:space="0" w:color="auto"/>
              <w:bottom w:val="nil" w:sz="6" w:space="0" w:color="auto"/>
              <w:right w:val="nil" w:sz="6" w:space="0" w:color="auto"/>
            </w:tcBorders>
          </w:tcPr>
          <w:p>
            <w:pPr>
              <w:pStyle w:val="TableParagraph"/>
              <w:spacing w:line="280" w:lineRule="exact"/>
              <w:ind w:left="7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9"/>
                <w:sz w:val="20"/>
                <w:szCs w:val="20"/>
              </w:rPr>
              <w:t>原价</w:t>
            </w:r>
            <w:r>
              <w:rPr>
                <w:rFonts w:ascii="Microsoft JhengHei" w:hAnsi="Microsoft JhengHei" w:cs="Microsoft JhengHei" w:eastAsia="Microsoft JhengHei" w:hint="default"/>
                <w:sz w:val="20"/>
                <w:szCs w:val="20"/>
              </w:rPr>
            </w:r>
          </w:p>
        </w:tc>
        <w:tc>
          <w:tcPr>
            <w:tcW w:w="1885" w:type="dxa"/>
            <w:tcBorders>
              <w:top w:val="single" w:sz="6" w:space="0" w:color="000000"/>
              <w:left w:val="nil" w:sz="6" w:space="0" w:color="auto"/>
              <w:bottom w:val="nil" w:sz="6" w:space="0" w:color="auto"/>
              <w:right w:val="nil" w:sz="6" w:space="0" w:color="auto"/>
            </w:tcBorders>
          </w:tcPr>
          <w:p>
            <w:pPr/>
          </w:p>
        </w:tc>
        <w:tc>
          <w:tcPr>
            <w:tcW w:w="1654" w:type="dxa"/>
            <w:tcBorders>
              <w:top w:val="single" w:sz="6" w:space="0" w:color="000000"/>
              <w:left w:val="nil" w:sz="6" w:space="0" w:color="auto"/>
              <w:bottom w:val="nil" w:sz="6" w:space="0" w:color="auto"/>
              <w:right w:val="nil" w:sz="6" w:space="0" w:color="auto"/>
            </w:tcBorders>
          </w:tcPr>
          <w:p>
            <w:pPr/>
          </w:p>
        </w:tc>
        <w:tc>
          <w:tcPr>
            <w:tcW w:w="3188" w:type="dxa"/>
            <w:tcBorders>
              <w:top w:val="single" w:sz="6" w:space="0" w:color="000000"/>
              <w:left w:val="nil" w:sz="6" w:space="0" w:color="auto"/>
              <w:bottom w:val="nil" w:sz="6" w:space="0" w:color="auto"/>
              <w:right w:val="nil" w:sz="6" w:space="0" w:color="auto"/>
            </w:tcBorders>
          </w:tcPr>
          <w:p>
            <w:pPr/>
          </w:p>
        </w:tc>
      </w:tr>
      <w:tr>
        <w:trPr>
          <w:trHeight w:val="291"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3" w:lineRule="exact"/>
              <w:ind w:left="73" w:right="0"/>
              <w:jc w:val="left"/>
              <w:rPr>
                <w:rFonts w:ascii="宋体" w:hAnsi="宋体" w:cs="宋体" w:eastAsia="宋体" w:hint="default"/>
                <w:sz w:val="20"/>
                <w:szCs w:val="20"/>
              </w:rPr>
            </w:pPr>
            <w:r>
              <w:rPr>
                <w:rFonts w:ascii="宋体" w:hAnsi="宋体" w:cs="宋体" w:eastAsia="宋体" w:hint="default"/>
                <w:spacing w:val="-3"/>
                <w:sz w:val="20"/>
                <w:szCs w:val="20"/>
              </w:rPr>
              <w:t>房屋、建筑物</w:t>
            </w:r>
            <w:r>
              <w:rPr>
                <w:rFonts w:ascii="宋体" w:hAnsi="宋体" w:cs="宋体" w:eastAsia="宋体" w:hint="default"/>
                <w:sz w:val="20"/>
                <w:szCs w:val="20"/>
              </w:rPr>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15"/>
              <w:jc w:val="right"/>
              <w:rPr>
                <w:rFonts w:ascii="Times New Roman" w:hAnsi="Times New Roman" w:cs="Times New Roman" w:eastAsia="Times New Roman" w:hint="default"/>
                <w:sz w:val="20"/>
                <w:szCs w:val="20"/>
              </w:rPr>
            </w:pPr>
            <w:r>
              <w:rPr>
                <w:rFonts w:ascii="Times New Roman"/>
                <w:spacing w:val="-1"/>
                <w:sz w:val="20"/>
              </w:rPr>
              <w:t>68,409,334.78</w:t>
            </w:r>
            <w:r>
              <w:rPr>
                <w:rFonts w:ascii="Times New Roman"/>
                <w:sz w:val="20"/>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9"/>
              <w:jc w:val="right"/>
              <w:rPr>
                <w:rFonts w:ascii="Times New Roman" w:hAnsi="Times New Roman" w:cs="Times New Roman" w:eastAsia="Times New Roman" w:hint="default"/>
                <w:sz w:val="20"/>
                <w:szCs w:val="20"/>
              </w:rPr>
            </w:pPr>
            <w:r>
              <w:rPr>
                <w:rFonts w:ascii="Times New Roman"/>
                <w:spacing w:val="-2"/>
                <w:sz w:val="20"/>
              </w:rPr>
              <w:t>30,100,000.00</w:t>
            </w:r>
          </w:p>
        </w:tc>
        <w:tc>
          <w:tcPr>
            <w:tcW w:w="3188" w:type="dxa"/>
            <w:tcBorders>
              <w:top w:val="nil" w:sz="6" w:space="0" w:color="auto"/>
              <w:left w:val="nil" w:sz="6" w:space="0" w:color="auto"/>
              <w:bottom w:val="nil" w:sz="6" w:space="0" w:color="auto"/>
              <w:right w:val="nil" w:sz="6" w:space="0" w:color="auto"/>
            </w:tcBorders>
          </w:tcPr>
          <w:p>
            <w:pPr>
              <w:pStyle w:val="TableParagraph"/>
              <w:tabs>
                <w:tab w:pos="868" w:val="left" w:leader="none"/>
              </w:tabs>
              <w:spacing w:line="240" w:lineRule="auto" w:before="22"/>
              <w:ind w:right="94"/>
              <w:jc w:val="right"/>
              <w:rPr>
                <w:rFonts w:ascii="Times New Roman" w:hAnsi="Times New Roman" w:cs="Times New Roman" w:eastAsia="Times New Roman" w:hint="default"/>
                <w:sz w:val="20"/>
                <w:szCs w:val="20"/>
              </w:rPr>
            </w:pPr>
            <w:r>
              <w:rPr>
                <w:rFonts w:ascii="Times New Roman"/>
                <w:sz w:val="20"/>
              </w:rPr>
              <w:t>-</w:t>
              <w:tab/>
            </w:r>
            <w:r>
              <w:rPr>
                <w:rFonts w:ascii="Times New Roman"/>
                <w:spacing w:val="-2"/>
                <w:sz w:val="20"/>
              </w:rPr>
              <w:t>98,509,334.78</w:t>
            </w:r>
          </w:p>
        </w:tc>
      </w:tr>
      <w:tr>
        <w:trPr>
          <w:trHeight w:val="295"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52" w:lineRule="exact"/>
              <w:ind w:left="73"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5"/>
              <w:jc w:val="right"/>
              <w:rPr>
                <w:rFonts w:ascii="Times New Roman" w:hAnsi="Times New Roman" w:cs="Times New Roman" w:eastAsia="Times New Roman" w:hint="default"/>
                <w:sz w:val="20"/>
                <w:szCs w:val="20"/>
              </w:rPr>
            </w:pPr>
            <w:r>
              <w:rPr>
                <w:rFonts w:ascii="Times New Roman"/>
                <w:spacing w:val="-1"/>
                <w:sz w:val="20"/>
              </w:rPr>
              <w:t>242,309,298.25</w:t>
            </w:r>
            <w:r>
              <w:rPr>
                <w:rFonts w:ascii="Times New Roman"/>
                <w:sz w:val="20"/>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9"/>
              <w:jc w:val="right"/>
              <w:rPr>
                <w:rFonts w:ascii="Times New Roman" w:hAnsi="Times New Roman" w:cs="Times New Roman" w:eastAsia="Times New Roman" w:hint="default"/>
                <w:sz w:val="20"/>
                <w:szCs w:val="20"/>
              </w:rPr>
            </w:pPr>
            <w:r>
              <w:rPr>
                <w:rFonts w:ascii="Times New Roman"/>
                <w:spacing w:val="-2"/>
                <w:sz w:val="20"/>
              </w:rPr>
              <w:t>91,103,581.45</w:t>
            </w:r>
          </w:p>
        </w:tc>
        <w:tc>
          <w:tcPr>
            <w:tcW w:w="3188" w:type="dxa"/>
            <w:tcBorders>
              <w:top w:val="nil" w:sz="6" w:space="0" w:color="auto"/>
              <w:left w:val="nil" w:sz="6" w:space="0" w:color="auto"/>
              <w:bottom w:val="nil" w:sz="6" w:space="0" w:color="auto"/>
              <w:right w:val="nil" w:sz="6" w:space="0" w:color="auto"/>
            </w:tcBorders>
          </w:tcPr>
          <w:p>
            <w:pPr>
              <w:pStyle w:val="TableParagraph"/>
              <w:tabs>
                <w:tab w:pos="1653" w:val="left" w:leader="none"/>
              </w:tabs>
              <w:spacing w:line="240" w:lineRule="auto" w:before="17"/>
              <w:ind w:right="95"/>
              <w:jc w:val="right"/>
              <w:rPr>
                <w:rFonts w:ascii="Times New Roman" w:hAnsi="Times New Roman" w:cs="Times New Roman" w:eastAsia="Times New Roman" w:hint="default"/>
                <w:sz w:val="20"/>
                <w:szCs w:val="20"/>
              </w:rPr>
            </w:pPr>
            <w:r>
              <w:rPr>
                <w:rFonts w:ascii="Times New Roman"/>
                <w:spacing w:val="-1"/>
                <w:sz w:val="20"/>
              </w:rPr>
              <w:t>45,301,991.62</w:t>
              <w:tab/>
            </w:r>
            <w:r>
              <w:rPr>
                <w:rFonts w:ascii="Times New Roman"/>
                <w:spacing w:val="-2"/>
                <w:sz w:val="20"/>
              </w:rPr>
              <w:t>288,110,888.08</w:t>
            </w:r>
            <w:r>
              <w:rPr>
                <w:rFonts w:ascii="Times New Roman"/>
                <w:sz w:val="20"/>
              </w:rPr>
            </w:r>
          </w:p>
        </w:tc>
      </w:tr>
      <w:tr>
        <w:trPr>
          <w:trHeight w:val="295"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3" w:lineRule="exact"/>
              <w:ind w:left="73"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15"/>
              <w:jc w:val="right"/>
              <w:rPr>
                <w:rFonts w:ascii="Times New Roman" w:hAnsi="Times New Roman" w:cs="Times New Roman" w:eastAsia="Times New Roman" w:hint="default"/>
                <w:sz w:val="20"/>
                <w:szCs w:val="20"/>
              </w:rPr>
            </w:pPr>
            <w:r>
              <w:rPr>
                <w:rFonts w:ascii="Times New Roman"/>
                <w:spacing w:val="-1"/>
                <w:sz w:val="20"/>
              </w:rPr>
              <w:t>10,221,417.60</w:t>
            </w:r>
            <w:r>
              <w:rPr>
                <w:rFonts w:ascii="Times New Roman"/>
                <w:sz w:val="20"/>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9"/>
              <w:jc w:val="right"/>
              <w:rPr>
                <w:rFonts w:ascii="Times New Roman" w:hAnsi="Times New Roman" w:cs="Times New Roman" w:eastAsia="Times New Roman" w:hint="default"/>
                <w:sz w:val="20"/>
                <w:szCs w:val="20"/>
              </w:rPr>
            </w:pPr>
            <w:r>
              <w:rPr>
                <w:rFonts w:ascii="Times New Roman"/>
                <w:spacing w:val="-2"/>
                <w:sz w:val="20"/>
              </w:rPr>
              <w:t>2,563,805.43</w:t>
            </w:r>
          </w:p>
        </w:tc>
        <w:tc>
          <w:tcPr>
            <w:tcW w:w="3188" w:type="dxa"/>
            <w:tcBorders>
              <w:top w:val="nil" w:sz="6" w:space="0" w:color="auto"/>
              <w:left w:val="nil" w:sz="6" w:space="0" w:color="auto"/>
              <w:bottom w:val="nil" w:sz="6" w:space="0" w:color="auto"/>
              <w:right w:val="nil" w:sz="6" w:space="0" w:color="auto"/>
            </w:tcBorders>
          </w:tcPr>
          <w:p>
            <w:pPr>
              <w:pStyle w:val="TableParagraph"/>
              <w:tabs>
                <w:tab w:pos="1639" w:val="left" w:leader="none"/>
              </w:tabs>
              <w:spacing w:line="240" w:lineRule="auto" w:before="22"/>
              <w:ind w:right="94"/>
              <w:jc w:val="right"/>
              <w:rPr>
                <w:rFonts w:ascii="Times New Roman" w:hAnsi="Times New Roman" w:cs="Times New Roman" w:eastAsia="Times New Roman" w:hint="default"/>
                <w:sz w:val="20"/>
                <w:szCs w:val="20"/>
              </w:rPr>
            </w:pPr>
            <w:r>
              <w:rPr>
                <w:rFonts w:ascii="Times New Roman"/>
                <w:spacing w:val="-2"/>
                <w:sz w:val="20"/>
              </w:rPr>
              <w:t>1,755,958.55</w:t>
              <w:tab/>
              <w:t>11,029,264.48</w:t>
            </w:r>
          </w:p>
        </w:tc>
      </w:tr>
      <w:tr>
        <w:trPr>
          <w:trHeight w:val="284"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8" w:lineRule="exact"/>
              <w:ind w:left="73" w:right="0"/>
              <w:jc w:val="left"/>
              <w:rPr>
                <w:rFonts w:ascii="宋体" w:hAnsi="宋体" w:cs="宋体" w:eastAsia="宋体" w:hint="default"/>
                <w:sz w:val="20"/>
                <w:szCs w:val="20"/>
              </w:rPr>
            </w:pPr>
            <w:r>
              <w:rPr>
                <w:rFonts w:ascii="宋体" w:hAnsi="宋体" w:cs="宋体" w:eastAsia="宋体" w:hint="default"/>
                <w:sz w:val="20"/>
                <w:szCs w:val="20"/>
              </w:rPr>
              <w:t>其他及办公设备</w:t>
            </w:r>
          </w:p>
        </w:tc>
        <w:tc>
          <w:tcPr>
            <w:tcW w:w="1885" w:type="dxa"/>
            <w:tcBorders>
              <w:top w:val="nil" w:sz="6" w:space="0" w:color="auto"/>
              <w:left w:val="nil" w:sz="6" w:space="0" w:color="auto"/>
              <w:bottom w:val="single" w:sz="6" w:space="0" w:color="000000"/>
              <w:right w:val="nil" w:sz="6" w:space="0" w:color="auto"/>
            </w:tcBorders>
          </w:tcPr>
          <w:p>
            <w:pPr>
              <w:pStyle w:val="TableParagraph"/>
              <w:spacing w:line="240" w:lineRule="auto" w:before="26"/>
              <w:ind w:right="215"/>
              <w:jc w:val="right"/>
              <w:rPr>
                <w:rFonts w:ascii="Times New Roman" w:hAnsi="Times New Roman" w:cs="Times New Roman" w:eastAsia="Times New Roman" w:hint="default"/>
                <w:sz w:val="20"/>
                <w:szCs w:val="20"/>
              </w:rPr>
            </w:pPr>
            <w:r>
              <w:rPr>
                <w:rFonts w:ascii="Times New Roman"/>
                <w:spacing w:val="-2"/>
                <w:sz w:val="20"/>
              </w:rPr>
              <w:t>6,073,478.61</w:t>
            </w:r>
            <w:r>
              <w:rPr>
                <w:rFonts w:ascii="Times New Roman"/>
                <w:sz w:val="20"/>
              </w:rPr>
            </w:r>
          </w:p>
        </w:tc>
        <w:tc>
          <w:tcPr>
            <w:tcW w:w="1654" w:type="dxa"/>
            <w:tcBorders>
              <w:top w:val="nil" w:sz="6" w:space="0" w:color="auto"/>
              <w:left w:val="nil" w:sz="6" w:space="0" w:color="auto"/>
              <w:bottom w:val="single" w:sz="6" w:space="0" w:color="000000"/>
              <w:right w:val="nil" w:sz="6" w:space="0" w:color="auto"/>
            </w:tcBorders>
          </w:tcPr>
          <w:p>
            <w:pPr>
              <w:pStyle w:val="TableParagraph"/>
              <w:spacing w:line="240" w:lineRule="auto" w:before="26"/>
              <w:ind w:right="199"/>
              <w:jc w:val="right"/>
              <w:rPr>
                <w:rFonts w:ascii="Times New Roman" w:hAnsi="Times New Roman" w:cs="Times New Roman" w:eastAsia="Times New Roman" w:hint="default"/>
                <w:sz w:val="20"/>
                <w:szCs w:val="20"/>
              </w:rPr>
            </w:pPr>
            <w:r>
              <w:rPr>
                <w:rFonts w:ascii="Times New Roman"/>
                <w:spacing w:val="-2"/>
                <w:sz w:val="20"/>
              </w:rPr>
              <w:t>5,850,219.35</w:t>
            </w:r>
          </w:p>
        </w:tc>
        <w:tc>
          <w:tcPr>
            <w:tcW w:w="3188" w:type="dxa"/>
            <w:tcBorders>
              <w:top w:val="nil" w:sz="6" w:space="0" w:color="auto"/>
              <w:left w:val="nil" w:sz="6" w:space="0" w:color="auto"/>
              <w:bottom w:val="single" w:sz="6" w:space="0" w:color="000000"/>
              <w:right w:val="nil" w:sz="6" w:space="0" w:color="auto"/>
            </w:tcBorders>
          </w:tcPr>
          <w:p>
            <w:pPr>
              <w:pStyle w:val="TableParagraph"/>
              <w:tabs>
                <w:tab w:pos="1498" w:val="left" w:leader="none"/>
              </w:tabs>
              <w:spacing w:line="240" w:lineRule="auto" w:before="26"/>
              <w:ind w:right="94"/>
              <w:jc w:val="right"/>
              <w:rPr>
                <w:rFonts w:ascii="Times New Roman" w:hAnsi="Times New Roman" w:cs="Times New Roman" w:eastAsia="Times New Roman" w:hint="default"/>
                <w:sz w:val="20"/>
                <w:szCs w:val="20"/>
              </w:rPr>
            </w:pPr>
            <w:r>
              <w:rPr>
                <w:rFonts w:ascii="Times New Roman"/>
                <w:spacing w:val="-1"/>
                <w:sz w:val="20"/>
              </w:rPr>
              <w:t>403,033.29</w:t>
              <w:tab/>
            </w:r>
            <w:r>
              <w:rPr>
                <w:rFonts w:ascii="Times New Roman"/>
                <w:spacing w:val="-2"/>
                <w:sz w:val="20"/>
              </w:rPr>
              <w:t>11,520,664.67</w:t>
            </w:r>
          </w:p>
        </w:tc>
      </w:tr>
      <w:tr>
        <w:trPr>
          <w:trHeight w:val="272"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4"/>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2"/>
                <w:sz w:val="20"/>
                <w:szCs w:val="20"/>
              </w:rPr>
              <w:t> </w:t>
            </w:r>
            <w:r>
              <w:rPr>
                <w:rFonts w:ascii="宋体" w:hAnsi="宋体" w:cs="宋体" w:eastAsia="宋体" w:hint="default"/>
                <w:sz w:val="20"/>
                <w:szCs w:val="20"/>
              </w:rPr>
              <w:t>计</w:t>
            </w:r>
          </w:p>
        </w:tc>
        <w:tc>
          <w:tcPr>
            <w:tcW w:w="1885" w:type="dxa"/>
            <w:tcBorders>
              <w:top w:val="single" w:sz="6" w:space="0" w:color="000000"/>
              <w:left w:val="nil" w:sz="6" w:space="0" w:color="auto"/>
              <w:bottom w:val="single" w:sz="23" w:space="0" w:color="000000"/>
              <w:right w:val="nil" w:sz="6" w:space="0" w:color="auto"/>
            </w:tcBorders>
          </w:tcPr>
          <w:p>
            <w:pPr>
              <w:pStyle w:val="TableParagraph"/>
              <w:spacing w:line="240" w:lineRule="auto" w:before="22"/>
              <w:ind w:right="215"/>
              <w:jc w:val="right"/>
              <w:rPr>
                <w:rFonts w:ascii="Times New Roman" w:hAnsi="Times New Roman" w:cs="Times New Roman" w:eastAsia="Times New Roman" w:hint="default"/>
                <w:sz w:val="20"/>
                <w:szCs w:val="20"/>
              </w:rPr>
            </w:pPr>
            <w:r>
              <w:rPr>
                <w:rFonts w:ascii="Times New Roman"/>
                <w:spacing w:val="-1"/>
                <w:sz w:val="20"/>
              </w:rPr>
              <w:t>327,013,529.24</w:t>
            </w:r>
            <w:r>
              <w:rPr>
                <w:rFonts w:ascii="Times New Roman"/>
                <w:sz w:val="20"/>
              </w:rPr>
            </w:r>
          </w:p>
        </w:tc>
        <w:tc>
          <w:tcPr>
            <w:tcW w:w="1654" w:type="dxa"/>
            <w:tcBorders>
              <w:top w:val="single" w:sz="6" w:space="0" w:color="000000"/>
              <w:left w:val="nil" w:sz="6" w:space="0" w:color="auto"/>
              <w:bottom w:val="single" w:sz="23" w:space="0" w:color="000000"/>
              <w:right w:val="nil" w:sz="6" w:space="0" w:color="auto"/>
            </w:tcBorders>
          </w:tcPr>
          <w:p>
            <w:pPr>
              <w:pStyle w:val="TableParagraph"/>
              <w:spacing w:line="240" w:lineRule="auto" w:before="22"/>
              <w:ind w:right="199"/>
              <w:jc w:val="right"/>
              <w:rPr>
                <w:rFonts w:ascii="Times New Roman" w:hAnsi="Times New Roman" w:cs="Times New Roman" w:eastAsia="Times New Roman" w:hint="default"/>
                <w:sz w:val="20"/>
                <w:szCs w:val="20"/>
              </w:rPr>
            </w:pPr>
            <w:r>
              <w:rPr>
                <w:rFonts w:ascii="Times New Roman"/>
                <w:spacing w:val="-2"/>
                <w:sz w:val="20"/>
              </w:rPr>
              <w:t>129,617,606.23</w:t>
            </w:r>
          </w:p>
        </w:tc>
        <w:tc>
          <w:tcPr>
            <w:tcW w:w="3188" w:type="dxa"/>
            <w:tcBorders>
              <w:top w:val="single" w:sz="6" w:space="0" w:color="000000"/>
              <w:left w:val="nil" w:sz="6" w:space="0" w:color="auto"/>
              <w:bottom w:val="single" w:sz="23" w:space="0" w:color="000000"/>
              <w:right w:val="nil" w:sz="6" w:space="0" w:color="auto"/>
            </w:tcBorders>
          </w:tcPr>
          <w:p>
            <w:pPr>
              <w:pStyle w:val="TableParagraph"/>
              <w:tabs>
                <w:tab w:pos="1653" w:val="left" w:leader="none"/>
              </w:tabs>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47,460,983.46</w:t>
              <w:tab/>
            </w:r>
            <w:r>
              <w:rPr>
                <w:rFonts w:ascii="Times New Roman"/>
                <w:spacing w:val="-2"/>
                <w:sz w:val="20"/>
              </w:rPr>
              <w:t>409,170,152.01</w:t>
            </w:r>
            <w:r>
              <w:rPr>
                <w:rFonts w:ascii="Times New Roman"/>
                <w:sz w:val="20"/>
              </w:rPr>
            </w:r>
          </w:p>
        </w:tc>
      </w:tr>
      <w:tr>
        <w:trPr>
          <w:trHeight w:val="324"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302" w:lineRule="exact"/>
              <w:ind w:left="73"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累计折旧</w:t>
            </w:r>
            <w:r>
              <w:rPr>
                <w:rFonts w:ascii="Microsoft JhengHei" w:hAnsi="Microsoft JhengHei" w:cs="Microsoft JhengHei" w:eastAsia="Microsoft JhengHei" w:hint="default"/>
                <w:sz w:val="20"/>
                <w:szCs w:val="20"/>
              </w:rPr>
            </w:r>
          </w:p>
        </w:tc>
        <w:tc>
          <w:tcPr>
            <w:tcW w:w="1885" w:type="dxa"/>
            <w:tcBorders>
              <w:top w:val="single" w:sz="23" w:space="0" w:color="000000"/>
              <w:left w:val="nil" w:sz="6" w:space="0" w:color="auto"/>
              <w:bottom w:val="nil" w:sz="6" w:space="0" w:color="auto"/>
              <w:right w:val="nil" w:sz="6" w:space="0" w:color="auto"/>
            </w:tcBorders>
          </w:tcPr>
          <w:p>
            <w:pPr/>
          </w:p>
        </w:tc>
        <w:tc>
          <w:tcPr>
            <w:tcW w:w="1654" w:type="dxa"/>
            <w:tcBorders>
              <w:top w:val="single" w:sz="23" w:space="0" w:color="000000"/>
              <w:left w:val="nil" w:sz="6" w:space="0" w:color="auto"/>
              <w:bottom w:val="nil" w:sz="6" w:space="0" w:color="auto"/>
              <w:right w:val="nil" w:sz="6" w:space="0" w:color="auto"/>
            </w:tcBorders>
          </w:tcPr>
          <w:p>
            <w:pPr/>
          </w:p>
        </w:tc>
        <w:tc>
          <w:tcPr>
            <w:tcW w:w="3188" w:type="dxa"/>
            <w:tcBorders>
              <w:top w:val="single" w:sz="23" w:space="0" w:color="000000"/>
              <w:left w:val="nil" w:sz="6" w:space="0" w:color="auto"/>
              <w:bottom w:val="nil" w:sz="6" w:space="0" w:color="auto"/>
              <w:right w:val="nil" w:sz="6" w:space="0" w:color="auto"/>
            </w:tcBorders>
          </w:tcPr>
          <w:p>
            <w:pPr/>
          </w:p>
        </w:tc>
      </w:tr>
      <w:tr>
        <w:trPr>
          <w:trHeight w:val="300"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55" w:lineRule="exact"/>
              <w:ind w:left="73" w:right="0"/>
              <w:jc w:val="left"/>
              <w:rPr>
                <w:rFonts w:ascii="宋体" w:hAnsi="宋体" w:cs="宋体" w:eastAsia="宋体" w:hint="default"/>
                <w:sz w:val="20"/>
                <w:szCs w:val="20"/>
              </w:rPr>
            </w:pPr>
            <w:r>
              <w:rPr>
                <w:rFonts w:ascii="宋体" w:hAnsi="宋体" w:cs="宋体" w:eastAsia="宋体" w:hint="default"/>
                <w:spacing w:val="-3"/>
                <w:sz w:val="20"/>
                <w:szCs w:val="20"/>
              </w:rPr>
              <w:t>房屋、建筑物</w:t>
            </w:r>
            <w:r>
              <w:rPr>
                <w:rFonts w:ascii="宋体" w:hAnsi="宋体" w:cs="宋体" w:eastAsia="宋体" w:hint="default"/>
                <w:sz w:val="20"/>
                <w:szCs w:val="20"/>
              </w:rPr>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5"/>
              <w:jc w:val="right"/>
              <w:rPr>
                <w:rFonts w:ascii="Times New Roman" w:hAnsi="Times New Roman" w:cs="Times New Roman" w:eastAsia="Times New Roman" w:hint="default"/>
                <w:sz w:val="20"/>
                <w:szCs w:val="20"/>
              </w:rPr>
            </w:pPr>
            <w:r>
              <w:rPr>
                <w:rFonts w:ascii="Times New Roman"/>
                <w:spacing w:val="-2"/>
                <w:sz w:val="20"/>
              </w:rPr>
              <w:t>5,082,810.09</w:t>
            </w:r>
            <w:r>
              <w:rPr>
                <w:rFonts w:ascii="Times New Roman"/>
                <w:sz w:val="20"/>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Times New Roman" w:hAnsi="Times New Roman" w:cs="Times New Roman" w:eastAsia="Times New Roman" w:hint="default"/>
                <w:sz w:val="20"/>
                <w:szCs w:val="20"/>
              </w:rPr>
            </w:pPr>
            <w:r>
              <w:rPr>
                <w:rFonts w:ascii="Times New Roman"/>
                <w:spacing w:val="-2"/>
                <w:sz w:val="20"/>
              </w:rPr>
              <w:t>4,252,890.99</w:t>
            </w:r>
          </w:p>
        </w:tc>
        <w:tc>
          <w:tcPr>
            <w:tcW w:w="3188" w:type="dxa"/>
            <w:tcBorders>
              <w:top w:val="nil" w:sz="6" w:space="0" w:color="auto"/>
              <w:left w:val="nil" w:sz="6" w:space="0" w:color="auto"/>
              <w:bottom w:val="nil" w:sz="6" w:space="0" w:color="auto"/>
              <w:right w:val="nil" w:sz="6" w:space="0" w:color="auto"/>
            </w:tcBorders>
          </w:tcPr>
          <w:p>
            <w:pPr>
              <w:pStyle w:val="TableParagraph"/>
              <w:tabs>
                <w:tab w:pos="967" w:val="left" w:leader="none"/>
              </w:tabs>
              <w:spacing w:line="240" w:lineRule="auto" w:before="19"/>
              <w:ind w:right="94"/>
              <w:jc w:val="right"/>
              <w:rPr>
                <w:rFonts w:ascii="Times New Roman" w:hAnsi="Times New Roman" w:cs="Times New Roman" w:eastAsia="Times New Roman" w:hint="default"/>
                <w:sz w:val="20"/>
                <w:szCs w:val="20"/>
              </w:rPr>
            </w:pPr>
            <w:r>
              <w:rPr>
                <w:rFonts w:ascii="Times New Roman"/>
                <w:sz w:val="20"/>
              </w:rPr>
              <w:t>-</w:t>
              <w:tab/>
            </w:r>
            <w:r>
              <w:rPr>
                <w:rFonts w:ascii="Times New Roman"/>
                <w:spacing w:val="-2"/>
                <w:sz w:val="20"/>
              </w:rPr>
              <w:t>9,335,701.08</w:t>
            </w:r>
          </w:p>
        </w:tc>
      </w:tr>
      <w:tr>
        <w:trPr>
          <w:trHeight w:val="298"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55" w:lineRule="exact"/>
              <w:ind w:left="73"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5"/>
              <w:jc w:val="right"/>
              <w:rPr>
                <w:rFonts w:ascii="Times New Roman" w:hAnsi="Times New Roman" w:cs="Times New Roman" w:eastAsia="Times New Roman" w:hint="default"/>
                <w:sz w:val="20"/>
                <w:szCs w:val="20"/>
              </w:rPr>
            </w:pPr>
            <w:r>
              <w:rPr>
                <w:rFonts w:ascii="Times New Roman"/>
                <w:spacing w:val="-1"/>
                <w:sz w:val="20"/>
              </w:rPr>
              <w:t>69,801,232.77</w:t>
            </w:r>
            <w:r>
              <w:rPr>
                <w:rFonts w:ascii="Times New Roman"/>
                <w:sz w:val="20"/>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Times New Roman" w:hAnsi="Times New Roman" w:cs="Times New Roman" w:eastAsia="Times New Roman" w:hint="default"/>
                <w:sz w:val="20"/>
                <w:szCs w:val="20"/>
              </w:rPr>
            </w:pPr>
            <w:r>
              <w:rPr>
                <w:rFonts w:ascii="Times New Roman"/>
                <w:spacing w:val="-2"/>
                <w:sz w:val="20"/>
              </w:rPr>
              <w:t>23,598,930.38</w:t>
            </w:r>
          </w:p>
        </w:tc>
        <w:tc>
          <w:tcPr>
            <w:tcW w:w="3188" w:type="dxa"/>
            <w:tcBorders>
              <w:top w:val="nil" w:sz="6" w:space="0" w:color="auto"/>
              <w:left w:val="nil" w:sz="6" w:space="0" w:color="auto"/>
              <w:bottom w:val="nil" w:sz="6" w:space="0" w:color="auto"/>
              <w:right w:val="nil" w:sz="6" w:space="0" w:color="auto"/>
            </w:tcBorders>
          </w:tcPr>
          <w:p>
            <w:pPr>
              <w:pStyle w:val="TableParagraph"/>
              <w:tabs>
                <w:tab w:pos="1639" w:val="left" w:leader="none"/>
              </w:tabs>
              <w:spacing w:line="240" w:lineRule="auto" w:before="19"/>
              <w:ind w:right="94"/>
              <w:jc w:val="right"/>
              <w:rPr>
                <w:rFonts w:ascii="Times New Roman" w:hAnsi="Times New Roman" w:cs="Times New Roman" w:eastAsia="Times New Roman" w:hint="default"/>
                <w:sz w:val="20"/>
                <w:szCs w:val="20"/>
              </w:rPr>
            </w:pPr>
            <w:r>
              <w:rPr>
                <w:rFonts w:ascii="Times New Roman"/>
                <w:spacing w:val="-2"/>
                <w:sz w:val="20"/>
              </w:rPr>
              <w:t>9,306,311.55</w:t>
              <w:tab/>
              <w:t>84,093,851.60</w:t>
            </w:r>
          </w:p>
        </w:tc>
      </w:tr>
      <w:tr>
        <w:trPr>
          <w:trHeight w:val="291"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3" w:lineRule="exact"/>
              <w:ind w:left="73"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15"/>
              <w:jc w:val="right"/>
              <w:rPr>
                <w:rFonts w:ascii="Times New Roman" w:hAnsi="Times New Roman" w:cs="Times New Roman" w:eastAsia="Times New Roman" w:hint="default"/>
                <w:sz w:val="20"/>
                <w:szCs w:val="20"/>
              </w:rPr>
            </w:pPr>
            <w:r>
              <w:rPr>
                <w:rFonts w:ascii="Times New Roman"/>
                <w:spacing w:val="-2"/>
                <w:sz w:val="20"/>
              </w:rPr>
              <w:t>5,507,544.21</w:t>
            </w:r>
            <w:r>
              <w:rPr>
                <w:rFonts w:ascii="Times New Roman"/>
                <w:sz w:val="20"/>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9"/>
              <w:jc w:val="right"/>
              <w:rPr>
                <w:rFonts w:ascii="Times New Roman" w:hAnsi="Times New Roman" w:cs="Times New Roman" w:eastAsia="Times New Roman" w:hint="default"/>
                <w:sz w:val="20"/>
                <w:szCs w:val="20"/>
              </w:rPr>
            </w:pPr>
            <w:r>
              <w:rPr>
                <w:rFonts w:ascii="Times New Roman"/>
                <w:spacing w:val="-2"/>
                <w:sz w:val="20"/>
              </w:rPr>
              <w:t>1,361,043.92</w:t>
            </w:r>
          </w:p>
        </w:tc>
        <w:tc>
          <w:tcPr>
            <w:tcW w:w="3188" w:type="dxa"/>
            <w:tcBorders>
              <w:top w:val="nil" w:sz="6" w:space="0" w:color="auto"/>
              <w:left w:val="nil" w:sz="6" w:space="0" w:color="auto"/>
              <w:bottom w:val="nil" w:sz="6" w:space="0" w:color="auto"/>
              <w:right w:val="nil" w:sz="6" w:space="0" w:color="auto"/>
            </w:tcBorders>
          </w:tcPr>
          <w:p>
            <w:pPr>
              <w:pStyle w:val="TableParagraph"/>
              <w:tabs>
                <w:tab w:pos="1597" w:val="left" w:leader="none"/>
              </w:tabs>
              <w:spacing w:line="240" w:lineRule="auto" w:before="22"/>
              <w:ind w:right="94"/>
              <w:jc w:val="right"/>
              <w:rPr>
                <w:rFonts w:ascii="Times New Roman" w:hAnsi="Times New Roman" w:cs="Times New Roman" w:eastAsia="Times New Roman" w:hint="default"/>
                <w:sz w:val="20"/>
                <w:szCs w:val="20"/>
              </w:rPr>
            </w:pPr>
            <w:r>
              <w:rPr>
                <w:rFonts w:ascii="Times New Roman"/>
                <w:spacing w:val="-1"/>
                <w:sz w:val="20"/>
              </w:rPr>
              <w:t>906,729.47</w:t>
              <w:tab/>
            </w:r>
            <w:r>
              <w:rPr>
                <w:rFonts w:ascii="Times New Roman"/>
                <w:spacing w:val="-2"/>
                <w:sz w:val="20"/>
              </w:rPr>
              <w:t>5,961,858.66</w:t>
            </w:r>
          </w:p>
        </w:tc>
      </w:tr>
      <w:tr>
        <w:trPr>
          <w:trHeight w:val="289"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52" w:lineRule="exact"/>
              <w:ind w:left="73" w:right="0"/>
              <w:jc w:val="left"/>
              <w:rPr>
                <w:rFonts w:ascii="宋体" w:hAnsi="宋体" w:cs="宋体" w:eastAsia="宋体" w:hint="default"/>
                <w:sz w:val="20"/>
                <w:szCs w:val="20"/>
              </w:rPr>
            </w:pPr>
            <w:r>
              <w:rPr>
                <w:rFonts w:ascii="宋体" w:hAnsi="宋体" w:cs="宋体" w:eastAsia="宋体" w:hint="default"/>
                <w:sz w:val="20"/>
                <w:szCs w:val="20"/>
              </w:rPr>
              <w:t>其他及办公设备</w:t>
            </w:r>
          </w:p>
        </w:tc>
        <w:tc>
          <w:tcPr>
            <w:tcW w:w="1885"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right="215"/>
              <w:jc w:val="right"/>
              <w:rPr>
                <w:rFonts w:ascii="Times New Roman" w:hAnsi="Times New Roman" w:cs="Times New Roman" w:eastAsia="Times New Roman" w:hint="default"/>
                <w:sz w:val="20"/>
                <w:szCs w:val="20"/>
              </w:rPr>
            </w:pPr>
            <w:r>
              <w:rPr>
                <w:rFonts w:ascii="Times New Roman"/>
                <w:spacing w:val="-2"/>
                <w:sz w:val="20"/>
              </w:rPr>
              <w:t>2,205,201.53</w:t>
            </w:r>
            <w:r>
              <w:rPr>
                <w:rFonts w:ascii="Times New Roman"/>
                <w:sz w:val="20"/>
              </w:rPr>
            </w:r>
          </w:p>
        </w:tc>
        <w:tc>
          <w:tcPr>
            <w:tcW w:w="1654" w:type="dxa"/>
            <w:tcBorders>
              <w:top w:val="nil" w:sz="6" w:space="0" w:color="auto"/>
              <w:left w:val="nil" w:sz="6" w:space="0" w:color="auto"/>
              <w:bottom w:val="single" w:sz="6" w:space="0" w:color="000000"/>
              <w:right w:val="nil" w:sz="6" w:space="0" w:color="auto"/>
            </w:tcBorders>
          </w:tcPr>
          <w:p>
            <w:pPr>
              <w:pStyle w:val="TableParagraph"/>
              <w:spacing w:line="240" w:lineRule="auto" w:before="17"/>
              <w:ind w:right="201"/>
              <w:jc w:val="right"/>
              <w:rPr>
                <w:rFonts w:ascii="Times New Roman" w:hAnsi="Times New Roman" w:cs="Times New Roman" w:eastAsia="Times New Roman" w:hint="default"/>
                <w:sz w:val="20"/>
                <w:szCs w:val="20"/>
              </w:rPr>
            </w:pPr>
            <w:r>
              <w:rPr>
                <w:rFonts w:ascii="Times New Roman"/>
                <w:spacing w:val="-2"/>
                <w:sz w:val="20"/>
              </w:rPr>
              <w:t>1,498,337.87</w:t>
            </w:r>
          </w:p>
        </w:tc>
        <w:tc>
          <w:tcPr>
            <w:tcW w:w="3188" w:type="dxa"/>
            <w:tcBorders>
              <w:top w:val="nil" w:sz="6" w:space="0" w:color="auto"/>
              <w:left w:val="nil" w:sz="6" w:space="0" w:color="auto"/>
              <w:bottom w:val="single" w:sz="6" w:space="0" w:color="000000"/>
              <w:right w:val="nil" w:sz="6" w:space="0" w:color="auto"/>
            </w:tcBorders>
          </w:tcPr>
          <w:p>
            <w:pPr>
              <w:pStyle w:val="TableParagraph"/>
              <w:tabs>
                <w:tab w:pos="1597" w:val="left" w:leader="none"/>
              </w:tabs>
              <w:spacing w:line="240" w:lineRule="auto" w:before="17"/>
              <w:ind w:right="94"/>
              <w:jc w:val="right"/>
              <w:rPr>
                <w:rFonts w:ascii="Times New Roman" w:hAnsi="Times New Roman" w:cs="Times New Roman" w:eastAsia="Times New Roman" w:hint="default"/>
                <w:sz w:val="20"/>
                <w:szCs w:val="20"/>
              </w:rPr>
            </w:pPr>
            <w:r>
              <w:rPr>
                <w:rFonts w:ascii="Times New Roman"/>
                <w:spacing w:val="-1"/>
                <w:sz w:val="20"/>
              </w:rPr>
              <w:t>277,658.96</w:t>
              <w:tab/>
            </w:r>
            <w:r>
              <w:rPr>
                <w:rFonts w:ascii="Times New Roman"/>
                <w:spacing w:val="-2"/>
                <w:sz w:val="20"/>
              </w:rPr>
              <w:t>3,425,880.44</w:t>
            </w:r>
          </w:p>
        </w:tc>
      </w:tr>
      <w:tr>
        <w:trPr>
          <w:trHeight w:val="272"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9" w:lineRule="exact"/>
              <w:ind w:right="4"/>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2"/>
                <w:sz w:val="20"/>
                <w:szCs w:val="20"/>
              </w:rPr>
              <w:t> </w:t>
            </w:r>
            <w:r>
              <w:rPr>
                <w:rFonts w:ascii="宋体" w:hAnsi="宋体" w:cs="宋体" w:eastAsia="宋体" w:hint="default"/>
                <w:sz w:val="20"/>
                <w:szCs w:val="20"/>
              </w:rPr>
              <w:t>计</w:t>
            </w:r>
          </w:p>
        </w:tc>
        <w:tc>
          <w:tcPr>
            <w:tcW w:w="1885" w:type="dxa"/>
            <w:tcBorders>
              <w:top w:val="single" w:sz="6" w:space="0" w:color="000000"/>
              <w:left w:val="nil" w:sz="6" w:space="0" w:color="auto"/>
              <w:bottom w:val="single" w:sz="23" w:space="0" w:color="000000"/>
              <w:right w:val="nil" w:sz="6" w:space="0" w:color="auto"/>
            </w:tcBorders>
          </w:tcPr>
          <w:p>
            <w:pPr>
              <w:pStyle w:val="TableParagraph"/>
              <w:spacing w:line="240" w:lineRule="auto" w:before="21"/>
              <w:ind w:right="215"/>
              <w:jc w:val="right"/>
              <w:rPr>
                <w:rFonts w:ascii="Times New Roman" w:hAnsi="Times New Roman" w:cs="Times New Roman" w:eastAsia="Times New Roman" w:hint="default"/>
                <w:sz w:val="20"/>
                <w:szCs w:val="20"/>
              </w:rPr>
            </w:pPr>
            <w:r>
              <w:rPr>
                <w:rFonts w:ascii="Times New Roman"/>
                <w:spacing w:val="-1"/>
                <w:sz w:val="20"/>
              </w:rPr>
              <w:t>82,596,788.60</w:t>
            </w:r>
            <w:r>
              <w:rPr>
                <w:rFonts w:ascii="Times New Roman"/>
                <w:sz w:val="20"/>
              </w:rPr>
            </w:r>
          </w:p>
        </w:tc>
        <w:tc>
          <w:tcPr>
            <w:tcW w:w="1654" w:type="dxa"/>
            <w:tcBorders>
              <w:top w:val="single" w:sz="6" w:space="0" w:color="000000"/>
              <w:left w:val="nil" w:sz="6" w:space="0" w:color="auto"/>
              <w:bottom w:val="single" w:sz="23" w:space="0" w:color="000000"/>
              <w:right w:val="nil" w:sz="6" w:space="0" w:color="auto"/>
            </w:tcBorders>
          </w:tcPr>
          <w:p>
            <w:pPr>
              <w:pStyle w:val="TableParagraph"/>
              <w:spacing w:line="240" w:lineRule="auto" w:before="21"/>
              <w:ind w:right="201"/>
              <w:jc w:val="right"/>
              <w:rPr>
                <w:rFonts w:ascii="Times New Roman" w:hAnsi="Times New Roman" w:cs="Times New Roman" w:eastAsia="Times New Roman" w:hint="default"/>
                <w:sz w:val="20"/>
                <w:szCs w:val="20"/>
              </w:rPr>
            </w:pPr>
            <w:r>
              <w:rPr>
                <w:rFonts w:ascii="Times New Roman"/>
                <w:spacing w:val="-2"/>
                <w:sz w:val="20"/>
              </w:rPr>
              <w:t>30,711,203.16</w:t>
            </w:r>
          </w:p>
        </w:tc>
        <w:tc>
          <w:tcPr>
            <w:tcW w:w="3188" w:type="dxa"/>
            <w:tcBorders>
              <w:top w:val="single" w:sz="6" w:space="0" w:color="000000"/>
              <w:left w:val="nil" w:sz="6" w:space="0" w:color="auto"/>
              <w:bottom w:val="single" w:sz="23" w:space="0" w:color="000000"/>
              <w:right w:val="nil" w:sz="6" w:space="0" w:color="auto"/>
            </w:tcBorders>
          </w:tcPr>
          <w:p>
            <w:pPr>
              <w:pStyle w:val="TableParagraph"/>
              <w:tabs>
                <w:tab w:pos="1653" w:val="left" w:leader="none"/>
              </w:tabs>
              <w:spacing w:line="240" w:lineRule="auto" w:before="21"/>
              <w:ind w:right="95"/>
              <w:jc w:val="right"/>
              <w:rPr>
                <w:rFonts w:ascii="Times New Roman" w:hAnsi="Times New Roman" w:cs="Times New Roman" w:eastAsia="Times New Roman" w:hint="default"/>
                <w:sz w:val="20"/>
                <w:szCs w:val="20"/>
              </w:rPr>
            </w:pPr>
            <w:r>
              <w:rPr>
                <w:rFonts w:ascii="Times New Roman"/>
                <w:spacing w:val="-1"/>
                <w:sz w:val="20"/>
              </w:rPr>
              <w:t>10,490,699.98</w:t>
              <w:tab/>
            </w:r>
            <w:r>
              <w:rPr>
                <w:rFonts w:ascii="Times New Roman"/>
                <w:spacing w:val="-2"/>
                <w:sz w:val="20"/>
              </w:rPr>
              <w:t>102,817,291.78</w:t>
            </w:r>
            <w:r>
              <w:rPr>
                <w:rFonts w:ascii="Times New Roman"/>
                <w:sz w:val="20"/>
              </w:rPr>
            </w:r>
          </w:p>
        </w:tc>
      </w:tr>
    </w:tbl>
    <w:p>
      <w:pPr>
        <w:spacing w:line="243" w:lineRule="exact" w:before="0"/>
        <w:ind w:left="180" w:right="222" w:firstLine="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z w:val="20"/>
          <w:szCs w:val="20"/>
        </w:rPr>
        <w:t>固定资产减值准备</w:t>
      </w:r>
      <w:r>
        <w:rPr>
          <w:rFonts w:ascii="Microsoft JhengHei" w:hAnsi="Microsoft JhengHei" w:cs="Microsoft JhengHei" w:eastAsia="Microsoft JhengHei" w:hint="default"/>
          <w:sz w:val="20"/>
          <w:szCs w:val="20"/>
        </w:rPr>
      </w:r>
    </w:p>
    <w:p>
      <w:pPr>
        <w:tabs>
          <w:tab w:pos="3600" w:val="left" w:leader="none"/>
          <w:tab w:pos="5281" w:val="left" w:leader="none"/>
          <w:tab w:pos="6823" w:val="left" w:leader="none"/>
          <w:tab w:pos="8575" w:val="left" w:leader="none"/>
        </w:tabs>
        <w:spacing w:before="16"/>
        <w:ind w:left="180" w:right="222" w:firstLine="0"/>
        <w:jc w:val="left"/>
        <w:rPr>
          <w:rFonts w:ascii="Times New Roman" w:hAnsi="Times New Roman" w:cs="Times New Roman" w:eastAsia="Times New Roman" w:hint="default"/>
          <w:sz w:val="20"/>
          <w:szCs w:val="20"/>
        </w:rPr>
      </w:pPr>
      <w:r>
        <w:rPr>
          <w:rFonts w:ascii="宋体" w:hAnsi="宋体" w:cs="宋体" w:eastAsia="宋体" w:hint="default"/>
          <w:spacing w:val="-2"/>
          <w:sz w:val="20"/>
          <w:szCs w:val="20"/>
        </w:rPr>
        <w:t>房屋、建筑物</w:t>
        <w:tab/>
      </w:r>
      <w:r>
        <w:rPr>
          <w:rFonts w:ascii="Times New Roman" w:hAnsi="Times New Roman" w:cs="Times New Roman" w:eastAsia="Times New Roman" w:hint="default"/>
          <w:position w:val="2"/>
          <w:sz w:val="20"/>
          <w:szCs w:val="20"/>
        </w:rPr>
        <w:t>-</w:t>
        <w:tab/>
        <w:t>-</w:t>
        <w:tab/>
        <w:t>-</w:t>
        <w:tab/>
        <w:t>-</w:t>
      </w:r>
      <w:r>
        <w:rPr>
          <w:rFonts w:ascii="Times New Roman" w:hAnsi="Times New Roman" w:cs="Times New Roman" w:eastAsia="Times New Roman" w:hint="default"/>
          <w:sz w:val="20"/>
          <w:szCs w:val="20"/>
        </w:rPr>
      </w:r>
    </w:p>
    <w:p>
      <w:pPr>
        <w:tabs>
          <w:tab w:pos="3067" w:val="left" w:leader="none"/>
          <w:tab w:pos="5281" w:val="left" w:leader="none"/>
          <w:tab w:pos="6389" w:val="left" w:leader="none"/>
          <w:tab w:pos="8043" w:val="left" w:leader="none"/>
        </w:tabs>
        <w:spacing w:before="24"/>
        <w:ind w:left="180"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机器设备</w:t>
        <w:tab/>
      </w:r>
      <w:r>
        <w:rPr>
          <w:rFonts w:ascii="Times New Roman" w:hAnsi="Times New Roman" w:cs="Times New Roman" w:eastAsia="Times New Roman" w:hint="default"/>
          <w:spacing w:val="-1"/>
          <w:position w:val="1"/>
          <w:sz w:val="20"/>
          <w:szCs w:val="20"/>
        </w:rPr>
        <w:t>42,884.24</w:t>
        <w:tab/>
      </w:r>
      <w:r>
        <w:rPr>
          <w:rFonts w:ascii="Times New Roman" w:hAnsi="Times New Roman" w:cs="Times New Roman" w:eastAsia="Times New Roman" w:hint="default"/>
          <w:position w:val="1"/>
          <w:sz w:val="20"/>
          <w:szCs w:val="20"/>
        </w:rPr>
        <w:t>-</w:t>
        <w:tab/>
        <w:t>2,500.00</w:t>
        <w:tab/>
      </w:r>
      <w:r>
        <w:rPr>
          <w:rFonts w:ascii="Times New Roman" w:hAnsi="Times New Roman" w:cs="Times New Roman" w:eastAsia="Times New Roman" w:hint="default"/>
          <w:spacing w:val="-2"/>
          <w:position w:val="1"/>
          <w:sz w:val="20"/>
          <w:szCs w:val="20"/>
        </w:rPr>
        <w:t>40,384.24</w:t>
      </w:r>
      <w:r>
        <w:rPr>
          <w:rFonts w:ascii="Times New Roman" w:hAnsi="Times New Roman" w:cs="Times New Roman" w:eastAsia="Times New Roman" w:hint="default"/>
          <w:sz w:val="20"/>
          <w:szCs w:val="20"/>
        </w:rPr>
      </w:r>
    </w:p>
    <w:p>
      <w:pPr>
        <w:tabs>
          <w:tab w:pos="3600" w:val="left" w:leader="none"/>
          <w:tab w:pos="5281" w:val="left" w:leader="none"/>
          <w:tab w:pos="6823" w:val="left" w:leader="none"/>
          <w:tab w:pos="8575" w:val="left" w:leader="none"/>
        </w:tabs>
        <w:spacing w:before="32"/>
        <w:ind w:left="180" w:right="222" w:firstLine="0"/>
        <w:jc w:val="left"/>
        <w:rPr>
          <w:rFonts w:ascii="Times New Roman" w:hAnsi="Times New Roman" w:cs="Times New Roman" w:eastAsia="Times New Roman" w:hint="default"/>
          <w:sz w:val="20"/>
          <w:szCs w:val="20"/>
        </w:rPr>
      </w:pPr>
      <w:r>
        <w:rPr>
          <w:rFonts w:ascii="宋体" w:hAnsi="宋体" w:cs="宋体" w:eastAsia="宋体" w:hint="default"/>
          <w:position w:val="-1"/>
          <w:sz w:val="20"/>
          <w:szCs w:val="20"/>
        </w:rPr>
        <w:t>运输设备</w:t>
        <w:tab/>
      </w:r>
      <w:r>
        <w:rPr>
          <w:rFonts w:ascii="Times New Roman" w:hAnsi="Times New Roman" w:cs="Times New Roman" w:eastAsia="Times New Roman" w:hint="default"/>
          <w:sz w:val="20"/>
          <w:szCs w:val="20"/>
        </w:rPr>
        <w:t>-</w:t>
        <w:tab/>
        <w:t>-</w:t>
        <w:tab/>
        <w:t>-</w:t>
        <w:tab/>
        <w:t>-</w:t>
      </w:r>
    </w:p>
    <w:p>
      <w:pPr>
        <w:tabs>
          <w:tab w:pos="3067" w:val="left" w:leader="none"/>
          <w:tab w:pos="5281" w:val="left" w:leader="none"/>
          <w:tab w:pos="6823" w:val="left" w:leader="none"/>
          <w:tab w:pos="8043" w:val="left" w:leader="none"/>
        </w:tabs>
        <w:spacing w:before="38"/>
        <w:ind w:left="180" w:right="0" w:firstLine="0"/>
        <w:jc w:val="left"/>
        <w:rPr>
          <w:rFonts w:ascii="Times New Roman" w:hAnsi="Times New Roman" w:cs="Times New Roman" w:eastAsia="Times New Roman" w:hint="default"/>
          <w:sz w:val="20"/>
          <w:szCs w:val="20"/>
        </w:rPr>
      </w:pPr>
      <w:r>
        <w:rPr>
          <w:rFonts w:ascii="宋体" w:hAnsi="宋体" w:cs="宋体" w:eastAsia="宋体" w:hint="default"/>
          <w:spacing w:val="-2"/>
          <w:position w:val="-1"/>
          <w:sz w:val="20"/>
          <w:szCs w:val="20"/>
        </w:rPr>
        <w:t>其他及办公设备</w:t>
        <w:tab/>
      </w:r>
      <w:r>
        <w:rPr>
          <w:rFonts w:ascii="Times New Roman" w:hAnsi="Times New Roman" w:cs="Times New Roman" w:eastAsia="Times New Roman" w:hint="default"/>
          <w:spacing w:val="-1"/>
          <w:sz w:val="20"/>
          <w:szCs w:val="20"/>
        </w:rPr>
        <w:t>52,833.53</w:t>
        <w:tab/>
      </w:r>
      <w:r>
        <w:rPr>
          <w:rFonts w:ascii="Times New Roman" w:hAnsi="Times New Roman" w:cs="Times New Roman" w:eastAsia="Times New Roman" w:hint="default"/>
          <w:sz w:val="20"/>
          <w:szCs w:val="20"/>
        </w:rPr>
        <w:t>-</w:t>
        <w:tab/>
        <w:t>-</w:t>
        <w:tab/>
      </w:r>
      <w:r>
        <w:rPr>
          <w:rFonts w:ascii="Times New Roman" w:hAnsi="Times New Roman" w:cs="Times New Roman" w:eastAsia="Times New Roman" w:hint="default"/>
          <w:spacing w:val="-2"/>
          <w:sz w:val="20"/>
          <w:szCs w:val="20"/>
        </w:rPr>
        <w:t>52,833.53</w:t>
      </w:r>
      <w:r>
        <w:rPr>
          <w:rFonts w:ascii="Times New Roman" w:hAnsi="Times New Roman" w:cs="Times New Roman" w:eastAsia="Times New Roman" w:hint="default"/>
          <w:sz w:val="20"/>
          <w:szCs w:val="20"/>
        </w:rPr>
      </w:r>
    </w:p>
    <w:p>
      <w:pPr>
        <w:spacing w:line="28" w:lineRule="exact"/>
        <w:ind w:left="218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37.75pt;height:1.45pt;mso-position-horizontal-relative:char;mso-position-vertical-relative:line" coordorigin="0,0" coordsize="6755,29">
            <v:group style="position:absolute;left:14;top:1;width:1752;height:2" coordorigin="14,1" coordsize="1752,2">
              <v:shape style="position:absolute;left:14;top:1;width:1752;height:2" coordorigin="14,1" coordsize="1752,0" path="m14,1l1766,1e" filled="false" stroked="true" strokeweight=".06pt" strokecolor="#000000">
                <v:path arrowok="t"/>
              </v:shape>
            </v:group>
            <v:group style="position:absolute;left:14;top:14;width:1752;height:2" coordorigin="14,14" coordsize="1752,2">
              <v:shape style="position:absolute;left:14;top:14;width:1752;height:2" coordorigin="14,14" coordsize="1752,0" path="m14,14l1766,14e" filled="false" stroked="true" strokeweight="1.38pt" strokecolor="#000000">
                <v:path arrowok="t"/>
              </v:shape>
            </v:group>
            <v:group style="position:absolute;left:1835;top:1;width:1612;height:2" coordorigin="1835,1" coordsize="1612,2">
              <v:shape style="position:absolute;left:1835;top:1;width:1612;height:2" coordorigin="1835,1" coordsize="1612,0" path="m1835,1l3447,1e" filled="false" stroked="true" strokeweight=".06pt" strokecolor="#000000">
                <v:path arrowok="t"/>
              </v:shape>
            </v:group>
            <v:group style="position:absolute;left:1835;top:14;width:1612;height:2" coordorigin="1835,14" coordsize="1612,2">
              <v:shape style="position:absolute;left:1835;top:14;width:1612;height:2" coordorigin="1835,14" coordsize="1612,0" path="m1835,14l3447,14e" filled="false" stroked="true" strokeweight="1.38pt" strokecolor="#000000">
                <v:path arrowok="t"/>
              </v:shape>
            </v:group>
            <v:group style="position:absolute;left:3518;top:1;width:1472;height:2" coordorigin="3518,1" coordsize="1472,2">
              <v:shape style="position:absolute;left:3518;top:1;width:1472;height:2" coordorigin="3518,1" coordsize="1472,0" path="m3518,1l4989,1e" filled="false" stroked="true" strokeweight=".06pt" strokecolor="#000000">
                <v:path arrowok="t"/>
              </v:shape>
            </v:group>
            <v:group style="position:absolute;left:3518;top:14;width:1472;height:2" coordorigin="3518,14" coordsize="1472,2">
              <v:shape style="position:absolute;left:3518;top:14;width:1472;height:2" coordorigin="3518,14" coordsize="1472,0" path="m3518,14l4989,14e" filled="false" stroked="true" strokeweight="1.38pt" strokecolor="#000000">
                <v:path arrowok="t"/>
              </v:shape>
            </v:group>
            <v:group style="position:absolute;left:5060;top:1;width:1682;height:2" coordorigin="5060,1" coordsize="1682,2">
              <v:shape style="position:absolute;left:5060;top:1;width:1682;height:2" coordorigin="5060,1" coordsize="1682,0" path="m5060,1l6741,1e" filled="false" stroked="true" strokeweight=".06pt" strokecolor="#000000">
                <v:path arrowok="t"/>
              </v:shape>
            </v:group>
            <v:group style="position:absolute;left:5059;top:14;width:1683;height:2" coordorigin="5059,14" coordsize="1683,2">
              <v:shape style="position:absolute;left:5059;top:14;width:1683;height:2" coordorigin="5059,14" coordsize="1683,0" path="m5059,14l6741,14e" filled="false" stroked="true" strokeweight="1.38pt" strokecolor="#000000">
                <v:path arrowok="t"/>
              </v:shape>
            </v:group>
          </v:group>
        </w:pict>
      </w:r>
      <w:r>
        <w:rPr>
          <w:rFonts w:ascii="Times New Roman" w:hAnsi="Times New Roman" w:cs="Times New Roman" w:eastAsia="Times New Roman" w:hint="default"/>
          <w:position w:val="0"/>
          <w:sz w:val="2"/>
          <w:szCs w:val="2"/>
        </w:rPr>
      </w:r>
    </w:p>
    <w:p>
      <w:pPr>
        <w:tabs>
          <w:tab w:pos="3067" w:val="left" w:leader="none"/>
          <w:tab w:pos="5281" w:val="left" w:leader="none"/>
          <w:tab w:pos="6389" w:val="left" w:leader="none"/>
          <w:tab w:pos="8043" w:val="left" w:leader="none"/>
        </w:tabs>
        <w:spacing w:line="248" w:lineRule="exact" w:before="0"/>
        <w:ind w:left="853"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r>
      <w:r>
        <w:rPr>
          <w:rFonts w:ascii="宋体" w:hAnsi="宋体" w:cs="宋体" w:eastAsia="宋体" w:hint="default"/>
          <w:spacing w:val="92"/>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spacing w:val="-1"/>
          <w:position w:val="1"/>
          <w:sz w:val="20"/>
          <w:szCs w:val="20"/>
        </w:rPr>
        <w:t>95,717.77</w:t>
        <w:tab/>
      </w:r>
      <w:r>
        <w:rPr>
          <w:rFonts w:ascii="Times New Roman" w:hAnsi="Times New Roman" w:cs="Times New Roman" w:eastAsia="Times New Roman" w:hint="default"/>
          <w:position w:val="1"/>
          <w:sz w:val="20"/>
          <w:szCs w:val="20"/>
        </w:rPr>
        <w:t>-</w:t>
        <w:tab/>
        <w:t>2,500.00</w:t>
        <w:tab/>
      </w:r>
      <w:r>
        <w:rPr>
          <w:rFonts w:ascii="Times New Roman" w:hAnsi="Times New Roman" w:cs="Times New Roman" w:eastAsia="Times New Roman" w:hint="default"/>
          <w:spacing w:val="-2"/>
          <w:position w:val="1"/>
          <w:sz w:val="20"/>
          <w:szCs w:val="20"/>
        </w:rPr>
        <w:t>93,217.77</w:t>
      </w:r>
      <w:r>
        <w:rPr>
          <w:rFonts w:ascii="Times New Roman" w:hAnsi="Times New Roman" w:cs="Times New Roman" w:eastAsia="Times New Roman" w:hint="default"/>
          <w:sz w:val="20"/>
          <w:szCs w:val="20"/>
        </w:rPr>
      </w:r>
    </w:p>
    <w:p>
      <w:pPr>
        <w:spacing w:line="333" w:lineRule="exact" w:before="0"/>
        <w:ind w:left="180" w:right="222" w:firstLine="0"/>
        <w:jc w:val="left"/>
        <w:rPr>
          <w:rFonts w:ascii="Microsoft JhengHei" w:hAnsi="Microsoft JhengHei" w:cs="Microsoft JhengHei" w:eastAsia="Microsoft JhengHei" w:hint="default"/>
          <w:sz w:val="20"/>
          <w:szCs w:val="20"/>
        </w:rPr>
      </w:pPr>
      <w:r>
        <w:rPr/>
        <w:pict>
          <v:group style="position:absolute;margin-left:192.270004pt;margin-top:1.264775pt;width:337.75pt;height:2.85pt;mso-position-horizontal-relative:page;mso-position-vertical-relative:paragraph;z-index:4984" coordorigin="3845,25" coordsize="6755,57">
            <v:group style="position:absolute;left:3859;top:32;width:1752;height:2" coordorigin="3859,32" coordsize="1752,2">
              <v:shape style="position:absolute;left:3859;top:32;width:1752;height:2" coordorigin="3859,32" coordsize="1752,0" path="m3859,32l5611,32e" filled="false" stroked="true" strokeweight=".72pt" strokecolor="#000000">
                <v:path arrowok="t"/>
              </v:shape>
            </v:group>
            <v:group style="position:absolute;left:3859;top:68;width:1752;height:2" coordorigin="3859,68" coordsize="1752,2">
              <v:shape style="position:absolute;left:3859;top:68;width:1752;height:2" coordorigin="3859,68" coordsize="1752,0" path="m3859,68l5611,68e" filled="false" stroked="true" strokeweight="1.38pt" strokecolor="#000000">
                <v:path arrowok="t"/>
              </v:shape>
            </v:group>
            <v:group style="position:absolute;left:5681;top:32;width:1612;height:2" coordorigin="5681,32" coordsize="1612,2">
              <v:shape style="position:absolute;left:5681;top:32;width:1612;height:2" coordorigin="5681,32" coordsize="1612,0" path="m5681,32l7292,32e" filled="false" stroked="true" strokeweight=".72pt" strokecolor="#000000">
                <v:path arrowok="t"/>
              </v:shape>
            </v:group>
            <v:group style="position:absolute;left:5681;top:68;width:1612;height:2" coordorigin="5681,68" coordsize="1612,2">
              <v:shape style="position:absolute;left:5681;top:68;width:1612;height:2" coordorigin="5681,68" coordsize="1612,0" path="m5681,68l7292,68e" filled="false" stroked="true" strokeweight="1.38pt" strokecolor="#000000">
                <v:path arrowok="t"/>
              </v:shape>
            </v:group>
            <v:group style="position:absolute;left:7363;top:32;width:1472;height:2" coordorigin="7363,32" coordsize="1472,2">
              <v:shape style="position:absolute;left:7363;top:32;width:1472;height:2" coordorigin="7363,32" coordsize="1472,0" path="m7363,32l8834,32e" filled="false" stroked="true" strokeweight=".72pt" strokecolor="#000000">
                <v:path arrowok="t"/>
              </v:shape>
            </v:group>
            <v:group style="position:absolute;left:7363;top:68;width:1472;height:2" coordorigin="7363,68" coordsize="1472,2">
              <v:shape style="position:absolute;left:7363;top:68;width:1472;height:2" coordorigin="7363,68" coordsize="1472,0" path="m7363,68l8834,68e" filled="false" stroked="true" strokeweight="1.38pt" strokecolor="#000000">
                <v:path arrowok="t"/>
              </v:shape>
            </v:group>
            <v:group style="position:absolute;left:8904;top:32;width:1683;height:2" coordorigin="8904,32" coordsize="1683,2">
              <v:shape style="position:absolute;left:8904;top:32;width:1683;height:2" coordorigin="8904,32" coordsize="1683,0" path="m8904,32l10586,32e" filled="false" stroked="true" strokeweight=".72pt" strokecolor="#000000">
                <v:path arrowok="t"/>
              </v:shape>
            </v:group>
            <v:group style="position:absolute;left:8904;top:68;width:1683;height:2" coordorigin="8904,68" coordsize="1683,2">
              <v:shape style="position:absolute;left:8904;top:68;width:1683;height:2" coordorigin="8904,68" coordsize="1683,0" path="m8904,68l10586,68e" filled="false" stroked="true" strokeweight="1.38pt" strokecolor="#000000">
                <v:path arrowok="t"/>
              </v:shape>
            </v:group>
            <w10:wrap type="none"/>
          </v:group>
        </w:pict>
      </w:r>
      <w:r>
        <w:rPr>
          <w:rFonts w:ascii="Microsoft JhengHei" w:hAnsi="Microsoft JhengHei" w:cs="Microsoft JhengHei" w:eastAsia="Microsoft JhengHei" w:hint="default"/>
          <w:b/>
          <w:bCs/>
          <w:sz w:val="20"/>
          <w:szCs w:val="20"/>
        </w:rPr>
        <w:t>固定资产账面价值</w:t>
      </w:r>
      <w:r>
        <w:rPr>
          <w:rFonts w:ascii="Microsoft JhengHei" w:hAnsi="Microsoft JhengHei" w:cs="Microsoft JhengHei" w:eastAsia="Microsoft JhengHei" w:hint="default"/>
          <w:sz w:val="20"/>
          <w:szCs w:val="20"/>
        </w:rPr>
      </w:r>
    </w:p>
    <w:p>
      <w:pPr>
        <w:tabs>
          <w:tab w:pos="2717" w:val="left" w:leader="none"/>
          <w:tab w:pos="4399" w:val="left" w:leader="none"/>
          <w:tab w:pos="6823" w:val="left" w:leader="none"/>
          <w:tab w:pos="7692" w:val="left" w:leader="none"/>
        </w:tabs>
        <w:spacing w:before="1"/>
        <w:ind w:left="180" w:right="0" w:firstLine="0"/>
        <w:jc w:val="left"/>
        <w:rPr>
          <w:rFonts w:ascii="Times New Roman" w:hAnsi="Times New Roman" w:cs="Times New Roman" w:eastAsia="Times New Roman" w:hint="default"/>
          <w:sz w:val="20"/>
          <w:szCs w:val="20"/>
        </w:rPr>
      </w:pPr>
      <w:r>
        <w:rPr>
          <w:rFonts w:ascii="宋体" w:hAnsi="宋体" w:cs="宋体" w:eastAsia="宋体" w:hint="default"/>
          <w:spacing w:val="-2"/>
          <w:sz w:val="20"/>
          <w:szCs w:val="20"/>
        </w:rPr>
        <w:t>房屋、建筑物</w:t>
        <w:tab/>
      </w:r>
      <w:r>
        <w:rPr>
          <w:rFonts w:ascii="Times New Roman" w:hAnsi="Times New Roman" w:cs="Times New Roman" w:eastAsia="Times New Roman" w:hint="default"/>
          <w:spacing w:val="-1"/>
          <w:sz w:val="20"/>
          <w:szCs w:val="20"/>
        </w:rPr>
        <w:t>63,326,524.69</w:t>
        <w:tab/>
      </w:r>
      <w:r>
        <w:rPr>
          <w:rFonts w:ascii="Times New Roman" w:hAnsi="Times New Roman" w:cs="Times New Roman" w:eastAsia="Times New Roman" w:hint="default"/>
          <w:spacing w:val="-2"/>
          <w:sz w:val="20"/>
          <w:szCs w:val="20"/>
        </w:rPr>
        <w:t>25,847,109.01</w:t>
        <w:tab/>
      </w:r>
      <w:r>
        <w:rPr>
          <w:rFonts w:ascii="Times New Roman" w:hAnsi="Times New Roman" w:cs="Times New Roman" w:eastAsia="Times New Roman" w:hint="default"/>
          <w:sz w:val="20"/>
          <w:szCs w:val="20"/>
        </w:rPr>
        <w:t>-</w:t>
        <w:tab/>
      </w:r>
      <w:r>
        <w:rPr>
          <w:rFonts w:ascii="Times New Roman" w:hAnsi="Times New Roman" w:cs="Times New Roman" w:eastAsia="Times New Roman" w:hint="default"/>
          <w:spacing w:val="-2"/>
          <w:sz w:val="20"/>
          <w:szCs w:val="20"/>
        </w:rPr>
        <w:t>89,173,633.70</w:t>
      </w:r>
    </w:p>
    <w:p>
      <w:pPr>
        <w:spacing w:line="240" w:lineRule="auto" w:before="8"/>
        <w:rPr>
          <w:rFonts w:ascii="Times New Roman" w:hAnsi="Times New Roman" w:cs="Times New Roman" w:eastAsia="Times New Roman"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053"/>
        <w:gridCol w:w="1934"/>
        <w:gridCol w:w="1605"/>
        <w:gridCol w:w="1604"/>
        <w:gridCol w:w="1583"/>
      </w:tblGrid>
      <w:tr>
        <w:trPr>
          <w:trHeight w:val="303"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4"/>
              <w:jc w:val="right"/>
              <w:rPr>
                <w:rFonts w:ascii="Times New Roman" w:hAnsi="Times New Roman" w:cs="Times New Roman" w:eastAsia="Times New Roman" w:hint="default"/>
                <w:sz w:val="20"/>
                <w:szCs w:val="20"/>
              </w:rPr>
            </w:pPr>
            <w:r>
              <w:rPr>
                <w:rFonts w:ascii="Times New Roman"/>
                <w:spacing w:val="-1"/>
                <w:sz w:val="20"/>
              </w:rPr>
              <w:t>172,465,181.24</w:t>
            </w:r>
            <w:r>
              <w:rPr>
                <w:rFonts w:ascii="Times New Roman"/>
                <w:sz w:val="20"/>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9"/>
              <w:jc w:val="right"/>
              <w:rPr>
                <w:rFonts w:ascii="Times New Roman" w:hAnsi="Times New Roman" w:cs="Times New Roman" w:eastAsia="Times New Roman" w:hint="default"/>
                <w:sz w:val="20"/>
                <w:szCs w:val="20"/>
              </w:rPr>
            </w:pPr>
            <w:r>
              <w:rPr>
                <w:rFonts w:ascii="Times New Roman"/>
                <w:spacing w:val="-2"/>
                <w:sz w:val="20"/>
              </w:rPr>
              <w:t>67,504,651.07</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9"/>
              <w:jc w:val="right"/>
              <w:rPr>
                <w:rFonts w:ascii="Times New Roman" w:hAnsi="Times New Roman" w:cs="Times New Roman" w:eastAsia="Times New Roman" w:hint="default"/>
                <w:sz w:val="20"/>
                <w:szCs w:val="20"/>
              </w:rPr>
            </w:pPr>
            <w:r>
              <w:rPr>
                <w:rFonts w:ascii="Times New Roman"/>
                <w:spacing w:val="-1"/>
                <w:sz w:val="20"/>
              </w:rPr>
              <w:t>35,993,180.07</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5"/>
              <w:jc w:val="right"/>
              <w:rPr>
                <w:rFonts w:ascii="Times New Roman" w:hAnsi="Times New Roman" w:cs="Times New Roman" w:eastAsia="Times New Roman" w:hint="default"/>
                <w:sz w:val="20"/>
                <w:szCs w:val="20"/>
              </w:rPr>
            </w:pPr>
            <w:r>
              <w:rPr>
                <w:rFonts w:ascii="Times New Roman"/>
                <w:spacing w:val="-2"/>
                <w:sz w:val="20"/>
              </w:rPr>
              <w:t>203,976,652.24</w:t>
            </w:r>
            <w:r>
              <w:rPr>
                <w:rFonts w:ascii="Times New Roman"/>
                <w:sz w:val="20"/>
              </w:rPr>
            </w:r>
          </w:p>
        </w:tc>
      </w:tr>
      <w:tr>
        <w:trPr>
          <w:trHeight w:val="295"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0"/>
                <w:szCs w:val="20"/>
              </w:rPr>
            </w:pPr>
            <w:r>
              <w:rPr>
                <w:rFonts w:ascii="宋体" w:hAnsi="宋体" w:cs="宋体" w:eastAsia="宋体" w:hint="default"/>
                <w:sz w:val="20"/>
                <w:szCs w:val="20"/>
              </w:rPr>
              <w:t>运输设备</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64"/>
              <w:jc w:val="right"/>
              <w:rPr>
                <w:rFonts w:ascii="Times New Roman" w:hAnsi="Times New Roman" w:cs="Times New Roman" w:eastAsia="Times New Roman" w:hint="default"/>
                <w:sz w:val="20"/>
                <w:szCs w:val="20"/>
              </w:rPr>
            </w:pPr>
            <w:r>
              <w:rPr>
                <w:rFonts w:ascii="Times New Roman"/>
                <w:spacing w:val="-2"/>
                <w:sz w:val="20"/>
              </w:rPr>
              <w:t>4,713,873.39</w:t>
            </w:r>
            <w:r>
              <w:rPr>
                <w:rFonts w:ascii="Times New Roman"/>
                <w:sz w:val="20"/>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9"/>
              <w:jc w:val="right"/>
              <w:rPr>
                <w:rFonts w:ascii="Times New Roman" w:hAnsi="Times New Roman" w:cs="Times New Roman" w:eastAsia="Times New Roman" w:hint="default"/>
                <w:sz w:val="20"/>
                <w:szCs w:val="20"/>
              </w:rPr>
            </w:pPr>
            <w:r>
              <w:rPr>
                <w:rFonts w:ascii="Times New Roman"/>
                <w:spacing w:val="-2"/>
                <w:sz w:val="20"/>
              </w:rPr>
              <w:t>1,202,761.51</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2"/>
              <w:jc w:val="right"/>
              <w:rPr>
                <w:rFonts w:ascii="Times New Roman" w:hAnsi="Times New Roman" w:cs="Times New Roman" w:eastAsia="Times New Roman" w:hint="default"/>
                <w:sz w:val="20"/>
                <w:szCs w:val="20"/>
              </w:rPr>
            </w:pPr>
            <w:r>
              <w:rPr>
                <w:rFonts w:ascii="Times New Roman"/>
                <w:spacing w:val="-1"/>
                <w:sz w:val="20"/>
              </w:rPr>
              <w:t>849,229.08</w:t>
            </w:r>
            <w:r>
              <w:rPr>
                <w:rFonts w:ascii="Times New Roman"/>
                <w:sz w:val="20"/>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4"/>
              <w:jc w:val="right"/>
              <w:rPr>
                <w:rFonts w:ascii="Times New Roman" w:hAnsi="Times New Roman" w:cs="Times New Roman" w:eastAsia="Times New Roman" w:hint="default"/>
                <w:sz w:val="20"/>
                <w:szCs w:val="20"/>
              </w:rPr>
            </w:pPr>
            <w:r>
              <w:rPr>
                <w:rFonts w:ascii="Times New Roman"/>
                <w:spacing w:val="-2"/>
                <w:sz w:val="20"/>
              </w:rPr>
              <w:t>5,067,405.82</w:t>
            </w:r>
          </w:p>
        </w:tc>
      </w:tr>
      <w:tr>
        <w:trPr>
          <w:trHeight w:val="278"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3"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其他及办公设备</w:t>
            </w:r>
          </w:p>
        </w:tc>
        <w:tc>
          <w:tcPr>
            <w:tcW w:w="1934"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right="264"/>
              <w:jc w:val="right"/>
              <w:rPr>
                <w:rFonts w:ascii="Times New Roman" w:hAnsi="Times New Roman" w:cs="Times New Roman" w:eastAsia="Times New Roman" w:hint="default"/>
                <w:sz w:val="20"/>
                <w:szCs w:val="20"/>
              </w:rPr>
            </w:pPr>
            <w:r>
              <w:rPr>
                <w:rFonts w:ascii="Times New Roman"/>
                <w:spacing w:val="-2"/>
                <w:sz w:val="20"/>
              </w:rPr>
              <w:t>3,815,443.55</w:t>
            </w:r>
            <w:r>
              <w:rPr>
                <w:rFonts w:ascii="Times New Roman"/>
                <w:sz w:val="20"/>
              </w:rPr>
            </w:r>
          </w:p>
        </w:tc>
        <w:tc>
          <w:tcPr>
            <w:tcW w:w="1605"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right="199"/>
              <w:jc w:val="right"/>
              <w:rPr>
                <w:rFonts w:ascii="Times New Roman" w:hAnsi="Times New Roman" w:cs="Times New Roman" w:eastAsia="Times New Roman" w:hint="default"/>
                <w:sz w:val="20"/>
                <w:szCs w:val="20"/>
              </w:rPr>
            </w:pPr>
            <w:r>
              <w:rPr>
                <w:rFonts w:ascii="Times New Roman"/>
                <w:spacing w:val="-2"/>
                <w:sz w:val="20"/>
              </w:rPr>
              <w:t>4,351,881.48</w:t>
            </w:r>
          </w:p>
        </w:tc>
        <w:tc>
          <w:tcPr>
            <w:tcW w:w="1604"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right="252"/>
              <w:jc w:val="right"/>
              <w:rPr>
                <w:rFonts w:ascii="Times New Roman" w:hAnsi="Times New Roman" w:cs="Times New Roman" w:eastAsia="Times New Roman" w:hint="default"/>
                <w:sz w:val="20"/>
                <w:szCs w:val="20"/>
              </w:rPr>
            </w:pPr>
            <w:r>
              <w:rPr>
                <w:rFonts w:ascii="Times New Roman"/>
                <w:spacing w:val="-1"/>
                <w:sz w:val="20"/>
              </w:rPr>
              <w:t>125,374.33</w:t>
            </w:r>
            <w:r>
              <w:rPr>
                <w:rFonts w:ascii="Times New Roman"/>
                <w:sz w:val="20"/>
              </w:rPr>
            </w:r>
          </w:p>
        </w:tc>
        <w:tc>
          <w:tcPr>
            <w:tcW w:w="1583" w:type="dxa"/>
            <w:tcBorders>
              <w:top w:val="nil" w:sz="6" w:space="0" w:color="auto"/>
              <w:left w:val="nil" w:sz="6" w:space="0" w:color="auto"/>
              <w:bottom w:val="single" w:sz="6" w:space="0" w:color="000000"/>
              <w:right w:val="nil" w:sz="6" w:space="0" w:color="auto"/>
            </w:tcBorders>
          </w:tcPr>
          <w:p>
            <w:pPr>
              <w:pStyle w:val="TableParagraph"/>
              <w:spacing w:line="240" w:lineRule="auto" w:before="22"/>
              <w:ind w:right="94"/>
              <w:jc w:val="right"/>
              <w:rPr>
                <w:rFonts w:ascii="Times New Roman" w:hAnsi="Times New Roman" w:cs="Times New Roman" w:eastAsia="Times New Roman" w:hint="default"/>
                <w:sz w:val="20"/>
                <w:szCs w:val="20"/>
              </w:rPr>
            </w:pPr>
            <w:r>
              <w:rPr>
                <w:rFonts w:ascii="Times New Roman"/>
                <w:spacing w:val="-2"/>
                <w:sz w:val="20"/>
              </w:rPr>
              <w:t>8,041,950.70</w:t>
            </w:r>
          </w:p>
        </w:tc>
      </w:tr>
      <w:tr>
        <w:trPr>
          <w:trHeight w:val="280"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2"/>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92"/>
                <w:sz w:val="20"/>
                <w:szCs w:val="20"/>
              </w:rPr>
              <w:t> </w:t>
            </w:r>
            <w:r>
              <w:rPr>
                <w:rFonts w:ascii="宋体" w:hAnsi="宋体" w:cs="宋体" w:eastAsia="宋体" w:hint="default"/>
                <w:sz w:val="20"/>
                <w:szCs w:val="20"/>
              </w:rPr>
              <w:t>计</w:t>
            </w:r>
          </w:p>
        </w:tc>
        <w:tc>
          <w:tcPr>
            <w:tcW w:w="1934" w:type="dxa"/>
            <w:tcBorders>
              <w:top w:val="single" w:sz="6" w:space="0" w:color="000000"/>
              <w:left w:val="nil" w:sz="6" w:space="0" w:color="auto"/>
              <w:bottom w:val="single" w:sz="23" w:space="0" w:color="000000"/>
              <w:right w:val="nil" w:sz="6" w:space="0" w:color="auto"/>
            </w:tcBorders>
          </w:tcPr>
          <w:p>
            <w:pPr>
              <w:pStyle w:val="TableParagraph"/>
              <w:spacing w:line="240" w:lineRule="auto" w:before="22"/>
              <w:ind w:right="264"/>
              <w:jc w:val="right"/>
              <w:rPr>
                <w:rFonts w:ascii="Times New Roman" w:hAnsi="Times New Roman" w:cs="Times New Roman" w:eastAsia="Times New Roman" w:hint="default"/>
                <w:sz w:val="20"/>
                <w:szCs w:val="20"/>
              </w:rPr>
            </w:pPr>
            <w:r>
              <w:rPr>
                <w:rFonts w:ascii="Times New Roman"/>
                <w:spacing w:val="-1"/>
                <w:sz w:val="20"/>
              </w:rPr>
              <w:t>244,321,022.87</w:t>
            </w:r>
            <w:r>
              <w:rPr>
                <w:rFonts w:ascii="Times New Roman"/>
                <w:sz w:val="20"/>
              </w:rPr>
            </w:r>
          </w:p>
        </w:tc>
        <w:tc>
          <w:tcPr>
            <w:tcW w:w="1605" w:type="dxa"/>
            <w:tcBorders>
              <w:top w:val="single" w:sz="6" w:space="0" w:color="000000"/>
              <w:left w:val="nil" w:sz="6" w:space="0" w:color="auto"/>
              <w:bottom w:val="single" w:sz="23" w:space="0" w:color="000000"/>
              <w:right w:val="nil" w:sz="6" w:space="0" w:color="auto"/>
            </w:tcBorders>
          </w:tcPr>
          <w:p>
            <w:pPr>
              <w:pStyle w:val="TableParagraph"/>
              <w:spacing w:line="240" w:lineRule="auto" w:before="22"/>
              <w:ind w:right="199"/>
              <w:jc w:val="right"/>
              <w:rPr>
                <w:rFonts w:ascii="Times New Roman" w:hAnsi="Times New Roman" w:cs="Times New Roman" w:eastAsia="Times New Roman" w:hint="default"/>
                <w:sz w:val="20"/>
                <w:szCs w:val="20"/>
              </w:rPr>
            </w:pPr>
            <w:r>
              <w:rPr>
                <w:rFonts w:ascii="Times New Roman"/>
                <w:spacing w:val="-2"/>
                <w:sz w:val="20"/>
              </w:rPr>
              <w:t>98,906,403.07</w:t>
            </w:r>
          </w:p>
        </w:tc>
        <w:tc>
          <w:tcPr>
            <w:tcW w:w="1604" w:type="dxa"/>
            <w:tcBorders>
              <w:top w:val="single" w:sz="6" w:space="0" w:color="000000"/>
              <w:left w:val="nil" w:sz="6" w:space="0" w:color="auto"/>
              <w:bottom w:val="single" w:sz="23" w:space="0" w:color="000000"/>
              <w:right w:val="nil" w:sz="6" w:space="0" w:color="auto"/>
            </w:tcBorders>
          </w:tcPr>
          <w:p>
            <w:pPr>
              <w:pStyle w:val="TableParagraph"/>
              <w:spacing w:line="240" w:lineRule="auto" w:before="22"/>
              <w:ind w:right="249"/>
              <w:jc w:val="right"/>
              <w:rPr>
                <w:rFonts w:ascii="Times New Roman" w:hAnsi="Times New Roman" w:cs="Times New Roman" w:eastAsia="Times New Roman" w:hint="default"/>
                <w:sz w:val="20"/>
                <w:szCs w:val="20"/>
              </w:rPr>
            </w:pPr>
            <w:r>
              <w:rPr>
                <w:rFonts w:ascii="Times New Roman"/>
                <w:spacing w:val="-1"/>
                <w:sz w:val="20"/>
              </w:rPr>
              <w:t>36,967,783.48</w:t>
            </w:r>
          </w:p>
        </w:tc>
        <w:tc>
          <w:tcPr>
            <w:tcW w:w="1583" w:type="dxa"/>
            <w:tcBorders>
              <w:top w:val="single" w:sz="6" w:space="0" w:color="000000"/>
              <w:left w:val="nil" w:sz="6" w:space="0" w:color="auto"/>
              <w:bottom w:val="single" w:sz="23" w:space="0" w:color="000000"/>
              <w:right w:val="nil" w:sz="6" w:space="0" w:color="auto"/>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2"/>
                <w:sz w:val="20"/>
              </w:rPr>
              <w:t>306,259,642.46</w:t>
            </w:r>
            <w:r>
              <w:rPr>
                <w:rFonts w:ascii="Times New Roman"/>
                <w:sz w:val="20"/>
              </w:rPr>
            </w:r>
          </w:p>
        </w:tc>
      </w:tr>
    </w:tbl>
    <w:p>
      <w:pPr>
        <w:spacing w:line="240" w:lineRule="auto" w:before="0"/>
        <w:rPr>
          <w:rFonts w:ascii="Times New Roman" w:hAnsi="Times New Roman" w:cs="Times New Roman" w:eastAsia="Times New Roman" w:hint="default"/>
          <w:sz w:val="20"/>
          <w:szCs w:val="20"/>
        </w:rPr>
      </w:pPr>
    </w:p>
    <w:p>
      <w:pPr>
        <w:pStyle w:val="BodyText"/>
        <w:spacing w:line="240" w:lineRule="auto" w:before="195"/>
        <w:ind w:left="617" w:right="222"/>
        <w:jc w:val="left"/>
      </w:pPr>
      <w:r>
        <w:rPr/>
        <w:t>（2）本年增加的固定资产中，由在建工程转入</w:t>
      </w:r>
      <w:r>
        <w:rPr>
          <w:spacing w:val="-63"/>
        </w:rPr>
        <w:t> </w:t>
      </w:r>
      <w:r>
        <w:rPr/>
        <w:t>86,092,579.04</w:t>
      </w:r>
      <w:r>
        <w:rPr>
          <w:spacing w:val="-62"/>
        </w:rPr>
        <w:t> </w:t>
      </w:r>
      <w:r>
        <w:rPr/>
        <w:t>元。</w:t>
      </w:r>
    </w:p>
    <w:p>
      <w:pPr>
        <w:pStyle w:val="BodyText"/>
        <w:spacing w:line="240" w:lineRule="auto" w:before="126"/>
        <w:ind w:left="617" w:right="222"/>
        <w:jc w:val="left"/>
      </w:pPr>
      <w:r>
        <w:rPr/>
        <w:t>（3）固定资产减值准备</w:t>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915" w:footer="1712" w:top="1100" w:bottom="1900" w:left="1660" w:right="1200"/>
        </w:sectPr>
      </w:pPr>
    </w:p>
    <w:p>
      <w:pPr>
        <w:spacing w:line="240" w:lineRule="auto" w:before="7"/>
        <w:rPr>
          <w:rFonts w:ascii="宋体" w:hAnsi="宋体" w:cs="宋体" w:eastAsia="宋体" w:hint="default"/>
          <w:sz w:val="19"/>
          <w:szCs w:val="19"/>
        </w:rPr>
      </w:pPr>
    </w:p>
    <w:p>
      <w:pPr>
        <w:tabs>
          <w:tab w:pos="1223" w:val="left" w:leader="none"/>
          <w:tab w:pos="2355" w:val="left" w:leader="none"/>
        </w:tabs>
        <w:spacing w:before="0"/>
        <w:ind w:left="726" w:right="-15" w:firstLine="0"/>
        <w:jc w:val="left"/>
        <w:rPr>
          <w:rFonts w:ascii="宋体" w:hAnsi="宋体" w:cs="宋体" w:eastAsia="宋体" w:hint="default"/>
          <w:sz w:val="20"/>
          <w:szCs w:val="20"/>
        </w:rPr>
      </w:pPr>
      <w:r>
        <w:rPr>
          <w:rFonts w:ascii="宋体" w:hAnsi="宋体" w:cs="宋体" w:eastAsia="宋体" w:hint="default"/>
          <w:sz w:val="20"/>
          <w:szCs w:val="20"/>
        </w:rPr>
        <w:t>项</w:t>
        <w:tab/>
        <w:t>目</w:t>
        <w:tab/>
        <w:t>年初数</w:t>
      </w:r>
    </w:p>
    <w:p>
      <w:pPr>
        <w:spacing w:line="240" w:lineRule="auto" w:before="7"/>
        <w:rPr>
          <w:rFonts w:ascii="宋体" w:hAnsi="宋体" w:cs="宋体" w:eastAsia="宋体" w:hint="default"/>
          <w:sz w:val="19"/>
          <w:szCs w:val="19"/>
        </w:rPr>
      </w:pPr>
      <w:r>
        <w:rPr/>
        <w:br w:type="column"/>
      </w:r>
      <w:r>
        <w:rPr>
          <w:rFonts w:ascii="宋体"/>
          <w:sz w:val="19"/>
        </w:rPr>
      </w:r>
    </w:p>
    <w:p>
      <w:pPr>
        <w:spacing w:before="0"/>
        <w:ind w:left="409" w:right="-11" w:firstLine="0"/>
        <w:jc w:val="left"/>
        <w:rPr>
          <w:rFonts w:ascii="宋体" w:hAnsi="宋体" w:cs="宋体" w:eastAsia="宋体" w:hint="default"/>
          <w:sz w:val="20"/>
          <w:szCs w:val="20"/>
        </w:rPr>
      </w:pPr>
      <w:r>
        <w:rPr>
          <w:rFonts w:ascii="宋体" w:hAnsi="宋体" w:cs="宋体" w:eastAsia="宋体" w:hint="default"/>
          <w:sz w:val="20"/>
          <w:szCs w:val="20"/>
        </w:rPr>
        <w:t>本年计提数</w:t>
      </w:r>
    </w:p>
    <w:p>
      <w:pPr>
        <w:spacing w:before="39"/>
        <w:ind w:left="457" w:right="0" w:firstLine="0"/>
        <w:jc w:val="center"/>
        <w:rPr>
          <w:rFonts w:ascii="宋体" w:hAnsi="宋体" w:cs="宋体" w:eastAsia="宋体" w:hint="default"/>
          <w:sz w:val="20"/>
          <w:szCs w:val="20"/>
        </w:rPr>
      </w:pPr>
      <w:r>
        <w:rPr/>
        <w:br w:type="column"/>
      </w:r>
      <w:r>
        <w:rPr>
          <w:rFonts w:ascii="宋体" w:hAnsi="宋体" w:cs="宋体" w:eastAsia="宋体" w:hint="default"/>
          <w:sz w:val="20"/>
          <w:szCs w:val="20"/>
        </w:rPr>
        <w:t>本年减少数</w:t>
      </w:r>
    </w:p>
    <w:p>
      <w:pPr>
        <w:tabs>
          <w:tab w:pos="1325" w:val="left" w:leader="none"/>
          <w:tab w:pos="2457" w:val="left" w:leader="none"/>
        </w:tabs>
        <w:spacing w:before="109"/>
        <w:ind w:left="317" w:right="0" w:firstLine="0"/>
        <w:jc w:val="center"/>
        <w:rPr>
          <w:rFonts w:ascii="宋体" w:hAnsi="宋体" w:cs="宋体" w:eastAsia="宋体" w:hint="default"/>
          <w:sz w:val="20"/>
          <w:szCs w:val="20"/>
        </w:rPr>
      </w:pPr>
      <w:r>
        <w:rPr/>
        <w:pict>
          <v:group style="position:absolute;margin-left:186.059998pt;margin-top:75.479988pt;width:58.15pt;height:.1pt;mso-position-horizontal-relative:page;mso-position-vertical-relative:paragraph;z-index:-591760" coordorigin="3721,1510" coordsize="1163,2">
            <v:shape style="position:absolute;left:3721;top:1510;width:1163;height:2" coordorigin="3721,1510" coordsize="1163,0" path="m3721,1510l4884,1510e" filled="false" stroked="true" strokeweight=".78pt" strokecolor="#000000">
              <v:path arrowok="t"/>
            </v:shape>
            <w10:wrap type="none"/>
          </v:group>
        </w:pict>
      </w:r>
      <w:r>
        <w:rPr/>
        <w:pict>
          <v:group style="position:absolute;margin-left:247.710007pt;margin-top:75.089989pt;width:276.850pt;height:.8pt;mso-position-horizontal-relative:page;mso-position-vertical-relative:paragraph;z-index:-591736" coordorigin="4954,1502" coordsize="5537,16">
            <v:group style="position:absolute;left:4962;top:1510;width:1210;height:2" coordorigin="4962,1510" coordsize="1210,2">
              <v:shape style="position:absolute;left:4962;top:1510;width:1210;height:2" coordorigin="4962,1510" coordsize="1210,0" path="m4962,1510l6172,1510e" filled="false" stroked="true" strokeweight=".78pt" strokecolor="#000000">
                <v:path arrowok="t"/>
              </v:shape>
            </v:group>
            <v:group style="position:absolute;left:6248;top:1510;width:963;height:2" coordorigin="6248,1510" coordsize="963,2">
              <v:shape style="position:absolute;left:6248;top:1510;width:963;height:2" coordorigin="6248,1510" coordsize="963,0" path="m6248,1510l7211,1510e" filled="false" stroked="true" strokeweight=".78pt" strokecolor="#000000">
                <v:path arrowok="t"/>
              </v:shape>
            </v:group>
            <v:group style="position:absolute;left:7288;top:1510;width:916;height:2" coordorigin="7288,1510" coordsize="916,2">
              <v:shape style="position:absolute;left:7288;top:1510;width:916;height:2" coordorigin="7288,1510" coordsize="916,0" path="m7288,1510l8203,1510e" filled="false" stroked="true" strokeweight=".78pt" strokecolor="#000000">
                <v:path arrowok="t"/>
              </v:shape>
            </v:group>
            <v:group style="position:absolute;left:8266;top:1510;width:1008;height:2" coordorigin="8266,1510" coordsize="1008,2">
              <v:shape style="position:absolute;left:8266;top:1510;width:1008;height:2" coordorigin="8266,1510" coordsize="1008,0" path="m8266,1510l9274,1510e" filled="false" stroked="true" strokeweight=".78pt" strokecolor="#000000">
                <v:path arrowok="t"/>
              </v:shape>
            </v:group>
            <v:group style="position:absolute;left:9350;top:1510;width:1133;height:2" coordorigin="9350,1510" coordsize="1133,2">
              <v:shape style="position:absolute;left:9350;top:1510;width:1133;height:2" coordorigin="9350,1510" coordsize="1133,0" path="m9350,1510l10483,1510e" filled="false" stroked="true" strokeweight=".78pt" strokecolor="#000000">
                <v:path arrowok="t"/>
              </v:shape>
            </v:group>
            <w10:wrap type="none"/>
          </v:group>
        </w:pict>
      </w:r>
      <w:r>
        <w:rPr/>
        <w:pict>
          <v:group style="position:absolute;margin-left:312.029999pt;margin-top:2.279991pt;width:152.050pt;height:.85pt;mso-position-horizontal-relative:page;mso-position-vertical-relative:paragraph;z-index:5056" coordorigin="6241,46" coordsize="3041,17">
            <v:group style="position:absolute;left:6250;top:46;width:3024;height:2" coordorigin="6250,46" coordsize="3024,2">
              <v:shape style="position:absolute;left:6250;top:46;width:3024;height:2" coordorigin="6250,46" coordsize="3024,0" path="m6250,46l9274,46e" filled="false" stroked="true" strokeweight=".06pt" strokecolor="#000000">
                <v:path arrowok="t"/>
              </v:shape>
            </v:group>
            <v:group style="position:absolute;left:6248;top:54;width:3026;height:2" coordorigin="6248,54" coordsize="3026,2">
              <v:shape style="position:absolute;left:6248;top:54;width:3026;height:2" coordorigin="6248,54" coordsize="3026,0" path="m6248,54l9274,54e" filled="false" stroked="true" strokeweight=".78pt" strokecolor="#000000">
                <v:path arrowok="t"/>
              </v:shape>
            </v:group>
            <w10:wrap type="none"/>
          </v:group>
        </w:pict>
      </w:r>
      <w:r>
        <w:rPr>
          <w:rFonts w:ascii="宋体" w:hAnsi="宋体" w:cs="宋体" w:eastAsia="宋体" w:hint="default"/>
          <w:sz w:val="20"/>
          <w:szCs w:val="20"/>
        </w:rPr>
        <w:t>转回数</w:t>
        <w:tab/>
        <w:t>转销数</w:t>
        <w:tab/>
        <w:t>合计</w:t>
      </w:r>
    </w:p>
    <w:p>
      <w:pPr>
        <w:spacing w:line="240" w:lineRule="auto" w:before="7"/>
        <w:rPr>
          <w:rFonts w:ascii="宋体" w:hAnsi="宋体" w:cs="宋体" w:eastAsia="宋体" w:hint="default"/>
          <w:sz w:val="19"/>
          <w:szCs w:val="19"/>
        </w:rPr>
      </w:pPr>
      <w:r>
        <w:rPr/>
        <w:br w:type="column"/>
      </w:r>
      <w:r>
        <w:rPr>
          <w:rFonts w:ascii="宋体"/>
          <w:sz w:val="19"/>
        </w:rPr>
      </w:r>
    </w:p>
    <w:p>
      <w:pPr>
        <w:spacing w:before="0"/>
        <w:ind w:left="595" w:right="0" w:firstLine="0"/>
        <w:jc w:val="left"/>
        <w:rPr>
          <w:rFonts w:ascii="宋体" w:hAnsi="宋体" w:cs="宋体" w:eastAsia="宋体" w:hint="default"/>
          <w:sz w:val="20"/>
          <w:szCs w:val="20"/>
        </w:rPr>
      </w:pP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type w:val="continuous"/>
          <w:pgSz w:w="11910" w:h="16840"/>
          <w:pgMar w:top="1060" w:bottom="1460" w:left="1660" w:right="1200"/>
          <w:cols w:num="4" w:equalWidth="0">
            <w:col w:w="2960" w:space="40"/>
            <w:col w:w="1419" w:space="40"/>
            <w:col w:w="2861" w:space="40"/>
            <w:col w:w="1690"/>
          </w:cols>
        </w:sectPr>
      </w:pPr>
    </w:p>
    <w:p>
      <w:pPr>
        <w:spacing w:line="240" w:lineRule="auto" w:before="10"/>
        <w:rPr>
          <w:rFonts w:ascii="宋体" w:hAnsi="宋体" w:cs="宋体" w:eastAsia="宋体" w:hint="default"/>
          <w:sz w:val="7"/>
          <w:szCs w:val="7"/>
        </w:rPr>
      </w:pPr>
      <w:r>
        <w:rPr/>
        <w:pict>
          <v:shape style="position:absolute;margin-left:90.18pt;margin-top:41.999668pt;width:18.240pt;height:15.719999pt;mso-position-horizontal-relative:page;mso-position-vertical-relative:page;z-index:4960" type="#_x0000_t75" stroked="false">
            <v:imagedata r:id="rId11" o:title=""/>
          </v:shape>
        </w:pict>
      </w:r>
    </w:p>
    <w:tbl>
      <w:tblPr>
        <w:tblW w:w="0" w:type="auto"/>
        <w:jc w:val="left"/>
        <w:tblInd w:w="153" w:type="dxa"/>
        <w:tblLayout w:type="fixed"/>
        <w:tblCellMar>
          <w:top w:w="0" w:type="dxa"/>
          <w:left w:w="0" w:type="dxa"/>
          <w:bottom w:w="0" w:type="dxa"/>
          <w:right w:w="0" w:type="dxa"/>
        </w:tblCellMar>
        <w:tblLook w:val="01E0"/>
      </w:tblPr>
      <w:tblGrid>
        <w:gridCol w:w="1908"/>
        <w:gridCol w:w="1163"/>
        <w:gridCol w:w="5599"/>
      </w:tblGrid>
      <w:tr>
        <w:trPr>
          <w:trHeight w:val="358" w:hRule="exact"/>
        </w:trPr>
        <w:tc>
          <w:tcPr>
            <w:tcW w:w="1908" w:type="dxa"/>
            <w:tcBorders>
              <w:top w:val="single" w:sz="6" w:space="0" w:color="000000"/>
              <w:left w:val="nil" w:sz="6" w:space="0" w:color="auto"/>
              <w:bottom w:val="nil" w:sz="6" w:space="0" w:color="auto"/>
              <w:right w:val="nil" w:sz="6" w:space="0" w:color="auto"/>
            </w:tcBorders>
          </w:tcPr>
          <w:p>
            <w:pPr>
              <w:pStyle w:val="TableParagraph"/>
              <w:spacing w:line="240" w:lineRule="auto" w:before="16"/>
              <w:ind w:left="31"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163" w:type="dxa"/>
            <w:tcBorders>
              <w:top w:val="single" w:sz="6" w:space="0" w:color="000000"/>
              <w:left w:val="nil" w:sz="6" w:space="0" w:color="auto"/>
              <w:bottom w:val="nil" w:sz="6" w:space="0" w:color="auto"/>
              <w:right w:val="nil" w:sz="6" w:space="0" w:color="auto"/>
            </w:tcBorders>
          </w:tcPr>
          <w:p>
            <w:pPr>
              <w:pStyle w:val="TableParagraph"/>
              <w:spacing w:line="240" w:lineRule="auto" w:before="54"/>
              <w:ind w:right="83"/>
              <w:jc w:val="right"/>
              <w:rPr>
                <w:rFonts w:ascii="Times New Roman" w:hAnsi="Times New Roman" w:cs="Times New Roman" w:eastAsia="Times New Roman" w:hint="default"/>
                <w:sz w:val="20"/>
                <w:szCs w:val="20"/>
              </w:rPr>
            </w:pPr>
            <w:r>
              <w:rPr>
                <w:rFonts w:ascii="Times New Roman"/>
                <w:sz w:val="20"/>
              </w:rPr>
              <w:t>42,884.24</w:t>
            </w:r>
          </w:p>
        </w:tc>
        <w:tc>
          <w:tcPr>
            <w:tcW w:w="5599" w:type="dxa"/>
            <w:tcBorders>
              <w:top w:val="single" w:sz="6" w:space="0" w:color="000000"/>
              <w:left w:val="nil" w:sz="6" w:space="0" w:color="auto"/>
              <w:bottom w:val="nil" w:sz="6" w:space="0" w:color="auto"/>
              <w:right w:val="nil" w:sz="6" w:space="0" w:color="auto"/>
            </w:tcBorders>
          </w:tcPr>
          <w:p>
            <w:pPr>
              <w:pStyle w:val="TableParagraph"/>
              <w:tabs>
                <w:tab w:pos="1039" w:val="left" w:leader="none"/>
                <w:tab w:pos="1581" w:val="left" w:leader="none"/>
                <w:tab w:pos="2667" w:val="left" w:leader="none"/>
                <w:tab w:pos="3767" w:val="left" w:leader="none"/>
              </w:tabs>
              <w:spacing w:line="240" w:lineRule="auto" w:before="54"/>
              <w:ind w:right="83"/>
              <w:jc w:val="right"/>
              <w:rPr>
                <w:rFonts w:ascii="Times New Roman" w:hAnsi="Times New Roman" w:cs="Times New Roman" w:eastAsia="Times New Roman" w:hint="default"/>
                <w:sz w:val="20"/>
                <w:szCs w:val="20"/>
              </w:rPr>
            </w:pPr>
            <w:r>
              <w:rPr>
                <w:rFonts w:ascii="Times New Roman"/>
                <w:sz w:val="20"/>
              </w:rPr>
              <w:t>-</w:t>
              <w:tab/>
              <w:t>-</w:t>
              <w:tab/>
            </w:r>
            <w:r>
              <w:rPr>
                <w:rFonts w:ascii="Times New Roman"/>
                <w:spacing w:val="-1"/>
                <w:sz w:val="20"/>
              </w:rPr>
              <w:t>2,500.00</w:t>
              <w:tab/>
              <w:t>2,500.00</w:t>
              <w:tab/>
            </w:r>
            <w:r>
              <w:rPr>
                <w:rFonts w:ascii="Times New Roman"/>
                <w:sz w:val="20"/>
              </w:rPr>
              <w:t>40,384.24</w:t>
            </w:r>
          </w:p>
        </w:tc>
      </w:tr>
      <w:tr>
        <w:trPr>
          <w:trHeight w:val="338" w:hRule="exact"/>
        </w:trPr>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1" w:right="0"/>
              <w:jc w:val="left"/>
              <w:rPr>
                <w:rFonts w:ascii="宋体" w:hAnsi="宋体" w:cs="宋体" w:eastAsia="宋体" w:hint="default"/>
                <w:sz w:val="20"/>
                <w:szCs w:val="20"/>
              </w:rPr>
            </w:pPr>
            <w:r>
              <w:rPr>
                <w:rFonts w:ascii="宋体" w:hAnsi="宋体" w:cs="宋体" w:eastAsia="宋体" w:hint="default"/>
                <w:sz w:val="20"/>
                <w:szCs w:val="20"/>
              </w:rPr>
              <w:t>其他及办公设备</w:t>
            </w:r>
          </w:p>
        </w:tc>
        <w:tc>
          <w:tcPr>
            <w:tcW w:w="1163" w:type="dxa"/>
            <w:tcBorders>
              <w:top w:val="nil" w:sz="6" w:space="0" w:color="auto"/>
              <w:left w:val="nil" w:sz="6" w:space="0" w:color="auto"/>
              <w:bottom w:val="single" w:sz="6" w:space="0" w:color="000000"/>
              <w:right w:val="nil" w:sz="6" w:space="0" w:color="auto"/>
            </w:tcBorders>
          </w:tcPr>
          <w:p>
            <w:pPr>
              <w:pStyle w:val="TableParagraph"/>
              <w:spacing w:line="240" w:lineRule="auto" w:before="45"/>
              <w:ind w:right="83"/>
              <w:jc w:val="right"/>
              <w:rPr>
                <w:rFonts w:ascii="Times New Roman" w:hAnsi="Times New Roman" w:cs="Times New Roman" w:eastAsia="Times New Roman" w:hint="default"/>
                <w:sz w:val="20"/>
                <w:szCs w:val="20"/>
              </w:rPr>
            </w:pPr>
            <w:r>
              <w:rPr>
                <w:rFonts w:ascii="Times New Roman"/>
                <w:sz w:val="20"/>
              </w:rPr>
              <w:t>52,833.53</w:t>
            </w:r>
          </w:p>
        </w:tc>
        <w:tc>
          <w:tcPr>
            <w:tcW w:w="5599" w:type="dxa"/>
            <w:tcBorders>
              <w:top w:val="nil" w:sz="6" w:space="0" w:color="auto"/>
              <w:left w:val="nil" w:sz="6" w:space="0" w:color="auto"/>
              <w:bottom w:val="single" w:sz="6" w:space="0" w:color="000000"/>
              <w:right w:val="nil" w:sz="6" w:space="0" w:color="auto"/>
            </w:tcBorders>
          </w:tcPr>
          <w:p>
            <w:pPr>
              <w:pStyle w:val="TableParagraph"/>
              <w:tabs>
                <w:tab w:pos="1039" w:val="left" w:leader="none"/>
                <w:tab w:pos="2031" w:val="left" w:leader="none"/>
                <w:tab w:pos="3101" w:val="left" w:leader="none"/>
                <w:tab w:pos="3767" w:val="left" w:leader="none"/>
              </w:tabs>
              <w:spacing w:line="240" w:lineRule="auto" w:before="45"/>
              <w:ind w:right="83"/>
              <w:jc w:val="right"/>
              <w:rPr>
                <w:rFonts w:ascii="Times New Roman" w:hAnsi="Times New Roman" w:cs="Times New Roman" w:eastAsia="Times New Roman" w:hint="default"/>
                <w:sz w:val="20"/>
                <w:szCs w:val="20"/>
              </w:rPr>
            </w:pPr>
            <w:r>
              <w:rPr>
                <w:rFonts w:ascii="Times New Roman"/>
                <w:sz w:val="20"/>
              </w:rPr>
              <w:t>-</w:t>
              <w:tab/>
              <w:t>-</w:t>
              <w:tab/>
              <w:t>-</w:t>
              <w:tab/>
              <w:t>-</w:t>
              <w:tab/>
              <w:t>52,833.53</w:t>
            </w:r>
          </w:p>
        </w:tc>
      </w:tr>
      <w:tr>
        <w:trPr>
          <w:trHeight w:val="372" w:hRule="exact"/>
        </w:trPr>
        <w:tc>
          <w:tcPr>
            <w:tcW w:w="1908" w:type="dxa"/>
            <w:tcBorders>
              <w:top w:val="nil" w:sz="6" w:space="0" w:color="auto"/>
              <w:left w:val="nil" w:sz="6" w:space="0" w:color="auto"/>
              <w:bottom w:val="nil" w:sz="6" w:space="0" w:color="auto"/>
              <w:right w:val="nil" w:sz="6" w:space="0" w:color="auto"/>
            </w:tcBorders>
          </w:tcPr>
          <w:p>
            <w:pPr>
              <w:pStyle w:val="TableParagraph"/>
              <w:tabs>
                <w:tab w:pos="1070" w:val="left" w:leader="none"/>
              </w:tabs>
              <w:spacing w:line="240" w:lineRule="auto" w:before="25"/>
              <w:ind w:left="573" w:right="0"/>
              <w:jc w:val="left"/>
              <w:rPr>
                <w:rFonts w:ascii="宋体" w:hAnsi="宋体" w:cs="宋体" w:eastAsia="宋体" w:hint="default"/>
                <w:sz w:val="20"/>
                <w:szCs w:val="20"/>
              </w:rPr>
            </w:pPr>
            <w:r>
              <w:rPr>
                <w:rFonts w:ascii="宋体" w:hAnsi="宋体" w:cs="宋体" w:eastAsia="宋体" w:hint="default"/>
                <w:sz w:val="20"/>
                <w:szCs w:val="20"/>
              </w:rPr>
              <w:t>合</w:t>
              <w:tab/>
              <w:t>计</w:t>
            </w:r>
          </w:p>
        </w:tc>
        <w:tc>
          <w:tcPr>
            <w:tcW w:w="1163" w:type="dxa"/>
            <w:tcBorders>
              <w:top w:val="single" w:sz="6" w:space="0" w:color="000000"/>
              <w:left w:val="nil" w:sz="6" w:space="0" w:color="auto"/>
              <w:bottom w:val="single" w:sz="6" w:space="0" w:color="000000"/>
              <w:right w:val="nil" w:sz="6" w:space="0" w:color="auto"/>
            </w:tcBorders>
          </w:tcPr>
          <w:p>
            <w:pPr>
              <w:pStyle w:val="TableParagraph"/>
              <w:spacing w:line="240" w:lineRule="auto" w:before="56"/>
              <w:ind w:right="83"/>
              <w:jc w:val="right"/>
              <w:rPr>
                <w:rFonts w:ascii="Times New Roman" w:hAnsi="Times New Roman" w:cs="Times New Roman" w:eastAsia="Times New Roman" w:hint="default"/>
                <w:sz w:val="20"/>
                <w:szCs w:val="20"/>
              </w:rPr>
            </w:pPr>
            <w:r>
              <w:rPr>
                <w:rFonts w:ascii="Times New Roman"/>
                <w:sz w:val="20"/>
              </w:rPr>
              <w:t>95,717.77</w:t>
            </w:r>
          </w:p>
        </w:tc>
        <w:tc>
          <w:tcPr>
            <w:tcW w:w="5599" w:type="dxa"/>
            <w:tcBorders>
              <w:top w:val="single" w:sz="6" w:space="0" w:color="000000"/>
              <w:left w:val="nil" w:sz="6" w:space="0" w:color="auto"/>
              <w:bottom w:val="single" w:sz="6" w:space="0" w:color="000000"/>
              <w:right w:val="nil" w:sz="6" w:space="0" w:color="auto"/>
            </w:tcBorders>
          </w:tcPr>
          <w:p>
            <w:pPr>
              <w:pStyle w:val="TableParagraph"/>
              <w:tabs>
                <w:tab w:pos="1039" w:val="left" w:leader="none"/>
                <w:tab w:pos="1581" w:val="left" w:leader="none"/>
                <w:tab w:pos="2667" w:val="left" w:leader="none"/>
                <w:tab w:pos="3767" w:val="left" w:leader="none"/>
              </w:tabs>
              <w:spacing w:line="240" w:lineRule="auto" w:before="56"/>
              <w:ind w:right="83"/>
              <w:jc w:val="right"/>
              <w:rPr>
                <w:rFonts w:ascii="Times New Roman" w:hAnsi="Times New Roman" w:cs="Times New Roman" w:eastAsia="Times New Roman" w:hint="default"/>
                <w:sz w:val="20"/>
                <w:szCs w:val="20"/>
              </w:rPr>
            </w:pPr>
            <w:r>
              <w:rPr>
                <w:rFonts w:ascii="Times New Roman"/>
                <w:sz w:val="20"/>
              </w:rPr>
              <w:t>-</w:t>
              <w:tab/>
              <w:t>-</w:t>
              <w:tab/>
            </w:r>
            <w:r>
              <w:rPr>
                <w:rFonts w:ascii="Times New Roman"/>
                <w:spacing w:val="-1"/>
                <w:sz w:val="20"/>
              </w:rPr>
              <w:t>2,500.00</w:t>
              <w:tab/>
              <w:t>2,500.00</w:t>
              <w:tab/>
            </w:r>
            <w:r>
              <w:rPr>
                <w:rFonts w:ascii="Times New Roman"/>
                <w:sz w:val="20"/>
              </w:rPr>
              <w:t>93,217.77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3"/>
        <w:spacing w:line="368" w:lineRule="exact"/>
        <w:ind w:left="681" w:right="222"/>
        <w:jc w:val="left"/>
        <w:rPr>
          <w:b w:val="0"/>
          <w:bCs w:val="0"/>
        </w:rPr>
      </w:pPr>
      <w:r>
        <w:rPr>
          <w:w w:val="115"/>
        </w:rPr>
        <w:t>j)</w:t>
      </w:r>
      <w:r>
        <w:rPr>
          <w:spacing w:val="39"/>
          <w:w w:val="115"/>
        </w:rPr>
        <w:t> </w:t>
      </w:r>
      <w:r>
        <w:rPr>
          <w:w w:val="115"/>
        </w:rPr>
        <w:t>在建工程</w:t>
      </w:r>
      <w:r>
        <w:rPr>
          <w:b w:val="0"/>
          <w:bCs w:val="0"/>
          <w:w w:val="115"/>
        </w:rPr>
      </w:r>
    </w:p>
    <w:p>
      <w:pPr>
        <w:pStyle w:val="BodyText"/>
        <w:spacing w:line="240" w:lineRule="auto" w:before="94"/>
        <w:ind w:left="617" w:right="222"/>
        <w:jc w:val="left"/>
      </w:pPr>
      <w:r>
        <w:rPr/>
        <w:t>（1）在建工程明细情况</w:t>
      </w:r>
    </w:p>
    <w:p>
      <w:pPr>
        <w:spacing w:after="0" w:line="240" w:lineRule="auto"/>
        <w:jc w:val="left"/>
        <w:sectPr>
          <w:type w:val="continuous"/>
          <w:pgSz w:w="11910" w:h="16840"/>
          <w:pgMar w:top="1060" w:bottom="1460" w:left="1660" w:right="1200"/>
        </w:sectPr>
      </w:pPr>
    </w:p>
    <w:p>
      <w:pPr>
        <w:tabs>
          <w:tab w:pos="1686" w:val="left" w:leader="none"/>
          <w:tab w:pos="3204" w:val="left" w:leader="none"/>
          <w:tab w:pos="4203" w:val="left" w:leader="none"/>
          <w:tab w:pos="5201" w:val="left" w:leader="none"/>
        </w:tabs>
        <w:spacing w:line="206" w:lineRule="exact" w:before="144"/>
        <w:ind w:left="540" w:right="-5" w:firstLine="0"/>
        <w:jc w:val="left"/>
        <w:rPr>
          <w:rFonts w:ascii="宋体" w:hAnsi="宋体" w:cs="宋体" w:eastAsia="宋体" w:hint="default"/>
          <w:sz w:val="13"/>
          <w:szCs w:val="13"/>
        </w:rPr>
      </w:pPr>
      <w:r>
        <w:rPr>
          <w:rFonts w:ascii="宋体" w:hAnsi="宋体" w:cs="宋体" w:eastAsia="宋体" w:hint="default"/>
          <w:sz w:val="13"/>
          <w:szCs w:val="13"/>
        </w:rPr>
        <w:t>工程名称</w:t>
        <w:tab/>
        <w:t>预算数（万元）</w:t>
        <w:tab/>
        <w:t>年初数</w:t>
        <w:tab/>
        <w:t>本年增加数</w:t>
        <w:tab/>
      </w:r>
      <w:r>
        <w:rPr>
          <w:rFonts w:ascii="宋体" w:hAnsi="宋体" w:cs="宋体" w:eastAsia="宋体" w:hint="default"/>
          <w:position w:val="8"/>
          <w:sz w:val="13"/>
          <w:szCs w:val="13"/>
        </w:rPr>
        <w:t>本年转入固定资</w:t>
      </w:r>
      <w:r>
        <w:rPr>
          <w:rFonts w:ascii="宋体" w:hAnsi="宋体" w:cs="宋体" w:eastAsia="宋体" w:hint="default"/>
          <w:sz w:val="13"/>
          <w:szCs w:val="13"/>
        </w:rPr>
      </w:r>
    </w:p>
    <w:p>
      <w:pPr>
        <w:spacing w:line="126" w:lineRule="exact" w:before="0"/>
        <w:ind w:left="0" w:right="361" w:firstLine="0"/>
        <w:jc w:val="right"/>
        <w:rPr>
          <w:rFonts w:ascii="宋体" w:hAnsi="宋体" w:cs="宋体" w:eastAsia="宋体" w:hint="default"/>
          <w:sz w:val="13"/>
          <w:szCs w:val="13"/>
        </w:rPr>
      </w:pPr>
      <w:r>
        <w:rPr>
          <w:rFonts w:ascii="宋体" w:hAnsi="宋体" w:cs="宋体" w:eastAsia="宋体" w:hint="default"/>
          <w:sz w:val="13"/>
          <w:szCs w:val="13"/>
        </w:rPr>
        <w:t>产数</w:t>
      </w:r>
    </w:p>
    <w:p>
      <w:pPr>
        <w:spacing w:line="240" w:lineRule="auto" w:before="3"/>
        <w:rPr>
          <w:rFonts w:ascii="宋体" w:hAnsi="宋体" w:cs="宋体" w:eastAsia="宋体" w:hint="default"/>
          <w:sz w:val="17"/>
          <w:szCs w:val="17"/>
        </w:rPr>
      </w:pPr>
      <w:r>
        <w:rPr/>
        <w:br w:type="column"/>
      </w:r>
      <w:r>
        <w:rPr>
          <w:rFonts w:ascii="宋体"/>
          <w:sz w:val="17"/>
        </w:rPr>
      </w:r>
    </w:p>
    <w:p>
      <w:pPr>
        <w:tabs>
          <w:tab w:pos="1357" w:val="left" w:leader="none"/>
          <w:tab w:pos="2265" w:val="left" w:leader="none"/>
        </w:tabs>
        <w:spacing w:line="156" w:lineRule="auto" w:before="0"/>
        <w:ind w:left="2233" w:right="149" w:hanging="1815"/>
        <w:jc w:val="right"/>
        <w:rPr>
          <w:rFonts w:ascii="宋体" w:hAnsi="宋体" w:cs="宋体" w:eastAsia="宋体" w:hint="default"/>
          <w:sz w:val="13"/>
          <w:szCs w:val="13"/>
        </w:rPr>
      </w:pPr>
      <w:r>
        <w:rPr>
          <w:rFonts w:ascii="宋体" w:hAnsi="宋体" w:cs="宋体" w:eastAsia="宋体" w:hint="default"/>
          <w:sz w:val="13"/>
          <w:szCs w:val="13"/>
        </w:rPr>
        <w:t>年末数</w:t>
        <w:tab/>
        <w:t>资金来源</w:t>
        <w:tab/>
        <w:tab/>
      </w:r>
      <w:r>
        <w:rPr>
          <w:rFonts w:ascii="宋体" w:hAnsi="宋体" w:cs="宋体" w:eastAsia="宋体" w:hint="default"/>
          <w:position w:val="8"/>
          <w:sz w:val="13"/>
          <w:szCs w:val="13"/>
        </w:rPr>
        <w:t>工程投入占</w:t>
      </w:r>
      <w:r>
        <w:rPr>
          <w:rFonts w:ascii="宋体" w:hAnsi="宋体" w:cs="宋体" w:eastAsia="宋体" w:hint="default"/>
          <w:spacing w:val="1"/>
          <w:w w:val="100"/>
          <w:position w:val="8"/>
          <w:sz w:val="13"/>
          <w:szCs w:val="13"/>
        </w:rPr>
        <w:t> </w:t>
      </w:r>
      <w:r>
        <w:rPr>
          <w:rFonts w:ascii="宋体" w:hAnsi="宋体" w:cs="宋体" w:eastAsia="宋体" w:hint="default"/>
          <w:sz w:val="13"/>
          <w:szCs w:val="13"/>
        </w:rPr>
        <w:t>预算的比例</w:t>
      </w:r>
    </w:p>
    <w:p>
      <w:pPr>
        <w:spacing w:after="0" w:line="156" w:lineRule="auto"/>
        <w:jc w:val="right"/>
        <w:rPr>
          <w:rFonts w:ascii="宋体" w:hAnsi="宋体" w:cs="宋体" w:eastAsia="宋体" w:hint="default"/>
          <w:sz w:val="13"/>
          <w:szCs w:val="13"/>
        </w:rPr>
        <w:sectPr>
          <w:pgSz w:w="11910" w:h="16840"/>
          <w:pgMar w:header="915" w:footer="1712" w:top="1100" w:bottom="1900" w:left="1660" w:right="1000"/>
          <w:cols w:num="2" w:equalWidth="0">
            <w:col w:w="6127" w:space="40"/>
            <w:col w:w="3083"/>
          </w:cols>
        </w:sectPr>
      </w:pPr>
    </w:p>
    <w:p>
      <w:pPr>
        <w:spacing w:line="240" w:lineRule="auto" w:before="3"/>
        <w:rPr>
          <w:rFonts w:ascii="宋体" w:hAnsi="宋体" w:cs="宋体" w:eastAsia="宋体" w:hint="default"/>
          <w:sz w:val="8"/>
          <w:szCs w:val="8"/>
        </w:rPr>
      </w:pPr>
      <w:r>
        <w:rPr/>
        <w:pict>
          <v:group style="position:absolute;margin-left:88.019981pt;margin-top:41.999668pt;width:419.35pt;height:16.4pt;mso-position-horizontal-relative:page;mso-position-vertical-relative:page;z-index:508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p>
    <w:tbl>
      <w:tblPr>
        <w:tblW w:w="0" w:type="auto"/>
        <w:jc w:val="left"/>
        <w:tblInd w:w="144" w:type="dxa"/>
        <w:tblLayout w:type="fixed"/>
        <w:tblCellMar>
          <w:top w:w="0" w:type="dxa"/>
          <w:left w:w="0" w:type="dxa"/>
          <w:bottom w:w="0" w:type="dxa"/>
          <w:right w:w="0" w:type="dxa"/>
        </w:tblCellMar>
        <w:tblLook w:val="01E0"/>
      </w:tblPr>
      <w:tblGrid>
        <w:gridCol w:w="1347"/>
        <w:gridCol w:w="1439"/>
        <w:gridCol w:w="1134"/>
        <w:gridCol w:w="1108"/>
        <w:gridCol w:w="1158"/>
        <w:gridCol w:w="967"/>
        <w:gridCol w:w="880"/>
        <w:gridCol w:w="143"/>
        <w:gridCol w:w="806"/>
      </w:tblGrid>
      <w:tr>
        <w:trPr>
          <w:trHeight w:val="194" w:hRule="exact"/>
        </w:trPr>
        <w:tc>
          <w:tcPr>
            <w:tcW w:w="1347" w:type="dxa"/>
            <w:tcBorders>
              <w:top w:val="single" w:sz="7" w:space="0" w:color="000000"/>
              <w:left w:val="nil" w:sz="6" w:space="0" w:color="auto"/>
              <w:bottom w:val="nil" w:sz="6" w:space="0" w:color="auto"/>
              <w:right w:val="nil" w:sz="6" w:space="0" w:color="auto"/>
            </w:tcBorders>
          </w:tcPr>
          <w:p>
            <w:pPr>
              <w:pStyle w:val="TableParagraph"/>
              <w:spacing w:line="159" w:lineRule="exact"/>
              <w:ind w:left="26" w:right="0"/>
              <w:jc w:val="left"/>
              <w:rPr>
                <w:rFonts w:ascii="宋体" w:hAnsi="宋体" w:cs="宋体" w:eastAsia="宋体" w:hint="default"/>
                <w:sz w:val="13"/>
                <w:szCs w:val="13"/>
              </w:rPr>
            </w:pPr>
            <w:r>
              <w:rPr>
                <w:rFonts w:ascii="宋体" w:hAnsi="宋体" w:cs="宋体" w:eastAsia="宋体" w:hint="default"/>
                <w:sz w:val="13"/>
                <w:szCs w:val="13"/>
              </w:rPr>
              <w:t>新综合生产楼</w:t>
            </w:r>
          </w:p>
        </w:tc>
        <w:tc>
          <w:tcPr>
            <w:tcW w:w="1439" w:type="dxa"/>
            <w:tcBorders>
              <w:top w:val="single" w:sz="7" w:space="0" w:color="000000"/>
              <w:left w:val="nil" w:sz="6" w:space="0" w:color="auto"/>
              <w:bottom w:val="nil" w:sz="6" w:space="0" w:color="auto"/>
              <w:right w:val="nil" w:sz="6" w:space="0" w:color="auto"/>
            </w:tcBorders>
          </w:tcPr>
          <w:p>
            <w:pPr/>
          </w:p>
        </w:tc>
        <w:tc>
          <w:tcPr>
            <w:tcW w:w="1134" w:type="dxa"/>
            <w:tcBorders>
              <w:top w:val="single" w:sz="7" w:space="0" w:color="000000"/>
              <w:left w:val="nil" w:sz="6" w:space="0" w:color="auto"/>
              <w:bottom w:val="nil" w:sz="6" w:space="0" w:color="auto"/>
              <w:right w:val="nil" w:sz="6" w:space="0" w:color="auto"/>
            </w:tcBorders>
          </w:tcPr>
          <w:p>
            <w:pPr>
              <w:pStyle w:val="TableParagraph"/>
              <w:spacing w:line="240" w:lineRule="auto" w:before="6"/>
              <w:ind w:right="215"/>
              <w:jc w:val="right"/>
              <w:rPr>
                <w:rFonts w:ascii="Times New Roman" w:hAnsi="Times New Roman" w:cs="Times New Roman" w:eastAsia="Times New Roman" w:hint="default"/>
                <w:sz w:val="13"/>
                <w:szCs w:val="13"/>
              </w:rPr>
            </w:pPr>
            <w:r>
              <w:rPr>
                <w:rFonts w:ascii="Times New Roman"/>
                <w:sz w:val="13"/>
              </w:rPr>
              <w:t>22,766,480.61</w:t>
            </w:r>
          </w:p>
        </w:tc>
        <w:tc>
          <w:tcPr>
            <w:tcW w:w="1108" w:type="dxa"/>
            <w:tcBorders>
              <w:top w:val="single" w:sz="7" w:space="0" w:color="000000"/>
              <w:left w:val="nil" w:sz="6" w:space="0" w:color="auto"/>
              <w:bottom w:val="nil" w:sz="6" w:space="0" w:color="auto"/>
              <w:right w:val="nil" w:sz="6" w:space="0" w:color="auto"/>
            </w:tcBorders>
          </w:tcPr>
          <w:p>
            <w:pPr>
              <w:pStyle w:val="TableParagraph"/>
              <w:spacing w:line="240" w:lineRule="auto" w:before="6"/>
              <w:ind w:left="21" w:right="0"/>
              <w:jc w:val="center"/>
              <w:rPr>
                <w:rFonts w:ascii="Times New Roman" w:hAnsi="Times New Roman" w:cs="Times New Roman" w:eastAsia="Times New Roman" w:hint="default"/>
                <w:sz w:val="13"/>
                <w:szCs w:val="13"/>
              </w:rPr>
            </w:pPr>
            <w:r>
              <w:rPr>
                <w:rFonts w:ascii="Times New Roman"/>
                <w:sz w:val="13"/>
              </w:rPr>
              <w:t>9,105,041.80</w:t>
            </w:r>
          </w:p>
        </w:tc>
        <w:tc>
          <w:tcPr>
            <w:tcW w:w="1158" w:type="dxa"/>
            <w:tcBorders>
              <w:top w:val="single" w:sz="7" w:space="0" w:color="000000"/>
              <w:left w:val="nil" w:sz="6" w:space="0" w:color="auto"/>
              <w:bottom w:val="nil" w:sz="6" w:space="0" w:color="auto"/>
              <w:right w:val="nil" w:sz="6" w:space="0" w:color="auto"/>
            </w:tcBorders>
          </w:tcPr>
          <w:p>
            <w:pPr>
              <w:pStyle w:val="TableParagraph"/>
              <w:spacing w:line="240" w:lineRule="auto" w:before="6"/>
              <w:ind w:right="220"/>
              <w:jc w:val="right"/>
              <w:rPr>
                <w:rFonts w:ascii="Times New Roman" w:hAnsi="Times New Roman" w:cs="Times New Roman" w:eastAsia="Times New Roman" w:hint="default"/>
                <w:sz w:val="13"/>
                <w:szCs w:val="13"/>
              </w:rPr>
            </w:pPr>
            <w:r>
              <w:rPr>
                <w:rFonts w:ascii="Times New Roman"/>
                <w:sz w:val="13"/>
              </w:rPr>
              <w:t>31,836,000.00</w:t>
            </w:r>
          </w:p>
        </w:tc>
        <w:tc>
          <w:tcPr>
            <w:tcW w:w="967" w:type="dxa"/>
            <w:tcBorders>
              <w:top w:val="single" w:sz="7" w:space="0" w:color="000000"/>
              <w:left w:val="nil" w:sz="6" w:space="0" w:color="auto"/>
              <w:bottom w:val="nil" w:sz="6" w:space="0" w:color="auto"/>
              <w:right w:val="nil" w:sz="6" w:space="0" w:color="auto"/>
            </w:tcBorders>
          </w:tcPr>
          <w:p>
            <w:pPr>
              <w:pStyle w:val="TableParagraph"/>
              <w:spacing w:line="240" w:lineRule="auto" w:before="6"/>
              <w:ind w:right="67"/>
              <w:jc w:val="right"/>
              <w:rPr>
                <w:rFonts w:ascii="Times New Roman" w:hAnsi="Times New Roman" w:cs="Times New Roman" w:eastAsia="Times New Roman" w:hint="default"/>
                <w:sz w:val="13"/>
                <w:szCs w:val="13"/>
              </w:rPr>
            </w:pPr>
            <w:r>
              <w:rPr>
                <w:rFonts w:ascii="Times New Roman"/>
                <w:sz w:val="13"/>
              </w:rPr>
              <w:t>35,522.41</w:t>
            </w:r>
          </w:p>
        </w:tc>
        <w:tc>
          <w:tcPr>
            <w:tcW w:w="880" w:type="dxa"/>
            <w:tcBorders>
              <w:top w:val="single" w:sz="7" w:space="0" w:color="000000"/>
              <w:left w:val="nil" w:sz="6" w:space="0" w:color="auto"/>
              <w:bottom w:val="nil" w:sz="6" w:space="0" w:color="auto"/>
              <w:right w:val="nil" w:sz="6" w:space="0" w:color="auto"/>
            </w:tcBorders>
          </w:tcPr>
          <w:p>
            <w:pPr>
              <w:pStyle w:val="TableParagraph"/>
              <w:spacing w:line="146" w:lineRule="exact"/>
              <w:ind w:left="50"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949" w:type="dxa"/>
            <w:gridSpan w:val="2"/>
            <w:vMerge w:val="restart"/>
            <w:tcBorders>
              <w:top w:val="nil" w:sz="6" w:space="0" w:color="auto"/>
              <w:left w:val="nil" w:sz="6" w:space="0" w:color="auto"/>
              <w:right w:val="nil" w:sz="6" w:space="0" w:color="auto"/>
            </w:tcBorders>
          </w:tcPr>
          <w:p>
            <w:pPr/>
          </w:p>
        </w:tc>
      </w:tr>
      <w:tr>
        <w:trPr>
          <w:trHeight w:val="18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1" w:lineRule="exact"/>
              <w:ind w:left="26" w:right="0"/>
              <w:jc w:val="left"/>
              <w:rPr>
                <w:rFonts w:ascii="宋体" w:hAnsi="宋体" w:cs="宋体" w:eastAsia="宋体" w:hint="default"/>
                <w:sz w:val="13"/>
                <w:szCs w:val="13"/>
              </w:rPr>
            </w:pPr>
            <w:r>
              <w:rPr>
                <w:rFonts w:ascii="宋体" w:hAnsi="宋体" w:cs="宋体" w:eastAsia="宋体" w:hint="default"/>
                <w:sz w:val="13"/>
                <w:szCs w:val="13"/>
              </w:rPr>
              <w:t>围墙工程</w:t>
            </w:r>
          </w:p>
        </w:tc>
        <w:tc>
          <w:tcPr>
            <w:tcW w:w="1439"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28" w:right="0"/>
              <w:jc w:val="center"/>
              <w:rPr>
                <w:rFonts w:ascii="Times New Roman" w:hAnsi="Times New Roman" w:cs="Times New Roman" w:eastAsia="Times New Roman" w:hint="default"/>
                <w:sz w:val="13"/>
                <w:szCs w:val="13"/>
              </w:rPr>
            </w:pPr>
            <w:r>
              <w:rPr>
                <w:rFonts w:ascii="Times New Roman"/>
                <w:sz w:val="13"/>
              </w:rPr>
              <w:t>52,020.00</w:t>
            </w:r>
          </w:p>
        </w:tc>
        <w:tc>
          <w:tcPr>
            <w:tcW w:w="1158"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
              <w:jc w:val="right"/>
              <w:rPr>
                <w:rFonts w:ascii="Times New Roman" w:hAnsi="Times New Roman" w:cs="Times New Roman" w:eastAsia="Times New Roman" w:hint="default"/>
                <w:sz w:val="13"/>
                <w:szCs w:val="13"/>
              </w:rPr>
            </w:pPr>
            <w:r>
              <w:rPr>
                <w:rFonts w:ascii="Times New Roman"/>
                <w:sz w:val="13"/>
              </w:rPr>
              <w:t>52,020.00</w:t>
            </w:r>
          </w:p>
        </w:tc>
        <w:tc>
          <w:tcPr>
            <w:tcW w:w="880" w:type="dxa"/>
            <w:tcBorders>
              <w:top w:val="nil" w:sz="6" w:space="0" w:color="auto"/>
              <w:left w:val="nil" w:sz="6" w:space="0" w:color="auto"/>
              <w:bottom w:val="nil" w:sz="6" w:space="0" w:color="auto"/>
              <w:right w:val="nil" w:sz="6" w:space="0" w:color="auto"/>
            </w:tcBorders>
          </w:tcPr>
          <w:p>
            <w:pPr>
              <w:pStyle w:val="TableParagraph"/>
              <w:spacing w:line="161" w:lineRule="exact"/>
              <w:ind w:left="116"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949" w:type="dxa"/>
            <w:gridSpan w:val="2"/>
            <w:vMerge/>
            <w:tcBorders>
              <w:left w:val="nil" w:sz="6" w:space="0" w:color="auto"/>
              <w:right w:val="nil" w:sz="6" w:space="0" w:color="auto"/>
            </w:tcBorders>
          </w:tcPr>
          <w:p>
            <w:pPr/>
          </w:p>
        </w:tc>
      </w:tr>
      <w:tr>
        <w:trPr>
          <w:trHeight w:val="18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1" w:lineRule="exact"/>
              <w:ind w:left="26" w:right="0"/>
              <w:jc w:val="left"/>
              <w:rPr>
                <w:rFonts w:ascii="宋体" w:hAnsi="宋体" w:cs="宋体" w:eastAsia="宋体" w:hint="default"/>
                <w:sz w:val="13"/>
                <w:szCs w:val="13"/>
              </w:rPr>
            </w:pPr>
            <w:r>
              <w:rPr>
                <w:rFonts w:ascii="宋体" w:hAnsi="宋体" w:cs="宋体" w:eastAsia="宋体" w:hint="default"/>
                <w:sz w:val="13"/>
                <w:szCs w:val="13"/>
              </w:rPr>
              <w:t>园林工程</w:t>
            </w:r>
          </w:p>
        </w:tc>
        <w:tc>
          <w:tcPr>
            <w:tcW w:w="1439"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2" w:right="0"/>
              <w:jc w:val="center"/>
              <w:rPr>
                <w:rFonts w:ascii="Times New Roman" w:hAnsi="Times New Roman" w:cs="Times New Roman" w:eastAsia="Times New Roman" w:hint="default"/>
                <w:sz w:val="13"/>
                <w:szCs w:val="13"/>
              </w:rPr>
            </w:pPr>
            <w:r>
              <w:rPr>
                <w:rFonts w:ascii="Times New Roman"/>
                <w:sz w:val="13"/>
              </w:rPr>
              <w:t>1,182,566.25</w:t>
            </w:r>
          </w:p>
        </w:tc>
        <w:tc>
          <w:tcPr>
            <w:tcW w:w="1158"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
              <w:jc w:val="right"/>
              <w:rPr>
                <w:rFonts w:ascii="Times New Roman" w:hAnsi="Times New Roman" w:cs="Times New Roman" w:eastAsia="Times New Roman" w:hint="default"/>
                <w:sz w:val="13"/>
                <w:szCs w:val="13"/>
              </w:rPr>
            </w:pPr>
            <w:r>
              <w:rPr>
                <w:rFonts w:ascii="Times New Roman"/>
                <w:sz w:val="13"/>
              </w:rPr>
              <w:t>1,182,566.25</w:t>
            </w:r>
          </w:p>
        </w:tc>
        <w:tc>
          <w:tcPr>
            <w:tcW w:w="880" w:type="dxa"/>
            <w:tcBorders>
              <w:top w:val="nil" w:sz="6" w:space="0" w:color="auto"/>
              <w:left w:val="nil" w:sz="6" w:space="0" w:color="auto"/>
              <w:bottom w:val="nil" w:sz="6" w:space="0" w:color="auto"/>
              <w:right w:val="nil" w:sz="6" w:space="0" w:color="auto"/>
            </w:tcBorders>
          </w:tcPr>
          <w:p>
            <w:pPr>
              <w:pStyle w:val="TableParagraph"/>
              <w:spacing w:line="161" w:lineRule="exact"/>
              <w:ind w:left="116"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949" w:type="dxa"/>
            <w:gridSpan w:val="2"/>
            <w:vMerge/>
            <w:tcBorders>
              <w:left w:val="nil" w:sz="6" w:space="0" w:color="auto"/>
              <w:right w:val="nil" w:sz="6" w:space="0" w:color="auto"/>
            </w:tcBorders>
          </w:tcPr>
          <w:p>
            <w:pPr/>
          </w:p>
        </w:tc>
      </w:tr>
      <w:tr>
        <w:trPr>
          <w:trHeight w:val="186"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1" w:lineRule="exact"/>
              <w:ind w:left="26" w:right="0"/>
              <w:jc w:val="left"/>
              <w:rPr>
                <w:rFonts w:ascii="宋体" w:hAnsi="宋体" w:cs="宋体" w:eastAsia="宋体" w:hint="default"/>
                <w:sz w:val="13"/>
                <w:szCs w:val="13"/>
              </w:rPr>
            </w:pPr>
            <w:r>
              <w:rPr>
                <w:rFonts w:ascii="宋体" w:hAnsi="宋体" w:cs="宋体" w:eastAsia="宋体" w:hint="default"/>
                <w:sz w:val="13"/>
                <w:szCs w:val="13"/>
              </w:rPr>
              <w:t>厂房工程款</w:t>
            </w:r>
          </w:p>
        </w:tc>
        <w:tc>
          <w:tcPr>
            <w:tcW w:w="1439"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2" w:right="0"/>
              <w:jc w:val="center"/>
              <w:rPr>
                <w:rFonts w:ascii="Times New Roman" w:hAnsi="Times New Roman" w:cs="Times New Roman" w:eastAsia="Times New Roman" w:hint="default"/>
                <w:sz w:val="13"/>
                <w:szCs w:val="13"/>
              </w:rPr>
            </w:pPr>
            <w:r>
              <w:rPr>
                <w:rFonts w:ascii="Times New Roman"/>
                <w:sz w:val="13"/>
              </w:rPr>
              <w:t>7,327,822.70</w:t>
            </w:r>
          </w:p>
        </w:tc>
        <w:tc>
          <w:tcPr>
            <w:tcW w:w="1158"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8"/>
              <w:jc w:val="right"/>
              <w:rPr>
                <w:rFonts w:ascii="Times New Roman" w:hAnsi="Times New Roman" w:cs="Times New Roman" w:eastAsia="Times New Roman" w:hint="default"/>
                <w:sz w:val="13"/>
                <w:szCs w:val="13"/>
              </w:rPr>
            </w:pPr>
            <w:r>
              <w:rPr>
                <w:rFonts w:ascii="Times New Roman"/>
                <w:sz w:val="13"/>
              </w:rPr>
              <w:t>7,327,822.70</w:t>
            </w:r>
          </w:p>
        </w:tc>
        <w:tc>
          <w:tcPr>
            <w:tcW w:w="880" w:type="dxa"/>
            <w:tcBorders>
              <w:top w:val="nil" w:sz="6" w:space="0" w:color="auto"/>
              <w:left w:val="nil" w:sz="6" w:space="0" w:color="auto"/>
              <w:bottom w:val="nil" w:sz="6" w:space="0" w:color="auto"/>
              <w:right w:val="nil" w:sz="6" w:space="0" w:color="auto"/>
            </w:tcBorders>
          </w:tcPr>
          <w:p>
            <w:pPr>
              <w:pStyle w:val="TableParagraph"/>
              <w:spacing w:line="161" w:lineRule="exact"/>
              <w:ind w:left="116"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949" w:type="dxa"/>
            <w:gridSpan w:val="2"/>
            <w:vMerge/>
            <w:tcBorders>
              <w:left w:val="nil" w:sz="6" w:space="0" w:color="auto"/>
              <w:right w:val="nil" w:sz="6" w:space="0" w:color="auto"/>
            </w:tcBorders>
          </w:tcPr>
          <w:p>
            <w:pPr/>
          </w:p>
        </w:tc>
      </w:tr>
      <w:tr>
        <w:trPr>
          <w:trHeight w:val="183"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1" w:lineRule="exact"/>
              <w:ind w:left="26" w:right="0"/>
              <w:jc w:val="left"/>
              <w:rPr>
                <w:rFonts w:ascii="宋体" w:hAnsi="宋体" w:cs="宋体" w:eastAsia="宋体" w:hint="default"/>
                <w:sz w:val="13"/>
                <w:szCs w:val="13"/>
              </w:rPr>
            </w:pPr>
            <w:r>
              <w:rPr>
                <w:rFonts w:ascii="宋体" w:hAnsi="宋体" w:cs="宋体" w:eastAsia="宋体" w:hint="default"/>
                <w:sz w:val="13"/>
                <w:szCs w:val="13"/>
              </w:rPr>
              <w:t>遥墙土地填土工程</w:t>
            </w:r>
          </w:p>
        </w:tc>
        <w:tc>
          <w:tcPr>
            <w:tcW w:w="1439"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5"/>
              <w:jc w:val="right"/>
              <w:rPr>
                <w:rFonts w:ascii="Times New Roman" w:hAnsi="Times New Roman" w:cs="Times New Roman" w:eastAsia="Times New Roman" w:hint="default"/>
                <w:sz w:val="13"/>
                <w:szCs w:val="13"/>
              </w:rPr>
            </w:pPr>
            <w:r>
              <w:rPr>
                <w:rFonts w:ascii="Times New Roman"/>
                <w:sz w:val="13"/>
              </w:rPr>
              <w:t>1,080,000.00</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1" w:right="0"/>
              <w:jc w:val="center"/>
              <w:rPr>
                <w:rFonts w:ascii="Times New Roman" w:hAnsi="Times New Roman" w:cs="Times New Roman" w:eastAsia="Times New Roman" w:hint="default"/>
                <w:sz w:val="13"/>
                <w:szCs w:val="13"/>
              </w:rPr>
            </w:pPr>
            <w:r>
              <w:rPr>
                <w:rFonts w:ascii="Times New Roman"/>
                <w:sz w:val="13"/>
              </w:rPr>
              <w:t>304,865.50</w:t>
            </w:r>
          </w:p>
        </w:tc>
        <w:tc>
          <w:tcPr>
            <w:tcW w:w="1158"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13"/>
                <w:szCs w:val="13"/>
              </w:rPr>
            </w:pPr>
            <w:r>
              <w:rPr>
                <w:rFonts w:ascii="Times New Roman"/>
                <w:sz w:val="13"/>
              </w:rPr>
              <w:t>1,384,865.50</w:t>
            </w:r>
          </w:p>
        </w:tc>
        <w:tc>
          <w:tcPr>
            <w:tcW w:w="880" w:type="dxa"/>
            <w:tcBorders>
              <w:top w:val="nil" w:sz="6" w:space="0" w:color="auto"/>
              <w:left w:val="nil" w:sz="6" w:space="0" w:color="auto"/>
              <w:bottom w:val="nil" w:sz="6" w:space="0" w:color="auto"/>
              <w:right w:val="nil" w:sz="6" w:space="0" w:color="auto"/>
            </w:tcBorders>
          </w:tcPr>
          <w:p>
            <w:pPr>
              <w:pStyle w:val="TableParagraph"/>
              <w:spacing w:line="161" w:lineRule="exact"/>
              <w:ind w:left="116"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949" w:type="dxa"/>
            <w:gridSpan w:val="2"/>
            <w:vMerge/>
            <w:tcBorders>
              <w:left w:val="nil" w:sz="6" w:space="0" w:color="auto"/>
              <w:bottom w:val="nil" w:sz="6" w:space="0" w:color="auto"/>
              <w:right w:val="nil" w:sz="6" w:space="0" w:color="auto"/>
            </w:tcBorders>
          </w:tcPr>
          <w:p>
            <w:pPr/>
          </w:p>
        </w:tc>
      </w:tr>
      <w:tr>
        <w:trPr>
          <w:trHeight w:val="18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5" w:lineRule="exact"/>
              <w:ind w:left="26" w:right="0"/>
              <w:jc w:val="left"/>
              <w:rPr>
                <w:rFonts w:ascii="宋体" w:hAnsi="宋体" w:cs="宋体" w:eastAsia="宋体" w:hint="default"/>
                <w:sz w:val="13"/>
                <w:szCs w:val="13"/>
              </w:rPr>
            </w:pPr>
            <w:r>
              <w:rPr>
                <w:rFonts w:ascii="宋体" w:hAnsi="宋体" w:cs="宋体" w:eastAsia="宋体" w:hint="default"/>
                <w:sz w:val="13"/>
                <w:szCs w:val="13"/>
              </w:rPr>
              <w:t>宫腰印刷机</w:t>
            </w:r>
          </w:p>
        </w:tc>
        <w:tc>
          <w:tcPr>
            <w:tcW w:w="1439" w:type="dxa"/>
            <w:tcBorders>
              <w:top w:val="nil" w:sz="6" w:space="0" w:color="auto"/>
              <w:left w:val="nil" w:sz="6" w:space="0" w:color="auto"/>
              <w:bottom w:val="nil" w:sz="6" w:space="0" w:color="auto"/>
              <w:right w:val="nil" w:sz="6" w:space="0" w:color="auto"/>
            </w:tcBorders>
          </w:tcPr>
          <w:p>
            <w:pPr>
              <w:pStyle w:val="TableParagraph"/>
              <w:spacing w:line="164" w:lineRule="exact"/>
              <w:ind w:right="153"/>
              <w:jc w:val="right"/>
              <w:rPr>
                <w:rFonts w:ascii="宋体" w:hAnsi="宋体" w:cs="宋体" w:eastAsia="宋体" w:hint="default"/>
                <w:sz w:val="13"/>
                <w:szCs w:val="13"/>
              </w:rPr>
            </w:pPr>
            <w:r>
              <w:rPr>
                <w:rFonts w:ascii="Times New Roman" w:hAnsi="Times New Roman" w:cs="Times New Roman" w:eastAsia="Times New Roman" w:hint="default"/>
                <w:sz w:val="13"/>
                <w:szCs w:val="13"/>
              </w:rPr>
              <w:t>17243.9322</w:t>
            </w:r>
            <w:r>
              <w:rPr>
                <w:rFonts w:ascii="宋体" w:hAnsi="宋体" w:cs="宋体" w:eastAsia="宋体" w:hint="default"/>
                <w:sz w:val="13"/>
                <w:szCs w:val="13"/>
              </w:rPr>
              <w:t>万日元</w:t>
            </w: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2" w:right="0"/>
              <w:jc w:val="center"/>
              <w:rPr>
                <w:rFonts w:ascii="Times New Roman" w:hAnsi="Times New Roman" w:cs="Times New Roman" w:eastAsia="Times New Roman" w:hint="default"/>
                <w:sz w:val="13"/>
                <w:szCs w:val="13"/>
              </w:rPr>
            </w:pPr>
            <w:r>
              <w:rPr>
                <w:rFonts w:ascii="Times New Roman"/>
                <w:sz w:val="13"/>
              </w:rPr>
              <w:t>2,326,896.21</w:t>
            </w:r>
          </w:p>
        </w:tc>
        <w:tc>
          <w:tcPr>
            <w:tcW w:w="1158"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Times New Roman" w:hAnsi="Times New Roman" w:cs="Times New Roman" w:eastAsia="Times New Roman" w:hint="default"/>
                <w:sz w:val="13"/>
                <w:szCs w:val="13"/>
              </w:rPr>
            </w:pPr>
            <w:r>
              <w:rPr>
                <w:rFonts w:ascii="Times New Roman"/>
                <w:sz w:val="13"/>
              </w:rPr>
              <w:t>2,326,896.21</w:t>
            </w:r>
          </w:p>
        </w:tc>
        <w:tc>
          <w:tcPr>
            <w:tcW w:w="880" w:type="dxa"/>
            <w:tcBorders>
              <w:top w:val="nil" w:sz="6" w:space="0" w:color="auto"/>
              <w:left w:val="nil" w:sz="6" w:space="0" w:color="auto"/>
              <w:bottom w:val="nil" w:sz="6" w:space="0" w:color="auto"/>
              <w:right w:val="nil" w:sz="6" w:space="0" w:color="auto"/>
            </w:tcBorders>
          </w:tcPr>
          <w:p>
            <w:pPr>
              <w:pStyle w:val="TableParagraph"/>
              <w:spacing w:line="165" w:lineRule="exact"/>
              <w:ind w:left="116" w:right="0"/>
              <w:jc w:val="left"/>
              <w:rPr>
                <w:rFonts w:ascii="宋体" w:hAnsi="宋体" w:cs="宋体" w:eastAsia="宋体" w:hint="default"/>
                <w:sz w:val="13"/>
                <w:szCs w:val="13"/>
              </w:rPr>
            </w:pPr>
            <w:r>
              <w:rPr>
                <w:rFonts w:ascii="宋体" w:hAnsi="宋体" w:cs="宋体" w:eastAsia="宋体" w:hint="default"/>
                <w:sz w:val="13"/>
                <w:szCs w:val="13"/>
              </w:rPr>
              <w:t>募股资金</w:t>
            </w:r>
          </w:p>
        </w:tc>
        <w:tc>
          <w:tcPr>
            <w:tcW w:w="14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5" w:right="0"/>
              <w:jc w:val="left"/>
              <w:rPr>
                <w:rFonts w:ascii="Times New Roman" w:hAnsi="Times New Roman" w:cs="Times New Roman" w:eastAsia="Times New Roman" w:hint="default"/>
                <w:sz w:val="13"/>
                <w:szCs w:val="13"/>
              </w:rPr>
            </w:pPr>
            <w:r>
              <w:rPr>
                <w:rFonts w:ascii="Times New Roman"/>
                <w:sz w:val="13"/>
              </w:rPr>
              <w:t>100%</w:t>
            </w:r>
          </w:p>
        </w:tc>
      </w:tr>
      <w:tr>
        <w:trPr>
          <w:trHeight w:val="18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5" w:lineRule="exact"/>
              <w:ind w:left="26" w:right="0"/>
              <w:jc w:val="left"/>
              <w:rPr>
                <w:rFonts w:ascii="宋体" w:hAnsi="宋体" w:cs="宋体" w:eastAsia="宋体" w:hint="default"/>
                <w:sz w:val="13"/>
                <w:szCs w:val="13"/>
              </w:rPr>
            </w:pPr>
            <w:r>
              <w:rPr>
                <w:rFonts w:ascii="宋体" w:hAnsi="宋体" w:cs="宋体" w:eastAsia="宋体" w:hint="default"/>
                <w:sz w:val="13"/>
                <w:szCs w:val="13"/>
              </w:rPr>
              <w:t>磁条烫印机</w:t>
            </w:r>
          </w:p>
        </w:tc>
        <w:tc>
          <w:tcPr>
            <w:tcW w:w="1439" w:type="dxa"/>
            <w:tcBorders>
              <w:top w:val="nil" w:sz="6" w:space="0" w:color="auto"/>
              <w:left w:val="nil" w:sz="6" w:space="0" w:color="auto"/>
              <w:bottom w:val="nil" w:sz="6" w:space="0" w:color="auto"/>
              <w:right w:val="nil" w:sz="6" w:space="0" w:color="auto"/>
            </w:tcBorders>
          </w:tcPr>
          <w:p>
            <w:pPr>
              <w:pStyle w:val="TableParagraph"/>
              <w:spacing w:line="164" w:lineRule="exact"/>
              <w:ind w:right="153"/>
              <w:jc w:val="right"/>
              <w:rPr>
                <w:rFonts w:ascii="宋体" w:hAnsi="宋体" w:cs="宋体" w:eastAsia="宋体" w:hint="default"/>
                <w:sz w:val="13"/>
                <w:szCs w:val="13"/>
              </w:rPr>
            </w:pPr>
            <w:r>
              <w:rPr>
                <w:rFonts w:ascii="Times New Roman" w:hAnsi="Times New Roman" w:cs="Times New Roman" w:eastAsia="Times New Roman" w:hint="default"/>
                <w:sz w:val="13"/>
                <w:szCs w:val="13"/>
              </w:rPr>
              <w:t>1800</w:t>
            </w:r>
            <w:r>
              <w:rPr>
                <w:rFonts w:ascii="宋体" w:hAnsi="宋体" w:cs="宋体" w:eastAsia="宋体" w:hint="default"/>
                <w:sz w:val="13"/>
                <w:szCs w:val="13"/>
              </w:rPr>
              <w:t>万日元</w:t>
            </w: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60" w:right="0"/>
              <w:jc w:val="center"/>
              <w:rPr>
                <w:rFonts w:ascii="Times New Roman" w:hAnsi="Times New Roman" w:cs="Times New Roman" w:eastAsia="Times New Roman" w:hint="default"/>
                <w:sz w:val="13"/>
                <w:szCs w:val="13"/>
              </w:rPr>
            </w:pPr>
            <w:r>
              <w:rPr>
                <w:rFonts w:ascii="Times New Roman"/>
                <w:sz w:val="13"/>
              </w:rPr>
              <w:t>369,657.00</w:t>
            </w:r>
          </w:p>
        </w:tc>
        <w:tc>
          <w:tcPr>
            <w:tcW w:w="1158"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9"/>
              <w:jc w:val="right"/>
              <w:rPr>
                <w:rFonts w:ascii="Times New Roman" w:hAnsi="Times New Roman" w:cs="Times New Roman" w:eastAsia="Times New Roman" w:hint="default"/>
                <w:sz w:val="13"/>
                <w:szCs w:val="13"/>
              </w:rPr>
            </w:pPr>
            <w:r>
              <w:rPr>
                <w:rFonts w:ascii="Times New Roman"/>
                <w:sz w:val="13"/>
              </w:rPr>
              <w:t>369,657.00</w:t>
            </w:r>
          </w:p>
        </w:tc>
        <w:tc>
          <w:tcPr>
            <w:tcW w:w="880" w:type="dxa"/>
            <w:tcBorders>
              <w:top w:val="nil" w:sz="6" w:space="0" w:color="auto"/>
              <w:left w:val="nil" w:sz="6" w:space="0" w:color="auto"/>
              <w:bottom w:val="nil" w:sz="6" w:space="0" w:color="auto"/>
              <w:right w:val="nil" w:sz="6" w:space="0" w:color="auto"/>
            </w:tcBorders>
          </w:tcPr>
          <w:p>
            <w:pPr>
              <w:pStyle w:val="TableParagraph"/>
              <w:spacing w:line="165" w:lineRule="exact"/>
              <w:ind w:left="116" w:right="0"/>
              <w:jc w:val="left"/>
              <w:rPr>
                <w:rFonts w:ascii="宋体" w:hAnsi="宋体" w:cs="宋体" w:eastAsia="宋体" w:hint="default"/>
                <w:sz w:val="13"/>
                <w:szCs w:val="13"/>
              </w:rPr>
            </w:pPr>
            <w:r>
              <w:rPr>
                <w:rFonts w:ascii="宋体" w:hAnsi="宋体" w:cs="宋体" w:eastAsia="宋体" w:hint="default"/>
                <w:sz w:val="13"/>
                <w:szCs w:val="13"/>
              </w:rPr>
              <w:t>募股资金</w:t>
            </w:r>
          </w:p>
        </w:tc>
        <w:tc>
          <w:tcPr>
            <w:tcW w:w="14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5" w:right="0"/>
              <w:jc w:val="left"/>
              <w:rPr>
                <w:rFonts w:ascii="Times New Roman" w:hAnsi="Times New Roman" w:cs="Times New Roman" w:eastAsia="Times New Roman" w:hint="default"/>
                <w:sz w:val="13"/>
                <w:szCs w:val="13"/>
              </w:rPr>
            </w:pPr>
            <w:r>
              <w:rPr>
                <w:rFonts w:ascii="Times New Roman"/>
                <w:sz w:val="13"/>
              </w:rPr>
              <w:t>100%</w:t>
            </w:r>
          </w:p>
        </w:tc>
      </w:tr>
      <w:tr>
        <w:trPr>
          <w:trHeight w:val="18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5" w:lineRule="exact"/>
              <w:ind w:left="26" w:right="0"/>
              <w:jc w:val="left"/>
              <w:rPr>
                <w:rFonts w:ascii="宋体" w:hAnsi="宋体" w:cs="宋体" w:eastAsia="宋体" w:hint="default"/>
                <w:sz w:val="13"/>
                <w:szCs w:val="13"/>
              </w:rPr>
            </w:pPr>
            <w:r>
              <w:rPr>
                <w:rFonts w:ascii="宋体" w:hAnsi="宋体" w:cs="宋体" w:eastAsia="宋体" w:hint="default"/>
                <w:sz w:val="13"/>
                <w:szCs w:val="13"/>
              </w:rPr>
              <w:t>数码印刷机</w:t>
            </w:r>
          </w:p>
        </w:tc>
        <w:tc>
          <w:tcPr>
            <w:tcW w:w="1439" w:type="dxa"/>
            <w:tcBorders>
              <w:top w:val="nil" w:sz="6" w:space="0" w:color="auto"/>
              <w:left w:val="nil" w:sz="6" w:space="0" w:color="auto"/>
              <w:bottom w:val="nil" w:sz="6" w:space="0" w:color="auto"/>
              <w:right w:val="nil" w:sz="6" w:space="0" w:color="auto"/>
            </w:tcBorders>
          </w:tcPr>
          <w:p>
            <w:pPr>
              <w:pStyle w:val="TableParagraph"/>
              <w:spacing w:line="164" w:lineRule="exact"/>
              <w:ind w:right="153"/>
              <w:jc w:val="right"/>
              <w:rPr>
                <w:rFonts w:ascii="宋体" w:hAnsi="宋体" w:cs="宋体" w:eastAsia="宋体" w:hint="default"/>
                <w:sz w:val="13"/>
                <w:szCs w:val="13"/>
              </w:rPr>
            </w:pPr>
            <w:r>
              <w:rPr>
                <w:rFonts w:ascii="Times New Roman" w:hAnsi="Times New Roman" w:cs="Times New Roman" w:eastAsia="Times New Roman" w:hint="default"/>
                <w:spacing w:val="-1"/>
                <w:sz w:val="13"/>
                <w:szCs w:val="13"/>
              </w:rPr>
              <w:t>39.6</w:t>
            </w:r>
            <w:r>
              <w:rPr>
                <w:rFonts w:ascii="宋体" w:hAnsi="宋体" w:cs="宋体" w:eastAsia="宋体" w:hint="default"/>
                <w:spacing w:val="-1"/>
                <w:sz w:val="13"/>
                <w:szCs w:val="13"/>
              </w:rPr>
              <w:t>万欧元</w:t>
            </w: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2" w:right="0"/>
              <w:jc w:val="center"/>
              <w:rPr>
                <w:rFonts w:ascii="Times New Roman" w:hAnsi="Times New Roman" w:cs="Times New Roman" w:eastAsia="Times New Roman" w:hint="default"/>
                <w:sz w:val="13"/>
                <w:szCs w:val="13"/>
              </w:rPr>
            </w:pPr>
            <w:r>
              <w:rPr>
                <w:rFonts w:ascii="Times New Roman"/>
                <w:sz w:val="13"/>
              </w:rPr>
              <w:t>4,224,092.40</w:t>
            </w:r>
          </w:p>
        </w:tc>
        <w:tc>
          <w:tcPr>
            <w:tcW w:w="1158"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Times New Roman" w:hAnsi="Times New Roman" w:cs="Times New Roman" w:eastAsia="Times New Roman" w:hint="default"/>
                <w:sz w:val="13"/>
                <w:szCs w:val="13"/>
              </w:rPr>
            </w:pPr>
            <w:r>
              <w:rPr>
                <w:rFonts w:ascii="Times New Roman"/>
                <w:sz w:val="13"/>
              </w:rPr>
              <w:t>4,224,092.40</w:t>
            </w:r>
          </w:p>
        </w:tc>
        <w:tc>
          <w:tcPr>
            <w:tcW w:w="880" w:type="dxa"/>
            <w:tcBorders>
              <w:top w:val="nil" w:sz="6" w:space="0" w:color="auto"/>
              <w:left w:val="nil" w:sz="6" w:space="0" w:color="auto"/>
              <w:bottom w:val="nil" w:sz="6" w:space="0" w:color="auto"/>
              <w:right w:val="nil" w:sz="6" w:space="0" w:color="auto"/>
            </w:tcBorders>
          </w:tcPr>
          <w:p>
            <w:pPr>
              <w:pStyle w:val="TableParagraph"/>
              <w:spacing w:line="165" w:lineRule="exact"/>
              <w:ind w:left="116"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14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5" w:right="0"/>
              <w:jc w:val="left"/>
              <w:rPr>
                <w:rFonts w:ascii="Times New Roman" w:hAnsi="Times New Roman" w:cs="Times New Roman" w:eastAsia="Times New Roman" w:hint="default"/>
                <w:sz w:val="13"/>
                <w:szCs w:val="13"/>
              </w:rPr>
            </w:pPr>
            <w:r>
              <w:rPr>
                <w:rFonts w:ascii="Times New Roman"/>
                <w:sz w:val="13"/>
              </w:rPr>
              <w:t>100%</w:t>
            </w:r>
          </w:p>
        </w:tc>
      </w:tr>
      <w:tr>
        <w:trPr>
          <w:trHeight w:val="18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5" w:lineRule="exact"/>
              <w:ind w:left="26" w:right="0"/>
              <w:jc w:val="left"/>
              <w:rPr>
                <w:rFonts w:ascii="宋体" w:hAnsi="宋体" w:cs="宋体" w:eastAsia="宋体" w:hint="default"/>
                <w:sz w:val="13"/>
                <w:szCs w:val="13"/>
              </w:rPr>
            </w:pPr>
            <w:r>
              <w:rPr>
                <w:rFonts w:ascii="宋体" w:hAnsi="宋体" w:cs="宋体" w:eastAsia="宋体" w:hint="default"/>
                <w:sz w:val="13"/>
                <w:szCs w:val="13"/>
              </w:rPr>
              <w:t>信件封装机</w:t>
            </w:r>
          </w:p>
        </w:tc>
        <w:tc>
          <w:tcPr>
            <w:tcW w:w="1439" w:type="dxa"/>
            <w:tcBorders>
              <w:top w:val="nil" w:sz="6" w:space="0" w:color="auto"/>
              <w:left w:val="nil" w:sz="6" w:space="0" w:color="auto"/>
              <w:bottom w:val="nil" w:sz="6" w:space="0" w:color="auto"/>
              <w:right w:val="nil" w:sz="6" w:space="0" w:color="auto"/>
            </w:tcBorders>
          </w:tcPr>
          <w:p>
            <w:pPr>
              <w:pStyle w:val="TableParagraph"/>
              <w:spacing w:line="164" w:lineRule="exact"/>
              <w:ind w:right="153"/>
              <w:jc w:val="right"/>
              <w:rPr>
                <w:rFonts w:ascii="宋体" w:hAnsi="宋体" w:cs="宋体" w:eastAsia="宋体" w:hint="default"/>
                <w:sz w:val="13"/>
                <w:szCs w:val="13"/>
              </w:rPr>
            </w:pPr>
            <w:r>
              <w:rPr>
                <w:rFonts w:ascii="Times New Roman" w:hAnsi="Times New Roman" w:cs="Times New Roman" w:eastAsia="Times New Roman" w:hint="default"/>
                <w:spacing w:val="-1"/>
                <w:sz w:val="13"/>
                <w:szCs w:val="13"/>
              </w:rPr>
              <w:t>36.8</w:t>
            </w:r>
            <w:r>
              <w:rPr>
                <w:rFonts w:ascii="宋体" w:hAnsi="宋体" w:cs="宋体" w:eastAsia="宋体" w:hint="default"/>
                <w:spacing w:val="-1"/>
                <w:sz w:val="13"/>
                <w:szCs w:val="13"/>
              </w:rPr>
              <w:t>万美元</w:t>
            </w: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2" w:right="0"/>
              <w:jc w:val="center"/>
              <w:rPr>
                <w:rFonts w:ascii="Times New Roman" w:hAnsi="Times New Roman" w:cs="Times New Roman" w:eastAsia="Times New Roman" w:hint="default"/>
                <w:sz w:val="13"/>
                <w:szCs w:val="13"/>
              </w:rPr>
            </w:pPr>
            <w:r>
              <w:rPr>
                <w:rFonts w:ascii="Times New Roman"/>
                <w:sz w:val="13"/>
              </w:rPr>
              <w:t>2,688,092.80</w:t>
            </w:r>
          </w:p>
        </w:tc>
        <w:tc>
          <w:tcPr>
            <w:tcW w:w="1158"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right"/>
              <w:rPr>
                <w:rFonts w:ascii="Times New Roman" w:hAnsi="Times New Roman" w:cs="Times New Roman" w:eastAsia="Times New Roman" w:hint="default"/>
                <w:sz w:val="13"/>
                <w:szCs w:val="13"/>
              </w:rPr>
            </w:pPr>
            <w:r>
              <w:rPr>
                <w:rFonts w:ascii="Times New Roman"/>
                <w:sz w:val="13"/>
              </w:rPr>
              <w:t>2,688,092.80</w:t>
            </w:r>
          </w:p>
        </w:tc>
        <w:tc>
          <w:tcPr>
            <w:tcW w:w="880" w:type="dxa"/>
            <w:tcBorders>
              <w:top w:val="nil" w:sz="6" w:space="0" w:color="auto"/>
              <w:left w:val="nil" w:sz="6" w:space="0" w:color="auto"/>
              <w:bottom w:val="nil" w:sz="6" w:space="0" w:color="auto"/>
              <w:right w:val="nil" w:sz="6" w:space="0" w:color="auto"/>
            </w:tcBorders>
          </w:tcPr>
          <w:p>
            <w:pPr>
              <w:pStyle w:val="TableParagraph"/>
              <w:spacing w:line="165" w:lineRule="exact"/>
              <w:ind w:left="116"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14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9" w:right="0"/>
              <w:jc w:val="left"/>
              <w:rPr>
                <w:rFonts w:ascii="Times New Roman" w:hAnsi="Times New Roman" w:cs="Times New Roman" w:eastAsia="Times New Roman" w:hint="default"/>
                <w:sz w:val="13"/>
                <w:szCs w:val="13"/>
              </w:rPr>
            </w:pPr>
            <w:r>
              <w:rPr>
                <w:rFonts w:ascii="Times New Roman"/>
                <w:sz w:val="13"/>
              </w:rPr>
              <w:t>68%</w:t>
            </w:r>
          </w:p>
        </w:tc>
      </w:tr>
      <w:tr>
        <w:trPr>
          <w:trHeight w:val="18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5" w:lineRule="exact"/>
              <w:ind w:left="26" w:right="0"/>
              <w:jc w:val="left"/>
              <w:rPr>
                <w:rFonts w:ascii="宋体" w:hAnsi="宋体" w:cs="宋体" w:eastAsia="宋体" w:hint="default"/>
                <w:sz w:val="13"/>
                <w:szCs w:val="13"/>
              </w:rPr>
            </w:pPr>
            <w:r>
              <w:rPr>
                <w:rFonts w:ascii="宋体" w:hAnsi="宋体" w:cs="宋体" w:eastAsia="宋体" w:hint="default"/>
                <w:sz w:val="13"/>
                <w:szCs w:val="13"/>
              </w:rPr>
              <w:t>胶印机</w:t>
            </w:r>
          </w:p>
        </w:tc>
        <w:tc>
          <w:tcPr>
            <w:tcW w:w="1439" w:type="dxa"/>
            <w:tcBorders>
              <w:top w:val="nil" w:sz="6" w:space="0" w:color="auto"/>
              <w:left w:val="nil" w:sz="6" w:space="0" w:color="auto"/>
              <w:bottom w:val="nil" w:sz="6" w:space="0" w:color="auto"/>
              <w:right w:val="nil" w:sz="6" w:space="0" w:color="auto"/>
            </w:tcBorders>
          </w:tcPr>
          <w:p>
            <w:pPr>
              <w:pStyle w:val="TableParagraph"/>
              <w:spacing w:line="164" w:lineRule="exact"/>
              <w:ind w:right="153"/>
              <w:jc w:val="right"/>
              <w:rPr>
                <w:rFonts w:ascii="宋体" w:hAnsi="宋体" w:cs="宋体" w:eastAsia="宋体" w:hint="default"/>
                <w:sz w:val="13"/>
                <w:szCs w:val="13"/>
              </w:rPr>
            </w:pPr>
            <w:r>
              <w:rPr>
                <w:rFonts w:ascii="Times New Roman" w:hAnsi="Times New Roman" w:cs="Times New Roman" w:eastAsia="Times New Roman" w:hint="default"/>
                <w:sz w:val="13"/>
                <w:szCs w:val="13"/>
              </w:rPr>
              <w:t>140.8</w:t>
            </w:r>
            <w:r>
              <w:rPr>
                <w:rFonts w:ascii="宋体" w:hAnsi="宋体" w:cs="宋体" w:eastAsia="宋体" w:hint="default"/>
                <w:sz w:val="13"/>
                <w:szCs w:val="13"/>
              </w:rPr>
              <w:t>万元</w:t>
            </w: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2" w:right="0"/>
              <w:jc w:val="center"/>
              <w:rPr>
                <w:rFonts w:ascii="Times New Roman" w:hAnsi="Times New Roman" w:cs="Times New Roman" w:eastAsia="Times New Roman" w:hint="default"/>
                <w:sz w:val="13"/>
                <w:szCs w:val="13"/>
              </w:rPr>
            </w:pPr>
            <w:r>
              <w:rPr>
                <w:rFonts w:ascii="Times New Roman"/>
                <w:sz w:val="13"/>
              </w:rPr>
              <w:t>1,408,000.00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9"/>
              <w:jc w:val="right"/>
              <w:rPr>
                <w:rFonts w:ascii="Times New Roman" w:hAnsi="Times New Roman" w:cs="Times New Roman" w:eastAsia="Times New Roman" w:hint="default"/>
                <w:sz w:val="13"/>
                <w:szCs w:val="13"/>
              </w:rPr>
            </w:pPr>
            <w:r>
              <w:rPr>
                <w:rFonts w:ascii="Times New Roman"/>
                <w:sz w:val="13"/>
              </w:rPr>
              <w:t>1,408,000.00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Times New Roman" w:hAnsi="Times New Roman" w:cs="Times New Roman" w:eastAsia="Times New Roman" w:hint="default"/>
                <w:sz w:val="13"/>
                <w:szCs w:val="13"/>
              </w:rPr>
            </w:pPr>
            <w:r>
              <w:rPr>
                <w:rFonts w:ascii="Times New Roman"/>
                <w:w w:val="100"/>
                <w:sz w:val="13"/>
              </w:rPr>
              <w:t>-</w:t>
            </w:r>
          </w:p>
        </w:tc>
        <w:tc>
          <w:tcPr>
            <w:tcW w:w="880" w:type="dxa"/>
            <w:tcBorders>
              <w:top w:val="nil" w:sz="6" w:space="0" w:color="auto"/>
              <w:left w:val="nil" w:sz="6" w:space="0" w:color="auto"/>
              <w:bottom w:val="nil" w:sz="6" w:space="0" w:color="auto"/>
              <w:right w:val="nil" w:sz="6" w:space="0" w:color="auto"/>
            </w:tcBorders>
          </w:tcPr>
          <w:p>
            <w:pPr>
              <w:pStyle w:val="TableParagraph"/>
              <w:spacing w:line="165" w:lineRule="exact"/>
              <w:ind w:left="116"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14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5" w:right="0"/>
              <w:jc w:val="left"/>
              <w:rPr>
                <w:rFonts w:ascii="Times New Roman" w:hAnsi="Times New Roman" w:cs="Times New Roman" w:eastAsia="Times New Roman" w:hint="default"/>
                <w:sz w:val="13"/>
                <w:szCs w:val="13"/>
              </w:rPr>
            </w:pPr>
            <w:r>
              <w:rPr>
                <w:rFonts w:ascii="Times New Roman"/>
                <w:sz w:val="13"/>
              </w:rPr>
              <w:t>100%</w:t>
            </w:r>
          </w:p>
        </w:tc>
      </w:tr>
      <w:tr>
        <w:trPr>
          <w:trHeight w:val="186"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4" w:lineRule="exact"/>
              <w:ind w:left="26" w:right="0"/>
              <w:jc w:val="left"/>
              <w:rPr>
                <w:rFonts w:ascii="宋体" w:hAnsi="宋体" w:cs="宋体" w:eastAsia="宋体" w:hint="default"/>
                <w:sz w:val="13"/>
                <w:szCs w:val="13"/>
              </w:rPr>
            </w:pPr>
            <w:r>
              <w:rPr>
                <w:rFonts w:ascii="宋体" w:hAnsi="宋体" w:cs="宋体" w:eastAsia="宋体" w:hint="default"/>
                <w:sz w:val="13"/>
                <w:szCs w:val="13"/>
              </w:rPr>
              <w:t>程控机刀</w:t>
            </w:r>
          </w:p>
        </w:tc>
        <w:tc>
          <w:tcPr>
            <w:tcW w:w="1439" w:type="dxa"/>
            <w:tcBorders>
              <w:top w:val="nil" w:sz="6" w:space="0" w:color="auto"/>
              <w:left w:val="nil" w:sz="6" w:space="0" w:color="auto"/>
              <w:bottom w:val="nil" w:sz="6" w:space="0" w:color="auto"/>
              <w:right w:val="nil" w:sz="6" w:space="0" w:color="auto"/>
            </w:tcBorders>
          </w:tcPr>
          <w:p>
            <w:pPr>
              <w:pStyle w:val="TableParagraph"/>
              <w:spacing w:line="163" w:lineRule="exact"/>
              <w:ind w:right="153"/>
              <w:jc w:val="right"/>
              <w:rPr>
                <w:rFonts w:ascii="宋体" w:hAnsi="宋体" w:cs="宋体" w:eastAsia="宋体" w:hint="default"/>
                <w:sz w:val="13"/>
                <w:szCs w:val="13"/>
              </w:rPr>
            </w:pPr>
            <w:r>
              <w:rPr>
                <w:rFonts w:ascii="Times New Roman" w:hAnsi="Times New Roman" w:cs="Times New Roman" w:eastAsia="Times New Roman" w:hint="default"/>
                <w:sz w:val="13"/>
                <w:szCs w:val="13"/>
              </w:rPr>
              <w:t>30</w:t>
            </w:r>
            <w:r>
              <w:rPr>
                <w:rFonts w:ascii="宋体" w:hAnsi="宋体" w:cs="宋体" w:eastAsia="宋体" w:hint="default"/>
                <w:sz w:val="13"/>
                <w:szCs w:val="13"/>
              </w:rPr>
              <w:t>万元</w:t>
            </w: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61" w:right="0"/>
              <w:jc w:val="center"/>
              <w:rPr>
                <w:rFonts w:ascii="Times New Roman" w:hAnsi="Times New Roman" w:cs="Times New Roman" w:eastAsia="Times New Roman" w:hint="default"/>
                <w:sz w:val="13"/>
                <w:szCs w:val="13"/>
              </w:rPr>
            </w:pPr>
            <w:r>
              <w:rPr>
                <w:rFonts w:ascii="Times New Roman"/>
                <w:sz w:val="13"/>
              </w:rPr>
              <w:t>300,000.00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9"/>
              <w:jc w:val="right"/>
              <w:rPr>
                <w:rFonts w:ascii="Times New Roman" w:hAnsi="Times New Roman" w:cs="Times New Roman" w:eastAsia="Times New Roman" w:hint="default"/>
                <w:sz w:val="13"/>
                <w:szCs w:val="13"/>
              </w:rPr>
            </w:pPr>
            <w:r>
              <w:rPr>
                <w:rFonts w:ascii="Times New Roman"/>
                <w:sz w:val="13"/>
              </w:rPr>
              <w:t>300,000.00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3"/>
              <w:jc w:val="right"/>
              <w:rPr>
                <w:rFonts w:ascii="Times New Roman" w:hAnsi="Times New Roman" w:cs="Times New Roman" w:eastAsia="Times New Roman" w:hint="default"/>
                <w:sz w:val="13"/>
                <w:szCs w:val="13"/>
              </w:rPr>
            </w:pPr>
            <w:r>
              <w:rPr>
                <w:rFonts w:ascii="Times New Roman"/>
                <w:w w:val="100"/>
                <w:sz w:val="13"/>
              </w:rPr>
              <w:t>-</w:t>
            </w:r>
          </w:p>
        </w:tc>
        <w:tc>
          <w:tcPr>
            <w:tcW w:w="880" w:type="dxa"/>
            <w:tcBorders>
              <w:top w:val="nil" w:sz="6" w:space="0" w:color="auto"/>
              <w:left w:val="nil" w:sz="6" w:space="0" w:color="auto"/>
              <w:bottom w:val="nil" w:sz="6" w:space="0" w:color="auto"/>
              <w:right w:val="nil" w:sz="6" w:space="0" w:color="auto"/>
            </w:tcBorders>
          </w:tcPr>
          <w:p>
            <w:pPr>
              <w:pStyle w:val="TableParagraph"/>
              <w:spacing w:line="164" w:lineRule="exact"/>
              <w:ind w:left="116"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14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5" w:right="0"/>
              <w:jc w:val="left"/>
              <w:rPr>
                <w:rFonts w:ascii="Times New Roman" w:hAnsi="Times New Roman" w:cs="Times New Roman" w:eastAsia="Times New Roman" w:hint="default"/>
                <w:sz w:val="13"/>
                <w:szCs w:val="13"/>
              </w:rPr>
            </w:pPr>
            <w:r>
              <w:rPr>
                <w:rFonts w:ascii="Times New Roman"/>
                <w:sz w:val="13"/>
              </w:rPr>
              <w:t>100%</w:t>
            </w:r>
          </w:p>
        </w:tc>
      </w:tr>
      <w:tr>
        <w:trPr>
          <w:trHeight w:val="18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5" w:lineRule="exact"/>
              <w:ind w:left="26" w:right="0"/>
              <w:jc w:val="left"/>
              <w:rPr>
                <w:rFonts w:ascii="宋体" w:hAnsi="宋体" w:cs="宋体" w:eastAsia="宋体" w:hint="default"/>
                <w:sz w:val="13"/>
                <w:szCs w:val="13"/>
              </w:rPr>
            </w:pPr>
            <w:r>
              <w:rPr>
                <w:rFonts w:ascii="宋体" w:hAnsi="宋体" w:cs="宋体" w:eastAsia="宋体" w:hint="default"/>
                <w:sz w:val="13"/>
                <w:szCs w:val="13"/>
              </w:rPr>
              <w:t>烫磁机</w:t>
            </w:r>
          </w:p>
        </w:tc>
        <w:tc>
          <w:tcPr>
            <w:tcW w:w="1439" w:type="dxa"/>
            <w:tcBorders>
              <w:top w:val="nil" w:sz="6" w:space="0" w:color="auto"/>
              <w:left w:val="nil" w:sz="6" w:space="0" w:color="auto"/>
              <w:bottom w:val="nil" w:sz="6" w:space="0" w:color="auto"/>
              <w:right w:val="nil" w:sz="6" w:space="0" w:color="auto"/>
            </w:tcBorders>
          </w:tcPr>
          <w:p>
            <w:pPr>
              <w:pStyle w:val="TableParagraph"/>
              <w:spacing w:line="164" w:lineRule="exact"/>
              <w:ind w:right="153"/>
              <w:jc w:val="right"/>
              <w:rPr>
                <w:rFonts w:ascii="宋体" w:hAnsi="宋体" w:cs="宋体" w:eastAsia="宋体" w:hint="default"/>
                <w:sz w:val="13"/>
                <w:szCs w:val="13"/>
              </w:rPr>
            </w:pPr>
            <w:r>
              <w:rPr>
                <w:rFonts w:ascii="Times New Roman" w:hAnsi="Times New Roman" w:cs="Times New Roman" w:eastAsia="Times New Roman" w:hint="default"/>
                <w:sz w:val="13"/>
                <w:szCs w:val="13"/>
              </w:rPr>
              <w:t>4.7</w:t>
            </w:r>
            <w:r>
              <w:rPr>
                <w:rFonts w:ascii="宋体" w:hAnsi="宋体" w:cs="宋体" w:eastAsia="宋体" w:hint="default"/>
                <w:sz w:val="13"/>
                <w:szCs w:val="13"/>
              </w:rPr>
              <w:t>万元</w:t>
            </w: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28" w:right="0"/>
              <w:jc w:val="center"/>
              <w:rPr>
                <w:rFonts w:ascii="Times New Roman" w:hAnsi="Times New Roman" w:cs="Times New Roman" w:eastAsia="Times New Roman" w:hint="default"/>
                <w:sz w:val="13"/>
                <w:szCs w:val="13"/>
              </w:rPr>
            </w:pPr>
            <w:r>
              <w:rPr>
                <w:rFonts w:ascii="Times New Roman"/>
                <w:sz w:val="13"/>
              </w:rPr>
              <w:t>47,000.00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9"/>
              <w:jc w:val="right"/>
              <w:rPr>
                <w:rFonts w:ascii="Times New Roman" w:hAnsi="Times New Roman" w:cs="Times New Roman" w:eastAsia="Times New Roman" w:hint="default"/>
                <w:sz w:val="13"/>
                <w:szCs w:val="13"/>
              </w:rPr>
            </w:pPr>
            <w:r>
              <w:rPr>
                <w:rFonts w:ascii="Times New Roman"/>
                <w:sz w:val="13"/>
              </w:rPr>
              <w:t>47,000.00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Times New Roman" w:hAnsi="Times New Roman" w:cs="Times New Roman" w:eastAsia="Times New Roman" w:hint="default"/>
                <w:sz w:val="13"/>
                <w:szCs w:val="13"/>
              </w:rPr>
            </w:pPr>
            <w:r>
              <w:rPr>
                <w:rFonts w:ascii="Times New Roman"/>
                <w:w w:val="100"/>
                <w:sz w:val="13"/>
              </w:rPr>
              <w:t>-</w:t>
            </w:r>
          </w:p>
        </w:tc>
        <w:tc>
          <w:tcPr>
            <w:tcW w:w="880" w:type="dxa"/>
            <w:tcBorders>
              <w:top w:val="nil" w:sz="6" w:space="0" w:color="auto"/>
              <w:left w:val="nil" w:sz="6" w:space="0" w:color="auto"/>
              <w:bottom w:val="nil" w:sz="6" w:space="0" w:color="auto"/>
              <w:right w:val="nil" w:sz="6" w:space="0" w:color="auto"/>
            </w:tcBorders>
          </w:tcPr>
          <w:p>
            <w:pPr>
              <w:pStyle w:val="TableParagraph"/>
              <w:spacing w:line="165" w:lineRule="exact"/>
              <w:ind w:left="116"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14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5" w:right="0"/>
              <w:jc w:val="left"/>
              <w:rPr>
                <w:rFonts w:ascii="Times New Roman" w:hAnsi="Times New Roman" w:cs="Times New Roman" w:eastAsia="Times New Roman" w:hint="default"/>
                <w:sz w:val="13"/>
                <w:szCs w:val="13"/>
              </w:rPr>
            </w:pPr>
            <w:r>
              <w:rPr>
                <w:rFonts w:ascii="Times New Roman"/>
                <w:sz w:val="13"/>
              </w:rPr>
              <w:t>100%</w:t>
            </w:r>
          </w:p>
        </w:tc>
      </w:tr>
      <w:tr>
        <w:trPr>
          <w:trHeight w:val="18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5" w:lineRule="exact"/>
              <w:ind w:left="26" w:right="0"/>
              <w:jc w:val="left"/>
              <w:rPr>
                <w:rFonts w:ascii="宋体" w:hAnsi="宋体" w:cs="宋体" w:eastAsia="宋体" w:hint="default"/>
                <w:sz w:val="13"/>
                <w:szCs w:val="13"/>
              </w:rPr>
            </w:pPr>
            <w:r>
              <w:rPr>
                <w:rFonts w:ascii="宋体" w:hAnsi="宋体" w:cs="宋体" w:eastAsia="宋体" w:hint="default"/>
                <w:sz w:val="13"/>
                <w:szCs w:val="13"/>
              </w:rPr>
              <w:t>电子标签封装设备</w:t>
            </w:r>
          </w:p>
        </w:tc>
        <w:tc>
          <w:tcPr>
            <w:tcW w:w="1439" w:type="dxa"/>
            <w:tcBorders>
              <w:top w:val="nil" w:sz="6" w:space="0" w:color="auto"/>
              <w:left w:val="nil" w:sz="6" w:space="0" w:color="auto"/>
              <w:bottom w:val="nil" w:sz="6" w:space="0" w:color="auto"/>
              <w:right w:val="nil" w:sz="6" w:space="0" w:color="auto"/>
            </w:tcBorders>
          </w:tcPr>
          <w:p>
            <w:pPr>
              <w:pStyle w:val="TableParagraph"/>
              <w:spacing w:line="164" w:lineRule="exact"/>
              <w:ind w:right="153"/>
              <w:jc w:val="right"/>
              <w:rPr>
                <w:rFonts w:ascii="宋体" w:hAnsi="宋体" w:cs="宋体" w:eastAsia="宋体" w:hint="default"/>
                <w:sz w:val="13"/>
                <w:szCs w:val="13"/>
              </w:rPr>
            </w:pPr>
            <w:r>
              <w:rPr>
                <w:rFonts w:ascii="Times New Roman" w:hAnsi="Times New Roman" w:cs="Times New Roman" w:eastAsia="Times New Roman" w:hint="default"/>
                <w:sz w:val="13"/>
                <w:szCs w:val="13"/>
              </w:rPr>
              <w:t>856258</w:t>
            </w:r>
            <w:r>
              <w:rPr>
                <w:rFonts w:ascii="宋体" w:hAnsi="宋体" w:cs="宋体" w:eastAsia="宋体" w:hint="default"/>
                <w:sz w:val="13"/>
                <w:szCs w:val="13"/>
              </w:rPr>
              <w:t>欧元</w:t>
            </w: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2" w:right="0"/>
              <w:jc w:val="center"/>
              <w:rPr>
                <w:rFonts w:ascii="Times New Roman" w:hAnsi="Times New Roman" w:cs="Times New Roman" w:eastAsia="Times New Roman" w:hint="default"/>
                <w:sz w:val="13"/>
                <w:szCs w:val="13"/>
              </w:rPr>
            </w:pPr>
            <w:r>
              <w:rPr>
                <w:rFonts w:ascii="Times New Roman"/>
                <w:sz w:val="13"/>
              </w:rPr>
              <w:t>9,816,880.98</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9"/>
              <w:jc w:val="right"/>
              <w:rPr>
                <w:rFonts w:ascii="Times New Roman" w:hAnsi="Times New Roman" w:cs="Times New Roman" w:eastAsia="Times New Roman" w:hint="default"/>
                <w:sz w:val="13"/>
                <w:szCs w:val="13"/>
              </w:rPr>
            </w:pPr>
            <w:r>
              <w:rPr>
                <w:rFonts w:ascii="Times New Roman"/>
                <w:sz w:val="13"/>
              </w:rPr>
              <w:t>9,816,880.98</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Times New Roman" w:hAnsi="Times New Roman" w:cs="Times New Roman" w:eastAsia="Times New Roman" w:hint="default"/>
                <w:sz w:val="13"/>
                <w:szCs w:val="13"/>
              </w:rPr>
            </w:pPr>
            <w:r>
              <w:rPr>
                <w:rFonts w:ascii="Times New Roman"/>
                <w:w w:val="100"/>
                <w:sz w:val="13"/>
              </w:rPr>
              <w:t>-</w:t>
            </w:r>
          </w:p>
        </w:tc>
        <w:tc>
          <w:tcPr>
            <w:tcW w:w="880" w:type="dxa"/>
            <w:tcBorders>
              <w:top w:val="nil" w:sz="6" w:space="0" w:color="auto"/>
              <w:left w:val="nil" w:sz="6" w:space="0" w:color="auto"/>
              <w:bottom w:val="nil" w:sz="6" w:space="0" w:color="auto"/>
              <w:right w:val="nil" w:sz="6" w:space="0" w:color="auto"/>
            </w:tcBorders>
          </w:tcPr>
          <w:p>
            <w:pPr>
              <w:pStyle w:val="TableParagraph"/>
              <w:spacing w:line="165" w:lineRule="exact"/>
              <w:ind w:left="116" w:right="0"/>
              <w:jc w:val="left"/>
              <w:rPr>
                <w:rFonts w:ascii="宋体" w:hAnsi="宋体" w:cs="宋体" w:eastAsia="宋体" w:hint="default"/>
                <w:sz w:val="13"/>
                <w:szCs w:val="13"/>
              </w:rPr>
            </w:pPr>
            <w:r>
              <w:rPr>
                <w:rFonts w:ascii="宋体" w:hAnsi="宋体" w:cs="宋体" w:eastAsia="宋体" w:hint="default"/>
                <w:sz w:val="13"/>
                <w:szCs w:val="13"/>
              </w:rPr>
              <w:t>募股资金</w:t>
            </w:r>
          </w:p>
        </w:tc>
        <w:tc>
          <w:tcPr>
            <w:tcW w:w="14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5" w:right="0"/>
              <w:jc w:val="left"/>
              <w:rPr>
                <w:rFonts w:ascii="Times New Roman" w:hAnsi="Times New Roman" w:cs="Times New Roman" w:eastAsia="Times New Roman" w:hint="default"/>
                <w:sz w:val="13"/>
                <w:szCs w:val="13"/>
              </w:rPr>
            </w:pPr>
            <w:r>
              <w:rPr>
                <w:rFonts w:ascii="Times New Roman"/>
                <w:sz w:val="13"/>
              </w:rPr>
              <w:t>100%</w:t>
            </w:r>
          </w:p>
        </w:tc>
      </w:tr>
      <w:tr>
        <w:trPr>
          <w:trHeight w:val="18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5" w:lineRule="exact"/>
              <w:ind w:left="26" w:right="0"/>
              <w:jc w:val="left"/>
              <w:rPr>
                <w:rFonts w:ascii="宋体" w:hAnsi="宋体" w:cs="宋体" w:eastAsia="宋体" w:hint="default"/>
                <w:sz w:val="13"/>
                <w:szCs w:val="13"/>
              </w:rPr>
            </w:pPr>
            <w:r>
              <w:rPr>
                <w:rFonts w:ascii="宋体" w:hAnsi="宋体" w:cs="宋体" w:eastAsia="宋体" w:hint="default"/>
                <w:sz w:val="13"/>
                <w:szCs w:val="13"/>
              </w:rPr>
              <w:t>卷筒彩色印刷机</w:t>
            </w:r>
          </w:p>
        </w:tc>
        <w:tc>
          <w:tcPr>
            <w:tcW w:w="1439" w:type="dxa"/>
            <w:tcBorders>
              <w:top w:val="nil" w:sz="6" w:space="0" w:color="auto"/>
              <w:left w:val="nil" w:sz="6" w:space="0" w:color="auto"/>
              <w:bottom w:val="nil" w:sz="6" w:space="0" w:color="auto"/>
              <w:right w:val="nil" w:sz="6" w:space="0" w:color="auto"/>
            </w:tcBorders>
          </w:tcPr>
          <w:p>
            <w:pPr>
              <w:pStyle w:val="TableParagraph"/>
              <w:spacing w:line="164" w:lineRule="exact"/>
              <w:ind w:right="153"/>
              <w:jc w:val="right"/>
              <w:rPr>
                <w:rFonts w:ascii="宋体" w:hAnsi="宋体" w:cs="宋体" w:eastAsia="宋体" w:hint="default"/>
                <w:sz w:val="13"/>
                <w:szCs w:val="13"/>
              </w:rPr>
            </w:pPr>
            <w:r>
              <w:rPr>
                <w:rFonts w:ascii="Times New Roman" w:hAnsi="Times New Roman" w:cs="Times New Roman" w:eastAsia="Times New Roman" w:hint="default"/>
                <w:sz w:val="13"/>
                <w:szCs w:val="13"/>
              </w:rPr>
              <w:t>125</w:t>
            </w:r>
            <w:r>
              <w:rPr>
                <w:rFonts w:ascii="宋体" w:hAnsi="宋体" w:cs="宋体" w:eastAsia="宋体" w:hint="default"/>
                <w:sz w:val="13"/>
                <w:szCs w:val="13"/>
              </w:rPr>
              <w:t>万美元</w:t>
            </w: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2" w:right="0"/>
              <w:jc w:val="center"/>
              <w:rPr>
                <w:rFonts w:ascii="Times New Roman" w:hAnsi="Times New Roman" w:cs="Times New Roman" w:eastAsia="Times New Roman" w:hint="default"/>
                <w:sz w:val="13"/>
                <w:szCs w:val="13"/>
              </w:rPr>
            </w:pPr>
            <w:r>
              <w:rPr>
                <w:rFonts w:ascii="Times New Roman"/>
                <w:sz w:val="13"/>
              </w:rPr>
              <w:t>9,590,862.00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9"/>
              <w:jc w:val="right"/>
              <w:rPr>
                <w:rFonts w:ascii="Times New Roman" w:hAnsi="Times New Roman" w:cs="Times New Roman" w:eastAsia="Times New Roman" w:hint="default"/>
                <w:sz w:val="13"/>
                <w:szCs w:val="13"/>
              </w:rPr>
            </w:pPr>
            <w:r>
              <w:rPr>
                <w:rFonts w:ascii="Times New Roman"/>
                <w:sz w:val="13"/>
              </w:rPr>
              <w:t>9,590,862.00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Times New Roman" w:hAnsi="Times New Roman" w:cs="Times New Roman" w:eastAsia="Times New Roman" w:hint="default"/>
                <w:sz w:val="13"/>
                <w:szCs w:val="13"/>
              </w:rPr>
            </w:pPr>
            <w:r>
              <w:rPr>
                <w:rFonts w:ascii="Times New Roman"/>
                <w:w w:val="100"/>
                <w:sz w:val="13"/>
              </w:rPr>
              <w:t>-</w:t>
            </w:r>
          </w:p>
        </w:tc>
        <w:tc>
          <w:tcPr>
            <w:tcW w:w="880" w:type="dxa"/>
            <w:tcBorders>
              <w:top w:val="nil" w:sz="6" w:space="0" w:color="auto"/>
              <w:left w:val="nil" w:sz="6" w:space="0" w:color="auto"/>
              <w:bottom w:val="nil" w:sz="6" w:space="0" w:color="auto"/>
              <w:right w:val="nil" w:sz="6" w:space="0" w:color="auto"/>
            </w:tcBorders>
          </w:tcPr>
          <w:p>
            <w:pPr>
              <w:pStyle w:val="TableParagraph"/>
              <w:spacing w:line="165" w:lineRule="exact"/>
              <w:ind w:left="116" w:right="0"/>
              <w:jc w:val="left"/>
              <w:rPr>
                <w:rFonts w:ascii="宋体" w:hAnsi="宋体" w:cs="宋体" w:eastAsia="宋体" w:hint="default"/>
                <w:sz w:val="13"/>
                <w:szCs w:val="13"/>
              </w:rPr>
            </w:pPr>
            <w:r>
              <w:rPr>
                <w:rFonts w:ascii="宋体" w:hAnsi="宋体" w:cs="宋体" w:eastAsia="宋体" w:hint="default"/>
                <w:sz w:val="13"/>
                <w:szCs w:val="13"/>
              </w:rPr>
              <w:t>募股资金</w:t>
            </w:r>
          </w:p>
        </w:tc>
        <w:tc>
          <w:tcPr>
            <w:tcW w:w="14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5" w:right="0"/>
              <w:jc w:val="left"/>
              <w:rPr>
                <w:rFonts w:ascii="Times New Roman" w:hAnsi="Times New Roman" w:cs="Times New Roman" w:eastAsia="Times New Roman" w:hint="default"/>
                <w:sz w:val="13"/>
                <w:szCs w:val="13"/>
              </w:rPr>
            </w:pPr>
            <w:r>
              <w:rPr>
                <w:rFonts w:ascii="Times New Roman"/>
                <w:sz w:val="13"/>
              </w:rPr>
              <w:t>100%</w:t>
            </w:r>
          </w:p>
        </w:tc>
      </w:tr>
      <w:tr>
        <w:trPr>
          <w:trHeight w:val="18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5" w:lineRule="exact"/>
              <w:ind w:left="26" w:right="0"/>
              <w:jc w:val="left"/>
              <w:rPr>
                <w:rFonts w:ascii="宋体" w:hAnsi="宋体" w:cs="宋体" w:eastAsia="宋体" w:hint="default"/>
                <w:sz w:val="13"/>
                <w:szCs w:val="13"/>
              </w:rPr>
            </w:pPr>
            <w:r>
              <w:rPr>
                <w:rFonts w:ascii="宋体" w:hAnsi="宋体" w:cs="宋体" w:eastAsia="宋体" w:hint="default"/>
                <w:sz w:val="13"/>
                <w:szCs w:val="13"/>
              </w:rPr>
              <w:t>信件封装机</w:t>
            </w:r>
          </w:p>
        </w:tc>
        <w:tc>
          <w:tcPr>
            <w:tcW w:w="1439" w:type="dxa"/>
            <w:tcBorders>
              <w:top w:val="nil" w:sz="6" w:space="0" w:color="auto"/>
              <w:left w:val="nil" w:sz="6" w:space="0" w:color="auto"/>
              <w:bottom w:val="nil" w:sz="6" w:space="0" w:color="auto"/>
              <w:right w:val="nil" w:sz="6" w:space="0" w:color="auto"/>
            </w:tcBorders>
          </w:tcPr>
          <w:p>
            <w:pPr>
              <w:pStyle w:val="TableParagraph"/>
              <w:spacing w:line="164" w:lineRule="exact"/>
              <w:ind w:right="153"/>
              <w:jc w:val="right"/>
              <w:rPr>
                <w:rFonts w:ascii="宋体" w:hAnsi="宋体" w:cs="宋体" w:eastAsia="宋体" w:hint="default"/>
                <w:sz w:val="13"/>
                <w:szCs w:val="13"/>
              </w:rPr>
            </w:pPr>
            <w:r>
              <w:rPr>
                <w:rFonts w:ascii="Times New Roman" w:hAnsi="Times New Roman" w:cs="Times New Roman" w:eastAsia="Times New Roman" w:hint="default"/>
                <w:spacing w:val="-1"/>
                <w:sz w:val="13"/>
                <w:szCs w:val="13"/>
              </w:rPr>
              <w:t>40.5</w:t>
            </w:r>
            <w:r>
              <w:rPr>
                <w:rFonts w:ascii="宋体" w:hAnsi="宋体" w:cs="宋体" w:eastAsia="宋体" w:hint="default"/>
                <w:spacing w:val="-1"/>
                <w:sz w:val="13"/>
                <w:szCs w:val="13"/>
              </w:rPr>
              <w:t>万美元</w:t>
            </w: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2" w:right="0"/>
              <w:jc w:val="center"/>
              <w:rPr>
                <w:rFonts w:ascii="Times New Roman" w:hAnsi="Times New Roman" w:cs="Times New Roman" w:eastAsia="Times New Roman" w:hint="default"/>
                <w:sz w:val="13"/>
                <w:szCs w:val="13"/>
              </w:rPr>
            </w:pPr>
            <w:r>
              <w:rPr>
                <w:rFonts w:ascii="Times New Roman"/>
                <w:sz w:val="13"/>
              </w:rPr>
              <w:t>3,104,849.50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9"/>
              <w:jc w:val="right"/>
              <w:rPr>
                <w:rFonts w:ascii="Times New Roman" w:hAnsi="Times New Roman" w:cs="Times New Roman" w:eastAsia="Times New Roman" w:hint="default"/>
                <w:sz w:val="13"/>
                <w:szCs w:val="13"/>
              </w:rPr>
            </w:pPr>
            <w:r>
              <w:rPr>
                <w:rFonts w:ascii="Times New Roman"/>
                <w:sz w:val="13"/>
              </w:rPr>
              <w:t>3,104,849.50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Times New Roman" w:hAnsi="Times New Roman" w:cs="Times New Roman" w:eastAsia="Times New Roman" w:hint="default"/>
                <w:sz w:val="13"/>
                <w:szCs w:val="13"/>
              </w:rPr>
            </w:pPr>
            <w:r>
              <w:rPr>
                <w:rFonts w:ascii="Times New Roman"/>
                <w:w w:val="100"/>
                <w:sz w:val="13"/>
              </w:rPr>
              <w:t>-</w:t>
            </w:r>
          </w:p>
        </w:tc>
        <w:tc>
          <w:tcPr>
            <w:tcW w:w="880" w:type="dxa"/>
            <w:tcBorders>
              <w:top w:val="nil" w:sz="6" w:space="0" w:color="auto"/>
              <w:left w:val="nil" w:sz="6" w:space="0" w:color="auto"/>
              <w:bottom w:val="nil" w:sz="6" w:space="0" w:color="auto"/>
              <w:right w:val="nil" w:sz="6" w:space="0" w:color="auto"/>
            </w:tcBorders>
          </w:tcPr>
          <w:p>
            <w:pPr>
              <w:pStyle w:val="TableParagraph"/>
              <w:spacing w:line="165" w:lineRule="exact"/>
              <w:ind w:left="116"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14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5" w:right="0"/>
              <w:jc w:val="left"/>
              <w:rPr>
                <w:rFonts w:ascii="Times New Roman" w:hAnsi="Times New Roman" w:cs="Times New Roman" w:eastAsia="Times New Roman" w:hint="default"/>
                <w:sz w:val="13"/>
                <w:szCs w:val="13"/>
              </w:rPr>
            </w:pPr>
            <w:r>
              <w:rPr>
                <w:rFonts w:ascii="Times New Roman"/>
                <w:sz w:val="13"/>
              </w:rPr>
              <w:t>100%</w:t>
            </w:r>
          </w:p>
        </w:tc>
      </w:tr>
      <w:tr>
        <w:trPr>
          <w:trHeight w:val="18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5" w:lineRule="exact"/>
              <w:ind w:left="26" w:right="0"/>
              <w:jc w:val="left"/>
              <w:rPr>
                <w:rFonts w:ascii="宋体" w:hAnsi="宋体" w:cs="宋体" w:eastAsia="宋体" w:hint="default"/>
                <w:sz w:val="13"/>
                <w:szCs w:val="13"/>
              </w:rPr>
            </w:pPr>
            <w:r>
              <w:rPr>
                <w:rFonts w:ascii="宋体" w:hAnsi="宋体" w:cs="宋体" w:eastAsia="宋体" w:hint="default"/>
                <w:sz w:val="13"/>
                <w:szCs w:val="13"/>
              </w:rPr>
              <w:t>油墨配色系统</w:t>
            </w:r>
          </w:p>
        </w:tc>
        <w:tc>
          <w:tcPr>
            <w:tcW w:w="1439" w:type="dxa"/>
            <w:tcBorders>
              <w:top w:val="nil" w:sz="6" w:space="0" w:color="auto"/>
              <w:left w:val="nil" w:sz="6" w:space="0" w:color="auto"/>
              <w:bottom w:val="nil" w:sz="6" w:space="0" w:color="auto"/>
              <w:right w:val="nil" w:sz="6" w:space="0" w:color="auto"/>
            </w:tcBorders>
          </w:tcPr>
          <w:p>
            <w:pPr>
              <w:pStyle w:val="TableParagraph"/>
              <w:spacing w:line="164" w:lineRule="exact"/>
              <w:ind w:right="153"/>
              <w:jc w:val="right"/>
              <w:rPr>
                <w:rFonts w:ascii="宋体" w:hAnsi="宋体" w:cs="宋体" w:eastAsia="宋体" w:hint="default"/>
                <w:sz w:val="13"/>
                <w:szCs w:val="13"/>
              </w:rPr>
            </w:pPr>
            <w:r>
              <w:rPr>
                <w:rFonts w:ascii="Times New Roman" w:hAnsi="Times New Roman" w:cs="Times New Roman" w:eastAsia="Times New Roman" w:hint="default"/>
                <w:sz w:val="13"/>
                <w:szCs w:val="13"/>
              </w:rPr>
              <w:t>24.5</w:t>
            </w:r>
            <w:r>
              <w:rPr>
                <w:rFonts w:ascii="宋体" w:hAnsi="宋体" w:cs="宋体" w:eastAsia="宋体" w:hint="default"/>
                <w:sz w:val="13"/>
                <w:szCs w:val="13"/>
              </w:rPr>
              <w:t>万元</w:t>
            </w: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60" w:right="0"/>
              <w:jc w:val="center"/>
              <w:rPr>
                <w:rFonts w:ascii="Times New Roman" w:hAnsi="Times New Roman" w:cs="Times New Roman" w:eastAsia="Times New Roman" w:hint="default"/>
                <w:sz w:val="13"/>
                <w:szCs w:val="13"/>
              </w:rPr>
            </w:pPr>
            <w:r>
              <w:rPr>
                <w:rFonts w:ascii="Times New Roman"/>
                <w:sz w:val="13"/>
              </w:rPr>
              <w:t>245,000.00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9"/>
              <w:jc w:val="right"/>
              <w:rPr>
                <w:rFonts w:ascii="Times New Roman" w:hAnsi="Times New Roman" w:cs="Times New Roman" w:eastAsia="Times New Roman" w:hint="default"/>
                <w:sz w:val="13"/>
                <w:szCs w:val="13"/>
              </w:rPr>
            </w:pPr>
            <w:r>
              <w:rPr>
                <w:rFonts w:ascii="Times New Roman"/>
                <w:sz w:val="13"/>
              </w:rPr>
              <w:t>245,000.00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Times New Roman" w:hAnsi="Times New Roman" w:cs="Times New Roman" w:eastAsia="Times New Roman" w:hint="default"/>
                <w:sz w:val="13"/>
                <w:szCs w:val="13"/>
              </w:rPr>
            </w:pPr>
            <w:r>
              <w:rPr>
                <w:rFonts w:ascii="Times New Roman"/>
                <w:w w:val="100"/>
                <w:sz w:val="13"/>
              </w:rPr>
              <w:t>-</w:t>
            </w:r>
          </w:p>
        </w:tc>
        <w:tc>
          <w:tcPr>
            <w:tcW w:w="880" w:type="dxa"/>
            <w:tcBorders>
              <w:top w:val="nil" w:sz="6" w:space="0" w:color="auto"/>
              <w:left w:val="nil" w:sz="6" w:space="0" w:color="auto"/>
              <w:bottom w:val="nil" w:sz="6" w:space="0" w:color="auto"/>
              <w:right w:val="nil" w:sz="6" w:space="0" w:color="auto"/>
            </w:tcBorders>
          </w:tcPr>
          <w:p>
            <w:pPr>
              <w:pStyle w:val="TableParagraph"/>
              <w:spacing w:line="165" w:lineRule="exact"/>
              <w:ind w:left="116"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14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5" w:right="0"/>
              <w:jc w:val="left"/>
              <w:rPr>
                <w:rFonts w:ascii="Times New Roman" w:hAnsi="Times New Roman" w:cs="Times New Roman" w:eastAsia="Times New Roman" w:hint="default"/>
                <w:sz w:val="13"/>
                <w:szCs w:val="13"/>
              </w:rPr>
            </w:pPr>
            <w:r>
              <w:rPr>
                <w:rFonts w:ascii="Times New Roman"/>
                <w:sz w:val="13"/>
              </w:rPr>
              <w:t>100%</w:t>
            </w:r>
          </w:p>
        </w:tc>
      </w:tr>
      <w:tr>
        <w:trPr>
          <w:trHeight w:val="18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4" w:lineRule="exact"/>
              <w:ind w:left="26" w:right="0"/>
              <w:jc w:val="left"/>
              <w:rPr>
                <w:rFonts w:ascii="宋体" w:hAnsi="宋体" w:cs="宋体" w:eastAsia="宋体" w:hint="default"/>
                <w:sz w:val="13"/>
                <w:szCs w:val="13"/>
              </w:rPr>
            </w:pPr>
            <w:r>
              <w:rPr>
                <w:rFonts w:ascii="宋体" w:hAnsi="宋体" w:cs="宋体" w:eastAsia="宋体" w:hint="default"/>
                <w:sz w:val="13"/>
                <w:szCs w:val="13"/>
              </w:rPr>
              <w:t>混合式折页机</w:t>
            </w:r>
          </w:p>
        </w:tc>
        <w:tc>
          <w:tcPr>
            <w:tcW w:w="1439" w:type="dxa"/>
            <w:tcBorders>
              <w:top w:val="nil" w:sz="6" w:space="0" w:color="auto"/>
              <w:left w:val="nil" w:sz="6" w:space="0" w:color="auto"/>
              <w:bottom w:val="nil" w:sz="6" w:space="0" w:color="auto"/>
              <w:right w:val="nil" w:sz="6" w:space="0" w:color="auto"/>
            </w:tcBorders>
          </w:tcPr>
          <w:p>
            <w:pPr>
              <w:pStyle w:val="TableParagraph"/>
              <w:spacing w:line="163" w:lineRule="exact"/>
              <w:ind w:right="153"/>
              <w:jc w:val="right"/>
              <w:rPr>
                <w:rFonts w:ascii="宋体" w:hAnsi="宋体" w:cs="宋体" w:eastAsia="宋体" w:hint="default"/>
                <w:sz w:val="13"/>
                <w:szCs w:val="13"/>
              </w:rPr>
            </w:pPr>
            <w:r>
              <w:rPr>
                <w:rFonts w:ascii="Times New Roman" w:hAnsi="Times New Roman" w:cs="Times New Roman" w:eastAsia="Times New Roman" w:hint="default"/>
                <w:sz w:val="13"/>
                <w:szCs w:val="13"/>
              </w:rPr>
              <w:t>18.5</w:t>
            </w:r>
            <w:r>
              <w:rPr>
                <w:rFonts w:ascii="宋体" w:hAnsi="宋体" w:cs="宋体" w:eastAsia="宋体" w:hint="default"/>
                <w:sz w:val="13"/>
                <w:szCs w:val="13"/>
              </w:rPr>
              <w:t>万元</w:t>
            </w: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60" w:right="0"/>
              <w:jc w:val="center"/>
              <w:rPr>
                <w:rFonts w:ascii="Times New Roman" w:hAnsi="Times New Roman" w:cs="Times New Roman" w:eastAsia="Times New Roman" w:hint="default"/>
                <w:sz w:val="13"/>
                <w:szCs w:val="13"/>
              </w:rPr>
            </w:pPr>
            <w:r>
              <w:rPr>
                <w:rFonts w:ascii="Times New Roman"/>
                <w:sz w:val="13"/>
              </w:rPr>
              <w:t>185,000.00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9"/>
              <w:jc w:val="right"/>
              <w:rPr>
                <w:rFonts w:ascii="Times New Roman" w:hAnsi="Times New Roman" w:cs="Times New Roman" w:eastAsia="Times New Roman" w:hint="default"/>
                <w:sz w:val="13"/>
                <w:szCs w:val="13"/>
              </w:rPr>
            </w:pPr>
            <w:r>
              <w:rPr>
                <w:rFonts w:ascii="Times New Roman"/>
                <w:sz w:val="13"/>
              </w:rPr>
              <w:t>185,000.00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5"/>
              <w:jc w:val="right"/>
              <w:rPr>
                <w:rFonts w:ascii="Times New Roman" w:hAnsi="Times New Roman" w:cs="Times New Roman" w:eastAsia="Times New Roman" w:hint="default"/>
                <w:sz w:val="13"/>
                <w:szCs w:val="13"/>
              </w:rPr>
            </w:pPr>
            <w:r>
              <w:rPr>
                <w:rFonts w:ascii="Times New Roman"/>
                <w:w w:val="100"/>
                <w:sz w:val="13"/>
              </w:rPr>
              <w:t>-</w:t>
            </w:r>
          </w:p>
        </w:tc>
        <w:tc>
          <w:tcPr>
            <w:tcW w:w="880" w:type="dxa"/>
            <w:tcBorders>
              <w:top w:val="nil" w:sz="6" w:space="0" w:color="auto"/>
              <w:left w:val="nil" w:sz="6" w:space="0" w:color="auto"/>
              <w:bottom w:val="nil" w:sz="6" w:space="0" w:color="auto"/>
              <w:right w:val="nil" w:sz="6" w:space="0" w:color="auto"/>
            </w:tcBorders>
          </w:tcPr>
          <w:p>
            <w:pPr>
              <w:pStyle w:val="TableParagraph"/>
              <w:spacing w:line="164" w:lineRule="exact"/>
              <w:ind w:left="116" w:right="0"/>
              <w:jc w:val="left"/>
              <w:rPr>
                <w:rFonts w:ascii="宋体" w:hAnsi="宋体" w:cs="宋体" w:eastAsia="宋体" w:hint="default"/>
                <w:sz w:val="13"/>
                <w:szCs w:val="13"/>
              </w:rPr>
            </w:pPr>
            <w:r>
              <w:rPr>
                <w:rFonts w:ascii="宋体" w:hAnsi="宋体" w:cs="宋体" w:eastAsia="宋体" w:hint="default"/>
                <w:sz w:val="13"/>
                <w:szCs w:val="13"/>
              </w:rPr>
              <w:t>募股资金</w:t>
            </w:r>
          </w:p>
        </w:tc>
        <w:tc>
          <w:tcPr>
            <w:tcW w:w="14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5" w:right="0"/>
              <w:jc w:val="left"/>
              <w:rPr>
                <w:rFonts w:ascii="Times New Roman" w:hAnsi="Times New Roman" w:cs="Times New Roman" w:eastAsia="Times New Roman" w:hint="default"/>
                <w:sz w:val="13"/>
                <w:szCs w:val="13"/>
              </w:rPr>
            </w:pPr>
            <w:r>
              <w:rPr>
                <w:rFonts w:ascii="Times New Roman"/>
                <w:sz w:val="13"/>
              </w:rPr>
              <w:t>100%</w:t>
            </w:r>
          </w:p>
        </w:tc>
      </w:tr>
      <w:tr>
        <w:trPr>
          <w:trHeight w:val="18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4" w:lineRule="exact"/>
              <w:ind w:left="26" w:right="0"/>
              <w:jc w:val="left"/>
              <w:rPr>
                <w:rFonts w:ascii="宋体" w:hAnsi="宋体" w:cs="宋体" w:eastAsia="宋体" w:hint="default"/>
                <w:sz w:val="13"/>
                <w:szCs w:val="13"/>
              </w:rPr>
            </w:pPr>
            <w:r>
              <w:rPr>
                <w:rFonts w:ascii="宋体" w:hAnsi="宋体" w:cs="宋体" w:eastAsia="宋体" w:hint="default"/>
                <w:sz w:val="13"/>
                <w:szCs w:val="13"/>
              </w:rPr>
              <w:t>烫磁机</w:t>
            </w:r>
          </w:p>
        </w:tc>
        <w:tc>
          <w:tcPr>
            <w:tcW w:w="1439" w:type="dxa"/>
            <w:tcBorders>
              <w:top w:val="nil" w:sz="6" w:space="0" w:color="auto"/>
              <w:left w:val="nil" w:sz="6" w:space="0" w:color="auto"/>
              <w:bottom w:val="nil" w:sz="6" w:space="0" w:color="auto"/>
              <w:right w:val="nil" w:sz="6" w:space="0" w:color="auto"/>
            </w:tcBorders>
          </w:tcPr>
          <w:p>
            <w:pPr>
              <w:pStyle w:val="TableParagraph"/>
              <w:spacing w:line="163" w:lineRule="exact"/>
              <w:ind w:right="153"/>
              <w:jc w:val="right"/>
              <w:rPr>
                <w:rFonts w:ascii="宋体" w:hAnsi="宋体" w:cs="宋体" w:eastAsia="宋体" w:hint="default"/>
                <w:sz w:val="13"/>
                <w:szCs w:val="13"/>
              </w:rPr>
            </w:pPr>
            <w:r>
              <w:rPr>
                <w:rFonts w:ascii="Times New Roman" w:hAnsi="Times New Roman" w:cs="Times New Roman" w:eastAsia="Times New Roman" w:hint="default"/>
                <w:sz w:val="13"/>
                <w:szCs w:val="13"/>
              </w:rPr>
              <w:t>4.7</w:t>
            </w:r>
            <w:r>
              <w:rPr>
                <w:rFonts w:ascii="宋体" w:hAnsi="宋体" w:cs="宋体" w:eastAsia="宋体" w:hint="default"/>
                <w:sz w:val="13"/>
                <w:szCs w:val="13"/>
              </w:rPr>
              <w:t>万元</w:t>
            </w: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8" w:right="0"/>
              <w:jc w:val="center"/>
              <w:rPr>
                <w:rFonts w:ascii="Times New Roman" w:hAnsi="Times New Roman" w:cs="Times New Roman" w:eastAsia="Times New Roman" w:hint="default"/>
                <w:sz w:val="13"/>
                <w:szCs w:val="13"/>
              </w:rPr>
            </w:pPr>
            <w:r>
              <w:rPr>
                <w:rFonts w:ascii="Times New Roman"/>
                <w:sz w:val="13"/>
              </w:rPr>
              <w:t>47,000.00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9"/>
              <w:jc w:val="right"/>
              <w:rPr>
                <w:rFonts w:ascii="Times New Roman" w:hAnsi="Times New Roman" w:cs="Times New Roman" w:eastAsia="Times New Roman" w:hint="default"/>
                <w:sz w:val="13"/>
                <w:szCs w:val="13"/>
              </w:rPr>
            </w:pPr>
            <w:r>
              <w:rPr>
                <w:rFonts w:ascii="Times New Roman"/>
                <w:sz w:val="13"/>
              </w:rPr>
              <w:t>47,000.00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3"/>
              <w:jc w:val="right"/>
              <w:rPr>
                <w:rFonts w:ascii="Times New Roman" w:hAnsi="Times New Roman" w:cs="Times New Roman" w:eastAsia="Times New Roman" w:hint="default"/>
                <w:sz w:val="13"/>
                <w:szCs w:val="13"/>
              </w:rPr>
            </w:pPr>
            <w:r>
              <w:rPr>
                <w:rFonts w:ascii="Times New Roman"/>
                <w:w w:val="100"/>
                <w:sz w:val="13"/>
              </w:rPr>
              <w:t>-</w:t>
            </w:r>
          </w:p>
        </w:tc>
        <w:tc>
          <w:tcPr>
            <w:tcW w:w="880" w:type="dxa"/>
            <w:tcBorders>
              <w:top w:val="nil" w:sz="6" w:space="0" w:color="auto"/>
              <w:left w:val="nil" w:sz="6" w:space="0" w:color="auto"/>
              <w:bottom w:val="nil" w:sz="6" w:space="0" w:color="auto"/>
              <w:right w:val="nil" w:sz="6" w:space="0" w:color="auto"/>
            </w:tcBorders>
          </w:tcPr>
          <w:p>
            <w:pPr>
              <w:pStyle w:val="TableParagraph"/>
              <w:spacing w:line="164" w:lineRule="exact"/>
              <w:ind w:left="116"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14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55" w:right="0"/>
              <w:jc w:val="left"/>
              <w:rPr>
                <w:rFonts w:ascii="Times New Roman" w:hAnsi="Times New Roman" w:cs="Times New Roman" w:eastAsia="Times New Roman" w:hint="default"/>
                <w:sz w:val="13"/>
                <w:szCs w:val="13"/>
              </w:rPr>
            </w:pPr>
            <w:r>
              <w:rPr>
                <w:rFonts w:ascii="Times New Roman"/>
                <w:sz w:val="13"/>
              </w:rPr>
              <w:t>100%</w:t>
            </w:r>
          </w:p>
        </w:tc>
      </w:tr>
      <w:tr>
        <w:trPr>
          <w:trHeight w:val="18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5" w:lineRule="exact"/>
              <w:ind w:left="26" w:right="0"/>
              <w:jc w:val="left"/>
              <w:rPr>
                <w:rFonts w:ascii="宋体" w:hAnsi="宋体" w:cs="宋体" w:eastAsia="宋体" w:hint="default"/>
                <w:sz w:val="13"/>
                <w:szCs w:val="13"/>
              </w:rPr>
            </w:pPr>
            <w:r>
              <w:rPr>
                <w:rFonts w:ascii="宋体" w:hAnsi="宋体" w:cs="宋体" w:eastAsia="宋体" w:hint="default"/>
                <w:sz w:val="13"/>
                <w:szCs w:val="13"/>
              </w:rPr>
              <w:t>烫磁机</w:t>
            </w:r>
          </w:p>
        </w:tc>
        <w:tc>
          <w:tcPr>
            <w:tcW w:w="1439" w:type="dxa"/>
            <w:tcBorders>
              <w:top w:val="nil" w:sz="6" w:space="0" w:color="auto"/>
              <w:left w:val="nil" w:sz="6" w:space="0" w:color="auto"/>
              <w:bottom w:val="nil" w:sz="6" w:space="0" w:color="auto"/>
              <w:right w:val="nil" w:sz="6" w:space="0" w:color="auto"/>
            </w:tcBorders>
          </w:tcPr>
          <w:p>
            <w:pPr>
              <w:pStyle w:val="TableParagraph"/>
              <w:spacing w:line="164" w:lineRule="exact"/>
              <w:ind w:right="153"/>
              <w:jc w:val="right"/>
              <w:rPr>
                <w:rFonts w:ascii="宋体" w:hAnsi="宋体" w:cs="宋体" w:eastAsia="宋体" w:hint="default"/>
                <w:sz w:val="13"/>
                <w:szCs w:val="13"/>
              </w:rPr>
            </w:pPr>
            <w:r>
              <w:rPr>
                <w:rFonts w:ascii="Times New Roman" w:hAnsi="Times New Roman" w:cs="Times New Roman" w:eastAsia="Times New Roman" w:hint="default"/>
                <w:sz w:val="13"/>
                <w:szCs w:val="13"/>
              </w:rPr>
              <w:t>4.7</w:t>
            </w:r>
            <w:r>
              <w:rPr>
                <w:rFonts w:ascii="宋体" w:hAnsi="宋体" w:cs="宋体" w:eastAsia="宋体" w:hint="default"/>
                <w:sz w:val="13"/>
                <w:szCs w:val="13"/>
              </w:rPr>
              <w:t>万元</w:t>
            </w: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28" w:right="0"/>
              <w:jc w:val="center"/>
              <w:rPr>
                <w:rFonts w:ascii="Times New Roman" w:hAnsi="Times New Roman" w:cs="Times New Roman" w:eastAsia="Times New Roman" w:hint="default"/>
                <w:sz w:val="13"/>
                <w:szCs w:val="13"/>
              </w:rPr>
            </w:pPr>
            <w:r>
              <w:rPr>
                <w:rFonts w:ascii="Times New Roman"/>
                <w:sz w:val="13"/>
              </w:rPr>
              <w:t>47,000.00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9"/>
              <w:jc w:val="right"/>
              <w:rPr>
                <w:rFonts w:ascii="Times New Roman" w:hAnsi="Times New Roman" w:cs="Times New Roman" w:eastAsia="Times New Roman" w:hint="default"/>
                <w:sz w:val="13"/>
                <w:szCs w:val="13"/>
              </w:rPr>
            </w:pPr>
            <w:r>
              <w:rPr>
                <w:rFonts w:ascii="Times New Roman"/>
                <w:sz w:val="13"/>
              </w:rPr>
              <w:t>47,000.00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Times New Roman" w:hAnsi="Times New Roman" w:cs="Times New Roman" w:eastAsia="Times New Roman" w:hint="default"/>
                <w:sz w:val="13"/>
                <w:szCs w:val="13"/>
              </w:rPr>
            </w:pPr>
            <w:r>
              <w:rPr>
                <w:rFonts w:ascii="Times New Roman"/>
                <w:w w:val="100"/>
                <w:sz w:val="13"/>
              </w:rPr>
              <w:t>-</w:t>
            </w:r>
          </w:p>
        </w:tc>
        <w:tc>
          <w:tcPr>
            <w:tcW w:w="880" w:type="dxa"/>
            <w:tcBorders>
              <w:top w:val="nil" w:sz="6" w:space="0" w:color="auto"/>
              <w:left w:val="nil" w:sz="6" w:space="0" w:color="auto"/>
              <w:bottom w:val="nil" w:sz="6" w:space="0" w:color="auto"/>
              <w:right w:val="nil" w:sz="6" w:space="0" w:color="auto"/>
            </w:tcBorders>
          </w:tcPr>
          <w:p>
            <w:pPr>
              <w:pStyle w:val="TableParagraph"/>
              <w:spacing w:line="165" w:lineRule="exact"/>
              <w:ind w:left="116"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14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5" w:right="0"/>
              <w:jc w:val="left"/>
              <w:rPr>
                <w:rFonts w:ascii="Times New Roman" w:hAnsi="Times New Roman" w:cs="Times New Roman" w:eastAsia="Times New Roman" w:hint="default"/>
                <w:sz w:val="13"/>
                <w:szCs w:val="13"/>
              </w:rPr>
            </w:pPr>
            <w:r>
              <w:rPr>
                <w:rFonts w:ascii="Times New Roman"/>
                <w:sz w:val="13"/>
              </w:rPr>
              <w:t>100%</w:t>
            </w:r>
          </w:p>
        </w:tc>
      </w:tr>
      <w:tr>
        <w:trPr>
          <w:trHeight w:val="187"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5" w:lineRule="exact"/>
              <w:ind w:left="26" w:right="0"/>
              <w:jc w:val="left"/>
              <w:rPr>
                <w:rFonts w:ascii="宋体" w:hAnsi="宋体" w:cs="宋体" w:eastAsia="宋体" w:hint="default"/>
                <w:sz w:val="13"/>
                <w:szCs w:val="13"/>
              </w:rPr>
            </w:pPr>
            <w:r>
              <w:rPr>
                <w:rFonts w:ascii="宋体" w:hAnsi="宋体" w:cs="宋体" w:eastAsia="宋体" w:hint="default"/>
                <w:sz w:val="13"/>
                <w:szCs w:val="13"/>
              </w:rPr>
              <w:t>RADUS打码机</w:t>
            </w:r>
          </w:p>
        </w:tc>
        <w:tc>
          <w:tcPr>
            <w:tcW w:w="1439" w:type="dxa"/>
            <w:tcBorders>
              <w:top w:val="nil" w:sz="6" w:space="0" w:color="auto"/>
              <w:left w:val="nil" w:sz="6" w:space="0" w:color="auto"/>
              <w:bottom w:val="nil" w:sz="6" w:space="0" w:color="auto"/>
              <w:right w:val="nil" w:sz="6" w:space="0" w:color="auto"/>
            </w:tcBorders>
          </w:tcPr>
          <w:p>
            <w:pPr>
              <w:pStyle w:val="TableParagraph"/>
              <w:spacing w:line="164" w:lineRule="exact"/>
              <w:ind w:right="153"/>
              <w:jc w:val="right"/>
              <w:rPr>
                <w:rFonts w:ascii="宋体" w:hAnsi="宋体" w:cs="宋体" w:eastAsia="宋体" w:hint="default"/>
                <w:sz w:val="13"/>
                <w:szCs w:val="13"/>
              </w:rPr>
            </w:pPr>
            <w:r>
              <w:rPr>
                <w:rFonts w:ascii="Times New Roman" w:hAnsi="Times New Roman" w:cs="Times New Roman" w:eastAsia="Times New Roman" w:hint="default"/>
                <w:spacing w:val="-1"/>
                <w:sz w:val="13"/>
                <w:szCs w:val="13"/>
              </w:rPr>
              <w:t>1.29</w:t>
            </w:r>
            <w:r>
              <w:rPr>
                <w:rFonts w:ascii="宋体" w:hAnsi="宋体" w:cs="宋体" w:eastAsia="宋体" w:hint="default"/>
                <w:spacing w:val="-1"/>
                <w:sz w:val="13"/>
                <w:szCs w:val="13"/>
              </w:rPr>
              <w:t>万欧元</w:t>
            </w: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61" w:right="0"/>
              <w:jc w:val="center"/>
              <w:rPr>
                <w:rFonts w:ascii="Times New Roman" w:hAnsi="Times New Roman" w:cs="Times New Roman" w:eastAsia="Times New Roman" w:hint="default"/>
                <w:sz w:val="13"/>
                <w:szCs w:val="13"/>
              </w:rPr>
            </w:pPr>
            <w:r>
              <w:rPr>
                <w:rFonts w:ascii="Times New Roman"/>
                <w:sz w:val="13"/>
              </w:rPr>
              <w:t>177,282.01</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9"/>
              <w:jc w:val="right"/>
              <w:rPr>
                <w:rFonts w:ascii="Times New Roman" w:hAnsi="Times New Roman" w:cs="Times New Roman" w:eastAsia="Times New Roman" w:hint="default"/>
                <w:sz w:val="13"/>
                <w:szCs w:val="13"/>
              </w:rPr>
            </w:pPr>
            <w:r>
              <w:rPr>
                <w:rFonts w:ascii="Times New Roman"/>
                <w:sz w:val="13"/>
              </w:rPr>
              <w:t>177,282.01</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Times New Roman" w:hAnsi="Times New Roman" w:cs="Times New Roman" w:eastAsia="Times New Roman" w:hint="default"/>
                <w:sz w:val="13"/>
                <w:szCs w:val="13"/>
              </w:rPr>
            </w:pPr>
            <w:r>
              <w:rPr>
                <w:rFonts w:ascii="Times New Roman"/>
                <w:w w:val="100"/>
                <w:sz w:val="13"/>
              </w:rPr>
              <w:t>-</w:t>
            </w:r>
          </w:p>
        </w:tc>
        <w:tc>
          <w:tcPr>
            <w:tcW w:w="880" w:type="dxa"/>
            <w:tcBorders>
              <w:top w:val="nil" w:sz="6" w:space="0" w:color="auto"/>
              <w:left w:val="nil" w:sz="6" w:space="0" w:color="auto"/>
              <w:bottom w:val="nil" w:sz="6" w:space="0" w:color="auto"/>
              <w:right w:val="nil" w:sz="6" w:space="0" w:color="auto"/>
            </w:tcBorders>
          </w:tcPr>
          <w:p>
            <w:pPr>
              <w:pStyle w:val="TableParagraph"/>
              <w:spacing w:line="165" w:lineRule="exact"/>
              <w:ind w:left="116"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14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5" w:right="0"/>
              <w:jc w:val="left"/>
              <w:rPr>
                <w:rFonts w:ascii="Times New Roman" w:hAnsi="Times New Roman" w:cs="Times New Roman" w:eastAsia="Times New Roman" w:hint="default"/>
                <w:sz w:val="13"/>
                <w:szCs w:val="13"/>
              </w:rPr>
            </w:pPr>
            <w:r>
              <w:rPr>
                <w:rFonts w:ascii="Times New Roman"/>
                <w:sz w:val="13"/>
              </w:rPr>
              <w:t>100%</w:t>
            </w:r>
          </w:p>
        </w:tc>
      </w:tr>
      <w:tr>
        <w:trPr>
          <w:trHeight w:val="192"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165" w:lineRule="exact"/>
              <w:ind w:left="26" w:right="0"/>
              <w:jc w:val="left"/>
              <w:rPr>
                <w:rFonts w:ascii="宋体" w:hAnsi="宋体" w:cs="宋体" w:eastAsia="宋体" w:hint="default"/>
                <w:sz w:val="13"/>
                <w:szCs w:val="13"/>
              </w:rPr>
            </w:pPr>
            <w:r>
              <w:rPr>
                <w:rFonts w:ascii="宋体" w:hAnsi="宋体" w:cs="宋体" w:eastAsia="宋体" w:hint="default"/>
                <w:sz w:val="13"/>
                <w:szCs w:val="13"/>
              </w:rPr>
              <w:t>贴版机</w:t>
            </w:r>
          </w:p>
        </w:tc>
        <w:tc>
          <w:tcPr>
            <w:tcW w:w="1439" w:type="dxa"/>
            <w:tcBorders>
              <w:top w:val="nil" w:sz="6" w:space="0" w:color="auto"/>
              <w:left w:val="nil" w:sz="6" w:space="0" w:color="auto"/>
              <w:bottom w:val="nil" w:sz="6" w:space="0" w:color="auto"/>
              <w:right w:val="nil" w:sz="6" w:space="0" w:color="auto"/>
            </w:tcBorders>
          </w:tcPr>
          <w:p>
            <w:pPr>
              <w:pStyle w:val="TableParagraph"/>
              <w:spacing w:line="164" w:lineRule="exact"/>
              <w:ind w:right="153"/>
              <w:jc w:val="right"/>
              <w:rPr>
                <w:rFonts w:ascii="宋体" w:hAnsi="宋体" w:cs="宋体" w:eastAsia="宋体" w:hint="default"/>
                <w:sz w:val="13"/>
                <w:szCs w:val="13"/>
              </w:rPr>
            </w:pPr>
            <w:r>
              <w:rPr>
                <w:rFonts w:ascii="Times New Roman" w:hAnsi="Times New Roman" w:cs="Times New Roman" w:eastAsia="Times New Roman" w:hint="default"/>
                <w:sz w:val="13"/>
                <w:szCs w:val="13"/>
              </w:rPr>
              <w:t>3.8</w:t>
            </w:r>
            <w:r>
              <w:rPr>
                <w:rFonts w:ascii="宋体" w:hAnsi="宋体" w:cs="宋体" w:eastAsia="宋体" w:hint="default"/>
                <w:sz w:val="13"/>
                <w:szCs w:val="13"/>
              </w:rPr>
              <w:t>万元</w:t>
            </w:r>
          </w:p>
        </w:tc>
        <w:tc>
          <w:tcPr>
            <w:tcW w:w="1134"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28" w:right="0"/>
              <w:jc w:val="center"/>
              <w:rPr>
                <w:rFonts w:ascii="Times New Roman" w:hAnsi="Times New Roman" w:cs="Times New Roman" w:eastAsia="Times New Roman" w:hint="default"/>
                <w:sz w:val="13"/>
                <w:szCs w:val="13"/>
              </w:rPr>
            </w:pPr>
            <w:r>
              <w:rPr>
                <w:rFonts w:ascii="Times New Roman"/>
                <w:sz w:val="13"/>
              </w:rPr>
              <w:t>38,000.00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9"/>
              <w:jc w:val="right"/>
              <w:rPr>
                <w:rFonts w:ascii="Times New Roman" w:hAnsi="Times New Roman" w:cs="Times New Roman" w:eastAsia="Times New Roman" w:hint="default"/>
                <w:sz w:val="13"/>
                <w:szCs w:val="13"/>
              </w:rPr>
            </w:pPr>
            <w:r>
              <w:rPr>
                <w:rFonts w:ascii="Times New Roman"/>
                <w:sz w:val="13"/>
              </w:rPr>
              <w:t>38,000.00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Times New Roman" w:hAnsi="Times New Roman" w:cs="Times New Roman" w:eastAsia="Times New Roman" w:hint="default"/>
                <w:sz w:val="13"/>
                <w:szCs w:val="13"/>
              </w:rPr>
            </w:pPr>
            <w:r>
              <w:rPr>
                <w:rFonts w:ascii="Times New Roman"/>
                <w:w w:val="100"/>
                <w:sz w:val="13"/>
              </w:rPr>
              <w:t>-</w:t>
            </w:r>
          </w:p>
        </w:tc>
        <w:tc>
          <w:tcPr>
            <w:tcW w:w="880" w:type="dxa"/>
            <w:tcBorders>
              <w:top w:val="nil" w:sz="6" w:space="0" w:color="auto"/>
              <w:left w:val="nil" w:sz="6" w:space="0" w:color="auto"/>
              <w:bottom w:val="nil" w:sz="6" w:space="0" w:color="auto"/>
              <w:right w:val="nil" w:sz="6" w:space="0" w:color="auto"/>
            </w:tcBorders>
          </w:tcPr>
          <w:p>
            <w:pPr>
              <w:pStyle w:val="TableParagraph"/>
              <w:spacing w:line="165" w:lineRule="exact"/>
              <w:ind w:left="116"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143" w:type="dxa"/>
            <w:tcBorders>
              <w:top w:val="nil" w:sz="6" w:space="0" w:color="auto"/>
              <w:left w:val="nil" w:sz="6" w:space="0" w:color="auto"/>
              <w:bottom w:val="nil" w:sz="6" w:space="0" w:color="auto"/>
              <w:right w:val="nil" w:sz="6" w:space="0" w:color="auto"/>
            </w:tcBorders>
          </w:tcPr>
          <w:p>
            <w:pP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55" w:right="0"/>
              <w:jc w:val="left"/>
              <w:rPr>
                <w:rFonts w:ascii="Times New Roman" w:hAnsi="Times New Roman" w:cs="Times New Roman" w:eastAsia="Times New Roman" w:hint="default"/>
                <w:sz w:val="13"/>
                <w:szCs w:val="13"/>
              </w:rPr>
            </w:pPr>
            <w:r>
              <w:rPr>
                <w:rFonts w:ascii="Times New Roman"/>
                <w:sz w:val="13"/>
              </w:rPr>
              <w:t>100%</w:t>
            </w:r>
          </w:p>
        </w:tc>
      </w:tr>
    </w:tbl>
    <w:p>
      <w:pPr>
        <w:spacing w:line="108" w:lineRule="exact" w:before="0"/>
        <w:ind w:left="171" w:right="783" w:firstLine="0"/>
        <w:jc w:val="left"/>
        <w:rPr>
          <w:rFonts w:ascii="宋体" w:hAnsi="宋体" w:cs="宋体" w:eastAsia="宋体" w:hint="default"/>
          <w:sz w:val="13"/>
          <w:szCs w:val="13"/>
        </w:rPr>
      </w:pPr>
      <w:r>
        <w:rPr>
          <w:rFonts w:ascii="宋体" w:hAnsi="宋体" w:cs="宋体" w:eastAsia="宋体" w:hint="default"/>
          <w:sz w:val="13"/>
          <w:szCs w:val="13"/>
        </w:rPr>
        <w:t>Drello</w:t>
      </w:r>
      <w:r>
        <w:rPr>
          <w:rFonts w:ascii="宋体" w:hAnsi="宋体" w:cs="宋体" w:eastAsia="宋体" w:hint="default"/>
          <w:spacing w:val="9"/>
          <w:sz w:val="13"/>
          <w:szCs w:val="13"/>
        </w:rPr>
        <w:t> </w:t>
      </w:r>
      <w:r>
        <w:rPr>
          <w:rFonts w:ascii="宋体" w:hAnsi="宋体" w:cs="宋体" w:eastAsia="宋体" w:hint="default"/>
          <w:sz w:val="13"/>
          <w:szCs w:val="13"/>
        </w:rPr>
        <w:t>V4000视频监</w:t>
      </w:r>
    </w:p>
    <w:p>
      <w:pPr>
        <w:tabs>
          <w:tab w:pos="2152" w:val="left" w:leader="none"/>
          <w:tab w:pos="4468" w:val="left" w:leader="none"/>
          <w:tab w:pos="5599" w:val="left" w:leader="none"/>
          <w:tab w:pos="7178" w:val="left" w:leader="none"/>
          <w:tab w:pos="8575" w:val="left" w:leader="none"/>
        </w:tabs>
        <w:spacing w:line="211" w:lineRule="exact" w:before="0"/>
        <w:ind w:left="171" w:right="0" w:firstLine="0"/>
        <w:jc w:val="left"/>
        <w:rPr>
          <w:rFonts w:ascii="Times New Roman" w:hAnsi="Times New Roman" w:cs="Times New Roman" w:eastAsia="Times New Roman" w:hint="default"/>
          <w:sz w:val="13"/>
          <w:szCs w:val="13"/>
        </w:rPr>
      </w:pPr>
      <w:r>
        <w:rPr>
          <w:rFonts w:ascii="宋体" w:hAnsi="宋体" w:cs="宋体" w:eastAsia="宋体" w:hint="default"/>
          <w:position w:val="-7"/>
          <w:sz w:val="13"/>
          <w:szCs w:val="13"/>
        </w:rPr>
        <w:t>测设备</w:t>
        <w:tab/>
      </w:r>
      <w:r>
        <w:rPr>
          <w:rFonts w:ascii="Times New Roman" w:hAnsi="Times New Roman" w:cs="Times New Roman" w:eastAsia="Times New Roman" w:hint="default"/>
          <w:spacing w:val="-1"/>
          <w:position w:val="1"/>
          <w:sz w:val="13"/>
          <w:szCs w:val="13"/>
        </w:rPr>
        <w:t>0.63</w:t>
      </w:r>
      <w:r>
        <w:rPr>
          <w:rFonts w:ascii="宋体" w:hAnsi="宋体" w:cs="宋体" w:eastAsia="宋体" w:hint="default"/>
          <w:spacing w:val="-1"/>
          <w:position w:val="1"/>
          <w:sz w:val="13"/>
          <w:szCs w:val="13"/>
        </w:rPr>
        <w:t>万欧元</w:t>
        <w:tab/>
      </w:r>
      <w:r>
        <w:rPr>
          <w:rFonts w:ascii="Times New Roman" w:hAnsi="Times New Roman" w:cs="Times New Roman" w:eastAsia="Times New Roman" w:hint="default"/>
          <w:position w:val="1"/>
          <w:sz w:val="13"/>
          <w:szCs w:val="13"/>
        </w:rPr>
        <w:t>81,865.47</w:t>
        <w:tab/>
        <w:t>81,865.47</w:t>
        <w:tab/>
        <w:t>-    </w:t>
      </w:r>
      <w:r>
        <w:rPr>
          <w:rFonts w:ascii="Times New Roman" w:hAnsi="Times New Roman" w:cs="Times New Roman" w:eastAsia="Times New Roman" w:hint="default"/>
          <w:spacing w:val="31"/>
          <w:position w:val="1"/>
          <w:sz w:val="13"/>
          <w:szCs w:val="13"/>
        </w:rPr>
        <w:t> </w:t>
      </w:r>
      <w:r>
        <w:rPr>
          <w:rFonts w:ascii="宋体" w:hAnsi="宋体" w:cs="宋体" w:eastAsia="宋体" w:hint="default"/>
          <w:sz w:val="13"/>
          <w:szCs w:val="13"/>
        </w:rPr>
        <w:t>自筹</w:t>
        <w:tab/>
      </w:r>
      <w:r>
        <w:rPr>
          <w:rFonts w:ascii="Times New Roman" w:hAnsi="Times New Roman" w:cs="Times New Roman" w:eastAsia="Times New Roman" w:hint="default"/>
          <w:position w:val="1"/>
          <w:sz w:val="13"/>
          <w:szCs w:val="13"/>
        </w:rPr>
        <w:t>100%</w:t>
      </w:r>
      <w:r>
        <w:rPr>
          <w:rFonts w:ascii="Times New Roman" w:hAnsi="Times New Roman" w:cs="Times New Roman" w:eastAsia="Times New Roman" w:hint="default"/>
          <w:sz w:val="13"/>
          <w:szCs w:val="13"/>
        </w:rPr>
      </w:r>
    </w:p>
    <w:p>
      <w:pPr>
        <w:spacing w:line="121" w:lineRule="exact" w:before="17"/>
        <w:ind w:left="171" w:right="783" w:firstLine="0"/>
        <w:jc w:val="left"/>
        <w:rPr>
          <w:rFonts w:ascii="宋体" w:hAnsi="宋体" w:cs="宋体" w:eastAsia="宋体" w:hint="default"/>
          <w:sz w:val="13"/>
          <w:szCs w:val="13"/>
        </w:rPr>
      </w:pPr>
      <w:r>
        <w:rPr>
          <w:rFonts w:ascii="宋体" w:hAnsi="宋体" w:cs="宋体" w:eastAsia="宋体" w:hint="default"/>
          <w:sz w:val="13"/>
          <w:szCs w:val="13"/>
        </w:rPr>
        <w:t>视创印刷在线监控系</w:t>
      </w:r>
    </w:p>
    <w:p>
      <w:pPr>
        <w:tabs>
          <w:tab w:pos="2152" w:val="left" w:leader="none"/>
          <w:tab w:pos="4401" w:val="left" w:leader="none"/>
          <w:tab w:pos="5533" w:val="left" w:leader="none"/>
          <w:tab w:pos="7178" w:val="left" w:leader="none"/>
          <w:tab w:pos="8575" w:val="left" w:leader="none"/>
        </w:tabs>
        <w:spacing w:line="211" w:lineRule="exact" w:before="0"/>
        <w:ind w:left="171" w:right="0" w:firstLine="0"/>
        <w:jc w:val="left"/>
        <w:rPr>
          <w:rFonts w:ascii="Times New Roman" w:hAnsi="Times New Roman" w:cs="Times New Roman" w:eastAsia="Times New Roman" w:hint="default"/>
          <w:sz w:val="13"/>
          <w:szCs w:val="13"/>
        </w:rPr>
      </w:pPr>
      <w:r>
        <w:rPr>
          <w:rFonts w:ascii="宋体" w:hAnsi="宋体" w:cs="宋体" w:eastAsia="宋体" w:hint="default"/>
          <w:position w:val="-7"/>
          <w:sz w:val="13"/>
          <w:szCs w:val="13"/>
        </w:rPr>
        <w:t>统（V2000）</w:t>
        <w:tab/>
      </w:r>
      <w:r>
        <w:rPr>
          <w:rFonts w:ascii="Times New Roman" w:hAnsi="Times New Roman" w:cs="Times New Roman" w:eastAsia="Times New Roman" w:hint="default"/>
          <w:spacing w:val="-1"/>
          <w:position w:val="1"/>
          <w:sz w:val="13"/>
          <w:szCs w:val="13"/>
        </w:rPr>
        <w:t>8.26</w:t>
      </w:r>
      <w:r>
        <w:rPr>
          <w:rFonts w:ascii="宋体" w:hAnsi="宋体" w:cs="宋体" w:eastAsia="宋体" w:hint="default"/>
          <w:spacing w:val="-1"/>
          <w:position w:val="1"/>
          <w:sz w:val="13"/>
          <w:szCs w:val="13"/>
        </w:rPr>
        <w:t>万美元</w:t>
        <w:tab/>
      </w:r>
      <w:r>
        <w:rPr>
          <w:rFonts w:ascii="Times New Roman" w:hAnsi="Times New Roman" w:cs="Times New Roman" w:eastAsia="Times New Roman" w:hint="default"/>
          <w:position w:val="1"/>
          <w:sz w:val="13"/>
          <w:szCs w:val="13"/>
        </w:rPr>
        <w:t>773,030.78</w:t>
        <w:tab/>
        <w:t>773,030.78</w:t>
        <w:tab/>
        <w:t>-    </w:t>
      </w:r>
      <w:r>
        <w:rPr>
          <w:rFonts w:ascii="Times New Roman" w:hAnsi="Times New Roman" w:cs="Times New Roman" w:eastAsia="Times New Roman" w:hint="default"/>
          <w:spacing w:val="31"/>
          <w:position w:val="1"/>
          <w:sz w:val="13"/>
          <w:szCs w:val="13"/>
        </w:rPr>
        <w:t> </w:t>
      </w:r>
      <w:r>
        <w:rPr>
          <w:rFonts w:ascii="宋体" w:hAnsi="宋体" w:cs="宋体" w:eastAsia="宋体" w:hint="default"/>
          <w:spacing w:val="1"/>
          <w:sz w:val="13"/>
          <w:szCs w:val="13"/>
        </w:rPr>
        <w:t>募股资金</w:t>
        <w:tab/>
      </w:r>
      <w:r>
        <w:rPr>
          <w:rFonts w:ascii="Times New Roman" w:hAnsi="Times New Roman" w:cs="Times New Roman" w:eastAsia="Times New Roman" w:hint="default"/>
          <w:position w:val="1"/>
          <w:sz w:val="13"/>
          <w:szCs w:val="13"/>
        </w:rPr>
        <w:t>100%</w:t>
      </w:r>
      <w:r>
        <w:rPr>
          <w:rFonts w:ascii="Times New Roman" w:hAnsi="Times New Roman" w:cs="Times New Roman" w:eastAsia="Times New Roman" w:hint="default"/>
          <w:sz w:val="13"/>
          <w:szCs w:val="13"/>
        </w:rPr>
      </w:r>
    </w:p>
    <w:p>
      <w:pPr>
        <w:tabs>
          <w:tab w:pos="2250" w:val="left" w:leader="none"/>
          <w:tab w:pos="4302" w:val="left" w:leader="none"/>
          <w:tab w:pos="5433" w:val="left" w:leader="none"/>
          <w:tab w:pos="7178" w:val="left" w:leader="none"/>
          <w:tab w:pos="8575" w:val="left" w:leader="none"/>
        </w:tabs>
        <w:spacing w:before="88"/>
        <w:ind w:left="171" w:right="0" w:firstLine="0"/>
        <w:jc w:val="left"/>
        <w:rPr>
          <w:rFonts w:ascii="Times New Roman" w:hAnsi="Times New Roman" w:cs="Times New Roman" w:eastAsia="Times New Roman" w:hint="default"/>
          <w:sz w:val="13"/>
          <w:szCs w:val="13"/>
        </w:rPr>
      </w:pPr>
      <w:r>
        <w:rPr>
          <w:rFonts w:ascii="宋体" w:hAnsi="宋体" w:cs="宋体" w:eastAsia="宋体" w:hint="default"/>
          <w:sz w:val="13"/>
          <w:szCs w:val="13"/>
        </w:rPr>
        <w:t>柯达万印喷墨印刷机</w:t>
        <w:tab/>
      </w:r>
      <w:r>
        <w:rPr>
          <w:rFonts w:ascii="Times New Roman" w:hAnsi="Times New Roman" w:cs="Times New Roman" w:eastAsia="Times New Roman" w:hint="default"/>
          <w:position w:val="1"/>
          <w:sz w:val="13"/>
          <w:szCs w:val="13"/>
        </w:rPr>
        <w:t>30</w:t>
      </w:r>
      <w:r>
        <w:rPr>
          <w:rFonts w:ascii="宋体" w:hAnsi="宋体" w:cs="宋体" w:eastAsia="宋体" w:hint="default"/>
          <w:position w:val="1"/>
          <w:sz w:val="13"/>
          <w:szCs w:val="13"/>
        </w:rPr>
        <w:t>万美元</w:t>
        <w:tab/>
      </w:r>
      <w:r>
        <w:rPr>
          <w:rFonts w:ascii="Times New Roman" w:hAnsi="Times New Roman" w:cs="Times New Roman" w:eastAsia="Times New Roman" w:hint="default"/>
          <w:position w:val="1"/>
          <w:sz w:val="13"/>
          <w:szCs w:val="13"/>
        </w:rPr>
        <w:t>2,287,190.00</w:t>
        <w:tab/>
        <w:t>2,287,190.00</w:t>
        <w:tab/>
        <w:t>-     </w:t>
      </w:r>
      <w:r>
        <w:rPr>
          <w:rFonts w:ascii="Times New Roman" w:hAnsi="Times New Roman" w:cs="Times New Roman" w:eastAsia="Times New Roman" w:hint="default"/>
          <w:spacing w:val="3"/>
          <w:position w:val="1"/>
          <w:sz w:val="13"/>
          <w:szCs w:val="13"/>
        </w:rPr>
        <w:t> </w:t>
      </w:r>
      <w:r>
        <w:rPr>
          <w:rFonts w:ascii="宋体" w:hAnsi="宋体" w:cs="宋体" w:eastAsia="宋体" w:hint="default"/>
          <w:sz w:val="13"/>
          <w:szCs w:val="13"/>
        </w:rPr>
        <w:t>募股资金</w:t>
        <w:tab/>
      </w:r>
      <w:r>
        <w:rPr>
          <w:rFonts w:ascii="Times New Roman" w:hAnsi="Times New Roman" w:cs="Times New Roman" w:eastAsia="Times New Roman" w:hint="default"/>
          <w:position w:val="1"/>
          <w:sz w:val="13"/>
          <w:szCs w:val="13"/>
        </w:rPr>
        <w:t>100%</w:t>
      </w:r>
      <w:r>
        <w:rPr>
          <w:rFonts w:ascii="Times New Roman" w:hAnsi="Times New Roman" w:cs="Times New Roman" w:eastAsia="Times New Roman" w:hint="default"/>
          <w:sz w:val="13"/>
          <w:szCs w:val="13"/>
        </w:rPr>
      </w:r>
    </w:p>
    <w:p>
      <w:pPr>
        <w:spacing w:before="97"/>
        <w:ind w:left="171" w:right="783" w:firstLine="0"/>
        <w:jc w:val="left"/>
        <w:rPr>
          <w:rFonts w:ascii="宋体" w:hAnsi="宋体" w:cs="宋体" w:eastAsia="宋体" w:hint="default"/>
          <w:sz w:val="13"/>
          <w:szCs w:val="13"/>
        </w:rPr>
      </w:pPr>
      <w:r>
        <w:rPr/>
        <w:pict>
          <v:shape style="position:absolute;margin-left:89.799072pt;margin-top:10.434078pt;width:439.15pt;height:217.4pt;mso-position-horizontal-relative:page;mso-position-vertical-relative:paragraph;z-index:5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5"/>
                    <w:gridCol w:w="1002"/>
                    <w:gridCol w:w="1228"/>
                    <w:gridCol w:w="1132"/>
                    <w:gridCol w:w="1125"/>
                    <w:gridCol w:w="979"/>
                    <w:gridCol w:w="972"/>
                    <w:gridCol w:w="660"/>
                  </w:tblGrid>
                  <w:tr>
                    <w:trPr>
                      <w:trHeight w:val="140" w:hRule="exact"/>
                    </w:trPr>
                    <w:tc>
                      <w:tcPr>
                        <w:tcW w:w="2687" w:type="dxa"/>
                        <w:gridSpan w:val="2"/>
                        <w:tcBorders>
                          <w:top w:val="nil" w:sz="6" w:space="0" w:color="auto"/>
                          <w:left w:val="nil" w:sz="6" w:space="0" w:color="auto"/>
                          <w:bottom w:val="nil" w:sz="6" w:space="0" w:color="auto"/>
                          <w:right w:val="nil" w:sz="6" w:space="0" w:color="auto"/>
                        </w:tcBorders>
                      </w:tcPr>
                      <w:p>
                        <w:pPr>
                          <w:pStyle w:val="TableParagraph"/>
                          <w:tabs>
                            <w:tab w:pos="1982" w:val="left" w:leader="none"/>
                          </w:tabs>
                          <w:spacing w:line="180" w:lineRule="exact"/>
                          <w:ind w:left="35" w:right="0"/>
                          <w:jc w:val="left"/>
                          <w:rPr>
                            <w:rFonts w:ascii="宋体" w:hAnsi="宋体" w:cs="宋体" w:eastAsia="宋体" w:hint="default"/>
                            <w:sz w:val="13"/>
                            <w:szCs w:val="13"/>
                          </w:rPr>
                        </w:pPr>
                        <w:r>
                          <w:rPr>
                            <w:rFonts w:ascii="宋体" w:hAnsi="宋体" w:cs="宋体" w:eastAsia="宋体" w:hint="default"/>
                            <w:position w:val="-8"/>
                            <w:sz w:val="13"/>
                            <w:szCs w:val="13"/>
                          </w:rPr>
                          <w:t>刷机</w:t>
                          <w:tab/>
                        </w:r>
                        <w:r>
                          <w:rPr>
                            <w:rFonts w:ascii="Times New Roman" w:hAnsi="Times New Roman" w:cs="Times New Roman" w:eastAsia="Times New Roman" w:hint="default"/>
                            <w:sz w:val="13"/>
                            <w:szCs w:val="13"/>
                          </w:rPr>
                          <w:t>7900</w:t>
                        </w:r>
                        <w:r>
                          <w:rPr>
                            <w:rFonts w:ascii="宋体" w:hAnsi="宋体" w:cs="宋体" w:eastAsia="宋体" w:hint="default"/>
                            <w:sz w:val="13"/>
                            <w:szCs w:val="13"/>
                          </w:rPr>
                          <w:t>万日元</w:t>
                        </w: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140" w:lineRule="exact"/>
                          <w:ind w:right="183"/>
                          <w:jc w:val="right"/>
                          <w:rPr>
                            <w:rFonts w:ascii="Times New Roman" w:hAnsi="Times New Roman" w:cs="Times New Roman" w:eastAsia="Times New Roman" w:hint="default"/>
                            <w:sz w:val="13"/>
                            <w:szCs w:val="13"/>
                          </w:rPr>
                        </w:pPr>
                        <w:r>
                          <w:rPr>
                            <w:rFonts w:ascii="Times New Roman"/>
                            <w:sz w:val="13"/>
                          </w:rPr>
                          <w:t>5,008,338.00</w:t>
                        </w:r>
                      </w:p>
                    </w:tc>
                    <w:tc>
                      <w:tcPr>
                        <w:tcW w:w="1125" w:type="dxa"/>
                        <w:tcBorders>
                          <w:top w:val="nil" w:sz="6" w:space="0" w:color="auto"/>
                          <w:left w:val="nil" w:sz="6" w:space="0" w:color="auto"/>
                          <w:bottom w:val="nil" w:sz="6" w:space="0" w:color="auto"/>
                          <w:right w:val="nil" w:sz="6" w:space="0" w:color="auto"/>
                        </w:tcBorders>
                      </w:tcPr>
                      <w:p>
                        <w:pPr>
                          <w:pStyle w:val="TableParagraph"/>
                          <w:spacing w:line="140" w:lineRule="exact"/>
                          <w:ind w:right="176"/>
                          <w:jc w:val="right"/>
                          <w:rPr>
                            <w:rFonts w:ascii="Times New Roman" w:hAnsi="Times New Roman" w:cs="Times New Roman" w:eastAsia="Times New Roman" w:hint="default"/>
                            <w:sz w:val="13"/>
                            <w:szCs w:val="13"/>
                          </w:rPr>
                        </w:pPr>
                        <w:r>
                          <w:rPr>
                            <w:rFonts w:ascii="Times New Roman"/>
                            <w:sz w:val="13"/>
                          </w:rPr>
                          <w:t>5,008,338.00</w:t>
                        </w:r>
                      </w:p>
                    </w:tc>
                    <w:tc>
                      <w:tcPr>
                        <w:tcW w:w="979" w:type="dxa"/>
                        <w:tcBorders>
                          <w:top w:val="nil" w:sz="6" w:space="0" w:color="auto"/>
                          <w:left w:val="nil" w:sz="6" w:space="0" w:color="auto"/>
                          <w:bottom w:val="nil" w:sz="6" w:space="0" w:color="auto"/>
                          <w:right w:val="nil" w:sz="6" w:space="0" w:color="auto"/>
                        </w:tcBorders>
                      </w:tcPr>
                      <w:p>
                        <w:pPr>
                          <w:pStyle w:val="TableParagraph"/>
                          <w:spacing w:line="140" w:lineRule="exact"/>
                          <w:ind w:right="63"/>
                          <w:jc w:val="right"/>
                          <w:rPr>
                            <w:rFonts w:ascii="Times New Roman" w:hAnsi="Times New Roman" w:cs="Times New Roman" w:eastAsia="Times New Roman" w:hint="default"/>
                            <w:sz w:val="13"/>
                            <w:szCs w:val="13"/>
                          </w:rPr>
                        </w:pPr>
                        <w:r>
                          <w:rPr>
                            <w:rFonts w:ascii="Times New Roman"/>
                            <w:w w:val="100"/>
                            <w:sz w:val="13"/>
                          </w:rPr>
                          <w:t>-</w:t>
                        </w:r>
                      </w:p>
                    </w:tc>
                    <w:tc>
                      <w:tcPr>
                        <w:tcW w:w="972" w:type="dxa"/>
                        <w:tcBorders>
                          <w:top w:val="nil" w:sz="6" w:space="0" w:color="auto"/>
                          <w:left w:val="nil" w:sz="6" w:space="0" w:color="auto"/>
                          <w:bottom w:val="nil" w:sz="6" w:space="0" w:color="auto"/>
                          <w:right w:val="nil" w:sz="6" w:space="0" w:color="auto"/>
                        </w:tcBorders>
                      </w:tcPr>
                      <w:p>
                        <w:pPr>
                          <w:pStyle w:val="TableParagraph"/>
                          <w:spacing w:line="140" w:lineRule="exact"/>
                          <w:ind w:left="127" w:right="0"/>
                          <w:jc w:val="left"/>
                          <w:rPr>
                            <w:rFonts w:ascii="宋体" w:hAnsi="宋体" w:cs="宋体" w:eastAsia="宋体" w:hint="default"/>
                            <w:sz w:val="13"/>
                            <w:szCs w:val="13"/>
                          </w:rPr>
                        </w:pPr>
                        <w:r>
                          <w:rPr>
                            <w:rFonts w:ascii="宋体" w:hAnsi="宋体" w:cs="宋体" w:eastAsia="宋体" w:hint="default"/>
                            <w:sz w:val="13"/>
                            <w:szCs w:val="13"/>
                          </w:rPr>
                          <w:t>募股资金</w:t>
                        </w:r>
                      </w:p>
                    </w:tc>
                    <w:tc>
                      <w:tcPr>
                        <w:tcW w:w="660" w:type="dxa"/>
                        <w:tcBorders>
                          <w:top w:val="nil" w:sz="6" w:space="0" w:color="auto"/>
                          <w:left w:val="nil" w:sz="6" w:space="0" w:color="auto"/>
                          <w:bottom w:val="nil" w:sz="6" w:space="0" w:color="auto"/>
                          <w:right w:val="nil" w:sz="6" w:space="0" w:color="auto"/>
                        </w:tcBorders>
                      </w:tcPr>
                      <w:p>
                        <w:pPr>
                          <w:pStyle w:val="TableParagraph"/>
                          <w:spacing w:line="140" w:lineRule="exact"/>
                          <w:ind w:right="33"/>
                          <w:jc w:val="right"/>
                          <w:rPr>
                            <w:rFonts w:ascii="Times New Roman" w:hAnsi="Times New Roman" w:cs="Times New Roman" w:eastAsia="Times New Roman" w:hint="default"/>
                            <w:sz w:val="13"/>
                            <w:szCs w:val="13"/>
                          </w:rPr>
                        </w:pPr>
                        <w:r>
                          <w:rPr>
                            <w:rFonts w:ascii="Times New Roman"/>
                            <w:sz w:val="13"/>
                          </w:rPr>
                          <w:t>100%</w:t>
                        </w:r>
                      </w:p>
                    </w:tc>
                  </w:tr>
                  <w:tr>
                    <w:trPr>
                      <w:trHeight w:val="283" w:hRule="exact"/>
                    </w:trPr>
                    <w:tc>
                      <w:tcPr>
                        <w:tcW w:w="8783"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宋体" w:hAnsi="宋体" w:cs="宋体" w:eastAsia="宋体" w:hint="default"/>
                            <w:sz w:val="13"/>
                            <w:szCs w:val="13"/>
                          </w:rPr>
                        </w:pPr>
                        <w:r>
                          <w:rPr>
                            <w:rFonts w:ascii="宋体" w:hAnsi="宋体" w:cs="宋体" w:eastAsia="宋体" w:hint="default"/>
                            <w:sz w:val="13"/>
                            <w:szCs w:val="13"/>
                          </w:rPr>
                          <w:t>信件封装设备</w:t>
                        </w:r>
                      </w:p>
                    </w:tc>
                  </w:tr>
                  <w:tr>
                    <w:trPr>
                      <w:trHeight w:val="356"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30" w:lineRule="exact"/>
                          <w:ind w:left="35" w:right="0"/>
                          <w:jc w:val="left"/>
                          <w:rPr>
                            <w:rFonts w:ascii="宋体" w:hAnsi="宋体" w:cs="宋体" w:eastAsia="宋体" w:hint="default"/>
                            <w:sz w:val="13"/>
                            <w:szCs w:val="13"/>
                          </w:rPr>
                        </w:pPr>
                        <w:r>
                          <w:rPr>
                            <w:rFonts w:ascii="宋体"/>
                            <w:sz w:val="13"/>
                          </w:rPr>
                          <w:t>Kern3500</w:t>
                        </w:r>
                      </w:p>
                      <w:p>
                        <w:pPr>
                          <w:pStyle w:val="TableParagraph"/>
                          <w:spacing w:line="240" w:lineRule="auto" w:before="16"/>
                          <w:ind w:left="35" w:right="0"/>
                          <w:jc w:val="left"/>
                          <w:rPr>
                            <w:rFonts w:ascii="宋体" w:hAnsi="宋体" w:cs="宋体" w:eastAsia="宋体" w:hint="default"/>
                            <w:sz w:val="13"/>
                            <w:szCs w:val="13"/>
                          </w:rPr>
                        </w:pPr>
                        <w:r>
                          <w:rPr>
                            <w:rFonts w:ascii="宋体" w:hAnsi="宋体" w:cs="宋体" w:eastAsia="宋体" w:hint="default"/>
                            <w:sz w:val="13"/>
                            <w:szCs w:val="13"/>
                          </w:rPr>
                          <w:t>程控机刀</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right="46"/>
                          <w:jc w:val="right"/>
                          <w:rPr>
                            <w:rFonts w:ascii="宋体" w:hAnsi="宋体" w:cs="宋体" w:eastAsia="宋体" w:hint="default"/>
                            <w:sz w:val="13"/>
                            <w:szCs w:val="13"/>
                          </w:rPr>
                        </w:pPr>
                        <w:r>
                          <w:rPr>
                            <w:rFonts w:ascii="Times New Roman" w:hAnsi="Times New Roman" w:cs="Times New Roman" w:eastAsia="Times New Roman" w:hint="default"/>
                            <w:sz w:val="13"/>
                            <w:szCs w:val="13"/>
                          </w:rPr>
                          <w:t>30</w:t>
                        </w:r>
                        <w:r>
                          <w:rPr>
                            <w:rFonts w:ascii="宋体" w:hAnsi="宋体" w:cs="宋体" w:eastAsia="宋体" w:hint="default"/>
                            <w:sz w:val="13"/>
                            <w:szCs w:val="13"/>
                          </w:rPr>
                          <w:t>万元</w:t>
                        </w: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3"/>
                          <w:jc w:val="right"/>
                          <w:rPr>
                            <w:rFonts w:ascii="Times New Roman" w:hAnsi="Times New Roman" w:cs="Times New Roman" w:eastAsia="Times New Roman" w:hint="default"/>
                            <w:sz w:val="13"/>
                            <w:szCs w:val="13"/>
                          </w:rPr>
                        </w:pPr>
                        <w:r>
                          <w:rPr>
                            <w:rFonts w:ascii="Times New Roman"/>
                            <w:sz w:val="13"/>
                          </w:rPr>
                          <w:t>300,000.00</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6"/>
                          <w:jc w:val="right"/>
                          <w:rPr>
                            <w:rFonts w:ascii="Times New Roman" w:hAnsi="Times New Roman" w:cs="Times New Roman" w:eastAsia="Times New Roman" w:hint="default"/>
                            <w:sz w:val="13"/>
                            <w:szCs w:val="13"/>
                          </w:rPr>
                        </w:pPr>
                        <w:r>
                          <w:rPr>
                            <w:rFonts w:ascii="Times New Roman"/>
                            <w:sz w:val="13"/>
                          </w:rPr>
                          <w:t>300,000.00</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3"/>
                          <w:jc w:val="right"/>
                          <w:rPr>
                            <w:rFonts w:ascii="Times New Roman" w:hAnsi="Times New Roman" w:cs="Times New Roman" w:eastAsia="Times New Roman" w:hint="default"/>
                            <w:sz w:val="13"/>
                            <w:szCs w:val="13"/>
                          </w:rPr>
                        </w:pPr>
                        <w:r>
                          <w:rPr>
                            <w:rFonts w:ascii="Times New Roman"/>
                            <w:w w:val="100"/>
                            <w:sz w:val="13"/>
                          </w:rPr>
                          <w:t>-</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3"/>
                          <w:jc w:val="right"/>
                          <w:rPr>
                            <w:rFonts w:ascii="Times New Roman" w:hAnsi="Times New Roman" w:cs="Times New Roman" w:eastAsia="Times New Roman" w:hint="default"/>
                            <w:sz w:val="13"/>
                            <w:szCs w:val="13"/>
                          </w:rPr>
                        </w:pPr>
                        <w:r>
                          <w:rPr>
                            <w:rFonts w:ascii="Times New Roman"/>
                            <w:sz w:val="13"/>
                          </w:rPr>
                          <w:t>100%</w:t>
                        </w:r>
                      </w:p>
                    </w:tc>
                  </w:tr>
                  <w:tr>
                    <w:trPr>
                      <w:trHeight w:val="187"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64" w:lineRule="exact"/>
                          <w:ind w:left="35" w:right="0"/>
                          <w:jc w:val="left"/>
                          <w:rPr>
                            <w:rFonts w:ascii="宋体" w:hAnsi="宋体" w:cs="宋体" w:eastAsia="宋体" w:hint="default"/>
                            <w:sz w:val="13"/>
                            <w:szCs w:val="13"/>
                          </w:rPr>
                        </w:pPr>
                        <w:r>
                          <w:rPr>
                            <w:rFonts w:ascii="宋体" w:hAnsi="宋体" w:cs="宋体" w:eastAsia="宋体" w:hint="default"/>
                            <w:sz w:val="13"/>
                            <w:szCs w:val="13"/>
                          </w:rPr>
                          <w:t>滨田胶印机</w:t>
                        </w:r>
                      </w:p>
                    </w:tc>
                    <w:tc>
                      <w:tcPr>
                        <w:tcW w:w="1002" w:type="dxa"/>
                        <w:tcBorders>
                          <w:top w:val="nil" w:sz="6" w:space="0" w:color="auto"/>
                          <w:left w:val="nil" w:sz="6" w:space="0" w:color="auto"/>
                          <w:bottom w:val="nil" w:sz="6" w:space="0" w:color="auto"/>
                          <w:right w:val="nil" w:sz="6" w:space="0" w:color="auto"/>
                        </w:tcBorders>
                      </w:tcPr>
                      <w:p>
                        <w:pPr>
                          <w:pStyle w:val="TableParagraph"/>
                          <w:spacing w:line="163" w:lineRule="exact"/>
                          <w:ind w:right="46"/>
                          <w:jc w:val="right"/>
                          <w:rPr>
                            <w:rFonts w:ascii="宋体" w:hAnsi="宋体" w:cs="宋体" w:eastAsia="宋体" w:hint="default"/>
                            <w:sz w:val="13"/>
                            <w:szCs w:val="13"/>
                          </w:rPr>
                        </w:pPr>
                        <w:r>
                          <w:rPr>
                            <w:rFonts w:ascii="Times New Roman" w:hAnsi="Times New Roman" w:cs="Times New Roman" w:eastAsia="Times New Roman" w:hint="default"/>
                            <w:sz w:val="13"/>
                            <w:szCs w:val="13"/>
                          </w:rPr>
                          <w:t>17.8</w:t>
                        </w:r>
                        <w:r>
                          <w:rPr>
                            <w:rFonts w:ascii="宋体" w:hAnsi="宋体" w:cs="宋体" w:eastAsia="宋体" w:hint="default"/>
                            <w:sz w:val="13"/>
                            <w:szCs w:val="13"/>
                          </w:rPr>
                          <w:t>万元</w:t>
                        </w: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83"/>
                          <w:jc w:val="right"/>
                          <w:rPr>
                            <w:rFonts w:ascii="Times New Roman" w:hAnsi="Times New Roman" w:cs="Times New Roman" w:eastAsia="Times New Roman" w:hint="default"/>
                            <w:sz w:val="13"/>
                            <w:szCs w:val="13"/>
                          </w:rPr>
                        </w:pPr>
                        <w:r>
                          <w:rPr>
                            <w:rFonts w:ascii="Times New Roman"/>
                            <w:sz w:val="13"/>
                          </w:rPr>
                          <w:t>178,000.00</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6"/>
                          <w:jc w:val="right"/>
                          <w:rPr>
                            <w:rFonts w:ascii="Times New Roman" w:hAnsi="Times New Roman" w:cs="Times New Roman" w:eastAsia="Times New Roman" w:hint="default"/>
                            <w:sz w:val="13"/>
                            <w:szCs w:val="13"/>
                          </w:rPr>
                        </w:pPr>
                        <w:r>
                          <w:rPr>
                            <w:rFonts w:ascii="Times New Roman"/>
                            <w:sz w:val="13"/>
                          </w:rPr>
                          <w:t>178,000.00</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3"/>
                          <w:jc w:val="right"/>
                          <w:rPr>
                            <w:rFonts w:ascii="Times New Roman" w:hAnsi="Times New Roman" w:cs="Times New Roman" w:eastAsia="Times New Roman" w:hint="default"/>
                            <w:sz w:val="13"/>
                            <w:szCs w:val="13"/>
                          </w:rPr>
                        </w:pPr>
                        <w:r>
                          <w:rPr>
                            <w:rFonts w:ascii="Times New Roman"/>
                            <w:w w:val="100"/>
                            <w:sz w:val="13"/>
                          </w:rPr>
                          <w:t>-</w:t>
                        </w:r>
                      </w:p>
                    </w:tc>
                    <w:tc>
                      <w:tcPr>
                        <w:tcW w:w="972" w:type="dxa"/>
                        <w:tcBorders>
                          <w:top w:val="nil" w:sz="6" w:space="0" w:color="auto"/>
                          <w:left w:val="nil" w:sz="6" w:space="0" w:color="auto"/>
                          <w:bottom w:val="nil" w:sz="6" w:space="0" w:color="auto"/>
                          <w:right w:val="nil" w:sz="6" w:space="0" w:color="auto"/>
                        </w:tcBorders>
                      </w:tcPr>
                      <w:p>
                        <w:pPr>
                          <w:pStyle w:val="TableParagraph"/>
                          <w:spacing w:line="164" w:lineRule="exact"/>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3"/>
                            <w:szCs w:val="13"/>
                          </w:rPr>
                        </w:pPr>
                        <w:r>
                          <w:rPr>
                            <w:rFonts w:ascii="Times New Roman"/>
                            <w:sz w:val="13"/>
                          </w:rPr>
                          <w:t>100%</w:t>
                        </w:r>
                      </w:p>
                    </w:tc>
                  </w:tr>
                  <w:tr>
                    <w:trPr>
                      <w:trHeight w:val="190"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65" w:lineRule="exact"/>
                          <w:ind w:left="35" w:right="0"/>
                          <w:jc w:val="left"/>
                          <w:rPr>
                            <w:rFonts w:ascii="宋体" w:hAnsi="宋体" w:cs="宋体" w:eastAsia="宋体" w:hint="default"/>
                            <w:sz w:val="13"/>
                            <w:szCs w:val="13"/>
                          </w:rPr>
                        </w:pPr>
                        <w:r>
                          <w:rPr>
                            <w:rFonts w:ascii="宋体" w:hAnsi="宋体" w:cs="宋体" w:eastAsia="宋体" w:hint="default"/>
                            <w:sz w:val="13"/>
                            <w:szCs w:val="13"/>
                          </w:rPr>
                          <w:t>粘页机</w:t>
                        </w:r>
                      </w:p>
                    </w:tc>
                    <w:tc>
                      <w:tcPr>
                        <w:tcW w:w="1002" w:type="dxa"/>
                        <w:tcBorders>
                          <w:top w:val="nil" w:sz="6" w:space="0" w:color="auto"/>
                          <w:left w:val="nil" w:sz="6" w:space="0" w:color="auto"/>
                          <w:bottom w:val="nil" w:sz="6" w:space="0" w:color="auto"/>
                          <w:right w:val="nil" w:sz="6" w:space="0" w:color="auto"/>
                        </w:tcBorders>
                      </w:tcPr>
                      <w:p>
                        <w:pPr>
                          <w:pStyle w:val="TableParagraph"/>
                          <w:spacing w:line="164" w:lineRule="exact"/>
                          <w:ind w:right="46"/>
                          <w:jc w:val="right"/>
                          <w:rPr>
                            <w:rFonts w:ascii="宋体" w:hAnsi="宋体" w:cs="宋体" w:eastAsia="宋体" w:hint="default"/>
                            <w:sz w:val="13"/>
                            <w:szCs w:val="13"/>
                          </w:rPr>
                        </w:pPr>
                        <w:r>
                          <w:rPr>
                            <w:rFonts w:ascii="Times New Roman" w:hAnsi="Times New Roman" w:cs="Times New Roman" w:eastAsia="Times New Roman" w:hint="default"/>
                            <w:sz w:val="13"/>
                            <w:szCs w:val="13"/>
                          </w:rPr>
                          <w:t>6.6</w:t>
                        </w:r>
                        <w:r>
                          <w:rPr>
                            <w:rFonts w:ascii="宋体" w:hAnsi="宋体" w:cs="宋体" w:eastAsia="宋体" w:hint="default"/>
                            <w:sz w:val="13"/>
                            <w:szCs w:val="13"/>
                          </w:rPr>
                          <w:t>万元</w:t>
                        </w: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3"/>
                          <w:jc w:val="right"/>
                          <w:rPr>
                            <w:rFonts w:ascii="Times New Roman" w:hAnsi="Times New Roman" w:cs="Times New Roman" w:eastAsia="Times New Roman" w:hint="default"/>
                            <w:sz w:val="13"/>
                            <w:szCs w:val="13"/>
                          </w:rPr>
                        </w:pPr>
                        <w:r>
                          <w:rPr>
                            <w:rFonts w:ascii="Times New Roman"/>
                            <w:sz w:val="13"/>
                          </w:rPr>
                          <w:t>66,000.00</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6"/>
                          <w:jc w:val="right"/>
                          <w:rPr>
                            <w:rFonts w:ascii="Times New Roman" w:hAnsi="Times New Roman" w:cs="Times New Roman" w:eastAsia="Times New Roman" w:hint="default"/>
                            <w:sz w:val="13"/>
                            <w:szCs w:val="13"/>
                          </w:rPr>
                        </w:pPr>
                        <w:r>
                          <w:rPr>
                            <w:rFonts w:ascii="Times New Roman"/>
                            <w:sz w:val="13"/>
                          </w:rPr>
                          <w:t>66,000.00</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3"/>
                          <w:jc w:val="right"/>
                          <w:rPr>
                            <w:rFonts w:ascii="Times New Roman" w:hAnsi="Times New Roman" w:cs="Times New Roman" w:eastAsia="Times New Roman" w:hint="default"/>
                            <w:sz w:val="13"/>
                            <w:szCs w:val="13"/>
                          </w:rPr>
                        </w:pPr>
                        <w:r>
                          <w:rPr>
                            <w:rFonts w:ascii="Times New Roman"/>
                            <w:w w:val="100"/>
                            <w:sz w:val="13"/>
                          </w:rPr>
                          <w:t>-</w:t>
                        </w:r>
                      </w:p>
                    </w:tc>
                    <w:tc>
                      <w:tcPr>
                        <w:tcW w:w="972" w:type="dxa"/>
                        <w:tcBorders>
                          <w:top w:val="nil" w:sz="6" w:space="0" w:color="auto"/>
                          <w:left w:val="nil" w:sz="6" w:space="0" w:color="auto"/>
                          <w:bottom w:val="nil" w:sz="6" w:space="0" w:color="auto"/>
                          <w:right w:val="nil" w:sz="6" w:space="0" w:color="auto"/>
                        </w:tcBorders>
                      </w:tcPr>
                      <w:p>
                        <w:pPr>
                          <w:pStyle w:val="TableParagraph"/>
                          <w:spacing w:line="165" w:lineRule="exact"/>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Times New Roman" w:hAnsi="Times New Roman" w:cs="Times New Roman" w:eastAsia="Times New Roman" w:hint="default"/>
                            <w:sz w:val="13"/>
                            <w:szCs w:val="13"/>
                          </w:rPr>
                        </w:pPr>
                        <w:r>
                          <w:rPr>
                            <w:rFonts w:ascii="Times New Roman"/>
                            <w:sz w:val="13"/>
                          </w:rPr>
                          <w:t>100%</w:t>
                        </w:r>
                      </w:p>
                    </w:tc>
                  </w:tr>
                  <w:tr>
                    <w:trPr>
                      <w:trHeight w:val="188"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62" w:lineRule="exact"/>
                          <w:ind w:left="35" w:right="0"/>
                          <w:jc w:val="left"/>
                          <w:rPr>
                            <w:rFonts w:ascii="宋体" w:hAnsi="宋体" w:cs="宋体" w:eastAsia="宋体" w:hint="default"/>
                            <w:sz w:val="13"/>
                            <w:szCs w:val="13"/>
                          </w:rPr>
                        </w:pPr>
                        <w:r>
                          <w:rPr>
                            <w:rFonts w:ascii="宋体" w:hAnsi="宋体" w:cs="宋体" w:eastAsia="宋体" w:hint="default"/>
                            <w:sz w:val="13"/>
                            <w:szCs w:val="13"/>
                          </w:rPr>
                          <w:t>工程预付款</w:t>
                        </w:r>
                      </w:p>
                    </w:tc>
                    <w:tc>
                      <w:tcPr>
                        <w:tcW w:w="100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2"/>
                          <w:jc w:val="right"/>
                          <w:rPr>
                            <w:rFonts w:ascii="Times New Roman" w:hAnsi="Times New Roman" w:cs="Times New Roman" w:eastAsia="Times New Roman" w:hint="default"/>
                            <w:sz w:val="13"/>
                            <w:szCs w:val="13"/>
                          </w:rPr>
                        </w:pPr>
                        <w:r>
                          <w:rPr>
                            <w:rFonts w:ascii="Times New Roman"/>
                            <w:sz w:val="13"/>
                          </w:rPr>
                          <w:t>287,850.00</w:t>
                        </w:r>
                      </w:p>
                    </w:tc>
                    <w:tc>
                      <w:tcPr>
                        <w:tcW w:w="1132"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7"/>
                          <w:jc w:val="right"/>
                          <w:rPr>
                            <w:rFonts w:ascii="Times New Roman" w:hAnsi="Times New Roman" w:cs="Times New Roman" w:eastAsia="Times New Roman" w:hint="default"/>
                            <w:sz w:val="13"/>
                            <w:szCs w:val="13"/>
                          </w:rPr>
                        </w:pPr>
                        <w:r>
                          <w:rPr>
                            <w:rFonts w:ascii="Times New Roman"/>
                            <w:sz w:val="13"/>
                          </w:rPr>
                          <w:t>287,850.00</w:t>
                        </w: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9"/>
                          <w:jc w:val="right"/>
                          <w:rPr>
                            <w:rFonts w:ascii="Times New Roman" w:hAnsi="Times New Roman" w:cs="Times New Roman" w:eastAsia="Times New Roman" w:hint="default"/>
                            <w:sz w:val="13"/>
                            <w:szCs w:val="13"/>
                          </w:rPr>
                        </w:pPr>
                        <w:r>
                          <w:rPr>
                            <w:rFonts w:ascii="Times New Roman"/>
                            <w:w w:val="100"/>
                            <w:sz w:val="13"/>
                          </w:rPr>
                          <w:t>-</w:t>
                        </w:r>
                      </w:p>
                    </w:tc>
                    <w:tc>
                      <w:tcPr>
                        <w:tcW w:w="972" w:type="dxa"/>
                        <w:tcBorders>
                          <w:top w:val="nil" w:sz="6" w:space="0" w:color="auto"/>
                          <w:left w:val="nil" w:sz="6" w:space="0" w:color="auto"/>
                          <w:bottom w:val="nil" w:sz="6" w:space="0" w:color="auto"/>
                          <w:right w:val="nil" w:sz="6" w:space="0" w:color="auto"/>
                        </w:tcBorders>
                      </w:tcPr>
                      <w:p>
                        <w:pPr>
                          <w:pStyle w:val="TableParagraph"/>
                          <w:spacing w:line="162" w:lineRule="exact"/>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
                    </w:tc>
                  </w:tr>
                  <w:tr>
                    <w:trPr>
                      <w:trHeight w:val="187"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3"/>
                            <w:szCs w:val="13"/>
                          </w:rPr>
                        </w:pPr>
                        <w:r>
                          <w:rPr>
                            <w:rFonts w:ascii="宋体" w:hAnsi="宋体" w:cs="宋体" w:eastAsia="宋体" w:hint="default"/>
                            <w:sz w:val="13"/>
                            <w:szCs w:val="13"/>
                          </w:rPr>
                          <w:t>厂房设计费</w:t>
                        </w:r>
                      </w:p>
                    </w:tc>
                    <w:tc>
                      <w:tcPr>
                        <w:tcW w:w="100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3"/>
                          <w:jc w:val="right"/>
                          <w:rPr>
                            <w:rFonts w:ascii="Times New Roman" w:hAnsi="Times New Roman" w:cs="Times New Roman" w:eastAsia="Times New Roman" w:hint="default"/>
                            <w:sz w:val="13"/>
                            <w:szCs w:val="13"/>
                          </w:rPr>
                        </w:pPr>
                        <w:r>
                          <w:rPr>
                            <w:rFonts w:ascii="Times New Roman"/>
                            <w:sz w:val="13"/>
                          </w:rPr>
                          <w:t>1,060,865.00</w:t>
                        </w:r>
                      </w:p>
                    </w:tc>
                    <w:tc>
                      <w:tcPr>
                        <w:tcW w:w="1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Times New Roman" w:hAnsi="Times New Roman" w:cs="Times New Roman" w:eastAsia="Times New Roman" w:hint="default"/>
                            <w:sz w:val="13"/>
                            <w:szCs w:val="13"/>
                          </w:rPr>
                        </w:pPr>
                        <w:r>
                          <w:rPr>
                            <w:rFonts w:ascii="Times New Roman"/>
                            <w:sz w:val="13"/>
                          </w:rPr>
                          <w:t>1,060,865.00</w:t>
                        </w:r>
                      </w:p>
                    </w:tc>
                    <w:tc>
                      <w:tcPr>
                        <w:tcW w:w="972" w:type="dxa"/>
                        <w:tcBorders>
                          <w:top w:val="nil" w:sz="6" w:space="0" w:color="auto"/>
                          <w:left w:val="nil" w:sz="6" w:space="0" w:color="auto"/>
                          <w:bottom w:val="nil" w:sz="6" w:space="0" w:color="auto"/>
                          <w:right w:val="nil" w:sz="6" w:space="0" w:color="auto"/>
                        </w:tcBorders>
                      </w:tcPr>
                      <w:p>
                        <w:pPr>
                          <w:pStyle w:val="TableParagraph"/>
                          <w:spacing w:line="161" w:lineRule="exact"/>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
                    </w:tc>
                  </w:tr>
                  <w:tr>
                    <w:trPr>
                      <w:trHeight w:val="187"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3"/>
                            <w:szCs w:val="13"/>
                          </w:rPr>
                        </w:pPr>
                        <w:r>
                          <w:rPr>
                            <w:rFonts w:ascii="宋体" w:hAnsi="宋体" w:cs="宋体" w:eastAsia="宋体" w:hint="default"/>
                            <w:sz w:val="13"/>
                            <w:szCs w:val="13"/>
                          </w:rPr>
                          <w:t>人防工程费</w:t>
                        </w:r>
                      </w:p>
                    </w:tc>
                    <w:tc>
                      <w:tcPr>
                        <w:tcW w:w="100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4"/>
                          <w:jc w:val="right"/>
                          <w:rPr>
                            <w:rFonts w:ascii="Times New Roman" w:hAnsi="Times New Roman" w:cs="Times New Roman" w:eastAsia="Times New Roman" w:hint="default"/>
                            <w:sz w:val="13"/>
                            <w:szCs w:val="13"/>
                          </w:rPr>
                        </w:pPr>
                        <w:r>
                          <w:rPr>
                            <w:rFonts w:ascii="Times New Roman"/>
                            <w:sz w:val="13"/>
                          </w:rPr>
                          <w:t>306,680.00</w:t>
                        </w:r>
                      </w:p>
                    </w:tc>
                    <w:tc>
                      <w:tcPr>
                        <w:tcW w:w="1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9"/>
                          <w:jc w:val="right"/>
                          <w:rPr>
                            <w:rFonts w:ascii="Times New Roman" w:hAnsi="Times New Roman" w:cs="Times New Roman" w:eastAsia="Times New Roman" w:hint="default"/>
                            <w:sz w:val="13"/>
                            <w:szCs w:val="13"/>
                          </w:rPr>
                        </w:pPr>
                        <w:r>
                          <w:rPr>
                            <w:rFonts w:ascii="Times New Roman"/>
                            <w:sz w:val="13"/>
                          </w:rPr>
                          <w:t>306,680.00</w:t>
                        </w:r>
                      </w:p>
                    </w:tc>
                    <w:tc>
                      <w:tcPr>
                        <w:tcW w:w="972" w:type="dxa"/>
                        <w:tcBorders>
                          <w:top w:val="nil" w:sz="6" w:space="0" w:color="auto"/>
                          <w:left w:val="nil" w:sz="6" w:space="0" w:color="auto"/>
                          <w:bottom w:val="nil" w:sz="6" w:space="0" w:color="auto"/>
                          <w:right w:val="nil" w:sz="6" w:space="0" w:color="auto"/>
                        </w:tcBorders>
                      </w:tcPr>
                      <w:p>
                        <w:pPr>
                          <w:pStyle w:val="TableParagraph"/>
                          <w:spacing w:line="161" w:lineRule="exact"/>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
                    </w:tc>
                  </w:tr>
                  <w:tr>
                    <w:trPr>
                      <w:trHeight w:val="187"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60" w:lineRule="exact"/>
                          <w:ind w:left="35" w:right="0"/>
                          <w:jc w:val="left"/>
                          <w:rPr>
                            <w:rFonts w:ascii="宋体" w:hAnsi="宋体" w:cs="宋体" w:eastAsia="宋体" w:hint="default"/>
                            <w:sz w:val="13"/>
                            <w:szCs w:val="13"/>
                          </w:rPr>
                        </w:pPr>
                        <w:r>
                          <w:rPr>
                            <w:rFonts w:ascii="宋体" w:hAnsi="宋体" w:cs="宋体" w:eastAsia="宋体" w:hint="default"/>
                            <w:sz w:val="13"/>
                            <w:szCs w:val="13"/>
                          </w:rPr>
                          <w:t>三菱电梯</w:t>
                        </w:r>
                      </w:p>
                    </w:tc>
                    <w:tc>
                      <w:tcPr>
                        <w:tcW w:w="100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4"/>
                          <w:jc w:val="right"/>
                          <w:rPr>
                            <w:rFonts w:ascii="Times New Roman" w:hAnsi="Times New Roman" w:cs="Times New Roman" w:eastAsia="Times New Roman" w:hint="default"/>
                            <w:sz w:val="13"/>
                            <w:szCs w:val="13"/>
                          </w:rPr>
                        </w:pPr>
                        <w:r>
                          <w:rPr>
                            <w:rFonts w:ascii="Times New Roman"/>
                            <w:sz w:val="13"/>
                          </w:rPr>
                          <w:t>251,598.00</w:t>
                        </w:r>
                      </w:p>
                    </w:tc>
                    <w:tc>
                      <w:tcPr>
                        <w:tcW w:w="1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9"/>
                          <w:jc w:val="right"/>
                          <w:rPr>
                            <w:rFonts w:ascii="Times New Roman" w:hAnsi="Times New Roman" w:cs="Times New Roman" w:eastAsia="Times New Roman" w:hint="default"/>
                            <w:sz w:val="13"/>
                            <w:szCs w:val="13"/>
                          </w:rPr>
                        </w:pPr>
                        <w:r>
                          <w:rPr>
                            <w:rFonts w:ascii="Times New Roman"/>
                            <w:sz w:val="13"/>
                          </w:rPr>
                          <w:t>251,598.00</w:t>
                        </w:r>
                      </w:p>
                    </w:tc>
                    <w:tc>
                      <w:tcPr>
                        <w:tcW w:w="972" w:type="dxa"/>
                        <w:tcBorders>
                          <w:top w:val="nil" w:sz="6" w:space="0" w:color="auto"/>
                          <w:left w:val="nil" w:sz="6" w:space="0" w:color="auto"/>
                          <w:bottom w:val="nil" w:sz="6" w:space="0" w:color="auto"/>
                          <w:right w:val="nil" w:sz="6" w:space="0" w:color="auto"/>
                        </w:tcBorders>
                      </w:tcPr>
                      <w:p>
                        <w:pPr>
                          <w:pStyle w:val="TableParagraph"/>
                          <w:spacing w:line="160" w:lineRule="exact"/>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
                    </w:tc>
                  </w:tr>
                  <w:tr>
                    <w:trPr>
                      <w:trHeight w:val="187"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3"/>
                            <w:szCs w:val="13"/>
                          </w:rPr>
                        </w:pPr>
                        <w:r>
                          <w:rPr>
                            <w:rFonts w:ascii="宋体" w:hAnsi="宋体" w:cs="宋体" w:eastAsia="宋体" w:hint="default"/>
                            <w:sz w:val="13"/>
                            <w:szCs w:val="13"/>
                          </w:rPr>
                          <w:t>设计费</w:t>
                        </w:r>
                      </w:p>
                    </w:tc>
                    <w:tc>
                      <w:tcPr>
                        <w:tcW w:w="100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4"/>
                          <w:jc w:val="right"/>
                          <w:rPr>
                            <w:rFonts w:ascii="Times New Roman" w:hAnsi="Times New Roman" w:cs="Times New Roman" w:eastAsia="Times New Roman" w:hint="default"/>
                            <w:sz w:val="13"/>
                            <w:szCs w:val="13"/>
                          </w:rPr>
                        </w:pPr>
                        <w:r>
                          <w:rPr>
                            <w:rFonts w:ascii="Times New Roman"/>
                            <w:sz w:val="13"/>
                          </w:rPr>
                          <w:t>329,590.00</w:t>
                        </w:r>
                      </w:p>
                    </w:tc>
                    <w:tc>
                      <w:tcPr>
                        <w:tcW w:w="1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9"/>
                          <w:jc w:val="right"/>
                          <w:rPr>
                            <w:rFonts w:ascii="Times New Roman" w:hAnsi="Times New Roman" w:cs="Times New Roman" w:eastAsia="Times New Roman" w:hint="default"/>
                            <w:sz w:val="13"/>
                            <w:szCs w:val="13"/>
                          </w:rPr>
                        </w:pPr>
                        <w:r>
                          <w:rPr>
                            <w:rFonts w:ascii="Times New Roman"/>
                            <w:sz w:val="13"/>
                          </w:rPr>
                          <w:t>329,590.00</w:t>
                        </w:r>
                      </w:p>
                    </w:tc>
                    <w:tc>
                      <w:tcPr>
                        <w:tcW w:w="972" w:type="dxa"/>
                        <w:tcBorders>
                          <w:top w:val="nil" w:sz="6" w:space="0" w:color="auto"/>
                          <w:left w:val="nil" w:sz="6" w:space="0" w:color="auto"/>
                          <w:bottom w:val="nil" w:sz="6" w:space="0" w:color="auto"/>
                          <w:right w:val="nil" w:sz="6" w:space="0" w:color="auto"/>
                        </w:tcBorders>
                      </w:tcPr>
                      <w:p>
                        <w:pPr>
                          <w:pStyle w:val="TableParagraph"/>
                          <w:spacing w:line="161" w:lineRule="exact"/>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
                    </w:tc>
                  </w:tr>
                  <w:tr>
                    <w:trPr>
                      <w:trHeight w:val="187"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3"/>
                            <w:szCs w:val="13"/>
                          </w:rPr>
                        </w:pPr>
                        <w:r>
                          <w:rPr>
                            <w:rFonts w:ascii="宋体" w:hAnsi="宋体" w:cs="宋体" w:eastAsia="宋体" w:hint="default"/>
                            <w:sz w:val="13"/>
                            <w:szCs w:val="13"/>
                          </w:rPr>
                          <w:t>测绘费用</w:t>
                        </w:r>
                      </w:p>
                    </w:tc>
                    <w:tc>
                      <w:tcPr>
                        <w:tcW w:w="100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3"/>
                          <w:jc w:val="right"/>
                          <w:rPr>
                            <w:rFonts w:ascii="Times New Roman" w:hAnsi="Times New Roman" w:cs="Times New Roman" w:eastAsia="Times New Roman" w:hint="default"/>
                            <w:sz w:val="13"/>
                            <w:szCs w:val="13"/>
                          </w:rPr>
                        </w:pPr>
                        <w:r>
                          <w:rPr>
                            <w:rFonts w:ascii="Times New Roman"/>
                            <w:sz w:val="13"/>
                          </w:rPr>
                          <w:t>11,664.00</w:t>
                        </w:r>
                      </w:p>
                    </w:tc>
                    <w:tc>
                      <w:tcPr>
                        <w:tcW w:w="1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Times New Roman" w:hAnsi="Times New Roman" w:cs="Times New Roman" w:eastAsia="Times New Roman" w:hint="default"/>
                            <w:sz w:val="13"/>
                            <w:szCs w:val="13"/>
                          </w:rPr>
                        </w:pPr>
                        <w:r>
                          <w:rPr>
                            <w:rFonts w:ascii="Times New Roman"/>
                            <w:sz w:val="13"/>
                          </w:rPr>
                          <w:t>11,664.00</w:t>
                        </w:r>
                      </w:p>
                    </w:tc>
                    <w:tc>
                      <w:tcPr>
                        <w:tcW w:w="972" w:type="dxa"/>
                        <w:tcBorders>
                          <w:top w:val="nil" w:sz="6" w:space="0" w:color="auto"/>
                          <w:left w:val="nil" w:sz="6" w:space="0" w:color="auto"/>
                          <w:bottom w:val="nil" w:sz="6" w:space="0" w:color="auto"/>
                          <w:right w:val="nil" w:sz="6" w:space="0" w:color="auto"/>
                        </w:tcBorders>
                      </w:tcPr>
                      <w:p>
                        <w:pPr>
                          <w:pStyle w:val="TableParagraph"/>
                          <w:spacing w:line="161" w:lineRule="exact"/>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
                    </w:tc>
                  </w:tr>
                  <w:tr>
                    <w:trPr>
                      <w:trHeight w:val="187"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3"/>
                            <w:szCs w:val="13"/>
                          </w:rPr>
                        </w:pPr>
                        <w:r>
                          <w:rPr>
                            <w:rFonts w:ascii="宋体" w:hAnsi="宋体" w:cs="宋体" w:eastAsia="宋体" w:hint="default"/>
                            <w:sz w:val="13"/>
                            <w:szCs w:val="13"/>
                          </w:rPr>
                          <w:t>勘察费</w:t>
                        </w:r>
                      </w:p>
                    </w:tc>
                    <w:tc>
                      <w:tcPr>
                        <w:tcW w:w="100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3"/>
                          <w:jc w:val="right"/>
                          <w:rPr>
                            <w:rFonts w:ascii="Times New Roman" w:hAnsi="Times New Roman" w:cs="Times New Roman" w:eastAsia="Times New Roman" w:hint="default"/>
                            <w:sz w:val="13"/>
                            <w:szCs w:val="13"/>
                          </w:rPr>
                        </w:pPr>
                        <w:r>
                          <w:rPr>
                            <w:rFonts w:ascii="Times New Roman"/>
                            <w:sz w:val="13"/>
                          </w:rPr>
                          <w:t>33,817.25</w:t>
                        </w:r>
                      </w:p>
                    </w:tc>
                    <w:tc>
                      <w:tcPr>
                        <w:tcW w:w="1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Times New Roman" w:hAnsi="Times New Roman" w:cs="Times New Roman" w:eastAsia="Times New Roman" w:hint="default"/>
                            <w:sz w:val="13"/>
                            <w:szCs w:val="13"/>
                          </w:rPr>
                        </w:pPr>
                        <w:r>
                          <w:rPr>
                            <w:rFonts w:ascii="Times New Roman"/>
                            <w:sz w:val="13"/>
                          </w:rPr>
                          <w:t>33,817.25</w:t>
                        </w:r>
                      </w:p>
                    </w:tc>
                    <w:tc>
                      <w:tcPr>
                        <w:tcW w:w="972" w:type="dxa"/>
                        <w:tcBorders>
                          <w:top w:val="nil" w:sz="6" w:space="0" w:color="auto"/>
                          <w:left w:val="nil" w:sz="6" w:space="0" w:color="auto"/>
                          <w:bottom w:val="nil" w:sz="6" w:space="0" w:color="auto"/>
                          <w:right w:val="nil" w:sz="6" w:space="0" w:color="auto"/>
                        </w:tcBorders>
                      </w:tcPr>
                      <w:p>
                        <w:pPr>
                          <w:pStyle w:val="TableParagraph"/>
                          <w:spacing w:line="161" w:lineRule="exact"/>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
                    </w:tc>
                  </w:tr>
                  <w:tr>
                    <w:trPr>
                      <w:trHeight w:val="187"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3"/>
                            <w:szCs w:val="13"/>
                          </w:rPr>
                        </w:pPr>
                        <w:r>
                          <w:rPr>
                            <w:rFonts w:ascii="宋体" w:hAnsi="宋体" w:cs="宋体" w:eastAsia="宋体" w:hint="default"/>
                            <w:sz w:val="13"/>
                            <w:szCs w:val="13"/>
                          </w:rPr>
                          <w:t>监理费</w:t>
                        </w:r>
                      </w:p>
                    </w:tc>
                    <w:tc>
                      <w:tcPr>
                        <w:tcW w:w="100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3"/>
                          <w:jc w:val="right"/>
                          <w:rPr>
                            <w:rFonts w:ascii="Times New Roman" w:hAnsi="Times New Roman" w:cs="Times New Roman" w:eastAsia="Times New Roman" w:hint="default"/>
                            <w:sz w:val="13"/>
                            <w:szCs w:val="13"/>
                          </w:rPr>
                        </w:pPr>
                        <w:r>
                          <w:rPr>
                            <w:rFonts w:ascii="Times New Roman"/>
                            <w:sz w:val="13"/>
                          </w:rPr>
                          <w:t>38,000.00</w:t>
                        </w:r>
                      </w:p>
                    </w:tc>
                    <w:tc>
                      <w:tcPr>
                        <w:tcW w:w="1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Times New Roman" w:hAnsi="Times New Roman" w:cs="Times New Roman" w:eastAsia="Times New Roman" w:hint="default"/>
                            <w:sz w:val="13"/>
                            <w:szCs w:val="13"/>
                          </w:rPr>
                        </w:pPr>
                        <w:r>
                          <w:rPr>
                            <w:rFonts w:ascii="Times New Roman"/>
                            <w:sz w:val="13"/>
                          </w:rPr>
                          <w:t>38,000.00</w:t>
                        </w:r>
                      </w:p>
                    </w:tc>
                    <w:tc>
                      <w:tcPr>
                        <w:tcW w:w="972" w:type="dxa"/>
                        <w:tcBorders>
                          <w:top w:val="nil" w:sz="6" w:space="0" w:color="auto"/>
                          <w:left w:val="nil" w:sz="6" w:space="0" w:color="auto"/>
                          <w:bottom w:val="nil" w:sz="6" w:space="0" w:color="auto"/>
                          <w:right w:val="nil" w:sz="6" w:space="0" w:color="auto"/>
                        </w:tcBorders>
                      </w:tcPr>
                      <w:p>
                        <w:pPr>
                          <w:pStyle w:val="TableParagraph"/>
                          <w:spacing w:line="161" w:lineRule="exact"/>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
                    </w:tc>
                  </w:tr>
                  <w:tr>
                    <w:trPr>
                      <w:trHeight w:val="187"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3"/>
                            <w:szCs w:val="13"/>
                          </w:rPr>
                        </w:pPr>
                        <w:r>
                          <w:rPr>
                            <w:rFonts w:ascii="宋体" w:hAnsi="宋体" w:cs="宋体" w:eastAsia="宋体" w:hint="default"/>
                            <w:sz w:val="13"/>
                            <w:szCs w:val="13"/>
                          </w:rPr>
                          <w:t>开设临时路口</w:t>
                        </w:r>
                      </w:p>
                    </w:tc>
                    <w:tc>
                      <w:tcPr>
                        <w:tcW w:w="100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3"/>
                          <w:jc w:val="right"/>
                          <w:rPr>
                            <w:rFonts w:ascii="Times New Roman" w:hAnsi="Times New Roman" w:cs="Times New Roman" w:eastAsia="Times New Roman" w:hint="default"/>
                            <w:sz w:val="13"/>
                            <w:szCs w:val="13"/>
                          </w:rPr>
                        </w:pPr>
                        <w:r>
                          <w:rPr>
                            <w:rFonts w:ascii="Times New Roman"/>
                            <w:sz w:val="13"/>
                          </w:rPr>
                          <w:t>18,619.11</w:t>
                        </w:r>
                      </w:p>
                    </w:tc>
                    <w:tc>
                      <w:tcPr>
                        <w:tcW w:w="1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Times New Roman" w:hAnsi="Times New Roman" w:cs="Times New Roman" w:eastAsia="Times New Roman" w:hint="default"/>
                            <w:sz w:val="13"/>
                            <w:szCs w:val="13"/>
                          </w:rPr>
                        </w:pPr>
                        <w:r>
                          <w:rPr>
                            <w:rFonts w:ascii="Times New Roman"/>
                            <w:sz w:val="13"/>
                          </w:rPr>
                          <w:t>18,619.11</w:t>
                        </w:r>
                      </w:p>
                    </w:tc>
                    <w:tc>
                      <w:tcPr>
                        <w:tcW w:w="972" w:type="dxa"/>
                        <w:tcBorders>
                          <w:top w:val="nil" w:sz="6" w:space="0" w:color="auto"/>
                          <w:left w:val="nil" w:sz="6" w:space="0" w:color="auto"/>
                          <w:bottom w:val="nil" w:sz="6" w:space="0" w:color="auto"/>
                          <w:right w:val="nil" w:sz="6" w:space="0" w:color="auto"/>
                        </w:tcBorders>
                      </w:tcPr>
                      <w:p>
                        <w:pPr>
                          <w:pStyle w:val="TableParagraph"/>
                          <w:spacing w:line="161" w:lineRule="exact"/>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
                    </w:tc>
                  </w:tr>
                  <w:tr>
                    <w:trPr>
                      <w:trHeight w:val="187"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60" w:lineRule="exact"/>
                          <w:ind w:left="35" w:right="0"/>
                          <w:jc w:val="left"/>
                          <w:rPr>
                            <w:rFonts w:ascii="宋体" w:hAnsi="宋体" w:cs="宋体" w:eastAsia="宋体" w:hint="default"/>
                            <w:sz w:val="13"/>
                            <w:szCs w:val="13"/>
                          </w:rPr>
                        </w:pPr>
                        <w:r>
                          <w:rPr>
                            <w:rFonts w:ascii="宋体" w:hAnsi="宋体" w:cs="宋体" w:eastAsia="宋体" w:hint="default"/>
                            <w:sz w:val="13"/>
                            <w:szCs w:val="13"/>
                          </w:rPr>
                          <w:t>临时用水接驳</w:t>
                        </w:r>
                      </w:p>
                    </w:tc>
                    <w:tc>
                      <w:tcPr>
                        <w:tcW w:w="100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3"/>
                          <w:jc w:val="right"/>
                          <w:rPr>
                            <w:rFonts w:ascii="Times New Roman" w:hAnsi="Times New Roman" w:cs="Times New Roman" w:eastAsia="Times New Roman" w:hint="default"/>
                            <w:sz w:val="13"/>
                            <w:szCs w:val="13"/>
                          </w:rPr>
                        </w:pPr>
                        <w:r>
                          <w:rPr>
                            <w:rFonts w:ascii="Times New Roman"/>
                            <w:sz w:val="13"/>
                          </w:rPr>
                          <w:t>13,940.73</w:t>
                        </w:r>
                      </w:p>
                    </w:tc>
                    <w:tc>
                      <w:tcPr>
                        <w:tcW w:w="1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right"/>
                          <w:rPr>
                            <w:rFonts w:ascii="Times New Roman" w:hAnsi="Times New Roman" w:cs="Times New Roman" w:eastAsia="Times New Roman" w:hint="default"/>
                            <w:sz w:val="13"/>
                            <w:szCs w:val="13"/>
                          </w:rPr>
                        </w:pPr>
                        <w:r>
                          <w:rPr>
                            <w:rFonts w:ascii="Times New Roman"/>
                            <w:sz w:val="13"/>
                          </w:rPr>
                          <w:t>13,940.73</w:t>
                        </w:r>
                      </w:p>
                    </w:tc>
                    <w:tc>
                      <w:tcPr>
                        <w:tcW w:w="972" w:type="dxa"/>
                        <w:tcBorders>
                          <w:top w:val="nil" w:sz="6" w:space="0" w:color="auto"/>
                          <w:left w:val="nil" w:sz="6" w:space="0" w:color="auto"/>
                          <w:bottom w:val="nil" w:sz="6" w:space="0" w:color="auto"/>
                          <w:right w:val="nil" w:sz="6" w:space="0" w:color="auto"/>
                        </w:tcBorders>
                      </w:tcPr>
                      <w:p>
                        <w:pPr>
                          <w:pStyle w:val="TableParagraph"/>
                          <w:spacing w:line="160" w:lineRule="exact"/>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
                    </w:tc>
                  </w:tr>
                  <w:tr>
                    <w:trPr>
                      <w:trHeight w:val="187"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3"/>
                            <w:szCs w:val="13"/>
                          </w:rPr>
                        </w:pPr>
                        <w:r>
                          <w:rPr>
                            <w:rFonts w:ascii="宋体" w:hAnsi="宋体" w:cs="宋体" w:eastAsia="宋体" w:hint="default"/>
                            <w:sz w:val="13"/>
                            <w:szCs w:val="13"/>
                          </w:rPr>
                          <w:t>临时路口绿化迁移</w:t>
                        </w:r>
                      </w:p>
                    </w:tc>
                    <w:tc>
                      <w:tcPr>
                        <w:tcW w:w="100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3"/>
                          <w:jc w:val="right"/>
                          <w:rPr>
                            <w:rFonts w:ascii="Times New Roman" w:hAnsi="Times New Roman" w:cs="Times New Roman" w:eastAsia="Times New Roman" w:hint="default"/>
                            <w:sz w:val="13"/>
                            <w:szCs w:val="13"/>
                          </w:rPr>
                        </w:pPr>
                        <w:r>
                          <w:rPr>
                            <w:rFonts w:ascii="Times New Roman"/>
                            <w:sz w:val="13"/>
                          </w:rPr>
                          <w:t>8,492.50</w:t>
                        </w:r>
                      </w:p>
                    </w:tc>
                    <w:tc>
                      <w:tcPr>
                        <w:tcW w:w="1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Times New Roman" w:hAnsi="Times New Roman" w:cs="Times New Roman" w:eastAsia="Times New Roman" w:hint="default"/>
                            <w:sz w:val="13"/>
                            <w:szCs w:val="13"/>
                          </w:rPr>
                        </w:pPr>
                        <w:r>
                          <w:rPr>
                            <w:rFonts w:ascii="Times New Roman"/>
                            <w:sz w:val="13"/>
                          </w:rPr>
                          <w:t>8,492.50</w:t>
                        </w:r>
                      </w:p>
                    </w:tc>
                    <w:tc>
                      <w:tcPr>
                        <w:tcW w:w="972" w:type="dxa"/>
                        <w:tcBorders>
                          <w:top w:val="nil" w:sz="6" w:space="0" w:color="auto"/>
                          <w:left w:val="nil" w:sz="6" w:space="0" w:color="auto"/>
                          <w:bottom w:val="nil" w:sz="6" w:space="0" w:color="auto"/>
                          <w:right w:val="nil" w:sz="6" w:space="0" w:color="auto"/>
                        </w:tcBorders>
                      </w:tcPr>
                      <w:p>
                        <w:pPr>
                          <w:pStyle w:val="TableParagraph"/>
                          <w:spacing w:line="161" w:lineRule="exact"/>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
                    </w:tc>
                  </w:tr>
                  <w:tr>
                    <w:trPr>
                      <w:trHeight w:val="187"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3"/>
                            <w:szCs w:val="13"/>
                          </w:rPr>
                        </w:pPr>
                        <w:r>
                          <w:rPr>
                            <w:rFonts w:ascii="宋体" w:hAnsi="宋体" w:cs="宋体" w:eastAsia="宋体" w:hint="default"/>
                            <w:sz w:val="13"/>
                            <w:szCs w:val="13"/>
                          </w:rPr>
                          <w:t>桩基工程</w:t>
                        </w:r>
                      </w:p>
                    </w:tc>
                    <w:tc>
                      <w:tcPr>
                        <w:tcW w:w="100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4"/>
                          <w:jc w:val="right"/>
                          <w:rPr>
                            <w:rFonts w:ascii="Times New Roman" w:hAnsi="Times New Roman" w:cs="Times New Roman" w:eastAsia="Times New Roman" w:hint="default"/>
                            <w:sz w:val="13"/>
                            <w:szCs w:val="13"/>
                          </w:rPr>
                        </w:pPr>
                        <w:r>
                          <w:rPr>
                            <w:rFonts w:ascii="Times New Roman"/>
                            <w:sz w:val="13"/>
                          </w:rPr>
                          <w:t>544,480.00</w:t>
                        </w:r>
                      </w:p>
                    </w:tc>
                    <w:tc>
                      <w:tcPr>
                        <w:tcW w:w="1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9"/>
                          <w:jc w:val="right"/>
                          <w:rPr>
                            <w:rFonts w:ascii="Times New Roman" w:hAnsi="Times New Roman" w:cs="Times New Roman" w:eastAsia="Times New Roman" w:hint="default"/>
                            <w:sz w:val="13"/>
                            <w:szCs w:val="13"/>
                          </w:rPr>
                        </w:pPr>
                        <w:r>
                          <w:rPr>
                            <w:rFonts w:ascii="Times New Roman"/>
                            <w:sz w:val="13"/>
                          </w:rPr>
                          <w:t>544,480.00</w:t>
                        </w:r>
                      </w:p>
                    </w:tc>
                    <w:tc>
                      <w:tcPr>
                        <w:tcW w:w="972" w:type="dxa"/>
                        <w:tcBorders>
                          <w:top w:val="nil" w:sz="6" w:space="0" w:color="auto"/>
                          <w:left w:val="nil" w:sz="6" w:space="0" w:color="auto"/>
                          <w:bottom w:val="nil" w:sz="6" w:space="0" w:color="auto"/>
                          <w:right w:val="nil" w:sz="6" w:space="0" w:color="auto"/>
                        </w:tcBorders>
                      </w:tcPr>
                      <w:p>
                        <w:pPr>
                          <w:pStyle w:val="TableParagraph"/>
                          <w:spacing w:line="161" w:lineRule="exact"/>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
                    </w:tc>
                  </w:tr>
                  <w:tr>
                    <w:trPr>
                      <w:trHeight w:val="228"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3"/>
                            <w:szCs w:val="13"/>
                          </w:rPr>
                        </w:pPr>
                        <w:r>
                          <w:rPr>
                            <w:rFonts w:ascii="宋体" w:hAnsi="宋体" w:cs="宋体" w:eastAsia="宋体" w:hint="default"/>
                            <w:sz w:val="13"/>
                            <w:szCs w:val="13"/>
                          </w:rPr>
                          <w:t>桩基工程劳保金</w:t>
                        </w:r>
                      </w:p>
                    </w:tc>
                    <w:tc>
                      <w:tcPr>
                        <w:tcW w:w="100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3"/>
                          <w:jc w:val="right"/>
                          <w:rPr>
                            <w:rFonts w:ascii="Times New Roman" w:hAnsi="Times New Roman" w:cs="Times New Roman" w:eastAsia="Times New Roman" w:hint="default"/>
                            <w:sz w:val="13"/>
                            <w:szCs w:val="13"/>
                          </w:rPr>
                        </w:pPr>
                        <w:r>
                          <w:rPr>
                            <w:rFonts w:ascii="Times New Roman"/>
                            <w:sz w:val="13"/>
                          </w:rPr>
                          <w:t>32,880.64</w:t>
                        </w:r>
                      </w:p>
                    </w:tc>
                    <w:tc>
                      <w:tcPr>
                        <w:tcW w:w="1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
                          <w:jc w:val="right"/>
                          <w:rPr>
                            <w:rFonts w:ascii="Times New Roman" w:hAnsi="Times New Roman" w:cs="Times New Roman" w:eastAsia="Times New Roman" w:hint="default"/>
                            <w:sz w:val="13"/>
                            <w:szCs w:val="13"/>
                          </w:rPr>
                        </w:pPr>
                        <w:r>
                          <w:rPr>
                            <w:rFonts w:ascii="Times New Roman"/>
                            <w:sz w:val="13"/>
                          </w:rPr>
                          <w:t>32,880.64</w:t>
                        </w:r>
                      </w:p>
                    </w:tc>
                    <w:tc>
                      <w:tcPr>
                        <w:tcW w:w="972" w:type="dxa"/>
                        <w:tcBorders>
                          <w:top w:val="nil" w:sz="6" w:space="0" w:color="auto"/>
                          <w:left w:val="nil" w:sz="6" w:space="0" w:color="auto"/>
                          <w:bottom w:val="nil" w:sz="6" w:space="0" w:color="auto"/>
                          <w:right w:val="nil" w:sz="6" w:space="0" w:color="auto"/>
                        </w:tcBorders>
                      </w:tcPr>
                      <w:p>
                        <w:pPr>
                          <w:pStyle w:val="TableParagraph"/>
                          <w:spacing w:line="161" w:lineRule="exact"/>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
                    </w:tc>
                  </w:tr>
                  <w:tr>
                    <w:trPr>
                      <w:trHeight w:val="266"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3"/>
                            <w:szCs w:val="13"/>
                          </w:rPr>
                        </w:pPr>
                        <w:r>
                          <w:rPr>
                            <w:rFonts w:ascii="宋体" w:hAnsi="宋体" w:cs="宋体" w:eastAsia="宋体" w:hint="default"/>
                            <w:sz w:val="13"/>
                            <w:szCs w:val="13"/>
                          </w:rPr>
                          <w:t>315KVA临时用电工程</w:t>
                        </w:r>
                      </w:p>
                    </w:tc>
                    <w:tc>
                      <w:tcPr>
                        <w:tcW w:w="100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4"/>
                          <w:jc w:val="right"/>
                          <w:rPr>
                            <w:rFonts w:ascii="Times New Roman" w:hAnsi="Times New Roman" w:cs="Times New Roman" w:eastAsia="Times New Roman" w:hint="default"/>
                            <w:sz w:val="13"/>
                            <w:szCs w:val="13"/>
                          </w:rPr>
                        </w:pPr>
                        <w:r>
                          <w:rPr>
                            <w:rFonts w:ascii="Times New Roman"/>
                            <w:sz w:val="13"/>
                          </w:rPr>
                          <w:t>144,000.00</w:t>
                        </w:r>
                      </w:p>
                    </w:tc>
                    <w:tc>
                      <w:tcPr>
                        <w:tcW w:w="1125"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9"/>
                          <w:jc w:val="right"/>
                          <w:rPr>
                            <w:rFonts w:ascii="Times New Roman" w:hAnsi="Times New Roman" w:cs="Times New Roman" w:eastAsia="Times New Roman" w:hint="default"/>
                            <w:sz w:val="13"/>
                            <w:szCs w:val="13"/>
                          </w:rPr>
                        </w:pPr>
                        <w:r>
                          <w:rPr>
                            <w:rFonts w:ascii="Times New Roman"/>
                            <w:sz w:val="13"/>
                          </w:rPr>
                          <w:t>144,000.00</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
                    </w:tc>
                  </w:tr>
                  <w:tr>
                    <w:trPr>
                      <w:trHeight w:val="221"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002" w:type="dxa"/>
                        <w:tcBorders>
                          <w:top w:val="nil" w:sz="6" w:space="0" w:color="auto"/>
                          <w:left w:val="nil" w:sz="6" w:space="0" w:color="auto"/>
                          <w:bottom w:val="nil" w:sz="6" w:space="0" w:color="auto"/>
                          <w:right w:val="nil" w:sz="6" w:space="0" w:color="auto"/>
                        </w:tcBorders>
                      </w:tcPr>
                      <w:p>
                        <w:pPr/>
                      </w:p>
                    </w:tc>
                    <w:tc>
                      <w:tcPr>
                        <w:tcW w:w="1228"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right="183"/>
                          <w:jc w:val="right"/>
                          <w:rPr>
                            <w:rFonts w:ascii="Times New Roman" w:hAnsi="Times New Roman" w:cs="Times New Roman" w:eastAsia="Times New Roman" w:hint="default"/>
                            <w:sz w:val="13"/>
                            <w:szCs w:val="13"/>
                          </w:rPr>
                        </w:pPr>
                        <w:r>
                          <w:rPr>
                            <w:rFonts w:ascii="Times New Roman"/>
                            <w:sz w:val="13"/>
                          </w:rPr>
                          <w:t>857,000.00</w:t>
                        </w:r>
                      </w:p>
                    </w:tc>
                    <w:tc>
                      <w:tcPr>
                        <w:tcW w:w="1132"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right="183"/>
                          <w:jc w:val="right"/>
                          <w:rPr>
                            <w:rFonts w:ascii="Times New Roman" w:hAnsi="Times New Roman" w:cs="Times New Roman" w:eastAsia="Times New Roman" w:hint="default"/>
                            <w:sz w:val="13"/>
                            <w:szCs w:val="13"/>
                          </w:rPr>
                        </w:pPr>
                        <w:r>
                          <w:rPr>
                            <w:rFonts w:ascii="Times New Roman"/>
                            <w:sz w:val="13"/>
                          </w:rPr>
                          <w:t>16,713,646.61</w:t>
                        </w:r>
                      </w:p>
                    </w:tc>
                    <w:tc>
                      <w:tcPr>
                        <w:tcW w:w="1125"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right="176"/>
                          <w:jc w:val="right"/>
                          <w:rPr>
                            <w:rFonts w:ascii="Times New Roman" w:hAnsi="Times New Roman" w:cs="Times New Roman" w:eastAsia="Times New Roman" w:hint="default"/>
                            <w:sz w:val="13"/>
                            <w:szCs w:val="13"/>
                          </w:rPr>
                        </w:pPr>
                        <w:r>
                          <w:rPr>
                            <w:rFonts w:ascii="Times New Roman"/>
                            <w:sz w:val="13"/>
                          </w:rPr>
                          <w:t>16,973,075.00</w:t>
                        </w:r>
                      </w:p>
                    </w:tc>
                    <w:tc>
                      <w:tcPr>
                        <w:tcW w:w="979" w:type="dxa"/>
                        <w:tcBorders>
                          <w:top w:val="nil" w:sz="6" w:space="0" w:color="auto"/>
                          <w:left w:val="nil" w:sz="6" w:space="0" w:color="auto"/>
                          <w:bottom w:val="single" w:sz="7" w:space="0" w:color="000000"/>
                          <w:right w:val="nil" w:sz="6" w:space="0" w:color="auto"/>
                        </w:tcBorders>
                      </w:tcPr>
                      <w:p>
                        <w:pPr>
                          <w:pStyle w:val="TableParagraph"/>
                          <w:spacing w:line="240" w:lineRule="auto" w:before="51"/>
                          <w:ind w:right="37"/>
                          <w:jc w:val="right"/>
                          <w:rPr>
                            <w:rFonts w:ascii="Times New Roman" w:hAnsi="Times New Roman" w:cs="Times New Roman" w:eastAsia="Times New Roman" w:hint="default"/>
                            <w:sz w:val="13"/>
                            <w:szCs w:val="13"/>
                          </w:rPr>
                        </w:pPr>
                        <w:r>
                          <w:rPr>
                            <w:rFonts w:ascii="Times New Roman"/>
                            <w:sz w:val="13"/>
                          </w:rPr>
                          <w:t>597,571.61</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27"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60" w:type="dxa"/>
                        <w:tcBorders>
                          <w:top w:val="nil" w:sz="6" w:space="0" w:color="auto"/>
                          <w:left w:val="nil" w:sz="6" w:space="0" w:color="auto"/>
                          <w:bottom w:val="nil" w:sz="6" w:space="0" w:color="auto"/>
                          <w:right w:val="nil" w:sz="6" w:space="0" w:color="auto"/>
                        </w:tcBorders>
                      </w:tcPr>
                      <w:p>
                        <w:pPr/>
                      </w:p>
                    </w:tc>
                  </w:tr>
                  <w:tr>
                    <w:trPr>
                      <w:trHeight w:val="183"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1"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1002" w:type="dxa"/>
                        <w:tcBorders>
                          <w:top w:val="nil" w:sz="6" w:space="0" w:color="auto"/>
                          <w:left w:val="nil" w:sz="6" w:space="0" w:color="auto"/>
                          <w:bottom w:val="nil" w:sz="6" w:space="0" w:color="auto"/>
                          <w:right w:val="nil" w:sz="6" w:space="0" w:color="auto"/>
                        </w:tcBorders>
                      </w:tcPr>
                      <w:p>
                        <w:pPr/>
                      </w:p>
                    </w:tc>
                    <w:tc>
                      <w:tcPr>
                        <w:tcW w:w="1228" w:type="dxa"/>
                        <w:tcBorders>
                          <w:top w:val="single" w:sz="7" w:space="0" w:color="000000"/>
                          <w:left w:val="nil" w:sz="6" w:space="0" w:color="auto"/>
                          <w:bottom w:val="single" w:sz="19" w:space="0" w:color="000000"/>
                          <w:right w:val="nil" w:sz="6" w:space="0" w:color="auto"/>
                        </w:tcBorders>
                      </w:tcPr>
                      <w:p>
                        <w:pPr>
                          <w:pStyle w:val="TableParagraph"/>
                          <w:spacing w:line="240" w:lineRule="auto" w:before="14"/>
                          <w:ind w:right="183"/>
                          <w:jc w:val="right"/>
                          <w:rPr>
                            <w:rFonts w:ascii="Times New Roman" w:hAnsi="Times New Roman" w:cs="Times New Roman" w:eastAsia="Times New Roman" w:hint="default"/>
                            <w:sz w:val="13"/>
                            <w:szCs w:val="13"/>
                          </w:rPr>
                        </w:pPr>
                        <w:r>
                          <w:rPr>
                            <w:rFonts w:ascii="Times New Roman"/>
                            <w:sz w:val="13"/>
                          </w:rPr>
                          <w:t>24,991,330.61</w:t>
                        </w:r>
                      </w:p>
                    </w:tc>
                    <w:tc>
                      <w:tcPr>
                        <w:tcW w:w="1132" w:type="dxa"/>
                        <w:tcBorders>
                          <w:top w:val="single" w:sz="7" w:space="0" w:color="000000"/>
                          <w:left w:val="nil" w:sz="6" w:space="0" w:color="auto"/>
                          <w:bottom w:val="single" w:sz="19" w:space="0" w:color="000000"/>
                          <w:right w:val="nil" w:sz="6" w:space="0" w:color="auto"/>
                        </w:tcBorders>
                      </w:tcPr>
                      <w:p>
                        <w:pPr>
                          <w:pStyle w:val="TableParagraph"/>
                          <w:spacing w:line="240" w:lineRule="auto" w:before="14"/>
                          <w:ind w:right="183"/>
                          <w:jc w:val="right"/>
                          <w:rPr>
                            <w:rFonts w:ascii="Times New Roman" w:hAnsi="Times New Roman" w:cs="Times New Roman" w:eastAsia="Times New Roman" w:hint="default"/>
                            <w:sz w:val="13"/>
                            <w:szCs w:val="13"/>
                          </w:rPr>
                        </w:pPr>
                        <w:r>
                          <w:rPr>
                            <w:rFonts w:ascii="Times New Roman"/>
                            <w:sz w:val="13"/>
                          </w:rPr>
                          <w:t>84,084,982.54</w:t>
                        </w:r>
                      </w:p>
                    </w:tc>
                    <w:tc>
                      <w:tcPr>
                        <w:tcW w:w="1125" w:type="dxa"/>
                        <w:tcBorders>
                          <w:top w:val="single" w:sz="7" w:space="0" w:color="000000"/>
                          <w:left w:val="nil" w:sz="6" w:space="0" w:color="auto"/>
                          <w:bottom w:val="single" w:sz="19" w:space="0" w:color="000000"/>
                          <w:right w:val="nil" w:sz="6" w:space="0" w:color="auto"/>
                        </w:tcBorders>
                      </w:tcPr>
                      <w:p>
                        <w:pPr>
                          <w:pStyle w:val="TableParagraph"/>
                          <w:spacing w:line="240" w:lineRule="auto" w:before="14"/>
                          <w:ind w:right="177"/>
                          <w:jc w:val="right"/>
                          <w:rPr>
                            <w:rFonts w:ascii="Times New Roman" w:hAnsi="Times New Roman" w:cs="Times New Roman" w:eastAsia="Times New Roman" w:hint="default"/>
                            <w:sz w:val="13"/>
                            <w:szCs w:val="13"/>
                          </w:rPr>
                        </w:pPr>
                        <w:r>
                          <w:rPr>
                            <w:rFonts w:ascii="Times New Roman"/>
                            <w:sz w:val="13"/>
                          </w:rPr>
                          <w:t>86,092,579.04</w:t>
                        </w:r>
                      </w:p>
                    </w:tc>
                    <w:tc>
                      <w:tcPr>
                        <w:tcW w:w="979" w:type="dxa"/>
                        <w:tcBorders>
                          <w:top w:val="single" w:sz="7" w:space="0" w:color="000000"/>
                          <w:left w:val="nil" w:sz="6" w:space="0" w:color="auto"/>
                          <w:bottom w:val="single" w:sz="19" w:space="0" w:color="000000"/>
                          <w:right w:val="nil" w:sz="6" w:space="0" w:color="auto"/>
                        </w:tcBorders>
                      </w:tcPr>
                      <w:p>
                        <w:pPr>
                          <w:pStyle w:val="TableParagraph"/>
                          <w:spacing w:line="240" w:lineRule="auto" w:before="14"/>
                          <w:ind w:right="37"/>
                          <w:jc w:val="right"/>
                          <w:rPr>
                            <w:rFonts w:ascii="Times New Roman" w:hAnsi="Times New Roman" w:cs="Times New Roman" w:eastAsia="Times New Roman" w:hint="default"/>
                            <w:sz w:val="13"/>
                            <w:szCs w:val="13"/>
                          </w:rPr>
                        </w:pPr>
                        <w:r>
                          <w:rPr>
                            <w:rFonts w:ascii="Times New Roman"/>
                            <w:sz w:val="13"/>
                          </w:rPr>
                          <w:t>22,983,734.11</w:t>
                        </w:r>
                      </w:p>
                    </w:tc>
                    <w:tc>
                      <w:tcPr>
                        <w:tcW w:w="972"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3"/>
          <w:szCs w:val="13"/>
        </w:rPr>
        <w:t>岩崎凸版轮转标签印</w:t>
      </w:r>
    </w:p>
    <w:p>
      <w:pPr>
        <w:spacing w:line="240" w:lineRule="auto" w:before="6"/>
        <w:rPr>
          <w:rFonts w:ascii="宋体" w:hAnsi="宋体" w:cs="宋体" w:eastAsia="宋体" w:hint="default"/>
          <w:sz w:val="14"/>
          <w:szCs w:val="14"/>
        </w:rPr>
      </w:pPr>
    </w:p>
    <w:p>
      <w:pPr>
        <w:tabs>
          <w:tab w:pos="4302" w:val="left" w:leader="none"/>
          <w:tab w:pos="5433" w:val="left" w:leader="none"/>
          <w:tab w:pos="7178" w:val="left" w:leader="none"/>
          <w:tab w:pos="8575" w:val="left" w:leader="none"/>
        </w:tabs>
        <w:spacing w:before="60"/>
        <w:ind w:left="2085" w:right="0" w:firstLine="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position w:val="1"/>
          <w:sz w:val="13"/>
          <w:szCs w:val="13"/>
        </w:rPr>
        <w:t>43.32</w:t>
      </w:r>
      <w:r>
        <w:rPr>
          <w:rFonts w:ascii="宋体" w:hAnsi="宋体" w:cs="宋体" w:eastAsia="宋体" w:hint="default"/>
          <w:position w:val="1"/>
          <w:sz w:val="13"/>
          <w:szCs w:val="13"/>
        </w:rPr>
        <w:t>万美元</w:t>
        <w:tab/>
      </w:r>
      <w:r>
        <w:rPr>
          <w:rFonts w:ascii="Times New Roman" w:hAnsi="Times New Roman" w:cs="Times New Roman" w:eastAsia="Times New Roman" w:hint="default"/>
          <w:position w:val="1"/>
          <w:sz w:val="13"/>
          <w:szCs w:val="13"/>
        </w:rPr>
        <w:t>3,294,355.30</w:t>
        <w:tab/>
        <w:t>3,294,355.30</w:t>
        <w:tab/>
        <w:t>-     </w:t>
      </w:r>
      <w:r>
        <w:rPr>
          <w:rFonts w:ascii="Times New Roman" w:hAnsi="Times New Roman" w:cs="Times New Roman" w:eastAsia="Times New Roman" w:hint="default"/>
          <w:spacing w:val="3"/>
          <w:position w:val="1"/>
          <w:sz w:val="13"/>
          <w:szCs w:val="13"/>
        </w:rPr>
        <w:t> </w:t>
      </w:r>
      <w:r>
        <w:rPr>
          <w:rFonts w:ascii="宋体" w:hAnsi="宋体" w:cs="宋体" w:eastAsia="宋体" w:hint="default"/>
          <w:sz w:val="13"/>
          <w:szCs w:val="13"/>
        </w:rPr>
        <w:t>募股资金</w:t>
        <w:tab/>
      </w:r>
      <w:r>
        <w:rPr>
          <w:rFonts w:ascii="Times New Roman" w:hAnsi="Times New Roman" w:cs="Times New Roman" w:eastAsia="Times New Roman" w:hint="default"/>
          <w:position w:val="1"/>
          <w:sz w:val="13"/>
          <w:szCs w:val="13"/>
        </w:rPr>
        <w:t>100%</w:t>
      </w:r>
      <w:r>
        <w:rPr>
          <w:rFonts w:ascii="Times New Roman" w:hAnsi="Times New Roman" w:cs="Times New Roman" w:eastAsia="Times New Roman" w:hint="default"/>
          <w:sz w:val="13"/>
          <w:szCs w:val="13"/>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5"/>
          <w:szCs w:val="25"/>
        </w:rPr>
      </w:pPr>
    </w:p>
    <w:p>
      <w:pPr>
        <w:pStyle w:val="BodyText"/>
        <w:spacing w:line="310" w:lineRule="exact" w:before="59"/>
        <w:ind w:right="787" w:firstLine="358"/>
        <w:jc w:val="left"/>
      </w:pPr>
      <w:r>
        <w:rPr/>
        <w:t>（2）截至</w:t>
      </w:r>
      <w:r>
        <w:rPr>
          <w:spacing w:val="-57"/>
        </w:rPr>
        <w:t> </w:t>
      </w:r>
      <w:r>
        <w:rPr/>
        <w:t>2007</w:t>
      </w:r>
      <w:r>
        <w:rPr>
          <w:spacing w:val="-56"/>
        </w:rPr>
        <w:t> </w:t>
      </w:r>
      <w:r>
        <w:rPr/>
        <w:t>年</w:t>
      </w:r>
      <w:r>
        <w:rPr>
          <w:spacing w:val="-56"/>
        </w:rPr>
        <w:t> </w:t>
      </w:r>
      <w:r>
        <w:rPr/>
        <w:t>12</w:t>
      </w:r>
      <w:r>
        <w:rPr>
          <w:spacing w:val="-56"/>
        </w:rPr>
        <w:t> </w:t>
      </w:r>
      <w:r>
        <w:rPr/>
        <w:t>月</w:t>
      </w:r>
      <w:r>
        <w:rPr>
          <w:spacing w:val="-57"/>
        </w:rPr>
        <w:t> </w:t>
      </w:r>
      <w:r>
        <w:rPr/>
        <w:t>31</w:t>
      </w:r>
      <w:r>
        <w:rPr>
          <w:spacing w:val="-56"/>
        </w:rPr>
        <w:t> </w:t>
      </w:r>
      <w:r>
        <w:rPr/>
        <w:t>日，本公司在建工程无账面价值高于可收回金额</w:t>
      </w:r>
      <w:r>
        <w:rPr>
          <w:spacing w:val="-1"/>
          <w:w w:val="100"/>
        </w:rPr>
        <w:t> </w:t>
      </w:r>
      <w:r>
        <w:rPr/>
        <w:t>的情况。</w:t>
      </w:r>
    </w:p>
    <w:p>
      <w:pPr>
        <w:pStyle w:val="Heading3"/>
        <w:spacing w:line="406" w:lineRule="exact"/>
        <w:ind w:left="681" w:right="783"/>
        <w:jc w:val="left"/>
        <w:rPr>
          <w:b w:val="0"/>
          <w:bCs w:val="0"/>
        </w:rPr>
      </w:pPr>
      <w:r>
        <w:rPr>
          <w:w w:val="105"/>
        </w:rPr>
        <w:t>k) </w:t>
      </w:r>
      <w:r>
        <w:rPr>
          <w:spacing w:val="22"/>
          <w:w w:val="105"/>
        </w:rPr>
        <w:t> </w:t>
      </w:r>
      <w:r>
        <w:rPr>
          <w:w w:val="105"/>
        </w:rPr>
        <w:t>无形资产</w:t>
      </w:r>
      <w:r>
        <w:rPr>
          <w:b w:val="0"/>
          <w:bCs w:val="0"/>
          <w:w w:val="105"/>
        </w:rPr>
      </w:r>
    </w:p>
    <w:p>
      <w:pPr>
        <w:pStyle w:val="BodyText"/>
        <w:spacing w:line="240" w:lineRule="auto" w:before="94"/>
        <w:ind w:left="617" w:right="783"/>
        <w:jc w:val="left"/>
      </w:pPr>
      <w:r>
        <w:rPr/>
        <w:t>（1）无形资产明细情况</w:t>
      </w:r>
    </w:p>
    <w:p>
      <w:pPr>
        <w:spacing w:after="0" w:line="240" w:lineRule="auto"/>
        <w:jc w:val="left"/>
        <w:sectPr>
          <w:type w:val="continuous"/>
          <w:pgSz w:w="11910" w:h="16840"/>
          <w:pgMar w:top="1060" w:bottom="1460" w:left="1660" w:right="1000"/>
        </w:sectPr>
      </w:pPr>
    </w:p>
    <w:p>
      <w:pPr>
        <w:tabs>
          <w:tab w:pos="1189" w:val="left" w:leader="none"/>
          <w:tab w:pos="1987" w:val="left" w:leader="none"/>
          <w:tab w:pos="3477" w:val="left" w:leader="none"/>
          <w:tab w:pos="5067" w:val="left" w:leader="none"/>
        </w:tabs>
        <w:spacing w:line="153" w:lineRule="auto" w:before="168"/>
        <w:ind w:left="4966" w:right="0" w:hanging="4180"/>
        <w:jc w:val="left"/>
        <w:rPr>
          <w:rFonts w:ascii="宋体" w:hAnsi="宋体" w:cs="宋体" w:eastAsia="宋体" w:hint="default"/>
          <w:sz w:val="20"/>
          <w:szCs w:val="20"/>
        </w:rPr>
      </w:pPr>
      <w:r>
        <w:rPr/>
        <w:pict>
          <v:group style="position:absolute;margin-left:89.940018pt;margin-top:27.185326pt;width:474.1pt;height:1pt;mso-position-horizontal-relative:page;mso-position-vertical-relative:paragraph;z-index:-591616" coordorigin="1799,544" coordsize="9482,20">
            <v:group style="position:absolute;left:1808;top:544;width:1185;height:2" coordorigin="1808,544" coordsize="1185,2">
              <v:shape style="position:absolute;left:1808;top:544;width:1185;height:2" coordorigin="1808,544" coordsize="1185,0" path="m1808,544l2993,544e" filled="false" stroked="true" strokeweight=".06pt" strokecolor="#000000">
                <v:path arrowok="t"/>
              </v:shape>
            </v:group>
            <v:group style="position:absolute;left:1808;top:554;width:1185;height:2" coordorigin="1808,554" coordsize="1185,2">
              <v:shape style="position:absolute;left:1808;top:554;width:1185;height:2" coordorigin="1808,554" coordsize="1185,0" path="m1808,554l2993,554e" filled="false" stroked="true" strokeweight=".95996pt" strokecolor="#000000">
                <v:path arrowok="t"/>
              </v:shape>
            </v:group>
            <v:group style="position:absolute;left:3036;top:544;width:1334;height:2" coordorigin="3036,544" coordsize="1334,2">
              <v:shape style="position:absolute;left:3036;top:544;width:1334;height:2" coordorigin="3036,544" coordsize="1334,0" path="m3036,544l4369,544e" filled="false" stroked="true" strokeweight=".06pt" strokecolor="#000000">
                <v:path arrowok="t"/>
              </v:shape>
            </v:group>
            <v:group style="position:absolute;left:3036;top:554;width:1334;height:2" coordorigin="3036,554" coordsize="1334,2">
              <v:shape style="position:absolute;left:3036;top:554;width:1334;height:2" coordorigin="3036,554" coordsize="1334,0" path="m3036,554l4369,554e" filled="false" stroked="true" strokeweight=".95996pt" strokecolor="#000000">
                <v:path arrowok="t"/>
              </v:shape>
            </v:group>
            <v:group style="position:absolute;left:4427;top:544;width:1334;height:2" coordorigin="4427,544" coordsize="1334,2">
              <v:shape style="position:absolute;left:4427;top:544;width:1334;height:2" coordorigin="4427,544" coordsize="1334,0" path="m4427,544l5760,544e" filled="false" stroked="true" strokeweight=".06pt" strokecolor="#000000">
                <v:path arrowok="t"/>
              </v:shape>
            </v:group>
            <v:group style="position:absolute;left:4427;top:554;width:1334;height:2" coordorigin="4427,554" coordsize="1334,2">
              <v:shape style="position:absolute;left:4427;top:554;width:1334;height:2" coordorigin="4427,554" coordsize="1334,0" path="m4427,554l5760,554e" filled="false" stroked="true" strokeweight=".95996pt" strokecolor="#000000">
                <v:path arrowok="t"/>
              </v:shape>
            </v:group>
            <v:group style="position:absolute;left:5802;top:544;width:1559;height:2" coordorigin="5802,544" coordsize="1559,2">
              <v:shape style="position:absolute;left:5802;top:544;width:1559;height:2" coordorigin="5802,544" coordsize="1559,0" path="m5802,544l7361,544e" filled="false" stroked="true" strokeweight=".06pt" strokecolor="#000000">
                <v:path arrowok="t"/>
              </v:shape>
            </v:group>
            <v:group style="position:absolute;left:5803;top:554;width:1558;height:2" coordorigin="5803,554" coordsize="1558,2">
              <v:shape style="position:absolute;left:5803;top:554;width:1558;height:2" coordorigin="5803,554" coordsize="1558,0" path="m5803,554l7361,554e" filled="false" stroked="true" strokeweight=".95996pt" strokecolor="#000000">
                <v:path arrowok="t"/>
              </v:shape>
            </v:group>
            <v:group style="position:absolute;left:7404;top:544;width:1230;height:2" coordorigin="7404,544" coordsize="1230,2">
              <v:shape style="position:absolute;left:7404;top:544;width:1230;height:2" coordorigin="7404,544" coordsize="1230,0" path="m7404,544l8634,544e" filled="false" stroked="true" strokeweight=".06pt" strokecolor="#000000">
                <v:path arrowok="t"/>
              </v:shape>
            </v:group>
            <v:group style="position:absolute;left:7404;top:554;width:1230;height:2" coordorigin="7404,554" coordsize="1230,2">
              <v:shape style="position:absolute;left:7404;top:554;width:1230;height:2" coordorigin="7404,554" coordsize="1230,0" path="m7404,554l8634,554e" filled="false" stroked="true" strokeweight=".95996pt" strokecolor="#000000">
                <v:path arrowok="t"/>
              </v:shape>
            </v:group>
            <v:group style="position:absolute;left:8663;top:544;width:1230;height:2" coordorigin="8663,544" coordsize="1230,2">
              <v:shape style="position:absolute;left:8663;top:544;width:1230;height:2" coordorigin="8663,544" coordsize="1230,0" path="m8663,544l9893,544e" filled="false" stroked="true" strokeweight=".06pt" strokecolor="#000000">
                <v:path arrowok="t"/>
              </v:shape>
            </v:group>
            <v:group style="position:absolute;left:8663;top:554;width:1232;height:2" coordorigin="8663,554" coordsize="1232,2">
              <v:shape style="position:absolute;left:8663;top:554;width:1232;height:2" coordorigin="8663,554" coordsize="1232,0" path="m8663,554l9894,554e" filled="false" stroked="true" strokeweight=".95996pt" strokecolor="#000000">
                <v:path arrowok="t"/>
              </v:shape>
            </v:group>
            <v:group style="position:absolute;left:9936;top:544;width:1334;height:2" coordorigin="9936,544" coordsize="1334,2">
              <v:shape style="position:absolute;left:9936;top:544;width:1334;height:2" coordorigin="9936,544" coordsize="1334,0" path="m9936,544l11269,544e" filled="false" stroked="true" strokeweight=".06pt" strokecolor="#000000">
                <v:path arrowok="t"/>
              </v:shape>
            </v:group>
            <v:group style="position:absolute;left:9937;top:554;width:1334;height:2" coordorigin="9937,554" coordsize="1334,2">
              <v:shape style="position:absolute;left:9937;top:554;width:1334;height:2" coordorigin="9937,554" coordsize="1334,0" path="m9937,554l11270,554e" filled="false" stroked="true" strokeweight=".95996pt" strokecolor="#000000">
                <v:path arrowok="t"/>
              </v:shape>
            </v:group>
            <w10:wrap type="none"/>
          </v:group>
        </w:pict>
      </w:r>
      <w:r>
        <w:rPr>
          <w:rFonts w:ascii="宋体" w:hAnsi="宋体" w:cs="宋体" w:eastAsia="宋体" w:hint="default"/>
          <w:w w:val="95"/>
          <w:sz w:val="20"/>
          <w:szCs w:val="20"/>
        </w:rPr>
        <w:t>项</w:t>
        <w:tab/>
        <w:t>目</w:t>
        <w:tab/>
        <w:t>初始成本</w:t>
        <w:tab/>
        <w:t>年初数</w:t>
        <w:tab/>
        <w:tab/>
      </w:r>
      <w:r>
        <w:rPr>
          <w:rFonts w:ascii="宋体" w:hAnsi="宋体" w:cs="宋体" w:eastAsia="宋体" w:hint="default"/>
          <w:position w:val="12"/>
          <w:sz w:val="20"/>
          <w:szCs w:val="20"/>
        </w:rPr>
        <w:t>本年</w:t>
      </w:r>
      <w:r>
        <w:rPr>
          <w:rFonts w:ascii="宋体" w:hAnsi="宋体" w:cs="宋体" w:eastAsia="宋体" w:hint="default"/>
          <w:spacing w:val="1"/>
          <w:w w:val="99"/>
          <w:position w:val="12"/>
          <w:sz w:val="20"/>
          <w:szCs w:val="20"/>
        </w:rPr>
        <w:t> </w:t>
      </w:r>
      <w:r>
        <w:rPr>
          <w:rFonts w:ascii="宋体" w:hAnsi="宋体" w:cs="宋体" w:eastAsia="宋体" w:hint="default"/>
          <w:sz w:val="20"/>
          <w:szCs w:val="20"/>
        </w:rPr>
        <w:t>增加数</w:t>
      </w:r>
    </w:p>
    <w:p>
      <w:pPr>
        <w:spacing w:line="248" w:lineRule="exact" w:before="73"/>
        <w:ind w:left="787" w:right="-19" w:firstLine="150"/>
        <w:jc w:val="left"/>
        <w:rPr>
          <w:rFonts w:ascii="宋体" w:hAnsi="宋体" w:cs="宋体" w:eastAsia="宋体" w:hint="default"/>
          <w:sz w:val="20"/>
          <w:szCs w:val="20"/>
        </w:rPr>
      </w:pPr>
      <w:r>
        <w:rPr/>
        <w:br w:type="column"/>
      </w:r>
      <w:r>
        <w:rPr>
          <w:rFonts w:ascii="宋体" w:hAnsi="宋体" w:cs="宋体" w:eastAsia="宋体" w:hint="default"/>
          <w:sz w:val="20"/>
          <w:szCs w:val="20"/>
        </w:rPr>
        <w:t>本年</w:t>
      </w:r>
      <w:r>
        <w:rPr>
          <w:rFonts w:ascii="宋体" w:hAnsi="宋体" w:cs="宋体" w:eastAsia="宋体" w:hint="default"/>
          <w:w w:val="99"/>
          <w:sz w:val="20"/>
          <w:szCs w:val="20"/>
        </w:rPr>
        <w:t> </w:t>
      </w:r>
      <w:r>
        <w:rPr>
          <w:rFonts w:ascii="宋体" w:hAnsi="宋体" w:cs="宋体" w:eastAsia="宋体" w:hint="default"/>
          <w:sz w:val="20"/>
          <w:szCs w:val="20"/>
        </w:rPr>
        <w:t>摊销数</w:t>
      </w:r>
    </w:p>
    <w:p>
      <w:pPr>
        <w:spacing w:line="248" w:lineRule="exact" w:before="73"/>
        <w:ind w:left="617" w:right="-19" w:firstLine="150"/>
        <w:jc w:val="left"/>
        <w:rPr>
          <w:rFonts w:ascii="宋体" w:hAnsi="宋体" w:cs="宋体" w:eastAsia="宋体" w:hint="default"/>
          <w:sz w:val="20"/>
          <w:szCs w:val="20"/>
        </w:rPr>
      </w:pPr>
      <w:r>
        <w:rPr/>
        <w:br w:type="column"/>
      </w:r>
      <w:r>
        <w:rPr>
          <w:rFonts w:ascii="宋体" w:hAnsi="宋体" w:cs="宋体" w:eastAsia="宋体" w:hint="default"/>
          <w:sz w:val="20"/>
          <w:szCs w:val="20"/>
        </w:rPr>
        <w:t>累计</w:t>
      </w:r>
      <w:r>
        <w:rPr>
          <w:rFonts w:ascii="宋体" w:hAnsi="宋体" w:cs="宋体" w:eastAsia="宋体" w:hint="default"/>
          <w:w w:val="99"/>
          <w:sz w:val="20"/>
          <w:szCs w:val="20"/>
        </w:rPr>
        <w:t> </w:t>
      </w:r>
      <w:r>
        <w:rPr>
          <w:rFonts w:ascii="宋体" w:hAnsi="宋体" w:cs="宋体" w:eastAsia="宋体" w:hint="default"/>
          <w:sz w:val="20"/>
          <w:szCs w:val="20"/>
        </w:rPr>
        <w:t>摊销数</w:t>
      </w:r>
    </w:p>
    <w:p>
      <w:pPr>
        <w:spacing w:before="161"/>
        <w:ind w:left="685" w:right="0" w:firstLine="0"/>
        <w:jc w:val="left"/>
        <w:rPr>
          <w:rFonts w:ascii="宋体" w:hAnsi="宋体" w:cs="宋体" w:eastAsia="宋体" w:hint="default"/>
          <w:sz w:val="20"/>
          <w:szCs w:val="20"/>
        </w:rPr>
      </w:pPr>
      <w:r>
        <w:rPr/>
        <w:br w:type="column"/>
      </w:r>
      <w:r>
        <w:rPr>
          <w:rFonts w:ascii="宋体" w:hAnsi="宋体" w:cs="宋体" w:eastAsia="宋体" w:hint="default"/>
          <w:sz w:val="20"/>
          <w:szCs w:val="20"/>
        </w:rPr>
        <w:t>年末数</w:t>
      </w:r>
    </w:p>
    <w:p>
      <w:pPr>
        <w:spacing w:after="0"/>
        <w:jc w:val="left"/>
        <w:rPr>
          <w:rFonts w:ascii="宋体" w:hAnsi="宋体" w:cs="宋体" w:eastAsia="宋体" w:hint="default"/>
          <w:sz w:val="20"/>
          <w:szCs w:val="20"/>
        </w:rPr>
        <w:sectPr>
          <w:pgSz w:w="11910" w:h="16840"/>
          <w:pgMar w:header="915" w:footer="1712" w:top="1100" w:bottom="1900" w:left="1320" w:right="520"/>
          <w:cols w:num="4" w:equalWidth="0">
            <w:col w:w="5568" w:space="50"/>
            <w:col w:w="1389" w:space="40"/>
            <w:col w:w="1219" w:space="40"/>
            <w:col w:w="176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44"/>
        <w:ind w:left="521" w:right="1265" w:firstLine="0"/>
        <w:jc w:val="left"/>
        <w:rPr>
          <w:rFonts w:ascii="宋体" w:hAnsi="宋体" w:cs="宋体" w:eastAsia="宋体" w:hint="default"/>
          <w:sz w:val="18"/>
          <w:szCs w:val="18"/>
        </w:rPr>
      </w:pPr>
      <w:r>
        <w:rPr/>
        <w:pict>
          <v:shape style="position:absolute;margin-left:92.099998pt;margin-top:-177.487427pt;width:471.45pt;height:312.55pt;mso-position-horizontal-relative:page;mso-position-vertical-relative:paragraph;z-index:5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4"/>
                    <w:gridCol w:w="1497"/>
                    <w:gridCol w:w="1495"/>
                    <w:gridCol w:w="1485"/>
                    <w:gridCol w:w="1267"/>
                    <w:gridCol w:w="1277"/>
                    <w:gridCol w:w="1214"/>
                  </w:tblGrid>
                  <w:tr>
                    <w:trPr>
                      <w:trHeight w:val="435"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1" w:right="0"/>
                          <w:jc w:val="left"/>
                          <w:rPr>
                            <w:rFonts w:ascii="宋体" w:hAnsi="宋体" w:cs="宋体" w:eastAsia="宋体" w:hint="default"/>
                            <w:sz w:val="18"/>
                            <w:szCs w:val="18"/>
                          </w:rPr>
                        </w:pPr>
                        <w:r>
                          <w:rPr>
                            <w:rFonts w:ascii="宋体" w:hAnsi="宋体" w:cs="宋体" w:eastAsia="宋体" w:hint="default"/>
                            <w:sz w:val="18"/>
                            <w:szCs w:val="18"/>
                          </w:rPr>
                          <w:t>软件使用费</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14"/>
                          <w:jc w:val="right"/>
                          <w:rPr>
                            <w:rFonts w:ascii="Times New Roman" w:hAnsi="Times New Roman" w:cs="Times New Roman" w:eastAsia="Times New Roman" w:hint="default"/>
                            <w:sz w:val="16"/>
                            <w:szCs w:val="16"/>
                          </w:rPr>
                        </w:pPr>
                        <w:r>
                          <w:rPr>
                            <w:rFonts w:ascii="Times New Roman"/>
                            <w:sz w:val="16"/>
                          </w:rPr>
                          <w:t>900,917.00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22"/>
                          <w:jc w:val="right"/>
                          <w:rPr>
                            <w:rFonts w:ascii="Times New Roman" w:hAnsi="Times New Roman" w:cs="Times New Roman" w:eastAsia="Times New Roman" w:hint="default"/>
                            <w:sz w:val="16"/>
                            <w:szCs w:val="16"/>
                          </w:rPr>
                        </w:pPr>
                        <w:r>
                          <w:rPr>
                            <w:rFonts w:ascii="Times New Roman"/>
                            <w:sz w:val="16"/>
                          </w:rPr>
                          <w:t>124,470.83</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48"/>
                          <w:jc w:val="right"/>
                          <w:rPr>
                            <w:rFonts w:ascii="Times New Roman" w:hAnsi="Times New Roman" w:cs="Times New Roman" w:eastAsia="Times New Roman" w:hint="default"/>
                            <w:sz w:val="16"/>
                            <w:szCs w:val="16"/>
                          </w:rPr>
                        </w:pPr>
                        <w:r>
                          <w:rPr>
                            <w:rFonts w:ascii="Times New Roman"/>
                            <w:w w:val="100"/>
                            <w:sz w:val="16"/>
                          </w:rPr>
                          <w:t>-</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7"/>
                          <w:jc w:val="right"/>
                          <w:rPr>
                            <w:rFonts w:ascii="Times New Roman" w:hAnsi="Times New Roman" w:cs="Times New Roman" w:eastAsia="Times New Roman" w:hint="default"/>
                            <w:sz w:val="16"/>
                            <w:szCs w:val="16"/>
                          </w:rPr>
                        </w:pPr>
                        <w:r>
                          <w:rPr>
                            <w:rFonts w:ascii="Times New Roman"/>
                            <w:sz w:val="16"/>
                          </w:rPr>
                          <w:t>89,040.65</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8"/>
                          <w:jc w:val="right"/>
                          <w:rPr>
                            <w:rFonts w:ascii="Times New Roman" w:hAnsi="Times New Roman" w:cs="Times New Roman" w:eastAsia="Times New Roman" w:hint="default"/>
                            <w:sz w:val="16"/>
                            <w:szCs w:val="16"/>
                          </w:rPr>
                        </w:pPr>
                        <w:r>
                          <w:rPr>
                            <w:rFonts w:ascii="Times New Roman"/>
                            <w:sz w:val="16"/>
                          </w:rPr>
                          <w:t>865,486.82</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3"/>
                          <w:jc w:val="right"/>
                          <w:rPr>
                            <w:rFonts w:ascii="Times New Roman" w:hAnsi="Times New Roman" w:cs="Times New Roman" w:eastAsia="Times New Roman" w:hint="default"/>
                            <w:sz w:val="16"/>
                            <w:szCs w:val="16"/>
                          </w:rPr>
                        </w:pPr>
                        <w:r>
                          <w:rPr>
                            <w:rFonts w:ascii="Times New Roman"/>
                            <w:sz w:val="16"/>
                          </w:rPr>
                          <w:t>35,430.18</w:t>
                        </w:r>
                      </w:p>
                    </w:tc>
                  </w:tr>
                  <w:tr>
                    <w:trPr>
                      <w:trHeight w:val="491"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1" w:right="0"/>
                          <w:jc w:val="left"/>
                          <w:rPr>
                            <w:rFonts w:ascii="宋体" w:hAnsi="宋体" w:cs="宋体" w:eastAsia="宋体" w:hint="default"/>
                            <w:sz w:val="18"/>
                            <w:szCs w:val="18"/>
                          </w:rPr>
                        </w:pPr>
                        <w:r>
                          <w:rPr>
                            <w:rFonts w:ascii="宋体" w:hAnsi="宋体" w:cs="宋体" w:eastAsia="宋体" w:hint="default"/>
                            <w:sz w:val="18"/>
                            <w:szCs w:val="18"/>
                          </w:rPr>
                          <w:t>商标使用权</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14"/>
                          <w:jc w:val="right"/>
                          <w:rPr>
                            <w:rFonts w:ascii="Times New Roman" w:hAnsi="Times New Roman" w:cs="Times New Roman" w:eastAsia="Times New Roman" w:hint="default"/>
                            <w:sz w:val="16"/>
                            <w:szCs w:val="16"/>
                          </w:rPr>
                        </w:pPr>
                        <w:r>
                          <w:rPr>
                            <w:rFonts w:ascii="Times New Roman"/>
                            <w:sz w:val="16"/>
                          </w:rPr>
                          <w:t>800,000.00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22"/>
                          <w:jc w:val="right"/>
                          <w:rPr>
                            <w:rFonts w:ascii="Times New Roman" w:hAnsi="Times New Roman" w:cs="Times New Roman" w:eastAsia="Times New Roman" w:hint="default"/>
                            <w:sz w:val="16"/>
                            <w:szCs w:val="16"/>
                          </w:rPr>
                        </w:pPr>
                        <w:r>
                          <w:rPr>
                            <w:rFonts w:ascii="Times New Roman"/>
                            <w:sz w:val="16"/>
                          </w:rPr>
                          <w:t>293,329.00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48"/>
                          <w:jc w:val="right"/>
                          <w:rPr>
                            <w:rFonts w:ascii="Times New Roman" w:hAnsi="Times New Roman" w:cs="Times New Roman" w:eastAsia="Times New Roman" w:hint="default"/>
                            <w:sz w:val="16"/>
                            <w:szCs w:val="16"/>
                          </w:rPr>
                        </w:pPr>
                        <w:r>
                          <w:rPr>
                            <w:rFonts w:ascii="Times New Roman"/>
                            <w:w w:val="100"/>
                            <w:sz w:val="16"/>
                          </w:rPr>
                          <w:t>-</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87"/>
                          <w:jc w:val="right"/>
                          <w:rPr>
                            <w:rFonts w:ascii="Times New Roman" w:hAnsi="Times New Roman" w:cs="Times New Roman" w:eastAsia="Times New Roman" w:hint="default"/>
                            <w:sz w:val="16"/>
                            <w:szCs w:val="16"/>
                          </w:rPr>
                        </w:pPr>
                        <w:r>
                          <w:rPr>
                            <w:rFonts w:ascii="Times New Roman"/>
                            <w:sz w:val="16"/>
                          </w:rPr>
                          <w:t>80,004.00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08"/>
                          <w:jc w:val="right"/>
                          <w:rPr>
                            <w:rFonts w:ascii="Times New Roman" w:hAnsi="Times New Roman" w:cs="Times New Roman" w:eastAsia="Times New Roman" w:hint="default"/>
                            <w:sz w:val="16"/>
                            <w:szCs w:val="16"/>
                          </w:rPr>
                        </w:pPr>
                        <w:r>
                          <w:rPr>
                            <w:rFonts w:ascii="Times New Roman"/>
                            <w:sz w:val="16"/>
                          </w:rPr>
                          <w:t>586,675.00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73"/>
                          <w:jc w:val="right"/>
                          <w:rPr>
                            <w:rFonts w:ascii="Times New Roman" w:hAnsi="Times New Roman" w:cs="Times New Roman" w:eastAsia="Times New Roman" w:hint="default"/>
                            <w:sz w:val="16"/>
                            <w:szCs w:val="16"/>
                          </w:rPr>
                        </w:pPr>
                        <w:r>
                          <w:rPr>
                            <w:rFonts w:ascii="Times New Roman"/>
                            <w:sz w:val="16"/>
                          </w:rPr>
                          <w:t>213,325.00</w:t>
                        </w:r>
                      </w:p>
                    </w:tc>
                  </w:tr>
                  <w:tr>
                    <w:trPr>
                      <w:trHeight w:val="491"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14"/>
                          <w:jc w:val="right"/>
                          <w:rPr>
                            <w:rFonts w:ascii="Times New Roman" w:hAnsi="Times New Roman" w:cs="Times New Roman" w:eastAsia="Times New Roman" w:hint="default"/>
                            <w:sz w:val="16"/>
                            <w:szCs w:val="16"/>
                          </w:rPr>
                        </w:pPr>
                        <w:r>
                          <w:rPr>
                            <w:rFonts w:ascii="Times New Roman"/>
                            <w:sz w:val="16"/>
                          </w:rPr>
                          <w:t>51,618,098.00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22"/>
                          <w:jc w:val="right"/>
                          <w:rPr>
                            <w:rFonts w:ascii="Times New Roman" w:hAnsi="Times New Roman" w:cs="Times New Roman" w:eastAsia="Times New Roman" w:hint="default"/>
                            <w:sz w:val="16"/>
                            <w:szCs w:val="16"/>
                          </w:rPr>
                        </w:pPr>
                        <w:r>
                          <w:rPr>
                            <w:rFonts w:ascii="Times New Roman"/>
                            <w:sz w:val="16"/>
                          </w:rPr>
                          <w:t>25,392,405.04</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91"/>
                          <w:jc w:val="right"/>
                          <w:rPr>
                            <w:rFonts w:ascii="Times New Roman" w:hAnsi="Times New Roman" w:cs="Times New Roman" w:eastAsia="Times New Roman" w:hint="default"/>
                            <w:sz w:val="16"/>
                            <w:szCs w:val="16"/>
                          </w:rPr>
                        </w:pPr>
                        <w:r>
                          <w:rPr>
                            <w:rFonts w:ascii="Times New Roman"/>
                            <w:sz w:val="16"/>
                          </w:rPr>
                          <w:t>24,332,395.60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83"/>
                          <w:jc w:val="right"/>
                          <w:rPr>
                            <w:rFonts w:ascii="Times New Roman" w:hAnsi="Times New Roman" w:cs="Times New Roman" w:eastAsia="Times New Roman" w:hint="default"/>
                            <w:sz w:val="16"/>
                            <w:szCs w:val="16"/>
                          </w:rPr>
                        </w:pPr>
                        <w:r>
                          <w:rPr>
                            <w:rFonts w:ascii="Times New Roman"/>
                            <w:sz w:val="16"/>
                          </w:rPr>
                          <w:t>605,238.19</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00"/>
                          <w:jc w:val="right"/>
                          <w:rPr>
                            <w:rFonts w:ascii="Times New Roman" w:hAnsi="Times New Roman" w:cs="Times New Roman" w:eastAsia="Times New Roman" w:hint="default"/>
                            <w:sz w:val="16"/>
                            <w:szCs w:val="16"/>
                          </w:rPr>
                        </w:pPr>
                        <w:r>
                          <w:rPr>
                            <w:rFonts w:ascii="Times New Roman"/>
                            <w:sz w:val="16"/>
                          </w:rPr>
                          <w:t>2,498,535.55</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74"/>
                          <w:jc w:val="right"/>
                          <w:rPr>
                            <w:rFonts w:ascii="Times New Roman" w:hAnsi="Times New Roman" w:cs="Times New Roman" w:eastAsia="Times New Roman" w:hint="default"/>
                            <w:sz w:val="16"/>
                            <w:szCs w:val="16"/>
                          </w:rPr>
                        </w:pPr>
                        <w:r>
                          <w:rPr>
                            <w:rFonts w:ascii="Times New Roman"/>
                            <w:sz w:val="16"/>
                          </w:rPr>
                          <w:t>49,119,562.45</w:t>
                        </w:r>
                      </w:p>
                    </w:tc>
                  </w:tr>
                  <w:tr>
                    <w:trPr>
                      <w:trHeight w:val="494"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91" w:right="0"/>
                          <w:jc w:val="left"/>
                          <w:rPr>
                            <w:rFonts w:ascii="宋体" w:hAnsi="宋体" w:cs="宋体" w:eastAsia="宋体" w:hint="default"/>
                            <w:sz w:val="18"/>
                            <w:szCs w:val="18"/>
                          </w:rPr>
                        </w:pPr>
                        <w:r>
                          <w:rPr>
                            <w:rFonts w:ascii="宋体" w:hAnsi="宋体" w:cs="宋体" w:eastAsia="宋体" w:hint="default"/>
                            <w:sz w:val="18"/>
                            <w:szCs w:val="18"/>
                          </w:rPr>
                          <w:t>房屋使用权</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14"/>
                          <w:jc w:val="right"/>
                          <w:rPr>
                            <w:rFonts w:ascii="Times New Roman" w:hAnsi="Times New Roman" w:cs="Times New Roman" w:eastAsia="Times New Roman" w:hint="default"/>
                            <w:sz w:val="16"/>
                            <w:szCs w:val="16"/>
                          </w:rPr>
                        </w:pPr>
                        <w:r>
                          <w:rPr>
                            <w:rFonts w:ascii="Times New Roman"/>
                            <w:sz w:val="16"/>
                          </w:rPr>
                          <w:t>512,901.90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22"/>
                          <w:jc w:val="right"/>
                          <w:rPr>
                            <w:rFonts w:ascii="Times New Roman" w:hAnsi="Times New Roman" w:cs="Times New Roman" w:eastAsia="Times New Roman" w:hint="default"/>
                            <w:sz w:val="16"/>
                            <w:szCs w:val="16"/>
                          </w:rPr>
                        </w:pPr>
                        <w:r>
                          <w:rPr>
                            <w:rFonts w:ascii="Times New Roman"/>
                            <w:sz w:val="16"/>
                          </w:rPr>
                          <w:t>6,254.90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48"/>
                          <w:jc w:val="right"/>
                          <w:rPr>
                            <w:rFonts w:ascii="Times New Roman" w:hAnsi="Times New Roman" w:cs="Times New Roman" w:eastAsia="Times New Roman" w:hint="default"/>
                            <w:sz w:val="16"/>
                            <w:szCs w:val="16"/>
                          </w:rPr>
                        </w:pPr>
                        <w:r>
                          <w:rPr>
                            <w:rFonts w:ascii="Times New Roman"/>
                            <w:w w:val="100"/>
                            <w:sz w:val="16"/>
                          </w:rPr>
                          <w:t>-</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87"/>
                          <w:jc w:val="right"/>
                          <w:rPr>
                            <w:rFonts w:ascii="Times New Roman" w:hAnsi="Times New Roman" w:cs="Times New Roman" w:eastAsia="Times New Roman" w:hint="default"/>
                            <w:sz w:val="16"/>
                            <w:szCs w:val="16"/>
                          </w:rPr>
                        </w:pPr>
                        <w:r>
                          <w:rPr>
                            <w:rFonts w:ascii="Times New Roman"/>
                            <w:sz w:val="16"/>
                          </w:rPr>
                          <w:t>6,254.90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08"/>
                          <w:jc w:val="right"/>
                          <w:rPr>
                            <w:rFonts w:ascii="Times New Roman" w:hAnsi="Times New Roman" w:cs="Times New Roman" w:eastAsia="Times New Roman" w:hint="default"/>
                            <w:sz w:val="16"/>
                            <w:szCs w:val="16"/>
                          </w:rPr>
                        </w:pPr>
                        <w:r>
                          <w:rPr>
                            <w:rFonts w:ascii="Times New Roman"/>
                            <w:sz w:val="16"/>
                          </w:rPr>
                          <w:t>512,901.90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43"/>
                          <w:jc w:val="right"/>
                          <w:rPr>
                            <w:rFonts w:ascii="Times New Roman" w:hAnsi="Times New Roman" w:cs="Times New Roman" w:eastAsia="Times New Roman" w:hint="default"/>
                            <w:sz w:val="16"/>
                            <w:szCs w:val="16"/>
                          </w:rPr>
                        </w:pPr>
                        <w:r>
                          <w:rPr>
                            <w:rFonts w:ascii="Times New Roman"/>
                            <w:w w:val="100"/>
                            <w:sz w:val="16"/>
                          </w:rPr>
                          <w:t>-</w:t>
                        </w:r>
                      </w:p>
                    </w:tc>
                  </w:tr>
                  <w:tr>
                    <w:trPr>
                      <w:trHeight w:val="484" w:hRule="exact"/>
                    </w:trPr>
                    <w:tc>
                      <w:tcPr>
                        <w:tcW w:w="2691" w:type="dxa"/>
                        <w:gridSpan w:val="2"/>
                        <w:tcBorders>
                          <w:top w:val="nil" w:sz="6" w:space="0" w:color="auto"/>
                          <w:left w:val="nil" w:sz="6" w:space="0" w:color="auto"/>
                          <w:bottom w:val="nil" w:sz="6" w:space="0" w:color="auto"/>
                          <w:right w:val="nil" w:sz="6" w:space="0" w:color="auto"/>
                        </w:tcBorders>
                      </w:tcPr>
                      <w:p>
                        <w:pPr>
                          <w:pStyle w:val="TableParagraph"/>
                          <w:tabs>
                            <w:tab w:pos="1826" w:val="left" w:leader="none"/>
                          </w:tabs>
                          <w:spacing w:line="240" w:lineRule="auto" w:before="97"/>
                          <w:ind w:left="91" w:right="0"/>
                          <w:jc w:val="left"/>
                          <w:rPr>
                            <w:rFonts w:ascii="Times New Roman" w:hAnsi="Times New Roman" w:cs="Times New Roman" w:eastAsia="Times New Roman" w:hint="default"/>
                            <w:sz w:val="16"/>
                            <w:szCs w:val="16"/>
                          </w:rPr>
                        </w:pPr>
                        <w:r>
                          <w:rPr>
                            <w:rFonts w:ascii="宋体" w:hAnsi="宋体" w:cs="宋体" w:eastAsia="宋体" w:hint="default"/>
                            <w:position w:val="-1"/>
                            <w:sz w:val="18"/>
                            <w:szCs w:val="18"/>
                          </w:rPr>
                          <w:t>IBM莲花软件</w:t>
                          <w:tab/>
                        </w:r>
                        <w:r>
                          <w:rPr>
                            <w:rFonts w:ascii="Times New Roman" w:hAnsi="Times New Roman" w:cs="Times New Roman" w:eastAsia="Times New Roman" w:hint="default"/>
                            <w:sz w:val="16"/>
                            <w:szCs w:val="16"/>
                          </w:rPr>
                          <w:t>27,000.00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21"/>
                          <w:jc w:val="right"/>
                          <w:rPr>
                            <w:rFonts w:ascii="Times New Roman" w:hAnsi="Times New Roman" w:cs="Times New Roman" w:eastAsia="Times New Roman" w:hint="default"/>
                            <w:sz w:val="16"/>
                            <w:szCs w:val="16"/>
                          </w:rPr>
                        </w:pPr>
                        <w:r>
                          <w:rPr>
                            <w:rFonts w:ascii="Times New Roman"/>
                            <w:sz w:val="16"/>
                          </w:rPr>
                          <w:t>7,650.00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48"/>
                          <w:jc w:val="right"/>
                          <w:rPr>
                            <w:rFonts w:ascii="Times New Roman" w:hAnsi="Times New Roman" w:cs="Times New Roman" w:eastAsia="Times New Roman" w:hint="default"/>
                            <w:sz w:val="16"/>
                            <w:szCs w:val="16"/>
                          </w:rPr>
                        </w:pPr>
                        <w:r>
                          <w:rPr>
                            <w:rFonts w:ascii="Times New Roman"/>
                            <w:w w:val="100"/>
                            <w:sz w:val="16"/>
                          </w:rPr>
                          <w:t>-</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86"/>
                          <w:jc w:val="right"/>
                          <w:rPr>
                            <w:rFonts w:ascii="Times New Roman" w:hAnsi="Times New Roman" w:cs="Times New Roman" w:eastAsia="Times New Roman" w:hint="default"/>
                            <w:sz w:val="16"/>
                            <w:szCs w:val="16"/>
                          </w:rPr>
                        </w:pPr>
                        <w:r>
                          <w:rPr>
                            <w:rFonts w:ascii="Times New Roman"/>
                            <w:sz w:val="16"/>
                          </w:rPr>
                          <w:t>5,400.00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07"/>
                          <w:jc w:val="right"/>
                          <w:rPr>
                            <w:rFonts w:ascii="Times New Roman" w:hAnsi="Times New Roman" w:cs="Times New Roman" w:eastAsia="Times New Roman" w:hint="default"/>
                            <w:sz w:val="16"/>
                            <w:szCs w:val="16"/>
                          </w:rPr>
                        </w:pPr>
                        <w:r>
                          <w:rPr>
                            <w:rFonts w:ascii="Times New Roman"/>
                            <w:sz w:val="16"/>
                          </w:rPr>
                          <w:t>24,750.00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72"/>
                          <w:jc w:val="right"/>
                          <w:rPr>
                            <w:rFonts w:ascii="Times New Roman" w:hAnsi="Times New Roman" w:cs="Times New Roman" w:eastAsia="Times New Roman" w:hint="default"/>
                            <w:sz w:val="16"/>
                            <w:szCs w:val="16"/>
                          </w:rPr>
                        </w:pPr>
                        <w:r>
                          <w:rPr>
                            <w:rFonts w:ascii="Times New Roman"/>
                            <w:sz w:val="16"/>
                          </w:rPr>
                          <w:t>2,250.00</w:t>
                        </w:r>
                      </w:p>
                    </w:tc>
                  </w:tr>
                  <w:tr>
                    <w:trPr>
                      <w:trHeight w:val="491" w:hRule="exact"/>
                    </w:trPr>
                    <w:tc>
                      <w:tcPr>
                        <w:tcW w:w="2691" w:type="dxa"/>
                        <w:gridSpan w:val="2"/>
                        <w:tcBorders>
                          <w:top w:val="nil" w:sz="6" w:space="0" w:color="auto"/>
                          <w:left w:val="nil" w:sz="6" w:space="0" w:color="auto"/>
                          <w:bottom w:val="nil" w:sz="6" w:space="0" w:color="auto"/>
                          <w:right w:val="nil" w:sz="6" w:space="0" w:color="auto"/>
                        </w:tcBorders>
                      </w:tcPr>
                      <w:p>
                        <w:pPr>
                          <w:pStyle w:val="TableParagraph"/>
                          <w:tabs>
                            <w:tab w:pos="1744" w:val="left" w:leader="none"/>
                          </w:tabs>
                          <w:spacing w:line="240" w:lineRule="auto" w:before="104"/>
                          <w:ind w:left="91" w:right="0"/>
                          <w:jc w:val="left"/>
                          <w:rPr>
                            <w:rFonts w:ascii="Times New Roman" w:hAnsi="Times New Roman" w:cs="Times New Roman" w:eastAsia="Times New Roman" w:hint="default"/>
                            <w:sz w:val="16"/>
                            <w:szCs w:val="16"/>
                          </w:rPr>
                        </w:pPr>
                        <w:r>
                          <w:rPr>
                            <w:rFonts w:ascii="宋体" w:hAnsi="宋体" w:cs="宋体" w:eastAsia="宋体" w:hint="default"/>
                            <w:position w:val="-1"/>
                            <w:sz w:val="18"/>
                            <w:szCs w:val="18"/>
                          </w:rPr>
                          <w:t>软件系统</w:t>
                          <w:tab/>
                        </w:r>
                        <w:r>
                          <w:rPr>
                            <w:rFonts w:ascii="Times New Roman" w:hAnsi="Times New Roman" w:cs="Times New Roman" w:eastAsia="Times New Roman" w:hint="default"/>
                            <w:sz w:val="16"/>
                            <w:szCs w:val="16"/>
                          </w:rPr>
                          <w:t>148,300.00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21"/>
                          <w:jc w:val="right"/>
                          <w:rPr>
                            <w:rFonts w:ascii="Times New Roman" w:hAnsi="Times New Roman" w:cs="Times New Roman" w:eastAsia="Times New Roman" w:hint="default"/>
                            <w:sz w:val="16"/>
                            <w:szCs w:val="16"/>
                          </w:rPr>
                        </w:pPr>
                        <w:r>
                          <w:rPr>
                            <w:rFonts w:ascii="Times New Roman"/>
                            <w:sz w:val="16"/>
                          </w:rPr>
                          <w:t>78,418.00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48"/>
                          <w:jc w:val="right"/>
                          <w:rPr>
                            <w:rFonts w:ascii="Times New Roman" w:hAnsi="Times New Roman" w:cs="Times New Roman" w:eastAsia="Times New Roman" w:hint="default"/>
                            <w:sz w:val="16"/>
                            <w:szCs w:val="16"/>
                          </w:rPr>
                        </w:pPr>
                        <w:r>
                          <w:rPr>
                            <w:rFonts w:ascii="Times New Roman"/>
                            <w:w w:val="100"/>
                            <w:sz w:val="16"/>
                          </w:rPr>
                          <w:t>-</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87"/>
                          <w:jc w:val="right"/>
                          <w:rPr>
                            <w:rFonts w:ascii="Times New Roman" w:hAnsi="Times New Roman" w:cs="Times New Roman" w:eastAsia="Times New Roman" w:hint="default"/>
                            <w:sz w:val="16"/>
                            <w:szCs w:val="16"/>
                          </w:rPr>
                        </w:pPr>
                        <w:r>
                          <w:rPr>
                            <w:rFonts w:ascii="Times New Roman"/>
                            <w:sz w:val="16"/>
                          </w:rPr>
                          <w:t>29,688.00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07"/>
                          <w:jc w:val="right"/>
                          <w:rPr>
                            <w:rFonts w:ascii="Times New Roman" w:hAnsi="Times New Roman" w:cs="Times New Roman" w:eastAsia="Times New Roman" w:hint="default"/>
                            <w:sz w:val="16"/>
                            <w:szCs w:val="16"/>
                          </w:rPr>
                        </w:pPr>
                        <w:r>
                          <w:rPr>
                            <w:rFonts w:ascii="Times New Roman"/>
                            <w:sz w:val="16"/>
                          </w:rPr>
                          <w:t>99,570.00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72"/>
                          <w:jc w:val="right"/>
                          <w:rPr>
                            <w:rFonts w:ascii="Times New Roman" w:hAnsi="Times New Roman" w:cs="Times New Roman" w:eastAsia="Times New Roman" w:hint="default"/>
                            <w:sz w:val="16"/>
                            <w:szCs w:val="16"/>
                          </w:rPr>
                        </w:pPr>
                        <w:r>
                          <w:rPr>
                            <w:rFonts w:ascii="Times New Roman"/>
                            <w:sz w:val="16"/>
                          </w:rPr>
                          <w:t>48,730.00</w:t>
                        </w:r>
                      </w:p>
                    </w:tc>
                  </w:tr>
                  <w:tr>
                    <w:trPr>
                      <w:trHeight w:val="491" w:hRule="exact"/>
                    </w:trPr>
                    <w:tc>
                      <w:tcPr>
                        <w:tcW w:w="2691" w:type="dxa"/>
                        <w:gridSpan w:val="2"/>
                        <w:tcBorders>
                          <w:top w:val="nil" w:sz="6" w:space="0" w:color="auto"/>
                          <w:left w:val="nil" w:sz="6" w:space="0" w:color="auto"/>
                          <w:bottom w:val="nil" w:sz="6" w:space="0" w:color="auto"/>
                          <w:right w:val="nil" w:sz="6" w:space="0" w:color="auto"/>
                        </w:tcBorders>
                      </w:tcPr>
                      <w:p>
                        <w:pPr>
                          <w:pStyle w:val="TableParagraph"/>
                          <w:tabs>
                            <w:tab w:pos="1744" w:val="left" w:leader="none"/>
                          </w:tabs>
                          <w:spacing w:line="240" w:lineRule="auto" w:before="104"/>
                          <w:ind w:left="91" w:right="0"/>
                          <w:jc w:val="left"/>
                          <w:rPr>
                            <w:rFonts w:ascii="Times New Roman" w:hAnsi="Times New Roman" w:cs="Times New Roman" w:eastAsia="Times New Roman" w:hint="default"/>
                            <w:sz w:val="16"/>
                            <w:szCs w:val="16"/>
                          </w:rPr>
                        </w:pPr>
                        <w:r>
                          <w:rPr>
                            <w:rFonts w:ascii="宋体" w:hAnsi="宋体" w:cs="宋体" w:eastAsia="宋体" w:hint="default"/>
                            <w:position w:val="-1"/>
                            <w:sz w:val="18"/>
                            <w:szCs w:val="18"/>
                          </w:rPr>
                          <w:t>印能捷软件</w:t>
                          <w:tab/>
                        </w:r>
                        <w:r>
                          <w:rPr>
                            <w:rFonts w:ascii="Times New Roman" w:hAnsi="Times New Roman" w:cs="Times New Roman" w:eastAsia="Times New Roman" w:hint="default"/>
                            <w:sz w:val="16"/>
                            <w:szCs w:val="16"/>
                          </w:rPr>
                          <w:t>324,196.00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22"/>
                          <w:jc w:val="right"/>
                          <w:rPr>
                            <w:rFonts w:ascii="Times New Roman" w:hAnsi="Times New Roman" w:cs="Times New Roman" w:eastAsia="Times New Roman" w:hint="default"/>
                            <w:sz w:val="16"/>
                            <w:szCs w:val="16"/>
                          </w:rPr>
                        </w:pPr>
                        <w:r>
                          <w:rPr>
                            <w:rFonts w:ascii="Times New Roman"/>
                            <w:sz w:val="16"/>
                          </w:rPr>
                          <w:t>243,146.15</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48"/>
                          <w:jc w:val="right"/>
                          <w:rPr>
                            <w:rFonts w:ascii="Times New Roman" w:hAnsi="Times New Roman" w:cs="Times New Roman" w:eastAsia="Times New Roman" w:hint="default"/>
                            <w:sz w:val="16"/>
                            <w:szCs w:val="16"/>
                          </w:rPr>
                        </w:pPr>
                        <w:r>
                          <w:rPr>
                            <w:rFonts w:ascii="Times New Roman"/>
                            <w:w w:val="100"/>
                            <w:sz w:val="16"/>
                          </w:rPr>
                          <w:t>-</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87"/>
                          <w:jc w:val="right"/>
                          <w:rPr>
                            <w:rFonts w:ascii="Times New Roman" w:hAnsi="Times New Roman" w:cs="Times New Roman" w:eastAsia="Times New Roman" w:hint="default"/>
                            <w:sz w:val="16"/>
                            <w:szCs w:val="16"/>
                          </w:rPr>
                        </w:pPr>
                        <w:r>
                          <w:rPr>
                            <w:rFonts w:ascii="Times New Roman"/>
                            <w:sz w:val="16"/>
                          </w:rPr>
                          <w:t>65,495.97</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08"/>
                          <w:jc w:val="right"/>
                          <w:rPr>
                            <w:rFonts w:ascii="Times New Roman" w:hAnsi="Times New Roman" w:cs="Times New Roman" w:eastAsia="Times New Roman" w:hint="default"/>
                            <w:sz w:val="16"/>
                            <w:szCs w:val="16"/>
                          </w:rPr>
                        </w:pPr>
                        <w:r>
                          <w:rPr>
                            <w:rFonts w:ascii="Times New Roman"/>
                            <w:sz w:val="16"/>
                          </w:rPr>
                          <w:t>146,545.82</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73"/>
                          <w:jc w:val="right"/>
                          <w:rPr>
                            <w:rFonts w:ascii="Times New Roman" w:hAnsi="Times New Roman" w:cs="Times New Roman" w:eastAsia="Times New Roman" w:hint="default"/>
                            <w:sz w:val="16"/>
                            <w:szCs w:val="16"/>
                          </w:rPr>
                        </w:pPr>
                        <w:r>
                          <w:rPr>
                            <w:rFonts w:ascii="Times New Roman"/>
                            <w:sz w:val="16"/>
                          </w:rPr>
                          <w:t>177,650.18</w:t>
                        </w:r>
                      </w:p>
                    </w:tc>
                  </w:tr>
                  <w:tr>
                    <w:trPr>
                      <w:trHeight w:val="491" w:hRule="exact"/>
                    </w:trPr>
                    <w:tc>
                      <w:tcPr>
                        <w:tcW w:w="2691" w:type="dxa"/>
                        <w:gridSpan w:val="2"/>
                        <w:tcBorders>
                          <w:top w:val="nil" w:sz="6" w:space="0" w:color="auto"/>
                          <w:left w:val="nil" w:sz="6" w:space="0" w:color="auto"/>
                          <w:bottom w:val="nil" w:sz="6" w:space="0" w:color="auto"/>
                          <w:right w:val="nil" w:sz="6" w:space="0" w:color="auto"/>
                        </w:tcBorders>
                      </w:tcPr>
                      <w:p>
                        <w:pPr>
                          <w:pStyle w:val="TableParagraph"/>
                          <w:tabs>
                            <w:tab w:pos="1622" w:val="left" w:leader="none"/>
                          </w:tabs>
                          <w:spacing w:line="329" w:lineRule="exact"/>
                          <w:ind w:left="91" w:right="0"/>
                          <w:jc w:val="left"/>
                          <w:rPr>
                            <w:rFonts w:ascii="Times New Roman" w:hAnsi="Times New Roman" w:cs="Times New Roman" w:eastAsia="Times New Roman" w:hint="default"/>
                            <w:sz w:val="16"/>
                            <w:szCs w:val="16"/>
                          </w:rPr>
                        </w:pPr>
                        <w:r>
                          <w:rPr>
                            <w:rFonts w:ascii="宋体" w:hAnsi="宋体" w:cs="宋体" w:eastAsia="宋体" w:hint="default"/>
                            <w:position w:val="9"/>
                            <w:sz w:val="18"/>
                            <w:szCs w:val="18"/>
                          </w:rPr>
                          <w:t>防伪设计软</w:t>
                          <w:tab/>
                        </w:r>
                        <w:r>
                          <w:rPr>
                            <w:rFonts w:ascii="Times New Roman" w:hAnsi="Times New Roman" w:cs="Times New Roman" w:eastAsia="Times New Roman" w:hint="default"/>
                            <w:sz w:val="16"/>
                            <w:szCs w:val="16"/>
                          </w:rPr>
                          <w:t>1,412,285.00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22"/>
                          <w:jc w:val="right"/>
                          <w:rPr>
                            <w:rFonts w:ascii="Times New Roman" w:hAnsi="Times New Roman" w:cs="Times New Roman" w:eastAsia="Times New Roman" w:hint="default"/>
                            <w:sz w:val="16"/>
                            <w:szCs w:val="16"/>
                          </w:rPr>
                        </w:pPr>
                        <w:r>
                          <w:rPr>
                            <w:rFonts w:ascii="Times New Roman"/>
                            <w:sz w:val="16"/>
                          </w:rPr>
                          <w:t>1,106,291.00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48"/>
                          <w:jc w:val="right"/>
                          <w:rPr>
                            <w:rFonts w:ascii="Times New Roman" w:hAnsi="Times New Roman" w:cs="Times New Roman" w:eastAsia="Times New Roman" w:hint="default"/>
                            <w:sz w:val="16"/>
                            <w:szCs w:val="16"/>
                          </w:rPr>
                        </w:pPr>
                        <w:r>
                          <w:rPr>
                            <w:rFonts w:ascii="Times New Roman"/>
                            <w:w w:val="100"/>
                            <w:sz w:val="16"/>
                          </w:rPr>
                          <w:t>-</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87"/>
                          <w:jc w:val="right"/>
                          <w:rPr>
                            <w:rFonts w:ascii="Times New Roman" w:hAnsi="Times New Roman" w:cs="Times New Roman" w:eastAsia="Times New Roman" w:hint="default"/>
                            <w:sz w:val="16"/>
                            <w:szCs w:val="16"/>
                          </w:rPr>
                        </w:pPr>
                        <w:r>
                          <w:rPr>
                            <w:rFonts w:ascii="Times New Roman"/>
                            <w:sz w:val="16"/>
                          </w:rPr>
                          <w:t>282,456.00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08"/>
                          <w:jc w:val="right"/>
                          <w:rPr>
                            <w:rFonts w:ascii="Times New Roman" w:hAnsi="Times New Roman" w:cs="Times New Roman" w:eastAsia="Times New Roman" w:hint="default"/>
                            <w:sz w:val="16"/>
                            <w:szCs w:val="16"/>
                          </w:rPr>
                        </w:pPr>
                        <w:r>
                          <w:rPr>
                            <w:rFonts w:ascii="Times New Roman"/>
                            <w:sz w:val="16"/>
                          </w:rPr>
                          <w:t>588,450.00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83"/>
                          <w:jc w:val="right"/>
                          <w:rPr>
                            <w:rFonts w:ascii="Times New Roman" w:hAnsi="Times New Roman" w:cs="Times New Roman" w:eastAsia="Times New Roman" w:hint="default"/>
                            <w:sz w:val="16"/>
                            <w:szCs w:val="16"/>
                          </w:rPr>
                        </w:pPr>
                        <w:r>
                          <w:rPr>
                            <w:rFonts w:ascii="Times New Roman"/>
                            <w:sz w:val="16"/>
                          </w:rPr>
                          <w:t>823,835.00</w:t>
                        </w:r>
                      </w:p>
                    </w:tc>
                  </w:tr>
                  <w:tr>
                    <w:trPr>
                      <w:trHeight w:val="491" w:hRule="exact"/>
                    </w:trPr>
                    <w:tc>
                      <w:tcPr>
                        <w:tcW w:w="2691" w:type="dxa"/>
                        <w:gridSpan w:val="2"/>
                        <w:tcBorders>
                          <w:top w:val="nil" w:sz="6" w:space="0" w:color="auto"/>
                          <w:left w:val="nil" w:sz="6" w:space="0" w:color="auto"/>
                          <w:bottom w:val="nil" w:sz="6" w:space="0" w:color="auto"/>
                          <w:right w:val="nil" w:sz="6" w:space="0" w:color="auto"/>
                        </w:tcBorders>
                      </w:tcPr>
                      <w:p>
                        <w:pPr>
                          <w:pStyle w:val="TableParagraph"/>
                          <w:tabs>
                            <w:tab w:pos="1744" w:val="left" w:leader="none"/>
                          </w:tabs>
                          <w:spacing w:line="330" w:lineRule="exact"/>
                          <w:ind w:left="91" w:right="0"/>
                          <w:jc w:val="left"/>
                          <w:rPr>
                            <w:rFonts w:ascii="Times New Roman" w:hAnsi="Times New Roman" w:cs="Times New Roman" w:eastAsia="Times New Roman" w:hint="default"/>
                            <w:sz w:val="16"/>
                            <w:szCs w:val="16"/>
                          </w:rPr>
                        </w:pPr>
                        <w:r>
                          <w:rPr>
                            <w:rFonts w:ascii="宋体" w:hAnsi="宋体" w:cs="宋体" w:eastAsia="宋体" w:hint="default"/>
                            <w:position w:val="9"/>
                            <w:sz w:val="18"/>
                            <w:szCs w:val="18"/>
                          </w:rPr>
                          <w:t>数据中心版</w:t>
                          <w:tab/>
                        </w:r>
                        <w:r>
                          <w:rPr>
                            <w:rFonts w:ascii="Times New Roman" w:hAnsi="Times New Roman" w:cs="Times New Roman" w:eastAsia="Times New Roman" w:hint="default"/>
                            <w:sz w:val="16"/>
                            <w:szCs w:val="16"/>
                          </w:rPr>
                          <w:t>363,600.00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322"/>
                          <w:jc w:val="right"/>
                          <w:rPr>
                            <w:rFonts w:ascii="Times New Roman" w:hAnsi="Times New Roman" w:cs="Times New Roman" w:eastAsia="Times New Roman" w:hint="default"/>
                            <w:sz w:val="16"/>
                            <w:szCs w:val="16"/>
                          </w:rPr>
                        </w:pPr>
                        <w:r>
                          <w:rPr>
                            <w:rFonts w:ascii="Times New Roman"/>
                            <w:sz w:val="16"/>
                          </w:rPr>
                          <w:t>300,094.88</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48"/>
                          <w:jc w:val="right"/>
                          <w:rPr>
                            <w:rFonts w:ascii="Times New Roman" w:hAnsi="Times New Roman" w:cs="Times New Roman" w:eastAsia="Times New Roman" w:hint="default"/>
                            <w:sz w:val="16"/>
                            <w:szCs w:val="16"/>
                          </w:rPr>
                        </w:pPr>
                        <w:r>
                          <w:rPr>
                            <w:rFonts w:ascii="Times New Roman"/>
                            <w:w w:val="100"/>
                            <w:sz w:val="16"/>
                          </w:rPr>
                          <w:t>-</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7"/>
                          <w:jc w:val="right"/>
                          <w:rPr>
                            <w:rFonts w:ascii="Times New Roman" w:hAnsi="Times New Roman" w:cs="Times New Roman" w:eastAsia="Times New Roman" w:hint="default"/>
                            <w:sz w:val="16"/>
                            <w:szCs w:val="16"/>
                          </w:rPr>
                        </w:pPr>
                        <w:r>
                          <w:rPr>
                            <w:rFonts w:ascii="Times New Roman"/>
                            <w:sz w:val="16"/>
                          </w:rPr>
                          <w:t>66,660.00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208"/>
                          <w:jc w:val="right"/>
                          <w:rPr>
                            <w:rFonts w:ascii="Times New Roman" w:hAnsi="Times New Roman" w:cs="Times New Roman" w:eastAsia="Times New Roman" w:hint="default"/>
                            <w:sz w:val="16"/>
                            <w:szCs w:val="16"/>
                          </w:rPr>
                        </w:pPr>
                        <w:r>
                          <w:rPr>
                            <w:rFonts w:ascii="Times New Roman"/>
                            <w:sz w:val="16"/>
                          </w:rPr>
                          <w:t>130,165.12</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73"/>
                          <w:jc w:val="right"/>
                          <w:rPr>
                            <w:rFonts w:ascii="Times New Roman" w:hAnsi="Times New Roman" w:cs="Times New Roman" w:eastAsia="Times New Roman" w:hint="default"/>
                            <w:sz w:val="16"/>
                            <w:szCs w:val="16"/>
                          </w:rPr>
                        </w:pPr>
                        <w:r>
                          <w:rPr>
                            <w:rFonts w:ascii="Times New Roman"/>
                            <w:sz w:val="16"/>
                          </w:rPr>
                          <w:t>233,434.88</w:t>
                        </w:r>
                      </w:p>
                    </w:tc>
                  </w:tr>
                  <w:tr>
                    <w:trPr>
                      <w:trHeight w:val="491" w:hRule="exact"/>
                    </w:trPr>
                    <w:tc>
                      <w:tcPr>
                        <w:tcW w:w="2691" w:type="dxa"/>
                        <w:gridSpan w:val="2"/>
                        <w:tcBorders>
                          <w:top w:val="nil" w:sz="6" w:space="0" w:color="auto"/>
                          <w:left w:val="nil" w:sz="6" w:space="0" w:color="auto"/>
                          <w:bottom w:val="nil" w:sz="6" w:space="0" w:color="auto"/>
                          <w:right w:val="nil" w:sz="6" w:space="0" w:color="auto"/>
                        </w:tcBorders>
                      </w:tcPr>
                      <w:p>
                        <w:pPr>
                          <w:pStyle w:val="TableParagraph"/>
                          <w:tabs>
                            <w:tab w:pos="1826" w:val="left" w:leader="none"/>
                          </w:tabs>
                          <w:spacing w:line="329" w:lineRule="exact"/>
                          <w:ind w:left="91" w:right="0"/>
                          <w:jc w:val="left"/>
                          <w:rPr>
                            <w:rFonts w:ascii="Times New Roman" w:hAnsi="Times New Roman" w:cs="Times New Roman" w:eastAsia="Times New Roman" w:hint="default"/>
                            <w:sz w:val="16"/>
                            <w:szCs w:val="16"/>
                          </w:rPr>
                        </w:pPr>
                        <w:r>
                          <w:rPr>
                            <w:rFonts w:ascii="宋体" w:hAnsi="宋体" w:cs="宋体" w:eastAsia="宋体" w:hint="default"/>
                            <w:position w:val="9"/>
                            <w:sz w:val="18"/>
                            <w:szCs w:val="18"/>
                          </w:rPr>
                          <w:t>兰剑物流系</w:t>
                          <w:tab/>
                        </w:r>
                        <w:r>
                          <w:rPr>
                            <w:rFonts w:ascii="Times New Roman" w:hAnsi="Times New Roman" w:cs="Times New Roman" w:eastAsia="Times New Roman" w:hint="default"/>
                            <w:sz w:val="16"/>
                            <w:szCs w:val="16"/>
                          </w:rPr>
                          <w:t>57,000.00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21"/>
                          <w:jc w:val="right"/>
                          <w:rPr>
                            <w:rFonts w:ascii="Times New Roman" w:hAnsi="Times New Roman" w:cs="Times New Roman" w:eastAsia="Times New Roman" w:hint="default"/>
                            <w:sz w:val="16"/>
                            <w:szCs w:val="16"/>
                          </w:rPr>
                        </w:pPr>
                        <w:r>
                          <w:rPr>
                            <w:rFonts w:ascii="Times New Roman"/>
                            <w:sz w:val="16"/>
                          </w:rPr>
                          <w:t>51,300.00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47"/>
                          <w:jc w:val="right"/>
                          <w:rPr>
                            <w:rFonts w:ascii="Times New Roman" w:hAnsi="Times New Roman" w:cs="Times New Roman" w:eastAsia="Times New Roman" w:hint="default"/>
                            <w:sz w:val="16"/>
                            <w:szCs w:val="16"/>
                          </w:rPr>
                        </w:pPr>
                        <w:r>
                          <w:rPr>
                            <w:rFonts w:ascii="Times New Roman"/>
                            <w:w w:val="100"/>
                            <w:sz w:val="16"/>
                          </w:rPr>
                          <w:t>-</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86"/>
                          <w:jc w:val="right"/>
                          <w:rPr>
                            <w:rFonts w:ascii="Times New Roman" w:hAnsi="Times New Roman" w:cs="Times New Roman" w:eastAsia="Times New Roman" w:hint="default"/>
                            <w:sz w:val="16"/>
                            <w:szCs w:val="16"/>
                          </w:rPr>
                        </w:pPr>
                        <w:r>
                          <w:rPr>
                            <w:rFonts w:ascii="Times New Roman"/>
                            <w:sz w:val="16"/>
                          </w:rPr>
                          <w:t>16,803.27</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07"/>
                          <w:jc w:val="right"/>
                          <w:rPr>
                            <w:rFonts w:ascii="Times New Roman" w:hAnsi="Times New Roman" w:cs="Times New Roman" w:eastAsia="Times New Roman" w:hint="default"/>
                            <w:sz w:val="16"/>
                            <w:szCs w:val="16"/>
                          </w:rPr>
                        </w:pPr>
                        <w:r>
                          <w:rPr>
                            <w:rFonts w:ascii="Times New Roman"/>
                            <w:sz w:val="16"/>
                          </w:rPr>
                          <w:t>22,503.27</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72"/>
                          <w:jc w:val="right"/>
                          <w:rPr>
                            <w:rFonts w:ascii="Times New Roman" w:hAnsi="Times New Roman" w:cs="Times New Roman" w:eastAsia="Times New Roman" w:hint="default"/>
                            <w:sz w:val="16"/>
                            <w:szCs w:val="16"/>
                          </w:rPr>
                        </w:pPr>
                        <w:r>
                          <w:rPr>
                            <w:rFonts w:ascii="Times New Roman"/>
                            <w:sz w:val="16"/>
                          </w:rPr>
                          <w:t>34,496.73</w:t>
                        </w:r>
                      </w:p>
                    </w:tc>
                  </w:tr>
                  <w:tr>
                    <w:trPr>
                      <w:trHeight w:val="491" w:hRule="exact"/>
                    </w:trPr>
                    <w:tc>
                      <w:tcPr>
                        <w:tcW w:w="2691" w:type="dxa"/>
                        <w:gridSpan w:val="2"/>
                        <w:tcBorders>
                          <w:top w:val="nil" w:sz="6" w:space="0" w:color="auto"/>
                          <w:left w:val="nil" w:sz="6" w:space="0" w:color="auto"/>
                          <w:bottom w:val="nil" w:sz="6" w:space="0" w:color="auto"/>
                          <w:right w:val="nil" w:sz="6" w:space="0" w:color="auto"/>
                        </w:tcBorders>
                      </w:tcPr>
                      <w:p>
                        <w:pPr>
                          <w:pStyle w:val="TableParagraph"/>
                          <w:tabs>
                            <w:tab w:pos="1744" w:val="left" w:leader="none"/>
                          </w:tabs>
                          <w:spacing w:line="240" w:lineRule="auto" w:before="104"/>
                          <w:ind w:left="91" w:right="0"/>
                          <w:jc w:val="left"/>
                          <w:rPr>
                            <w:rFonts w:ascii="Times New Roman" w:hAnsi="Times New Roman" w:cs="Times New Roman" w:eastAsia="Times New Roman" w:hint="default"/>
                            <w:sz w:val="16"/>
                            <w:szCs w:val="16"/>
                          </w:rPr>
                        </w:pPr>
                        <w:r>
                          <w:rPr>
                            <w:rFonts w:ascii="宋体" w:hAnsi="宋体" w:cs="宋体" w:eastAsia="宋体" w:hint="default"/>
                            <w:position w:val="-1"/>
                            <w:sz w:val="18"/>
                            <w:szCs w:val="18"/>
                          </w:rPr>
                          <w:t>万能软件</w:t>
                          <w:tab/>
                        </w:r>
                        <w:r>
                          <w:rPr>
                            <w:rFonts w:ascii="Times New Roman" w:hAnsi="Times New Roman" w:cs="Times New Roman" w:eastAsia="Times New Roman" w:hint="default"/>
                            <w:sz w:val="16"/>
                            <w:szCs w:val="16"/>
                          </w:rPr>
                          <w:t>303,411.00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22"/>
                          <w:jc w:val="right"/>
                          <w:rPr>
                            <w:rFonts w:ascii="Times New Roman" w:hAnsi="Times New Roman" w:cs="Times New Roman" w:eastAsia="Times New Roman" w:hint="default"/>
                            <w:sz w:val="16"/>
                            <w:szCs w:val="16"/>
                          </w:rPr>
                        </w:pPr>
                        <w:r>
                          <w:rPr>
                            <w:rFonts w:ascii="Times New Roman"/>
                            <w:sz w:val="16"/>
                          </w:rPr>
                          <w:t>293,297.30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48"/>
                          <w:jc w:val="right"/>
                          <w:rPr>
                            <w:rFonts w:ascii="Times New Roman" w:hAnsi="Times New Roman" w:cs="Times New Roman" w:eastAsia="Times New Roman" w:hint="default"/>
                            <w:sz w:val="16"/>
                            <w:szCs w:val="16"/>
                          </w:rPr>
                        </w:pPr>
                        <w:r>
                          <w:rPr>
                            <w:rFonts w:ascii="Times New Roman"/>
                            <w:w w:val="100"/>
                            <w:sz w:val="16"/>
                          </w:rPr>
                          <w:t>-</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87"/>
                          <w:jc w:val="right"/>
                          <w:rPr>
                            <w:rFonts w:ascii="Times New Roman" w:hAnsi="Times New Roman" w:cs="Times New Roman" w:eastAsia="Times New Roman" w:hint="default"/>
                            <w:sz w:val="16"/>
                            <w:szCs w:val="16"/>
                          </w:rPr>
                        </w:pPr>
                        <w:r>
                          <w:rPr>
                            <w:rFonts w:ascii="Times New Roman"/>
                            <w:sz w:val="16"/>
                          </w:rPr>
                          <w:t>60,682.20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08"/>
                          <w:jc w:val="right"/>
                          <w:rPr>
                            <w:rFonts w:ascii="Times New Roman" w:hAnsi="Times New Roman" w:cs="Times New Roman" w:eastAsia="Times New Roman" w:hint="default"/>
                            <w:sz w:val="16"/>
                            <w:szCs w:val="16"/>
                          </w:rPr>
                        </w:pPr>
                        <w:r>
                          <w:rPr>
                            <w:rFonts w:ascii="Times New Roman"/>
                            <w:sz w:val="16"/>
                          </w:rPr>
                          <w:t>70,795.90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72"/>
                          <w:jc w:val="right"/>
                          <w:rPr>
                            <w:rFonts w:ascii="Times New Roman" w:hAnsi="Times New Roman" w:cs="Times New Roman" w:eastAsia="Times New Roman" w:hint="default"/>
                            <w:sz w:val="16"/>
                            <w:szCs w:val="16"/>
                          </w:rPr>
                        </w:pPr>
                        <w:r>
                          <w:rPr>
                            <w:rFonts w:ascii="Times New Roman"/>
                            <w:sz w:val="16"/>
                          </w:rPr>
                          <w:t>232,615.10</w:t>
                        </w:r>
                      </w:p>
                    </w:tc>
                  </w:tr>
                  <w:tr>
                    <w:trPr>
                      <w:trHeight w:val="483" w:hRule="exact"/>
                    </w:trPr>
                    <w:tc>
                      <w:tcPr>
                        <w:tcW w:w="2691" w:type="dxa"/>
                        <w:gridSpan w:val="2"/>
                        <w:tcBorders>
                          <w:top w:val="nil" w:sz="6" w:space="0" w:color="auto"/>
                          <w:left w:val="nil" w:sz="6" w:space="0" w:color="auto"/>
                          <w:bottom w:val="nil" w:sz="6" w:space="0" w:color="auto"/>
                          <w:right w:val="nil" w:sz="6" w:space="0" w:color="auto"/>
                        </w:tcBorders>
                      </w:tcPr>
                      <w:p>
                        <w:pPr>
                          <w:pStyle w:val="TableParagraph"/>
                          <w:tabs>
                            <w:tab w:pos="1744" w:val="left" w:leader="none"/>
                          </w:tabs>
                          <w:spacing w:line="329" w:lineRule="exact"/>
                          <w:ind w:left="91" w:right="0"/>
                          <w:jc w:val="left"/>
                          <w:rPr>
                            <w:rFonts w:ascii="Times New Roman" w:hAnsi="Times New Roman" w:cs="Times New Roman" w:eastAsia="Times New Roman" w:hint="default"/>
                            <w:sz w:val="16"/>
                            <w:szCs w:val="16"/>
                          </w:rPr>
                        </w:pPr>
                        <w:r>
                          <w:rPr>
                            <w:rFonts w:ascii="宋体"/>
                            <w:position w:val="9"/>
                            <w:sz w:val="18"/>
                          </w:rPr>
                          <w:t>GMC</w:t>
                        </w:r>
                        <w:r>
                          <w:rPr>
                            <w:rFonts w:ascii="宋体"/>
                            <w:spacing w:val="4"/>
                            <w:position w:val="9"/>
                            <w:sz w:val="18"/>
                          </w:rPr>
                          <w:t> </w:t>
                        </w:r>
                        <w:r>
                          <w:rPr>
                            <w:rFonts w:ascii="宋体"/>
                            <w:position w:val="9"/>
                            <w:sz w:val="18"/>
                          </w:rPr>
                          <w:t>Print</w:t>
                          <w:tab/>
                        </w:r>
                        <w:r>
                          <w:rPr>
                            <w:rFonts w:ascii="Times New Roman"/>
                            <w:sz w:val="16"/>
                          </w:rPr>
                          <w:t>432,196.80</w:t>
                        </w:r>
                      </w:p>
                    </w:tc>
                    <w:tc>
                      <w:tcPr>
                        <w:tcW w:w="1495"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352"/>
                          <w:jc w:val="right"/>
                          <w:rPr>
                            <w:rFonts w:ascii="Times New Roman" w:hAnsi="Times New Roman" w:cs="Times New Roman" w:eastAsia="Times New Roman" w:hint="default"/>
                            <w:sz w:val="16"/>
                            <w:szCs w:val="16"/>
                          </w:rPr>
                        </w:pPr>
                        <w:r>
                          <w:rPr>
                            <w:rFonts w:ascii="Times New Roman"/>
                            <w:w w:val="100"/>
                            <w:sz w:val="16"/>
                          </w:rPr>
                          <w:t>-</w:t>
                        </w:r>
                      </w:p>
                    </w:tc>
                    <w:tc>
                      <w:tcPr>
                        <w:tcW w:w="1485"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95"/>
                          <w:jc w:val="right"/>
                          <w:rPr>
                            <w:rFonts w:ascii="Times New Roman" w:hAnsi="Times New Roman" w:cs="Times New Roman" w:eastAsia="Times New Roman" w:hint="default"/>
                            <w:sz w:val="16"/>
                            <w:szCs w:val="16"/>
                          </w:rPr>
                        </w:pPr>
                        <w:r>
                          <w:rPr>
                            <w:rFonts w:ascii="Times New Roman"/>
                            <w:sz w:val="16"/>
                          </w:rPr>
                          <w:t>432,196.80</w:t>
                        </w:r>
                      </w:p>
                    </w:tc>
                    <w:tc>
                      <w:tcPr>
                        <w:tcW w:w="1267"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88"/>
                          <w:jc w:val="right"/>
                          <w:rPr>
                            <w:rFonts w:ascii="Times New Roman" w:hAnsi="Times New Roman" w:cs="Times New Roman" w:eastAsia="Times New Roman" w:hint="default"/>
                            <w:sz w:val="16"/>
                            <w:szCs w:val="16"/>
                          </w:rPr>
                        </w:pPr>
                        <w:r>
                          <w:rPr>
                            <w:rFonts w:ascii="Times New Roman"/>
                            <w:sz w:val="16"/>
                          </w:rPr>
                          <w:t>50,422.96</w:t>
                        </w:r>
                      </w:p>
                    </w:tc>
                    <w:tc>
                      <w:tcPr>
                        <w:tcW w:w="1277"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08"/>
                          <w:jc w:val="right"/>
                          <w:rPr>
                            <w:rFonts w:ascii="Times New Roman" w:hAnsi="Times New Roman" w:cs="Times New Roman" w:eastAsia="Times New Roman" w:hint="default"/>
                            <w:sz w:val="16"/>
                            <w:szCs w:val="16"/>
                          </w:rPr>
                        </w:pPr>
                        <w:r>
                          <w:rPr>
                            <w:rFonts w:ascii="Times New Roman"/>
                            <w:sz w:val="16"/>
                          </w:rPr>
                          <w:t>50,422.96</w:t>
                        </w:r>
                      </w:p>
                    </w:tc>
                    <w:tc>
                      <w:tcPr>
                        <w:tcW w:w="1214"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72"/>
                          <w:jc w:val="right"/>
                          <w:rPr>
                            <w:rFonts w:ascii="Times New Roman" w:hAnsi="Times New Roman" w:cs="Times New Roman" w:eastAsia="Times New Roman" w:hint="default"/>
                            <w:sz w:val="16"/>
                            <w:szCs w:val="16"/>
                          </w:rPr>
                        </w:pPr>
                        <w:r>
                          <w:rPr>
                            <w:rFonts w:ascii="Times New Roman"/>
                            <w:sz w:val="16"/>
                          </w:rPr>
                          <w:t>381,773.84</w:t>
                        </w:r>
                      </w:p>
                    </w:tc>
                  </w:tr>
                  <w:tr>
                    <w:trPr>
                      <w:trHeight w:val="369" w:hRule="exact"/>
                    </w:trPr>
                    <w:tc>
                      <w:tcPr>
                        <w:tcW w:w="2691" w:type="dxa"/>
                        <w:gridSpan w:val="2"/>
                        <w:tcBorders>
                          <w:top w:val="nil" w:sz="6" w:space="0" w:color="auto"/>
                          <w:left w:val="nil" w:sz="6" w:space="0" w:color="auto"/>
                          <w:bottom w:val="nil" w:sz="6" w:space="0" w:color="auto"/>
                          <w:right w:val="nil" w:sz="6" w:space="0" w:color="auto"/>
                        </w:tcBorders>
                      </w:tcPr>
                      <w:p>
                        <w:pPr>
                          <w:pStyle w:val="TableParagraph"/>
                          <w:tabs>
                            <w:tab w:pos="1516" w:val="left" w:leader="none"/>
                          </w:tabs>
                          <w:spacing w:line="240" w:lineRule="auto" w:before="50"/>
                          <w:ind w:left="339" w:right="0"/>
                          <w:jc w:val="left"/>
                          <w:rPr>
                            <w:rFonts w:ascii="Times New Roman" w:hAnsi="Times New Roman" w:cs="Times New Roman" w:eastAsia="Times New Roman" w:hint="default"/>
                            <w:sz w:val="16"/>
                            <w:szCs w:val="16"/>
                          </w:rPr>
                        </w:pPr>
                        <w:r>
                          <w:rPr>
                            <w:rFonts w:ascii="宋体" w:hAnsi="宋体" w:cs="宋体" w:eastAsia="宋体" w:hint="default"/>
                            <w:position w:val="-1"/>
                            <w:sz w:val="18"/>
                            <w:szCs w:val="18"/>
                          </w:rPr>
                          <w:t>合</w:t>
                        </w:r>
                        <w:r>
                          <w:rPr>
                            <w:rFonts w:ascii="宋体" w:hAnsi="宋体" w:cs="宋体" w:eastAsia="宋体" w:hint="default"/>
                            <w:spacing w:val="2"/>
                            <w:position w:val="-1"/>
                            <w:sz w:val="18"/>
                            <w:szCs w:val="18"/>
                          </w:rPr>
                          <w:t> </w:t>
                        </w:r>
                        <w:r>
                          <w:rPr>
                            <w:rFonts w:ascii="宋体" w:hAnsi="宋体" w:cs="宋体" w:eastAsia="宋体" w:hint="default"/>
                            <w:position w:val="-1"/>
                            <w:sz w:val="18"/>
                            <w:szCs w:val="18"/>
                          </w:rPr>
                          <w:t>计</w:t>
                          <w:tab/>
                        </w:r>
                        <w:r>
                          <w:rPr>
                            <w:rFonts w:ascii="Times New Roman" w:hAnsi="Times New Roman" w:cs="Times New Roman" w:eastAsia="Times New Roman" w:hint="default"/>
                            <w:sz w:val="16"/>
                            <w:szCs w:val="16"/>
                          </w:rPr>
                          <w:t>56,899,905.70</w:t>
                        </w:r>
                      </w:p>
                    </w:tc>
                    <w:tc>
                      <w:tcPr>
                        <w:tcW w:w="1495" w:type="dxa"/>
                        <w:tcBorders>
                          <w:top w:val="single" w:sz="8" w:space="0" w:color="000000"/>
                          <w:left w:val="nil" w:sz="6" w:space="0" w:color="auto"/>
                          <w:bottom w:val="single" w:sz="23" w:space="0" w:color="000000"/>
                          <w:right w:val="nil" w:sz="6" w:space="0" w:color="auto"/>
                        </w:tcBorders>
                      </w:tcPr>
                      <w:p>
                        <w:pPr>
                          <w:pStyle w:val="TableParagraph"/>
                          <w:spacing w:line="240" w:lineRule="auto" w:before="81"/>
                          <w:ind w:right="343"/>
                          <w:jc w:val="right"/>
                          <w:rPr>
                            <w:rFonts w:ascii="Times New Roman" w:hAnsi="Times New Roman" w:cs="Times New Roman" w:eastAsia="Times New Roman" w:hint="default"/>
                            <w:sz w:val="16"/>
                            <w:szCs w:val="16"/>
                          </w:rPr>
                        </w:pPr>
                        <w:r>
                          <w:rPr>
                            <w:rFonts w:ascii="Times New Roman"/>
                            <w:sz w:val="16"/>
                          </w:rPr>
                          <w:t>27,896,657.10</w:t>
                        </w:r>
                      </w:p>
                    </w:tc>
                    <w:tc>
                      <w:tcPr>
                        <w:tcW w:w="1485" w:type="dxa"/>
                        <w:tcBorders>
                          <w:top w:val="single" w:sz="8" w:space="0" w:color="000000"/>
                          <w:left w:val="nil" w:sz="6" w:space="0" w:color="auto"/>
                          <w:bottom w:val="single" w:sz="23" w:space="0" w:color="000000"/>
                          <w:right w:val="nil" w:sz="6" w:space="0" w:color="auto"/>
                        </w:tcBorders>
                      </w:tcPr>
                      <w:p>
                        <w:pPr>
                          <w:pStyle w:val="TableParagraph"/>
                          <w:spacing w:line="240" w:lineRule="auto" w:before="81"/>
                          <w:ind w:right="225"/>
                          <w:jc w:val="right"/>
                          <w:rPr>
                            <w:rFonts w:ascii="Times New Roman" w:hAnsi="Times New Roman" w:cs="Times New Roman" w:eastAsia="Times New Roman" w:hint="default"/>
                            <w:sz w:val="16"/>
                            <w:szCs w:val="16"/>
                          </w:rPr>
                        </w:pPr>
                        <w:r>
                          <w:rPr>
                            <w:rFonts w:ascii="Times New Roman"/>
                            <w:sz w:val="16"/>
                          </w:rPr>
                          <w:t>24,764,592.40</w:t>
                        </w:r>
                      </w:p>
                    </w:tc>
                    <w:tc>
                      <w:tcPr>
                        <w:tcW w:w="1267" w:type="dxa"/>
                        <w:tcBorders>
                          <w:top w:val="single" w:sz="8" w:space="0" w:color="000000"/>
                          <w:left w:val="nil" w:sz="6" w:space="0" w:color="auto"/>
                          <w:bottom w:val="single" w:sz="23" w:space="0" w:color="000000"/>
                          <w:right w:val="nil" w:sz="6" w:space="0" w:color="auto"/>
                        </w:tcBorders>
                      </w:tcPr>
                      <w:p>
                        <w:pPr>
                          <w:pStyle w:val="TableParagraph"/>
                          <w:spacing w:line="240" w:lineRule="auto" w:before="81"/>
                          <w:ind w:right="219"/>
                          <w:jc w:val="right"/>
                          <w:rPr>
                            <w:rFonts w:ascii="Times New Roman" w:hAnsi="Times New Roman" w:cs="Times New Roman" w:eastAsia="Times New Roman" w:hint="default"/>
                            <w:sz w:val="16"/>
                            <w:szCs w:val="16"/>
                          </w:rPr>
                        </w:pPr>
                        <w:r>
                          <w:rPr>
                            <w:rFonts w:ascii="Times New Roman"/>
                            <w:sz w:val="16"/>
                          </w:rPr>
                          <w:t>1,358,146.14</w:t>
                        </w:r>
                      </w:p>
                    </w:tc>
                    <w:tc>
                      <w:tcPr>
                        <w:tcW w:w="1277" w:type="dxa"/>
                        <w:tcBorders>
                          <w:top w:val="single" w:sz="8" w:space="0" w:color="000000"/>
                          <w:left w:val="nil" w:sz="6" w:space="0" w:color="auto"/>
                          <w:bottom w:val="single" w:sz="23" w:space="0" w:color="000000"/>
                          <w:right w:val="nil" w:sz="6" w:space="0" w:color="auto"/>
                        </w:tcBorders>
                      </w:tcPr>
                      <w:p>
                        <w:pPr>
                          <w:pStyle w:val="TableParagraph"/>
                          <w:spacing w:line="240" w:lineRule="auto" w:before="81"/>
                          <w:ind w:right="236"/>
                          <w:jc w:val="right"/>
                          <w:rPr>
                            <w:rFonts w:ascii="Times New Roman" w:hAnsi="Times New Roman" w:cs="Times New Roman" w:eastAsia="Times New Roman" w:hint="default"/>
                            <w:sz w:val="16"/>
                            <w:szCs w:val="16"/>
                          </w:rPr>
                        </w:pPr>
                        <w:r>
                          <w:rPr>
                            <w:rFonts w:ascii="Times New Roman"/>
                            <w:sz w:val="16"/>
                          </w:rPr>
                          <w:t>5,596,802.34</w:t>
                        </w:r>
                      </w:p>
                    </w:tc>
                    <w:tc>
                      <w:tcPr>
                        <w:tcW w:w="1214" w:type="dxa"/>
                        <w:tcBorders>
                          <w:top w:val="single" w:sz="8" w:space="0" w:color="000000"/>
                          <w:left w:val="nil" w:sz="6" w:space="0" w:color="auto"/>
                          <w:bottom w:val="single" w:sz="23" w:space="0" w:color="000000"/>
                          <w:right w:val="nil" w:sz="6" w:space="0" w:color="auto"/>
                        </w:tcBorders>
                      </w:tcPr>
                      <w:p>
                        <w:pPr>
                          <w:pStyle w:val="TableParagraph"/>
                          <w:spacing w:line="240" w:lineRule="auto" w:before="81"/>
                          <w:ind w:right="73"/>
                          <w:jc w:val="right"/>
                          <w:rPr>
                            <w:rFonts w:ascii="Times New Roman" w:hAnsi="Times New Roman" w:cs="Times New Roman" w:eastAsia="Times New Roman" w:hint="default"/>
                            <w:sz w:val="16"/>
                            <w:szCs w:val="16"/>
                          </w:rPr>
                        </w:pPr>
                        <w:r>
                          <w:rPr>
                            <w:rFonts w:ascii="Times New Roman"/>
                            <w:sz w:val="16"/>
                          </w:rPr>
                          <w:t>51,303,103.36</w:t>
                        </w:r>
                      </w:p>
                    </w:tc>
                  </w:tr>
                </w:tbl>
                <w:p>
                  <w:pPr/>
                </w:p>
              </w:txbxContent>
            </v:textbox>
            <w10:wrap type="none"/>
          </v:shape>
        </w:pict>
      </w:r>
      <w:r>
        <w:rPr>
          <w:rFonts w:ascii="宋体" w:hAnsi="宋体" w:cs="宋体" w:eastAsia="宋体" w:hint="default"/>
          <w:w w:val="99"/>
          <w:sz w:val="18"/>
          <w:szCs w:val="18"/>
        </w:rPr>
        <w:t>件</w:t>
      </w:r>
      <w:r>
        <w:rPr>
          <w:rFonts w:ascii="宋体" w:hAnsi="宋体" w:cs="宋体" w:eastAsia="宋体" w:hint="default"/>
          <w:sz w:val="18"/>
          <w:szCs w:val="18"/>
        </w:rPr>
      </w:r>
    </w:p>
    <w:p>
      <w:pPr>
        <w:spacing w:line="240" w:lineRule="auto" w:before="2"/>
        <w:rPr>
          <w:rFonts w:ascii="宋体" w:hAnsi="宋体" w:cs="宋体" w:eastAsia="宋体" w:hint="default"/>
          <w:sz w:val="16"/>
          <w:szCs w:val="16"/>
        </w:rPr>
      </w:pPr>
    </w:p>
    <w:p>
      <w:pPr>
        <w:spacing w:before="44"/>
        <w:ind w:left="521" w:right="1265" w:firstLine="0"/>
        <w:jc w:val="left"/>
        <w:rPr>
          <w:rFonts w:ascii="宋体" w:hAnsi="宋体" w:cs="宋体" w:eastAsia="宋体" w:hint="default"/>
          <w:sz w:val="18"/>
          <w:szCs w:val="18"/>
        </w:rPr>
      </w:pPr>
      <w:r>
        <w:rPr>
          <w:rFonts w:ascii="宋体" w:hAnsi="宋体" w:cs="宋体" w:eastAsia="宋体" w:hint="default"/>
          <w:sz w:val="18"/>
          <w:szCs w:val="18"/>
        </w:rPr>
        <w:t>面设计软件</w:t>
      </w:r>
    </w:p>
    <w:p>
      <w:pPr>
        <w:spacing w:line="240" w:lineRule="auto" w:before="3"/>
        <w:rPr>
          <w:rFonts w:ascii="宋体" w:hAnsi="宋体" w:cs="宋体" w:eastAsia="宋体" w:hint="default"/>
          <w:sz w:val="16"/>
          <w:szCs w:val="16"/>
        </w:rPr>
      </w:pPr>
    </w:p>
    <w:p>
      <w:pPr>
        <w:spacing w:before="44"/>
        <w:ind w:left="521" w:right="1265" w:firstLine="0"/>
        <w:jc w:val="left"/>
        <w:rPr>
          <w:rFonts w:ascii="宋体" w:hAnsi="宋体" w:cs="宋体" w:eastAsia="宋体" w:hint="default"/>
          <w:sz w:val="18"/>
          <w:szCs w:val="18"/>
        </w:rPr>
      </w:pPr>
      <w:r>
        <w:rPr>
          <w:rFonts w:ascii="宋体" w:hAnsi="宋体" w:cs="宋体" w:eastAsia="宋体" w:hint="default"/>
          <w:w w:val="99"/>
          <w:sz w:val="18"/>
          <w:szCs w:val="18"/>
        </w:rPr>
        <w:t>统</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0"/>
        <w:ind w:left="521" w:right="1265" w:firstLine="0"/>
        <w:jc w:val="left"/>
        <w:rPr>
          <w:rFonts w:ascii="宋体" w:hAnsi="宋体" w:cs="宋体" w:eastAsia="宋体" w:hint="default"/>
          <w:sz w:val="18"/>
          <w:szCs w:val="18"/>
        </w:rPr>
      </w:pPr>
      <w:r>
        <w:rPr>
          <w:rFonts w:ascii="宋体" w:hAnsi="宋体" w:cs="宋体" w:eastAsia="宋体" w:hint="default"/>
          <w:sz w:val="18"/>
          <w:szCs w:val="18"/>
        </w:rPr>
        <w:t>Net设计软件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310" w:lineRule="exact" w:before="0"/>
        <w:ind w:left="477" w:right="1265" w:firstLine="600"/>
        <w:jc w:val="left"/>
      </w:pPr>
      <w:r>
        <w:rPr>
          <w:spacing w:val="-2"/>
        </w:rPr>
        <w:t>注：无形资产年末数比年初数增加</w:t>
      </w:r>
      <w:r>
        <w:rPr>
          <w:spacing w:val="-28"/>
        </w:rPr>
        <w:t> </w:t>
      </w:r>
      <w:r>
        <w:rPr>
          <w:spacing w:val="-2"/>
        </w:rPr>
        <w:t>83.90%，其主要原因是本年新增了广州</w:t>
      </w:r>
      <w:r>
        <w:rPr>
          <w:spacing w:val="-1"/>
          <w:w w:val="100"/>
        </w:rPr>
        <w:t> </w:t>
      </w:r>
      <w:r>
        <w:rPr/>
        <w:t>东港安全印刷有限公司购买的土地使用权所致。</w:t>
      </w:r>
    </w:p>
    <w:p>
      <w:pPr>
        <w:pStyle w:val="BodyText"/>
        <w:spacing w:line="310" w:lineRule="exact" w:before="122"/>
        <w:ind w:left="118" w:right="1262" w:firstLine="784"/>
        <w:jc w:val="left"/>
      </w:pPr>
      <w:r>
        <w:rPr>
          <w:spacing w:val="-5"/>
        </w:rPr>
        <w:t>（2）截至</w:t>
      </w:r>
      <w:r>
        <w:rPr>
          <w:spacing w:val="-63"/>
        </w:rPr>
        <w:t> </w:t>
      </w:r>
      <w:r>
        <w:rPr/>
        <w:t>2007</w:t>
      </w:r>
      <w:r>
        <w:rPr>
          <w:spacing w:val="-62"/>
        </w:rPr>
        <w:t> </w:t>
      </w:r>
      <w:r>
        <w:rPr/>
        <w:t>年</w:t>
      </w:r>
      <w:r>
        <w:rPr>
          <w:spacing w:val="-63"/>
        </w:rPr>
        <w:t> </w:t>
      </w:r>
      <w:r>
        <w:rPr/>
        <w:t>12</w:t>
      </w:r>
      <w:r>
        <w:rPr>
          <w:spacing w:val="-62"/>
        </w:rPr>
        <w:t> </w:t>
      </w:r>
      <w:r>
        <w:rPr/>
        <w:t>月</w:t>
      </w:r>
      <w:r>
        <w:rPr>
          <w:spacing w:val="-63"/>
        </w:rPr>
        <w:t> </w:t>
      </w:r>
      <w:r>
        <w:rPr/>
        <w:t>31</w:t>
      </w:r>
      <w:r>
        <w:rPr>
          <w:spacing w:val="-62"/>
        </w:rPr>
        <w:t> </w:t>
      </w:r>
      <w:r>
        <w:rPr/>
        <w:t>日，本公司无形资产无账面价值高于可收回金额</w:t>
      </w:r>
      <w:r>
        <w:rPr>
          <w:spacing w:val="-1"/>
          <w:w w:val="100"/>
        </w:rPr>
        <w:t> </w:t>
      </w:r>
      <w:r>
        <w:rPr/>
        <w:t>的情况。</w:t>
      </w:r>
    </w:p>
    <w:p>
      <w:pPr>
        <w:pStyle w:val="Heading3"/>
        <w:spacing w:line="406" w:lineRule="exact"/>
        <w:ind w:left="1021" w:right="1265"/>
        <w:jc w:val="left"/>
        <w:rPr>
          <w:b w:val="0"/>
          <w:bCs w:val="0"/>
        </w:rPr>
      </w:pPr>
      <w:r>
        <w:rPr>
          <w:w w:val="110"/>
        </w:rPr>
        <w:t>l)</w:t>
      </w:r>
      <w:r>
        <w:rPr>
          <w:spacing w:val="46"/>
          <w:w w:val="110"/>
        </w:rPr>
        <w:t> </w:t>
      </w:r>
      <w:r>
        <w:rPr>
          <w:w w:val="110"/>
        </w:rPr>
        <w:t>长期待摊费用</w:t>
      </w:r>
      <w:r>
        <w:rPr>
          <w:b w:val="0"/>
          <w:bCs w:val="0"/>
          <w:w w:val="110"/>
        </w:rPr>
      </w:r>
    </w:p>
    <w:p>
      <w:pPr>
        <w:spacing w:line="240" w:lineRule="auto" w:before="2"/>
        <w:rPr>
          <w:rFonts w:ascii="Microsoft JhengHei" w:hAnsi="Microsoft JhengHei" w:cs="Microsoft JhengHei" w:eastAsia="Microsoft JhengHei" w:hint="default"/>
          <w:b/>
          <w:bCs/>
          <w:sz w:val="7"/>
          <w:szCs w:val="7"/>
        </w:rPr>
      </w:pPr>
    </w:p>
    <w:p>
      <w:pPr>
        <w:spacing w:after="0" w:line="240" w:lineRule="auto"/>
        <w:rPr>
          <w:rFonts w:ascii="Microsoft JhengHei" w:hAnsi="Microsoft JhengHei" w:cs="Microsoft JhengHei" w:eastAsia="Microsoft JhengHei" w:hint="default"/>
          <w:sz w:val="7"/>
          <w:szCs w:val="7"/>
        </w:rPr>
        <w:sectPr>
          <w:type w:val="continuous"/>
          <w:pgSz w:w="11910" w:h="16840"/>
          <w:pgMar w:top="1060" w:bottom="1460" w:left="1320" w:right="520"/>
        </w:sectPr>
      </w:pPr>
    </w:p>
    <w:p>
      <w:pPr>
        <w:tabs>
          <w:tab w:pos="3140" w:val="left" w:leader="none"/>
          <w:tab w:pos="4766" w:val="left" w:leader="none"/>
          <w:tab w:pos="6308" w:val="left" w:leader="none"/>
        </w:tabs>
        <w:spacing w:line="153" w:lineRule="auto" w:before="179"/>
        <w:ind w:left="6209" w:right="0" w:hanging="4835"/>
        <w:jc w:val="left"/>
        <w:rPr>
          <w:rFonts w:ascii="宋体" w:hAnsi="宋体" w:cs="宋体" w:eastAsia="宋体" w:hint="default"/>
          <w:sz w:val="23"/>
          <w:szCs w:val="23"/>
        </w:rPr>
      </w:pPr>
      <w:r>
        <w:rPr>
          <w:rFonts w:ascii="宋体" w:hAnsi="宋体" w:cs="宋体" w:eastAsia="宋体" w:hint="default"/>
          <w:position w:val="1"/>
          <w:sz w:val="23"/>
          <w:szCs w:val="23"/>
        </w:rPr>
        <w:t>项</w:t>
      </w:r>
      <w:r>
        <w:rPr>
          <w:rFonts w:ascii="宋体" w:hAnsi="宋体" w:cs="宋体" w:eastAsia="宋体" w:hint="default"/>
          <w:spacing w:val="-25"/>
          <w:position w:val="1"/>
          <w:sz w:val="23"/>
          <w:szCs w:val="23"/>
        </w:rPr>
        <w:t> </w:t>
      </w:r>
      <w:r>
        <w:rPr>
          <w:rFonts w:ascii="宋体" w:hAnsi="宋体" w:cs="宋体" w:eastAsia="宋体" w:hint="default"/>
          <w:position w:val="1"/>
          <w:sz w:val="23"/>
          <w:szCs w:val="23"/>
        </w:rPr>
        <w:t>目</w:t>
        <w:tab/>
      </w:r>
      <w:r>
        <w:rPr>
          <w:rFonts w:ascii="宋体" w:hAnsi="宋体" w:cs="宋体" w:eastAsia="宋体" w:hint="default"/>
          <w:spacing w:val="-12"/>
          <w:sz w:val="23"/>
          <w:szCs w:val="23"/>
        </w:rPr>
        <w:t>初始金额</w:t>
        <w:tab/>
      </w:r>
      <w:r>
        <w:rPr>
          <w:rFonts w:ascii="宋体" w:hAnsi="宋体" w:cs="宋体" w:eastAsia="宋体" w:hint="default"/>
          <w:spacing w:val="-9"/>
          <w:w w:val="95"/>
          <w:sz w:val="23"/>
          <w:szCs w:val="23"/>
        </w:rPr>
        <w:t>年初数</w:t>
        <w:tab/>
        <w:tab/>
      </w:r>
      <w:r>
        <w:rPr>
          <w:rFonts w:ascii="宋体" w:hAnsi="宋体" w:cs="宋体" w:eastAsia="宋体" w:hint="default"/>
          <w:spacing w:val="-5"/>
          <w:position w:val="14"/>
          <w:sz w:val="23"/>
          <w:szCs w:val="23"/>
        </w:rPr>
        <w:t>本年</w:t>
      </w:r>
      <w:r>
        <w:rPr>
          <w:rFonts w:ascii="宋体" w:hAnsi="宋体" w:cs="宋体" w:eastAsia="宋体" w:hint="default"/>
          <w:spacing w:val="-5"/>
          <w:w w:val="99"/>
          <w:position w:val="14"/>
          <w:sz w:val="23"/>
          <w:szCs w:val="23"/>
        </w:rPr>
        <w:t> </w:t>
      </w:r>
      <w:r>
        <w:rPr>
          <w:rFonts w:ascii="宋体" w:hAnsi="宋体" w:cs="宋体" w:eastAsia="宋体" w:hint="default"/>
          <w:spacing w:val="-9"/>
          <w:sz w:val="23"/>
          <w:szCs w:val="23"/>
        </w:rPr>
        <w:t>增加数</w:t>
      </w:r>
    </w:p>
    <w:p>
      <w:pPr>
        <w:spacing w:line="286" w:lineRule="exact" w:before="68"/>
        <w:ind w:left="599" w:right="-19" w:firstLine="168"/>
        <w:jc w:val="left"/>
        <w:rPr>
          <w:rFonts w:ascii="宋体" w:hAnsi="宋体" w:cs="宋体" w:eastAsia="宋体" w:hint="default"/>
          <w:sz w:val="23"/>
          <w:szCs w:val="23"/>
        </w:rPr>
      </w:pPr>
      <w:r>
        <w:rPr>
          <w:spacing w:val="-10"/>
        </w:rPr>
        <w:br w:type="column"/>
      </w:r>
      <w:r>
        <w:rPr>
          <w:rFonts w:ascii="宋体" w:hAnsi="宋体" w:cs="宋体" w:eastAsia="宋体" w:hint="default"/>
          <w:spacing w:val="-10"/>
          <w:sz w:val="23"/>
          <w:szCs w:val="23"/>
        </w:rPr>
        <w:t>本年</w:t>
      </w:r>
      <w:r>
        <w:rPr>
          <w:rFonts w:ascii="宋体" w:hAnsi="宋体" w:cs="宋体" w:eastAsia="宋体" w:hint="default"/>
          <w:w w:val="99"/>
          <w:sz w:val="23"/>
          <w:szCs w:val="23"/>
        </w:rPr>
        <w:t> </w:t>
      </w:r>
      <w:r>
        <w:rPr>
          <w:rFonts w:ascii="宋体" w:hAnsi="宋体" w:cs="宋体" w:eastAsia="宋体" w:hint="default"/>
          <w:spacing w:val="-9"/>
          <w:sz w:val="23"/>
          <w:szCs w:val="23"/>
        </w:rPr>
        <w:t>摊销数</w:t>
      </w:r>
    </w:p>
    <w:p>
      <w:pPr>
        <w:spacing w:before="172"/>
        <w:ind w:left="655" w:right="0" w:firstLine="0"/>
        <w:jc w:val="left"/>
        <w:rPr>
          <w:rFonts w:ascii="宋体" w:hAnsi="宋体" w:cs="宋体" w:eastAsia="宋体" w:hint="default"/>
          <w:sz w:val="23"/>
          <w:szCs w:val="23"/>
        </w:rPr>
      </w:pPr>
      <w:r>
        <w:rPr>
          <w:spacing w:val="-9"/>
        </w:rPr>
        <w:br w:type="column"/>
      </w:r>
      <w:r>
        <w:rPr>
          <w:rFonts w:ascii="宋体" w:hAnsi="宋体" w:cs="宋体" w:eastAsia="宋体" w:hint="default"/>
          <w:spacing w:val="-9"/>
          <w:sz w:val="23"/>
          <w:szCs w:val="23"/>
        </w:rPr>
        <w:t>年末数</w:t>
      </w:r>
    </w:p>
    <w:p>
      <w:pPr>
        <w:spacing w:after="0"/>
        <w:jc w:val="left"/>
        <w:rPr>
          <w:rFonts w:ascii="宋体" w:hAnsi="宋体" w:cs="宋体" w:eastAsia="宋体" w:hint="default"/>
          <w:sz w:val="23"/>
          <w:szCs w:val="23"/>
        </w:rPr>
        <w:sectPr>
          <w:type w:val="continuous"/>
          <w:pgSz w:w="11910" w:h="16840"/>
          <w:pgMar w:top="1060" w:bottom="1460" w:left="1320" w:right="520"/>
          <w:cols w:num="3" w:equalWidth="0">
            <w:col w:w="6874" w:space="40"/>
            <w:col w:w="1264" w:space="40"/>
            <w:col w:w="1852"/>
          </w:cols>
        </w:sectPr>
      </w:pPr>
    </w:p>
    <w:p>
      <w:pPr>
        <w:spacing w:line="240" w:lineRule="auto" w:before="3"/>
        <w:rPr>
          <w:rFonts w:ascii="宋体" w:hAnsi="宋体" w:cs="宋体" w:eastAsia="宋体" w:hint="default"/>
          <w:sz w:val="5"/>
          <w:szCs w:val="5"/>
        </w:rPr>
      </w:pPr>
      <w:r>
        <w:rPr/>
        <w:pict>
          <v:group style="position:absolute;margin-left:88.019981pt;margin-top:41.999668pt;width:419.35pt;height:16.4pt;mso-position-horizontal-relative:page;mso-position-vertical-relative:page;z-index:512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p>
    <w:tbl>
      <w:tblPr>
        <w:tblW w:w="0" w:type="auto"/>
        <w:jc w:val="left"/>
        <w:tblInd w:w="492" w:type="dxa"/>
        <w:tblLayout w:type="fixed"/>
        <w:tblCellMar>
          <w:top w:w="0" w:type="dxa"/>
          <w:left w:w="0" w:type="dxa"/>
          <w:bottom w:w="0" w:type="dxa"/>
          <w:right w:w="0" w:type="dxa"/>
        </w:tblCellMar>
        <w:tblLook w:val="01E0"/>
      </w:tblPr>
      <w:tblGrid>
        <w:gridCol w:w="2369"/>
        <w:gridCol w:w="1550"/>
        <w:gridCol w:w="1508"/>
        <w:gridCol w:w="1317"/>
        <w:gridCol w:w="1269"/>
        <w:gridCol w:w="1363"/>
      </w:tblGrid>
      <w:tr>
        <w:trPr>
          <w:trHeight w:val="362" w:hRule="exact"/>
        </w:trPr>
        <w:tc>
          <w:tcPr>
            <w:tcW w:w="2369" w:type="dxa"/>
            <w:tcBorders>
              <w:top w:val="single" w:sz="6" w:space="0" w:color="000000"/>
              <w:left w:val="nil" w:sz="6" w:space="0" w:color="auto"/>
              <w:bottom w:val="nil" w:sz="6" w:space="0" w:color="auto"/>
              <w:right w:val="nil" w:sz="6" w:space="0" w:color="auto"/>
            </w:tcBorders>
          </w:tcPr>
          <w:p>
            <w:pPr>
              <w:pStyle w:val="TableParagraph"/>
              <w:spacing w:line="240" w:lineRule="auto"/>
              <w:ind w:left="27" w:right="0"/>
              <w:jc w:val="left"/>
              <w:rPr>
                <w:rFonts w:ascii="宋体" w:hAnsi="宋体" w:cs="宋体" w:eastAsia="宋体" w:hint="default"/>
                <w:sz w:val="23"/>
                <w:szCs w:val="23"/>
              </w:rPr>
            </w:pPr>
            <w:r>
              <w:rPr>
                <w:rFonts w:ascii="宋体" w:hAnsi="宋体" w:cs="宋体" w:eastAsia="宋体" w:hint="default"/>
                <w:spacing w:val="-10"/>
                <w:sz w:val="23"/>
                <w:szCs w:val="23"/>
              </w:rPr>
              <w:t>热源管网建设费</w:t>
            </w:r>
            <w:r>
              <w:rPr>
                <w:rFonts w:ascii="宋体" w:hAnsi="宋体" w:cs="宋体" w:eastAsia="宋体" w:hint="default"/>
                <w:sz w:val="23"/>
                <w:szCs w:val="23"/>
              </w:rPr>
            </w:r>
          </w:p>
        </w:tc>
        <w:tc>
          <w:tcPr>
            <w:tcW w:w="1550" w:type="dxa"/>
            <w:tcBorders>
              <w:top w:val="single" w:sz="6" w:space="0" w:color="000000"/>
              <w:left w:val="nil" w:sz="6" w:space="0" w:color="auto"/>
              <w:bottom w:val="nil" w:sz="6" w:space="0" w:color="auto"/>
              <w:right w:val="nil" w:sz="6" w:space="0" w:color="auto"/>
            </w:tcBorders>
          </w:tcPr>
          <w:p>
            <w:pPr>
              <w:pStyle w:val="TableParagraph"/>
              <w:spacing w:line="240" w:lineRule="auto" w:before="34"/>
              <w:ind w:right="173"/>
              <w:jc w:val="right"/>
              <w:rPr>
                <w:rFonts w:ascii="Times New Roman" w:hAnsi="Times New Roman" w:cs="Times New Roman" w:eastAsia="Times New Roman" w:hint="default"/>
                <w:sz w:val="23"/>
                <w:szCs w:val="23"/>
              </w:rPr>
            </w:pPr>
            <w:r>
              <w:rPr>
                <w:rFonts w:ascii="Times New Roman"/>
                <w:spacing w:val="-5"/>
                <w:sz w:val="23"/>
              </w:rPr>
              <w:t>400,000.00</w:t>
            </w:r>
            <w:r>
              <w:rPr>
                <w:rFonts w:ascii="Times New Roman"/>
                <w:sz w:val="23"/>
              </w:rPr>
            </w:r>
          </w:p>
        </w:tc>
        <w:tc>
          <w:tcPr>
            <w:tcW w:w="1508" w:type="dxa"/>
            <w:tcBorders>
              <w:top w:val="single" w:sz="6" w:space="0" w:color="000000"/>
              <w:left w:val="nil" w:sz="6" w:space="0" w:color="auto"/>
              <w:bottom w:val="nil" w:sz="6" w:space="0" w:color="auto"/>
              <w:right w:val="nil" w:sz="6" w:space="0" w:color="auto"/>
            </w:tcBorders>
          </w:tcPr>
          <w:p>
            <w:pPr>
              <w:pStyle w:val="TableParagraph"/>
              <w:spacing w:line="240" w:lineRule="auto" w:before="34"/>
              <w:ind w:right="163"/>
              <w:jc w:val="right"/>
              <w:rPr>
                <w:rFonts w:ascii="Times New Roman" w:hAnsi="Times New Roman" w:cs="Times New Roman" w:eastAsia="Times New Roman" w:hint="default"/>
                <w:sz w:val="23"/>
                <w:szCs w:val="23"/>
              </w:rPr>
            </w:pPr>
            <w:r>
              <w:rPr>
                <w:rFonts w:ascii="Times New Roman"/>
                <w:spacing w:val="-6"/>
                <w:sz w:val="23"/>
              </w:rPr>
              <w:t>170,002.00</w:t>
            </w:r>
          </w:p>
        </w:tc>
        <w:tc>
          <w:tcPr>
            <w:tcW w:w="1317" w:type="dxa"/>
            <w:tcBorders>
              <w:top w:val="single" w:sz="6" w:space="0" w:color="000000"/>
              <w:left w:val="nil" w:sz="6" w:space="0" w:color="auto"/>
              <w:bottom w:val="nil" w:sz="6" w:space="0" w:color="auto"/>
              <w:right w:val="nil" w:sz="6" w:space="0" w:color="auto"/>
            </w:tcBorders>
          </w:tcPr>
          <w:p>
            <w:pPr>
              <w:pStyle w:val="TableParagraph"/>
              <w:spacing w:line="240" w:lineRule="auto" w:before="34"/>
              <w:ind w:right="174"/>
              <w:jc w:val="right"/>
              <w:rPr>
                <w:rFonts w:ascii="Times New Roman" w:hAnsi="Times New Roman" w:cs="Times New Roman" w:eastAsia="Times New Roman" w:hint="default"/>
                <w:sz w:val="23"/>
                <w:szCs w:val="23"/>
              </w:rPr>
            </w:pPr>
            <w:r>
              <w:rPr>
                <w:rFonts w:ascii="Times New Roman"/>
                <w:w w:val="99"/>
                <w:sz w:val="23"/>
              </w:rPr>
              <w:t>-</w:t>
            </w:r>
            <w:r>
              <w:rPr>
                <w:rFonts w:ascii="Times New Roman"/>
                <w:sz w:val="23"/>
              </w:rPr>
            </w:r>
          </w:p>
        </w:tc>
        <w:tc>
          <w:tcPr>
            <w:tcW w:w="1269" w:type="dxa"/>
            <w:tcBorders>
              <w:top w:val="single" w:sz="6" w:space="0" w:color="000000"/>
              <w:left w:val="nil" w:sz="6" w:space="0" w:color="auto"/>
              <w:bottom w:val="nil" w:sz="6" w:space="0" w:color="auto"/>
              <w:right w:val="nil" w:sz="6" w:space="0" w:color="auto"/>
            </w:tcBorders>
          </w:tcPr>
          <w:p>
            <w:pPr>
              <w:pStyle w:val="TableParagraph"/>
              <w:spacing w:line="240" w:lineRule="auto" w:before="34"/>
              <w:ind w:right="129"/>
              <w:jc w:val="right"/>
              <w:rPr>
                <w:rFonts w:ascii="Times New Roman" w:hAnsi="Times New Roman" w:cs="Times New Roman" w:eastAsia="Times New Roman" w:hint="default"/>
                <w:sz w:val="23"/>
                <w:szCs w:val="23"/>
              </w:rPr>
            </w:pPr>
            <w:r>
              <w:rPr>
                <w:rFonts w:ascii="Times New Roman"/>
                <w:spacing w:val="-5"/>
                <w:sz w:val="23"/>
              </w:rPr>
              <w:t>39,996.00</w:t>
            </w:r>
          </w:p>
        </w:tc>
        <w:tc>
          <w:tcPr>
            <w:tcW w:w="1363" w:type="dxa"/>
            <w:tcBorders>
              <w:top w:val="single" w:sz="6" w:space="0" w:color="000000"/>
              <w:left w:val="nil" w:sz="6" w:space="0" w:color="auto"/>
              <w:bottom w:val="nil" w:sz="6" w:space="0" w:color="auto"/>
              <w:right w:val="nil" w:sz="6" w:space="0" w:color="auto"/>
            </w:tcBorders>
          </w:tcPr>
          <w:p>
            <w:pPr>
              <w:pStyle w:val="TableParagraph"/>
              <w:spacing w:line="240" w:lineRule="auto" w:before="34"/>
              <w:ind w:right="75"/>
              <w:jc w:val="right"/>
              <w:rPr>
                <w:rFonts w:ascii="Times New Roman" w:hAnsi="Times New Roman" w:cs="Times New Roman" w:eastAsia="Times New Roman" w:hint="default"/>
                <w:sz w:val="23"/>
                <w:szCs w:val="23"/>
              </w:rPr>
            </w:pPr>
            <w:r>
              <w:rPr>
                <w:rFonts w:ascii="Times New Roman"/>
                <w:spacing w:val="-5"/>
                <w:sz w:val="23"/>
              </w:rPr>
              <w:t>130,006.00</w:t>
            </w:r>
          </w:p>
        </w:tc>
      </w:tr>
      <w:tr>
        <w:trPr>
          <w:trHeight w:val="34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90" w:lineRule="exact"/>
              <w:ind w:left="27" w:right="0"/>
              <w:jc w:val="left"/>
              <w:rPr>
                <w:rFonts w:ascii="宋体" w:hAnsi="宋体" w:cs="宋体" w:eastAsia="宋体" w:hint="default"/>
                <w:sz w:val="23"/>
                <w:szCs w:val="23"/>
              </w:rPr>
            </w:pPr>
            <w:r>
              <w:rPr>
                <w:rFonts w:ascii="宋体" w:hAnsi="宋体" w:cs="宋体" w:eastAsia="宋体" w:hint="default"/>
                <w:spacing w:val="-10"/>
                <w:sz w:val="23"/>
                <w:szCs w:val="23"/>
              </w:rPr>
              <w:t>办公室装修费</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72"/>
              <w:jc w:val="right"/>
              <w:rPr>
                <w:rFonts w:ascii="Times New Roman" w:hAnsi="Times New Roman" w:cs="Times New Roman" w:eastAsia="Times New Roman" w:hint="default"/>
                <w:sz w:val="23"/>
                <w:szCs w:val="23"/>
              </w:rPr>
            </w:pPr>
            <w:r>
              <w:rPr>
                <w:rFonts w:ascii="Times New Roman"/>
                <w:spacing w:val="-5"/>
                <w:sz w:val="23"/>
              </w:rPr>
              <w:t>256,135.94</w:t>
            </w:r>
            <w:r>
              <w:rPr>
                <w:rFonts w:ascii="Times New Roman"/>
                <w:sz w:val="23"/>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5"/>
              <w:jc w:val="right"/>
              <w:rPr>
                <w:rFonts w:ascii="Times New Roman" w:hAnsi="Times New Roman" w:cs="Times New Roman" w:eastAsia="Times New Roman" w:hint="default"/>
                <w:sz w:val="23"/>
                <w:szCs w:val="23"/>
              </w:rPr>
            </w:pPr>
            <w:r>
              <w:rPr>
                <w:rFonts w:ascii="Times New Roman"/>
                <w:spacing w:val="-5"/>
                <w:sz w:val="23"/>
              </w:rPr>
              <w:t>22,140.70</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2"/>
              <w:jc w:val="right"/>
              <w:rPr>
                <w:rFonts w:ascii="Times New Roman" w:hAnsi="Times New Roman" w:cs="Times New Roman" w:eastAsia="Times New Roman" w:hint="default"/>
                <w:sz w:val="23"/>
                <w:szCs w:val="23"/>
              </w:rPr>
            </w:pPr>
            <w:r>
              <w:rPr>
                <w:rFonts w:ascii="Times New Roman"/>
                <w:spacing w:val="-6"/>
                <w:sz w:val="23"/>
              </w:rPr>
              <w:t>145,433.32</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9"/>
              <w:jc w:val="right"/>
              <w:rPr>
                <w:rFonts w:ascii="Times New Roman" w:hAnsi="Times New Roman" w:cs="Times New Roman" w:eastAsia="Times New Roman" w:hint="default"/>
                <w:sz w:val="23"/>
                <w:szCs w:val="23"/>
              </w:rPr>
            </w:pPr>
            <w:r>
              <w:rPr>
                <w:rFonts w:ascii="Times New Roman"/>
                <w:spacing w:val="-5"/>
                <w:sz w:val="23"/>
              </w:rPr>
              <w:t>38,921.47</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6"/>
              <w:jc w:val="right"/>
              <w:rPr>
                <w:rFonts w:ascii="Times New Roman" w:hAnsi="Times New Roman" w:cs="Times New Roman" w:eastAsia="Times New Roman" w:hint="default"/>
                <w:sz w:val="23"/>
                <w:szCs w:val="23"/>
              </w:rPr>
            </w:pPr>
            <w:r>
              <w:rPr>
                <w:rFonts w:ascii="Times New Roman"/>
                <w:spacing w:val="-5"/>
                <w:sz w:val="23"/>
              </w:rPr>
              <w:t>128,652.55</w:t>
            </w:r>
          </w:p>
        </w:tc>
      </w:tr>
      <w:tr>
        <w:trPr>
          <w:trHeight w:val="34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91" w:lineRule="exact"/>
              <w:ind w:left="27" w:right="0"/>
              <w:jc w:val="left"/>
              <w:rPr>
                <w:rFonts w:ascii="宋体" w:hAnsi="宋体" w:cs="宋体" w:eastAsia="宋体" w:hint="default"/>
                <w:sz w:val="23"/>
                <w:szCs w:val="23"/>
              </w:rPr>
            </w:pPr>
            <w:r>
              <w:rPr>
                <w:rFonts w:ascii="宋体" w:hAnsi="宋体" w:cs="宋体" w:eastAsia="宋体" w:hint="default"/>
                <w:spacing w:val="-9"/>
                <w:sz w:val="23"/>
                <w:szCs w:val="23"/>
              </w:rPr>
              <w:t>办公楼装修</w:t>
            </w:r>
            <w:r>
              <w:rPr>
                <w:rFonts w:ascii="宋体" w:hAnsi="宋体" w:cs="宋体" w:eastAsia="宋体" w:hint="default"/>
                <w:sz w:val="23"/>
                <w:szCs w:val="23"/>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2"/>
              <w:jc w:val="right"/>
              <w:rPr>
                <w:rFonts w:ascii="Times New Roman" w:hAnsi="Times New Roman" w:cs="Times New Roman" w:eastAsia="Times New Roman" w:hint="default"/>
                <w:sz w:val="23"/>
                <w:szCs w:val="23"/>
              </w:rPr>
            </w:pPr>
            <w:r>
              <w:rPr>
                <w:rFonts w:ascii="Times New Roman"/>
                <w:spacing w:val="-5"/>
                <w:sz w:val="23"/>
              </w:rPr>
              <w:t>541,441.00</w:t>
            </w:r>
            <w:r>
              <w:rPr>
                <w:rFonts w:ascii="Times New Roman"/>
                <w:sz w:val="23"/>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4"/>
              <w:jc w:val="right"/>
              <w:rPr>
                <w:rFonts w:ascii="Times New Roman" w:hAnsi="Times New Roman" w:cs="Times New Roman" w:eastAsia="Times New Roman" w:hint="default"/>
                <w:sz w:val="23"/>
                <w:szCs w:val="23"/>
              </w:rPr>
            </w:pPr>
            <w:r>
              <w:rPr>
                <w:rFonts w:ascii="Times New Roman"/>
                <w:spacing w:val="-6"/>
                <w:sz w:val="23"/>
              </w:rPr>
              <w:t>288,768.44</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4"/>
              <w:jc w:val="right"/>
              <w:rPr>
                <w:rFonts w:ascii="Times New Roman" w:hAnsi="Times New Roman" w:cs="Times New Roman" w:eastAsia="Times New Roman" w:hint="default"/>
                <w:sz w:val="23"/>
                <w:szCs w:val="23"/>
              </w:rPr>
            </w:pPr>
            <w:r>
              <w:rPr>
                <w:rFonts w:ascii="Times New Roman"/>
                <w:w w:val="99"/>
                <w:sz w:val="23"/>
              </w:rPr>
              <w:t>-</w:t>
            </w:r>
            <w:r>
              <w:rPr>
                <w:rFonts w:ascii="Times New Roman"/>
                <w:sz w:val="23"/>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8"/>
              <w:jc w:val="right"/>
              <w:rPr>
                <w:rFonts w:ascii="Times New Roman" w:hAnsi="Times New Roman" w:cs="Times New Roman" w:eastAsia="Times New Roman" w:hint="default"/>
                <w:sz w:val="23"/>
                <w:szCs w:val="23"/>
              </w:rPr>
            </w:pPr>
            <w:r>
              <w:rPr>
                <w:rFonts w:ascii="Times New Roman"/>
                <w:spacing w:val="-4"/>
                <w:w w:val="95"/>
                <w:sz w:val="23"/>
              </w:rPr>
              <w:t>108,288.24</w:t>
            </w:r>
            <w:r>
              <w:rPr>
                <w:rFonts w:ascii="Times New Roman"/>
                <w:spacing w:val="-4"/>
                <w:sz w:val="23"/>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6"/>
              <w:jc w:val="right"/>
              <w:rPr>
                <w:rFonts w:ascii="Times New Roman" w:hAnsi="Times New Roman" w:cs="Times New Roman" w:eastAsia="Times New Roman" w:hint="default"/>
                <w:sz w:val="23"/>
                <w:szCs w:val="23"/>
              </w:rPr>
            </w:pPr>
            <w:r>
              <w:rPr>
                <w:rFonts w:ascii="Times New Roman"/>
                <w:spacing w:val="-5"/>
                <w:sz w:val="23"/>
              </w:rPr>
              <w:t>180,480.20</w:t>
            </w:r>
            <w:r>
              <w:rPr>
                <w:rFonts w:ascii="Times New Roman"/>
                <w:sz w:val="23"/>
              </w:rPr>
            </w:r>
          </w:p>
        </w:tc>
      </w:tr>
      <w:tr>
        <w:trPr>
          <w:trHeight w:val="337"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91" w:lineRule="exact"/>
              <w:ind w:left="27" w:right="0"/>
              <w:jc w:val="left"/>
              <w:rPr>
                <w:rFonts w:ascii="宋体" w:hAnsi="宋体" w:cs="宋体" w:eastAsia="宋体" w:hint="default"/>
                <w:sz w:val="23"/>
                <w:szCs w:val="23"/>
              </w:rPr>
            </w:pPr>
            <w:r>
              <w:rPr>
                <w:rFonts w:ascii="宋体" w:hAnsi="宋体" w:cs="宋体" w:eastAsia="宋体" w:hint="default"/>
                <w:spacing w:val="-11"/>
                <w:sz w:val="23"/>
                <w:szCs w:val="23"/>
              </w:rPr>
              <w:t>城市基础设施配套费</w:t>
            </w:r>
            <w:r>
              <w:rPr>
                <w:rFonts w:ascii="宋体" w:hAnsi="宋体" w:cs="宋体" w:eastAsia="宋体" w:hint="default"/>
                <w:sz w:val="23"/>
                <w:szCs w:val="23"/>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2"/>
              <w:jc w:val="right"/>
              <w:rPr>
                <w:rFonts w:ascii="Times New Roman" w:hAnsi="Times New Roman" w:cs="Times New Roman" w:eastAsia="Times New Roman" w:hint="default"/>
                <w:sz w:val="23"/>
                <w:szCs w:val="23"/>
              </w:rPr>
            </w:pPr>
            <w:r>
              <w:rPr>
                <w:rFonts w:ascii="Times New Roman"/>
                <w:spacing w:val="-5"/>
                <w:sz w:val="23"/>
              </w:rPr>
              <w:t>836,928.30</w:t>
            </w:r>
            <w:r>
              <w:rPr>
                <w:rFonts w:ascii="Times New Roman"/>
                <w:sz w:val="23"/>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4"/>
              <w:jc w:val="right"/>
              <w:rPr>
                <w:rFonts w:ascii="Times New Roman" w:hAnsi="Times New Roman" w:cs="Times New Roman" w:eastAsia="Times New Roman" w:hint="default"/>
                <w:sz w:val="23"/>
                <w:szCs w:val="23"/>
              </w:rPr>
            </w:pPr>
            <w:r>
              <w:rPr>
                <w:rFonts w:ascii="Times New Roman"/>
                <w:spacing w:val="-6"/>
                <w:sz w:val="23"/>
              </w:rPr>
              <w:t>795,081.88</w:t>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4"/>
              <w:jc w:val="right"/>
              <w:rPr>
                <w:rFonts w:ascii="Times New Roman" w:hAnsi="Times New Roman" w:cs="Times New Roman" w:eastAsia="Times New Roman" w:hint="default"/>
                <w:sz w:val="23"/>
                <w:szCs w:val="23"/>
              </w:rPr>
            </w:pPr>
            <w:r>
              <w:rPr>
                <w:rFonts w:ascii="Times New Roman"/>
                <w:w w:val="99"/>
                <w:sz w:val="23"/>
              </w:rPr>
              <w:t>-</w:t>
            </w:r>
            <w:r>
              <w:rPr>
                <w:rFonts w:ascii="Times New Roman"/>
                <w:sz w:val="23"/>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8"/>
              <w:jc w:val="right"/>
              <w:rPr>
                <w:rFonts w:ascii="Times New Roman" w:hAnsi="Times New Roman" w:cs="Times New Roman" w:eastAsia="Times New Roman" w:hint="default"/>
                <w:sz w:val="23"/>
                <w:szCs w:val="23"/>
              </w:rPr>
            </w:pPr>
            <w:r>
              <w:rPr>
                <w:rFonts w:ascii="Times New Roman"/>
                <w:spacing w:val="-4"/>
                <w:w w:val="95"/>
                <w:sz w:val="23"/>
              </w:rPr>
              <w:t>167,385.72</w:t>
            </w:r>
            <w:r>
              <w:rPr>
                <w:rFonts w:ascii="Times New Roman"/>
                <w:spacing w:val="-4"/>
                <w:sz w:val="23"/>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6"/>
              <w:jc w:val="right"/>
              <w:rPr>
                <w:rFonts w:ascii="Times New Roman" w:hAnsi="Times New Roman" w:cs="Times New Roman" w:eastAsia="Times New Roman" w:hint="default"/>
                <w:sz w:val="23"/>
                <w:szCs w:val="23"/>
              </w:rPr>
            </w:pPr>
            <w:r>
              <w:rPr>
                <w:rFonts w:ascii="Times New Roman"/>
                <w:spacing w:val="-5"/>
                <w:sz w:val="23"/>
              </w:rPr>
              <w:t>627,696.16</w:t>
            </w:r>
            <w:r>
              <w:rPr>
                <w:rFonts w:ascii="Times New Roman"/>
                <w:sz w:val="23"/>
              </w:rPr>
            </w:r>
          </w:p>
        </w:tc>
      </w:tr>
      <w:tr>
        <w:trPr>
          <w:trHeight w:val="337"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83" w:lineRule="exact"/>
              <w:ind w:left="27" w:right="0"/>
              <w:jc w:val="left"/>
              <w:rPr>
                <w:rFonts w:ascii="宋体" w:hAnsi="宋体" w:cs="宋体" w:eastAsia="宋体" w:hint="default"/>
                <w:sz w:val="23"/>
                <w:szCs w:val="23"/>
              </w:rPr>
            </w:pPr>
            <w:r>
              <w:rPr>
                <w:rFonts w:ascii="宋体" w:hAnsi="宋体" w:cs="宋体" w:eastAsia="宋体" w:hint="default"/>
                <w:spacing w:val="-10"/>
                <w:sz w:val="23"/>
                <w:szCs w:val="23"/>
              </w:rPr>
              <w:t>房产财产保险</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1"/>
              <w:jc w:val="right"/>
              <w:rPr>
                <w:rFonts w:ascii="Times New Roman" w:hAnsi="Times New Roman" w:cs="Times New Roman" w:eastAsia="Times New Roman" w:hint="default"/>
                <w:sz w:val="23"/>
                <w:szCs w:val="23"/>
              </w:rPr>
            </w:pPr>
            <w:r>
              <w:rPr>
                <w:rFonts w:ascii="Times New Roman"/>
                <w:spacing w:val="-5"/>
                <w:sz w:val="23"/>
              </w:rPr>
              <w:t>18,000.00</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8"/>
              <w:jc w:val="right"/>
              <w:rPr>
                <w:rFonts w:ascii="Times New Roman" w:hAnsi="Times New Roman" w:cs="Times New Roman" w:eastAsia="Times New Roman" w:hint="default"/>
                <w:sz w:val="23"/>
                <w:szCs w:val="23"/>
              </w:rPr>
            </w:pPr>
            <w:r>
              <w:rPr>
                <w:rFonts w:ascii="Times New Roman"/>
                <w:w w:val="99"/>
                <w:sz w:val="23"/>
              </w:rPr>
              <w:t>-</w:t>
            </w:r>
            <w:r>
              <w:rPr>
                <w:rFonts w:ascii="Times New Roman"/>
                <w:sz w:val="23"/>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3"/>
              <w:jc w:val="right"/>
              <w:rPr>
                <w:rFonts w:ascii="Times New Roman" w:hAnsi="Times New Roman" w:cs="Times New Roman" w:eastAsia="Times New Roman" w:hint="default"/>
                <w:sz w:val="23"/>
                <w:szCs w:val="23"/>
              </w:rPr>
            </w:pPr>
            <w:r>
              <w:rPr>
                <w:rFonts w:ascii="Times New Roman"/>
                <w:spacing w:val="-6"/>
                <w:w w:val="95"/>
                <w:sz w:val="23"/>
              </w:rPr>
              <w:t>18,000.00</w:t>
            </w:r>
            <w:r>
              <w:rPr>
                <w:rFonts w:ascii="Times New Roman"/>
                <w:spacing w:val="-6"/>
                <w:sz w:val="23"/>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0"/>
              <w:jc w:val="right"/>
              <w:rPr>
                <w:rFonts w:ascii="Times New Roman" w:hAnsi="Times New Roman" w:cs="Times New Roman" w:eastAsia="Times New Roman" w:hint="default"/>
                <w:sz w:val="23"/>
                <w:szCs w:val="23"/>
              </w:rPr>
            </w:pPr>
            <w:r>
              <w:rPr>
                <w:rFonts w:ascii="Times New Roman"/>
                <w:spacing w:val="-5"/>
                <w:sz w:val="23"/>
              </w:rPr>
              <w:t>3,000.00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7"/>
              <w:jc w:val="right"/>
              <w:rPr>
                <w:rFonts w:ascii="Times New Roman" w:hAnsi="Times New Roman" w:cs="Times New Roman" w:eastAsia="Times New Roman" w:hint="default"/>
                <w:sz w:val="23"/>
                <w:szCs w:val="23"/>
              </w:rPr>
            </w:pPr>
            <w:r>
              <w:rPr>
                <w:rFonts w:ascii="Times New Roman"/>
                <w:spacing w:val="-5"/>
                <w:sz w:val="23"/>
              </w:rPr>
              <w:t>15,000.00</w:t>
            </w:r>
          </w:p>
        </w:tc>
      </w:tr>
      <w:tr>
        <w:trPr>
          <w:trHeight w:val="327"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91" w:lineRule="exact"/>
              <w:ind w:left="27" w:right="0"/>
              <w:jc w:val="left"/>
              <w:rPr>
                <w:rFonts w:ascii="宋体" w:hAnsi="宋体" w:cs="宋体" w:eastAsia="宋体" w:hint="default"/>
                <w:sz w:val="23"/>
                <w:szCs w:val="23"/>
              </w:rPr>
            </w:pPr>
            <w:r>
              <w:rPr>
                <w:rFonts w:ascii="宋体" w:hAnsi="宋体" w:cs="宋体" w:eastAsia="宋体" w:hint="default"/>
                <w:spacing w:val="-10"/>
                <w:sz w:val="23"/>
                <w:szCs w:val="23"/>
              </w:rPr>
              <w:t>租赁厂房装修费</w:t>
            </w:r>
            <w:r>
              <w:rPr>
                <w:rFonts w:ascii="宋体" w:hAnsi="宋体" w:cs="宋体" w:eastAsia="宋体" w:hint="default"/>
                <w:sz w:val="23"/>
                <w:szCs w:val="23"/>
              </w:rPr>
            </w:r>
          </w:p>
        </w:tc>
        <w:tc>
          <w:tcPr>
            <w:tcW w:w="1550" w:type="dxa"/>
            <w:tcBorders>
              <w:top w:val="nil" w:sz="6" w:space="0" w:color="auto"/>
              <w:left w:val="nil" w:sz="6" w:space="0" w:color="auto"/>
              <w:bottom w:val="single" w:sz="6" w:space="0" w:color="000000"/>
              <w:right w:val="nil" w:sz="6" w:space="0" w:color="auto"/>
            </w:tcBorders>
          </w:tcPr>
          <w:p>
            <w:pPr>
              <w:pStyle w:val="TableParagraph"/>
              <w:spacing w:line="240" w:lineRule="auto" w:before="23"/>
              <w:ind w:right="171"/>
              <w:jc w:val="right"/>
              <w:rPr>
                <w:rFonts w:ascii="Times New Roman" w:hAnsi="Times New Roman" w:cs="Times New Roman" w:eastAsia="Times New Roman" w:hint="default"/>
                <w:sz w:val="23"/>
                <w:szCs w:val="23"/>
              </w:rPr>
            </w:pPr>
            <w:r>
              <w:rPr>
                <w:rFonts w:ascii="Times New Roman"/>
                <w:spacing w:val="-5"/>
                <w:sz w:val="23"/>
              </w:rPr>
              <w:t>20,501.45</w:t>
            </w:r>
          </w:p>
        </w:tc>
        <w:tc>
          <w:tcPr>
            <w:tcW w:w="1508" w:type="dxa"/>
            <w:tcBorders>
              <w:top w:val="nil" w:sz="6" w:space="0" w:color="auto"/>
              <w:left w:val="nil" w:sz="6" w:space="0" w:color="auto"/>
              <w:bottom w:val="single" w:sz="6" w:space="0" w:color="000000"/>
              <w:right w:val="nil" w:sz="6" w:space="0" w:color="auto"/>
            </w:tcBorders>
          </w:tcPr>
          <w:p>
            <w:pPr>
              <w:pStyle w:val="TableParagraph"/>
              <w:spacing w:line="240" w:lineRule="auto" w:before="23"/>
              <w:ind w:right="218"/>
              <w:jc w:val="right"/>
              <w:rPr>
                <w:rFonts w:ascii="Times New Roman" w:hAnsi="Times New Roman" w:cs="Times New Roman" w:eastAsia="Times New Roman" w:hint="default"/>
                <w:sz w:val="23"/>
                <w:szCs w:val="23"/>
              </w:rPr>
            </w:pPr>
            <w:r>
              <w:rPr>
                <w:rFonts w:ascii="Times New Roman"/>
                <w:w w:val="99"/>
                <w:sz w:val="23"/>
              </w:rPr>
              <w:t>-</w:t>
            </w:r>
            <w:r>
              <w:rPr>
                <w:rFonts w:ascii="Times New Roman"/>
                <w:sz w:val="23"/>
              </w:rPr>
            </w:r>
          </w:p>
        </w:tc>
        <w:tc>
          <w:tcPr>
            <w:tcW w:w="1317" w:type="dxa"/>
            <w:tcBorders>
              <w:top w:val="nil" w:sz="6" w:space="0" w:color="auto"/>
              <w:left w:val="nil" w:sz="6" w:space="0" w:color="auto"/>
              <w:bottom w:val="single" w:sz="6" w:space="0" w:color="000000"/>
              <w:right w:val="nil" w:sz="6" w:space="0" w:color="auto"/>
            </w:tcBorders>
          </w:tcPr>
          <w:p>
            <w:pPr>
              <w:pStyle w:val="TableParagraph"/>
              <w:spacing w:line="240" w:lineRule="auto" w:before="23"/>
              <w:ind w:right="123"/>
              <w:jc w:val="right"/>
              <w:rPr>
                <w:rFonts w:ascii="Times New Roman" w:hAnsi="Times New Roman" w:cs="Times New Roman" w:eastAsia="Times New Roman" w:hint="default"/>
                <w:sz w:val="23"/>
                <w:szCs w:val="23"/>
              </w:rPr>
            </w:pPr>
            <w:r>
              <w:rPr>
                <w:rFonts w:ascii="Times New Roman"/>
                <w:spacing w:val="-6"/>
                <w:w w:val="95"/>
                <w:sz w:val="23"/>
              </w:rPr>
              <w:t>20,501.45</w:t>
            </w:r>
            <w:r>
              <w:rPr>
                <w:rFonts w:ascii="Times New Roman"/>
                <w:spacing w:val="-6"/>
                <w:sz w:val="23"/>
              </w:rPr>
            </w:r>
          </w:p>
        </w:tc>
        <w:tc>
          <w:tcPr>
            <w:tcW w:w="1269" w:type="dxa"/>
            <w:tcBorders>
              <w:top w:val="nil" w:sz="6" w:space="0" w:color="auto"/>
              <w:left w:val="nil" w:sz="6" w:space="0" w:color="auto"/>
              <w:bottom w:val="single" w:sz="6" w:space="0" w:color="000000"/>
              <w:right w:val="nil" w:sz="6" w:space="0" w:color="auto"/>
            </w:tcBorders>
          </w:tcPr>
          <w:p>
            <w:pPr>
              <w:pStyle w:val="TableParagraph"/>
              <w:spacing w:line="240" w:lineRule="auto" w:before="23"/>
              <w:ind w:right="130"/>
              <w:jc w:val="right"/>
              <w:rPr>
                <w:rFonts w:ascii="Times New Roman" w:hAnsi="Times New Roman" w:cs="Times New Roman" w:eastAsia="Times New Roman" w:hint="default"/>
                <w:sz w:val="23"/>
                <w:szCs w:val="23"/>
              </w:rPr>
            </w:pPr>
            <w:r>
              <w:rPr>
                <w:rFonts w:ascii="Times New Roman"/>
                <w:spacing w:val="-5"/>
                <w:sz w:val="23"/>
              </w:rPr>
              <w:t>2,796.00</w:t>
            </w:r>
          </w:p>
        </w:tc>
        <w:tc>
          <w:tcPr>
            <w:tcW w:w="1363" w:type="dxa"/>
            <w:tcBorders>
              <w:top w:val="nil" w:sz="6" w:space="0" w:color="auto"/>
              <w:left w:val="nil" w:sz="6" w:space="0" w:color="auto"/>
              <w:bottom w:val="single" w:sz="6" w:space="0" w:color="000000"/>
              <w:right w:val="nil" w:sz="6" w:space="0" w:color="auto"/>
            </w:tcBorders>
          </w:tcPr>
          <w:p>
            <w:pPr>
              <w:pStyle w:val="TableParagraph"/>
              <w:spacing w:line="240" w:lineRule="auto" w:before="23"/>
              <w:ind w:right="77"/>
              <w:jc w:val="right"/>
              <w:rPr>
                <w:rFonts w:ascii="Times New Roman" w:hAnsi="Times New Roman" w:cs="Times New Roman" w:eastAsia="Times New Roman" w:hint="default"/>
                <w:sz w:val="23"/>
                <w:szCs w:val="23"/>
              </w:rPr>
            </w:pPr>
            <w:r>
              <w:rPr>
                <w:rFonts w:ascii="Times New Roman"/>
                <w:spacing w:val="-5"/>
                <w:sz w:val="23"/>
              </w:rPr>
              <w:t>17,705.45</w:t>
            </w:r>
          </w:p>
        </w:tc>
      </w:tr>
      <w:tr>
        <w:trPr>
          <w:trHeight w:val="387"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9"/>
              <w:jc w:val="center"/>
              <w:rPr>
                <w:rFonts w:ascii="宋体" w:hAnsi="宋体" w:cs="宋体" w:eastAsia="宋体" w:hint="default"/>
                <w:sz w:val="23"/>
                <w:szCs w:val="23"/>
              </w:rPr>
            </w:pPr>
            <w:r>
              <w:rPr>
                <w:rFonts w:ascii="宋体" w:hAnsi="宋体" w:cs="宋体" w:eastAsia="宋体" w:hint="default"/>
                <w:sz w:val="23"/>
                <w:szCs w:val="23"/>
              </w:rPr>
              <w:t>合</w:t>
            </w:r>
            <w:r>
              <w:rPr>
                <w:rFonts w:ascii="宋体" w:hAnsi="宋体" w:cs="宋体" w:eastAsia="宋体" w:hint="default"/>
                <w:spacing w:val="-25"/>
                <w:sz w:val="23"/>
                <w:szCs w:val="23"/>
              </w:rPr>
              <w:t> </w:t>
            </w:r>
            <w:r>
              <w:rPr>
                <w:rFonts w:ascii="宋体" w:hAnsi="宋体" w:cs="宋体" w:eastAsia="宋体" w:hint="default"/>
                <w:sz w:val="23"/>
                <w:szCs w:val="23"/>
              </w:rPr>
              <w:t>计</w:t>
            </w:r>
          </w:p>
        </w:tc>
        <w:tc>
          <w:tcPr>
            <w:tcW w:w="1550" w:type="dxa"/>
            <w:tcBorders>
              <w:top w:val="single" w:sz="6" w:space="0" w:color="000000"/>
              <w:left w:val="nil" w:sz="6" w:space="0" w:color="auto"/>
              <w:bottom w:val="single" w:sz="23" w:space="0" w:color="000000"/>
              <w:right w:val="nil" w:sz="6" w:space="0" w:color="auto"/>
            </w:tcBorders>
          </w:tcPr>
          <w:p>
            <w:pPr>
              <w:pStyle w:val="TableParagraph"/>
              <w:spacing w:line="240" w:lineRule="auto" w:before="62"/>
              <w:ind w:right="215"/>
              <w:jc w:val="right"/>
              <w:rPr>
                <w:rFonts w:ascii="Times New Roman" w:hAnsi="Times New Roman" w:cs="Times New Roman" w:eastAsia="Times New Roman" w:hint="default"/>
                <w:sz w:val="23"/>
                <w:szCs w:val="23"/>
              </w:rPr>
            </w:pPr>
            <w:r>
              <w:rPr>
                <w:rFonts w:ascii="Times New Roman"/>
                <w:spacing w:val="-5"/>
                <w:w w:val="95"/>
                <w:sz w:val="23"/>
              </w:rPr>
              <w:t>2,073,006.69</w:t>
            </w:r>
            <w:r>
              <w:rPr>
                <w:rFonts w:ascii="Times New Roman"/>
                <w:sz w:val="23"/>
              </w:rPr>
            </w:r>
          </w:p>
        </w:tc>
        <w:tc>
          <w:tcPr>
            <w:tcW w:w="1508" w:type="dxa"/>
            <w:tcBorders>
              <w:top w:val="single" w:sz="6" w:space="0" w:color="000000"/>
              <w:left w:val="nil" w:sz="6" w:space="0" w:color="auto"/>
              <w:bottom w:val="single" w:sz="23" w:space="0" w:color="000000"/>
              <w:right w:val="nil" w:sz="6" w:space="0" w:color="auto"/>
            </w:tcBorders>
          </w:tcPr>
          <w:p>
            <w:pPr>
              <w:pStyle w:val="TableParagraph"/>
              <w:spacing w:line="240" w:lineRule="auto" w:before="62"/>
              <w:ind w:right="193"/>
              <w:jc w:val="right"/>
              <w:rPr>
                <w:rFonts w:ascii="Times New Roman" w:hAnsi="Times New Roman" w:cs="Times New Roman" w:eastAsia="Times New Roman" w:hint="default"/>
                <w:sz w:val="23"/>
                <w:szCs w:val="23"/>
              </w:rPr>
            </w:pPr>
            <w:r>
              <w:rPr>
                <w:rFonts w:ascii="Times New Roman"/>
                <w:spacing w:val="-6"/>
                <w:w w:val="95"/>
                <w:sz w:val="23"/>
              </w:rPr>
              <w:t>1,275,993.02</w:t>
            </w:r>
            <w:r>
              <w:rPr>
                <w:rFonts w:ascii="Times New Roman"/>
                <w:spacing w:val="-6"/>
                <w:sz w:val="23"/>
              </w:rPr>
            </w:r>
          </w:p>
        </w:tc>
        <w:tc>
          <w:tcPr>
            <w:tcW w:w="1317" w:type="dxa"/>
            <w:tcBorders>
              <w:top w:val="single" w:sz="6" w:space="0" w:color="000000"/>
              <w:left w:val="nil" w:sz="6" w:space="0" w:color="auto"/>
              <w:bottom w:val="single" w:sz="23" w:space="0" w:color="000000"/>
              <w:right w:val="nil" w:sz="6" w:space="0" w:color="auto"/>
            </w:tcBorders>
          </w:tcPr>
          <w:p>
            <w:pPr>
              <w:pStyle w:val="TableParagraph"/>
              <w:spacing w:line="240" w:lineRule="auto" w:before="62"/>
              <w:ind w:right="166"/>
              <w:jc w:val="right"/>
              <w:rPr>
                <w:rFonts w:ascii="Times New Roman" w:hAnsi="Times New Roman" w:cs="Times New Roman" w:eastAsia="Times New Roman" w:hint="default"/>
                <w:sz w:val="23"/>
                <w:szCs w:val="23"/>
              </w:rPr>
            </w:pPr>
            <w:r>
              <w:rPr>
                <w:rFonts w:ascii="Times New Roman"/>
                <w:spacing w:val="-6"/>
                <w:sz w:val="23"/>
              </w:rPr>
              <w:t>183,934.77</w:t>
            </w:r>
          </w:p>
        </w:tc>
        <w:tc>
          <w:tcPr>
            <w:tcW w:w="1269" w:type="dxa"/>
            <w:tcBorders>
              <w:top w:val="single" w:sz="6" w:space="0" w:color="000000"/>
              <w:left w:val="nil" w:sz="6" w:space="0" w:color="auto"/>
              <w:bottom w:val="single" w:sz="23" w:space="0" w:color="000000"/>
              <w:right w:val="nil" w:sz="6" w:space="0" w:color="auto"/>
            </w:tcBorders>
          </w:tcPr>
          <w:p>
            <w:pPr>
              <w:pStyle w:val="TableParagraph"/>
              <w:spacing w:line="240" w:lineRule="auto" w:before="62"/>
              <w:ind w:right="159"/>
              <w:jc w:val="right"/>
              <w:rPr>
                <w:rFonts w:ascii="Times New Roman" w:hAnsi="Times New Roman" w:cs="Times New Roman" w:eastAsia="Times New Roman" w:hint="default"/>
                <w:sz w:val="23"/>
                <w:szCs w:val="23"/>
              </w:rPr>
            </w:pPr>
            <w:r>
              <w:rPr>
                <w:rFonts w:ascii="Times New Roman"/>
                <w:spacing w:val="-6"/>
                <w:sz w:val="23"/>
              </w:rPr>
              <w:t>360,387.43</w:t>
            </w:r>
          </w:p>
        </w:tc>
        <w:tc>
          <w:tcPr>
            <w:tcW w:w="1363" w:type="dxa"/>
            <w:tcBorders>
              <w:top w:val="single" w:sz="6" w:space="0" w:color="000000"/>
              <w:left w:val="nil" w:sz="6" w:space="0" w:color="auto"/>
              <w:bottom w:val="single" w:sz="23" w:space="0" w:color="000000"/>
              <w:right w:val="nil" w:sz="6" w:space="0" w:color="auto"/>
            </w:tcBorders>
          </w:tcPr>
          <w:p>
            <w:pPr>
              <w:pStyle w:val="TableParagraph"/>
              <w:spacing w:line="240" w:lineRule="auto" w:before="62"/>
              <w:ind w:right="78"/>
              <w:jc w:val="right"/>
              <w:rPr>
                <w:rFonts w:ascii="Times New Roman" w:hAnsi="Times New Roman" w:cs="Times New Roman" w:eastAsia="Times New Roman" w:hint="default"/>
                <w:sz w:val="23"/>
                <w:szCs w:val="23"/>
              </w:rPr>
            </w:pPr>
            <w:r>
              <w:rPr>
                <w:rFonts w:ascii="Times New Roman"/>
                <w:spacing w:val="-5"/>
                <w:w w:val="95"/>
                <w:sz w:val="23"/>
              </w:rPr>
              <w:t>1,099,540.36</w:t>
            </w:r>
            <w:r>
              <w:rPr>
                <w:rFonts w:ascii="Times New Roman"/>
                <w:spacing w:val="-5"/>
                <w:sz w:val="23"/>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3"/>
        <w:spacing w:line="368" w:lineRule="exact"/>
        <w:ind w:left="1021" w:right="1265"/>
        <w:jc w:val="left"/>
        <w:rPr>
          <w:b w:val="0"/>
          <w:bCs w:val="0"/>
        </w:rPr>
      </w:pPr>
      <w:r>
        <w:rPr/>
        <w:t>m)</w:t>
      </w:r>
      <w:r>
        <w:rPr>
          <w:spacing w:val="49"/>
        </w:rPr>
        <w:t> </w:t>
      </w:r>
      <w:r>
        <w:rPr/>
        <w:t>递延所得税资产</w:t>
      </w:r>
      <w:r>
        <w:rPr>
          <w:b w:val="0"/>
          <w:bCs w:val="0"/>
        </w:rPr>
      </w:r>
    </w:p>
    <w:p>
      <w:pPr>
        <w:pStyle w:val="BodyText"/>
        <w:spacing w:line="240" w:lineRule="auto" w:before="94"/>
        <w:ind w:left="957" w:right="1265"/>
        <w:jc w:val="left"/>
      </w:pPr>
      <w:r>
        <w:rPr/>
        <w:t>（1）递延所得税资产明细情况</w:t>
      </w:r>
    </w:p>
    <w:p>
      <w:pPr>
        <w:spacing w:after="0" w:line="240" w:lineRule="auto"/>
        <w:jc w:val="left"/>
        <w:sectPr>
          <w:type w:val="continuous"/>
          <w:pgSz w:w="11910" w:h="16840"/>
          <w:pgMar w:top="1060" w:bottom="1460" w:left="1320" w:right="520"/>
        </w:sectPr>
      </w:pPr>
    </w:p>
    <w:p>
      <w:pPr>
        <w:tabs>
          <w:tab w:pos="2689" w:val="left" w:leader="none"/>
          <w:tab w:pos="5946" w:val="left" w:leader="none"/>
          <w:tab w:pos="8047" w:val="left" w:leader="none"/>
        </w:tabs>
        <w:spacing w:line="390" w:lineRule="atLeast" w:before="29"/>
        <w:ind w:left="179" w:right="592" w:firstLine="2059"/>
        <w:jc w:val="left"/>
        <w:rPr>
          <w:rFonts w:ascii="宋体" w:hAnsi="宋体" w:cs="宋体" w:eastAsia="宋体" w:hint="default"/>
          <w:sz w:val="22"/>
          <w:szCs w:val="22"/>
        </w:rPr>
      </w:pPr>
      <w:r>
        <w:rPr/>
        <w:pict>
          <v:group style="position:absolute;margin-left:88.019981pt;margin-top:41.999668pt;width:419.35pt;height:16.4pt;mso-position-horizontal-relative:page;mso-position-vertical-relative:page;z-index:-59147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pict>
          <v:group style="position:absolute;margin-left:89.910004pt;margin-top:25.133438pt;width:243.2pt;height:1.45pt;mso-position-horizontal-relative:page;mso-position-vertical-relative:paragraph;z-index:-591448" coordorigin="1798,503" coordsize="4864,29">
            <v:group style="position:absolute;left:1812;top:503;width:4836;height:2" coordorigin="1812,503" coordsize="4836,2">
              <v:shape style="position:absolute;left:1812;top:503;width:4836;height:2" coordorigin="1812,503" coordsize="4836,0" path="m1812,503l6648,503e" filled="false" stroked="true" strokeweight=".06pt" strokecolor="#000000">
                <v:path arrowok="t"/>
              </v:shape>
            </v:group>
            <v:group style="position:absolute;left:1812;top:517;width:4836;height:2" coordorigin="1812,517" coordsize="4836,2">
              <v:shape style="position:absolute;left:1812;top:517;width:4836;height:2" coordorigin="1812,517" coordsize="4836,0" path="m1812,517l6648,517e" filled="false" stroked="true" strokeweight="1.38pt" strokecolor="#000000">
                <v:path arrowok="t"/>
              </v:shape>
            </v:group>
            <w10:wrap type="none"/>
          </v:group>
        </w:pict>
      </w:r>
      <w:r>
        <w:rPr/>
        <w:pict>
          <v:group style="position:absolute;margin-left:354.269989pt;margin-top:25.133438pt;width:84.6pt;height:1.45pt;mso-position-horizontal-relative:page;mso-position-vertical-relative:paragraph;z-index:-591424" coordorigin="7085,503" coordsize="1692,29">
            <v:group style="position:absolute;left:7099;top:503;width:1665;height:2" coordorigin="7099,503" coordsize="1665,2">
              <v:shape style="position:absolute;left:7099;top:503;width:1665;height:2" coordorigin="7099,503" coordsize="1665,0" path="m7099,503l8764,503e" filled="false" stroked="true" strokeweight=".06pt" strokecolor="#000000">
                <v:path arrowok="t"/>
              </v:shape>
            </v:group>
            <v:group style="position:absolute;left:7099;top:517;width:1665;height:2" coordorigin="7099,517" coordsize="1665,2">
              <v:shape style="position:absolute;left:7099;top:517;width:1665;height:2" coordorigin="7099,517" coordsize="1665,0" path="m7099,517l8764,517e" filled="false" stroked="true" strokeweight="1.38pt" strokecolor="#000000">
                <v:path arrowok="t"/>
              </v:shape>
            </v:group>
            <w10:wrap type="none"/>
          </v:group>
        </w:pict>
      </w:r>
      <w:r>
        <w:rPr/>
        <w:pict>
          <v:group style="position:absolute;margin-left:460.049988pt;margin-top:25.133438pt;width:82.45pt;height:1.45pt;mso-position-horizontal-relative:page;mso-position-vertical-relative:paragraph;z-index:-591400" coordorigin="9201,503" coordsize="1649,29">
            <v:group style="position:absolute;left:9215;top:503;width:1622;height:2" coordorigin="9215,503" coordsize="1622,2">
              <v:shape style="position:absolute;left:9215;top:503;width:1622;height:2" coordorigin="9215,503" coordsize="1622,0" path="m9215,503l10836,503e" filled="false" stroked="true" strokeweight=".06pt" strokecolor="#000000">
                <v:path arrowok="t"/>
              </v:shape>
            </v:group>
            <v:group style="position:absolute;left:9215;top:517;width:1622;height:2" coordorigin="9215,517" coordsize="1622,2">
              <v:shape style="position:absolute;left:9215;top:517;width:1622;height:2" coordorigin="9215,517" coordsize="1622,0" path="m9215,517l10836,517e" filled="false" stroked="true" strokeweight="1.38pt" strokecolor="#000000">
                <v:path arrowok="t"/>
              </v:shape>
            </v:group>
            <w10:wrap type="none"/>
          </v:group>
        </w:pict>
      </w:r>
      <w:r>
        <w:rPr>
          <w:rFonts w:ascii="宋体" w:hAnsi="宋体" w:cs="宋体" w:eastAsia="宋体" w:hint="default"/>
          <w:sz w:val="22"/>
          <w:szCs w:val="22"/>
        </w:rPr>
        <w:t>项</w:t>
        <w:tab/>
        <w:t>目</w:t>
        <w:tab/>
      </w:r>
      <w:r>
        <w:rPr>
          <w:rFonts w:ascii="宋体" w:hAnsi="宋体" w:cs="宋体" w:eastAsia="宋体" w:hint="default"/>
          <w:spacing w:val="-5"/>
          <w:sz w:val="22"/>
          <w:szCs w:val="22"/>
        </w:rPr>
        <w:t>期末数</w:t>
        <w:tab/>
        <w:t>期初数</w:t>
      </w:r>
      <w:r>
        <w:rPr>
          <w:rFonts w:ascii="宋体" w:hAnsi="宋体" w:cs="宋体" w:eastAsia="宋体" w:hint="default"/>
          <w:w w:val="102"/>
          <w:sz w:val="22"/>
          <w:szCs w:val="22"/>
        </w:rPr>
        <w:t> </w:t>
      </w:r>
      <w:r>
        <w:rPr>
          <w:rFonts w:ascii="宋体" w:hAnsi="宋体" w:cs="宋体" w:eastAsia="宋体" w:hint="default"/>
          <w:spacing w:val="2"/>
          <w:w w:val="105"/>
          <w:sz w:val="22"/>
          <w:szCs w:val="22"/>
        </w:rPr>
        <w:t>因资产的账面价值与计税基础不同而形成的递延</w:t>
      </w:r>
      <w:r>
        <w:rPr>
          <w:rFonts w:ascii="宋体" w:hAnsi="宋体" w:cs="宋体" w:eastAsia="宋体" w:hint="default"/>
          <w:spacing w:val="2"/>
          <w:sz w:val="22"/>
          <w:szCs w:val="22"/>
        </w:rPr>
      </w:r>
    </w:p>
    <w:p>
      <w:pPr>
        <w:tabs>
          <w:tab w:pos="5862" w:val="left" w:leader="none"/>
          <w:tab w:pos="8089" w:val="left" w:leader="none"/>
        </w:tabs>
        <w:spacing w:line="270" w:lineRule="exact" w:before="0"/>
        <w:ind w:left="179" w:right="0" w:firstLine="0"/>
        <w:jc w:val="left"/>
        <w:rPr>
          <w:rFonts w:ascii="Times New Roman" w:hAnsi="Times New Roman" w:cs="Times New Roman" w:eastAsia="Times New Roman" w:hint="default"/>
          <w:sz w:val="22"/>
          <w:szCs w:val="22"/>
        </w:rPr>
      </w:pPr>
      <w:r>
        <w:rPr>
          <w:rFonts w:ascii="宋体" w:hAnsi="宋体" w:cs="宋体" w:eastAsia="宋体" w:hint="default"/>
          <w:spacing w:val="-3"/>
          <w:position w:val="-14"/>
          <w:sz w:val="22"/>
          <w:szCs w:val="22"/>
        </w:rPr>
        <w:t>所得税资产</w:t>
        <w:tab/>
      </w:r>
      <w:r>
        <w:rPr>
          <w:rFonts w:ascii="Times New Roman" w:hAnsi="Times New Roman" w:cs="Times New Roman" w:eastAsia="Times New Roman" w:hint="default"/>
          <w:spacing w:val="-3"/>
          <w:sz w:val="22"/>
          <w:szCs w:val="22"/>
        </w:rPr>
        <w:t>1,067,458.47</w:t>
        <w:tab/>
      </w:r>
      <w:r>
        <w:rPr>
          <w:rFonts w:ascii="Times New Roman" w:hAnsi="Times New Roman" w:cs="Times New Roman" w:eastAsia="Times New Roman" w:hint="default"/>
          <w:spacing w:val="-3"/>
          <w:w w:val="105"/>
          <w:sz w:val="22"/>
          <w:szCs w:val="22"/>
        </w:rPr>
        <w:t>632,671.10</w:t>
      </w:r>
      <w:r>
        <w:rPr>
          <w:rFonts w:ascii="Times New Roman" w:hAnsi="Times New Roman" w:cs="Times New Roman" w:eastAsia="Times New Roman" w:hint="default"/>
          <w:spacing w:val="-3"/>
          <w:sz w:val="22"/>
          <w:szCs w:val="22"/>
        </w:rPr>
      </w:r>
    </w:p>
    <w:p>
      <w:pPr>
        <w:spacing w:line="229" w:lineRule="exact" w:before="35"/>
        <w:ind w:left="179" w:right="0" w:firstLine="0"/>
        <w:jc w:val="left"/>
        <w:rPr>
          <w:rFonts w:ascii="宋体" w:hAnsi="宋体" w:cs="宋体" w:eastAsia="宋体" w:hint="default"/>
          <w:sz w:val="22"/>
          <w:szCs w:val="22"/>
        </w:rPr>
      </w:pPr>
      <w:r>
        <w:rPr>
          <w:rFonts w:ascii="宋体" w:hAnsi="宋体" w:cs="宋体" w:eastAsia="宋体" w:hint="default"/>
          <w:spacing w:val="2"/>
          <w:w w:val="105"/>
          <w:sz w:val="22"/>
          <w:szCs w:val="22"/>
        </w:rPr>
        <w:t>因负债的账面价值与计税基础不同而形成的递延</w:t>
      </w:r>
      <w:r>
        <w:rPr>
          <w:rFonts w:ascii="宋体" w:hAnsi="宋体" w:cs="宋体" w:eastAsia="宋体" w:hint="default"/>
          <w:spacing w:val="2"/>
          <w:sz w:val="22"/>
          <w:szCs w:val="22"/>
        </w:rPr>
      </w:r>
    </w:p>
    <w:p>
      <w:pPr>
        <w:tabs>
          <w:tab w:pos="6792" w:val="left" w:leader="none"/>
          <w:tab w:pos="8907" w:val="left" w:leader="none"/>
        </w:tabs>
        <w:spacing w:line="327" w:lineRule="exact" w:before="0"/>
        <w:ind w:left="179" w:right="0" w:firstLine="0"/>
        <w:jc w:val="left"/>
        <w:rPr>
          <w:rFonts w:ascii="Times New Roman" w:hAnsi="Times New Roman" w:cs="Times New Roman" w:eastAsia="Times New Roman" w:hint="default"/>
          <w:sz w:val="22"/>
          <w:szCs w:val="22"/>
        </w:rPr>
      </w:pPr>
      <w:r>
        <w:rPr>
          <w:rFonts w:ascii="宋体" w:hAnsi="宋体" w:cs="宋体" w:eastAsia="宋体" w:hint="default"/>
          <w:spacing w:val="-3"/>
          <w:sz w:val="22"/>
          <w:szCs w:val="22"/>
        </w:rPr>
        <w:t>所得税资产</w:t>
        <w:tab/>
      </w:r>
      <w:r>
        <w:rPr>
          <w:rFonts w:ascii="Times New Roman" w:hAnsi="Times New Roman" w:cs="Times New Roman" w:eastAsia="Times New Roman" w:hint="default"/>
          <w:position w:val="15"/>
          <w:sz w:val="22"/>
          <w:szCs w:val="22"/>
        </w:rPr>
        <w:t>-</w:t>
        <w:tab/>
      </w:r>
      <w:r>
        <w:rPr>
          <w:rFonts w:ascii="Times New Roman" w:hAnsi="Times New Roman" w:cs="Times New Roman" w:eastAsia="Times New Roman" w:hint="default"/>
          <w:w w:val="105"/>
          <w:position w:val="15"/>
          <w:sz w:val="22"/>
          <w:szCs w:val="22"/>
        </w:rPr>
        <w:t>-</w:t>
      </w:r>
      <w:r>
        <w:rPr>
          <w:rFonts w:ascii="Times New Roman" w:hAnsi="Times New Roman" w:cs="Times New Roman" w:eastAsia="Times New Roman" w:hint="default"/>
          <w:sz w:val="22"/>
          <w:szCs w:val="22"/>
        </w:rPr>
      </w:r>
    </w:p>
    <w:p>
      <w:pPr>
        <w:spacing w:line="240" w:lineRule="auto" w:before="5"/>
        <w:rPr>
          <w:rFonts w:ascii="Times New Roman" w:hAnsi="Times New Roman" w:cs="Times New Roman" w:eastAsia="Times New Roman" w:hint="default"/>
          <w:sz w:val="2"/>
          <w:szCs w:val="2"/>
        </w:rPr>
      </w:pPr>
    </w:p>
    <w:p>
      <w:pPr>
        <w:tabs>
          <w:tab w:pos="7548" w:val="left" w:leader="none"/>
        </w:tabs>
        <w:spacing w:line="20" w:lineRule="exact"/>
        <w:ind w:left="5432" w:right="0" w:firstLine="0"/>
        <w:rPr>
          <w:rFonts w:ascii="Times New Roman" w:hAnsi="Times New Roman" w:cs="Times New Roman" w:eastAsia="Times New Roman" w:hint="default"/>
          <w:sz w:val="2"/>
          <w:szCs w:val="2"/>
        </w:rPr>
      </w:pPr>
      <w:r>
        <w:rPr>
          <w:rFonts w:ascii="Times New Roman"/>
          <w:sz w:val="2"/>
        </w:rPr>
        <w:pict>
          <v:group style="width:83.9pt;height:.7pt;mso-position-horizontal-relative:char;mso-position-vertical-relative:line" coordorigin="0,0" coordsize="1678,14">
            <v:group style="position:absolute;left:7;top:1;width:1665;height:2" coordorigin="7,1" coordsize="1665,2">
              <v:shape style="position:absolute;left:7;top:1;width:1665;height:2" coordorigin="7,1" coordsize="1665,0" path="m7,1l1671,1e" filled="false" stroked="true" strokeweight=".06pt" strokecolor="#000000">
                <v:path arrowok="t"/>
              </v:shape>
            </v:group>
            <v:group style="position:absolute;left:7;top:7;width:1665;height:2" coordorigin="7,7" coordsize="1665,2">
              <v:shape style="position:absolute;left:7;top:7;width:1665;height:2" coordorigin="7,7" coordsize="1665,0" path="m7,7l1671,7e" filled="false" stroked="true" strokeweight=".65997pt" strokecolor="#000000">
                <v:path arrowok="t"/>
              </v:shape>
            </v:group>
          </v:group>
        </w:pict>
      </w:r>
      <w:r>
        <w:rPr>
          <w:rFonts w:ascii="Times New Roman"/>
          <w:sz w:val="2"/>
        </w:rPr>
      </w:r>
      <w:r>
        <w:rPr>
          <w:rFonts w:ascii="Times New Roman"/>
          <w:sz w:val="2"/>
        </w:rPr>
        <w:tab/>
      </w:r>
      <w:r>
        <w:rPr>
          <w:rFonts w:ascii="Times New Roman"/>
          <w:sz w:val="2"/>
        </w:rPr>
        <w:pict>
          <v:group style="width:81.75pt;height:.7pt;mso-position-horizontal-relative:char;mso-position-vertical-relative:line" coordorigin="0,0" coordsize="1635,14">
            <v:group style="position:absolute;left:7;top:1;width:1622;height:2" coordorigin="7,1" coordsize="1622,2">
              <v:shape style="position:absolute;left:7;top:1;width:1622;height:2" coordorigin="7,1" coordsize="1622,0" path="m7,1l1628,1e" filled="false" stroked="true" strokeweight=".06pt" strokecolor="#000000">
                <v:path arrowok="t"/>
              </v:shape>
            </v:group>
            <v:group style="position:absolute;left:7;top:7;width:1622;height:2" coordorigin="7,7" coordsize="1622,2">
              <v:shape style="position:absolute;left:7;top:7;width:1622;height:2" coordorigin="7,7" coordsize="1622,0" path="m7,7l1628,7e" filled="false" stroked="true" strokeweight=".65997pt" strokecolor="#000000">
                <v:path arrowok="t"/>
              </v:shape>
            </v:group>
          </v:group>
        </w:pict>
      </w:r>
      <w:r>
        <w:rPr>
          <w:rFonts w:ascii="Times New Roman"/>
          <w:sz w:val="2"/>
        </w:rPr>
      </w:r>
    </w:p>
    <w:p>
      <w:pPr>
        <w:tabs>
          <w:tab w:pos="2689" w:val="left" w:leader="none"/>
          <w:tab w:pos="5862" w:val="left" w:leader="none"/>
          <w:tab w:pos="8089" w:val="left" w:leader="none"/>
        </w:tabs>
        <w:spacing w:before="29"/>
        <w:ind w:left="2238" w:right="0" w:firstLine="0"/>
        <w:jc w:val="left"/>
        <w:rPr>
          <w:rFonts w:ascii="Times New Roman" w:hAnsi="Times New Roman" w:cs="Times New Roman" w:eastAsia="Times New Roman" w:hint="default"/>
          <w:sz w:val="22"/>
          <w:szCs w:val="22"/>
        </w:rPr>
      </w:pPr>
      <w:r>
        <w:rPr>
          <w:rFonts w:ascii="宋体" w:hAnsi="宋体" w:cs="宋体" w:eastAsia="宋体" w:hint="default"/>
          <w:position w:val="-1"/>
          <w:sz w:val="22"/>
          <w:szCs w:val="22"/>
        </w:rPr>
        <w:t>合</w:t>
        <w:tab/>
        <w:t>计</w:t>
        <w:tab/>
      </w:r>
      <w:r>
        <w:rPr>
          <w:rFonts w:ascii="Times New Roman" w:hAnsi="Times New Roman" w:cs="Times New Roman" w:eastAsia="Times New Roman" w:hint="default"/>
          <w:spacing w:val="-3"/>
          <w:sz w:val="22"/>
          <w:szCs w:val="22"/>
        </w:rPr>
        <w:t>1,067,458.47</w:t>
        <w:tab/>
      </w:r>
      <w:r>
        <w:rPr>
          <w:rFonts w:ascii="Times New Roman" w:hAnsi="Times New Roman" w:cs="Times New Roman" w:eastAsia="Times New Roman" w:hint="default"/>
          <w:spacing w:val="-3"/>
          <w:w w:val="105"/>
          <w:sz w:val="22"/>
          <w:szCs w:val="22"/>
        </w:rPr>
        <w:t>632,671.10</w:t>
      </w:r>
      <w:r>
        <w:rPr>
          <w:rFonts w:ascii="Times New Roman" w:hAnsi="Times New Roman" w:cs="Times New Roman" w:eastAsia="Times New Roman" w:hint="default"/>
          <w:spacing w:val="-3"/>
          <w:sz w:val="22"/>
          <w:szCs w:val="22"/>
        </w:rPr>
      </w:r>
    </w:p>
    <w:p>
      <w:pPr>
        <w:spacing w:line="240" w:lineRule="auto" w:before="9"/>
        <w:rPr>
          <w:rFonts w:ascii="Times New Roman" w:hAnsi="Times New Roman" w:cs="Times New Roman" w:eastAsia="Times New Roman" w:hint="default"/>
          <w:sz w:val="3"/>
          <w:szCs w:val="3"/>
        </w:rPr>
      </w:pPr>
    </w:p>
    <w:p>
      <w:pPr>
        <w:tabs>
          <w:tab w:pos="7547" w:val="left" w:leader="none"/>
        </w:tabs>
        <w:spacing w:line="56" w:lineRule="exact"/>
        <w:ind w:left="5432" w:right="0" w:firstLine="0"/>
        <w:rPr>
          <w:rFonts w:ascii="Times New Roman" w:hAnsi="Times New Roman" w:cs="Times New Roman" w:eastAsia="Times New Roman" w:hint="default"/>
          <w:sz w:val="5"/>
          <w:szCs w:val="5"/>
        </w:rPr>
      </w:pPr>
      <w:r>
        <w:rPr>
          <w:rFonts w:ascii="Times New Roman"/>
          <w:position w:val="0"/>
          <w:sz w:val="5"/>
        </w:rPr>
        <w:pict>
          <v:group style="width:83.95pt;height:2.85pt;mso-position-horizontal-relative:char;mso-position-vertical-relative:line" coordorigin="0,0" coordsize="1679,57">
            <v:group style="position:absolute;left:7;top:7;width:1665;height:2" coordorigin="7,7" coordsize="1665,2">
              <v:shape style="position:absolute;left:7;top:7;width:1665;height:2" coordorigin="7,7" coordsize="1665,0" path="m7,7l1672,7e" filled="false" stroked="true" strokeweight=".72003pt" strokecolor="#000000">
                <v:path arrowok="t"/>
              </v:shape>
            </v:group>
            <v:group style="position:absolute;left:7;top:49;width:1665;height:2" coordorigin="7,49" coordsize="1665,2">
              <v:shape style="position:absolute;left:7;top:49;width:1665;height:2" coordorigin="7,49" coordsize="1665,0" path="m7,49l1672,49e" filled="false" stroked="true" strokeweight=".72003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81.8pt;height:2.85pt;mso-position-horizontal-relative:char;mso-position-vertical-relative:line" coordorigin="0,0" coordsize="1636,57">
            <v:group style="position:absolute;left:7;top:7;width:1622;height:2" coordorigin="7,7" coordsize="1622,2">
              <v:shape style="position:absolute;left:7;top:7;width:1622;height:2" coordorigin="7,7" coordsize="1622,0" path="m7,7l1628,7e" filled="false" stroked="true" strokeweight=".72003pt" strokecolor="#000000">
                <v:path arrowok="t"/>
              </v:shape>
            </v:group>
            <v:group style="position:absolute;left:7;top:49;width:1622;height:2" coordorigin="7,49" coordsize="1622,2">
              <v:shape style="position:absolute;left:7;top:49;width:1622;height:2" coordorigin="7,49" coordsize="1622,0" path="m7,49l1628,49e" filled="false" stroked="true" strokeweight=".72003pt" strokecolor="#000000">
                <v:path arrowok="t"/>
              </v:shape>
            </v:group>
          </v:group>
        </w:pict>
      </w:r>
      <w:r>
        <w:rPr>
          <w:rFonts w:ascii="Times New Roman"/>
          <w:position w:val="0"/>
          <w:sz w:val="5"/>
        </w:rPr>
      </w:r>
    </w:p>
    <w:p>
      <w:pPr>
        <w:pStyle w:val="BodyText"/>
        <w:spacing w:line="310" w:lineRule="exact" w:before="92"/>
        <w:ind w:right="842" w:firstLine="598"/>
        <w:jc w:val="left"/>
      </w:pPr>
      <w:r>
        <w:rPr/>
        <w:t>递延所得税资产年末数比年初数增加</w:t>
      </w:r>
      <w:r>
        <w:rPr>
          <w:spacing w:val="-36"/>
        </w:rPr>
        <w:t> </w:t>
      </w:r>
      <w:r>
        <w:rPr>
          <w:spacing w:val="-3"/>
        </w:rPr>
        <w:t>68.72%，其主要原因是本年新设立的</w:t>
      </w:r>
      <w:r>
        <w:rPr>
          <w:spacing w:val="-1"/>
          <w:w w:val="100"/>
        </w:rPr>
        <w:t> </w:t>
      </w:r>
      <w:r>
        <w:rPr/>
        <w:t>子公司开办费形成了递延所得税资产所致。</w:t>
      </w:r>
    </w:p>
    <w:p>
      <w:pPr>
        <w:pStyle w:val="BodyText"/>
        <w:spacing w:line="240" w:lineRule="auto" w:before="80"/>
        <w:ind w:left="617" w:right="0"/>
        <w:jc w:val="left"/>
      </w:pPr>
      <w:r>
        <w:rPr>
          <w:spacing w:val="-2"/>
        </w:rPr>
        <w:t>（2）暂时性差异明细情况</w:t>
      </w:r>
      <w:r>
        <w:rPr/>
      </w:r>
    </w:p>
    <w:p>
      <w:pPr>
        <w:spacing w:line="240" w:lineRule="auto" w:before="2"/>
        <w:rPr>
          <w:rFonts w:ascii="宋体" w:hAnsi="宋体" w:cs="宋体" w:eastAsia="宋体" w:hint="default"/>
          <w:sz w:val="6"/>
          <w:szCs w:val="6"/>
        </w:rPr>
      </w:pPr>
    </w:p>
    <w:tbl>
      <w:tblPr>
        <w:tblW w:w="0" w:type="auto"/>
        <w:jc w:val="left"/>
        <w:tblInd w:w="153" w:type="dxa"/>
        <w:tblLayout w:type="fixed"/>
        <w:tblCellMar>
          <w:top w:w="0" w:type="dxa"/>
          <w:left w:w="0" w:type="dxa"/>
          <w:bottom w:w="0" w:type="dxa"/>
          <w:right w:w="0" w:type="dxa"/>
        </w:tblCellMar>
        <w:tblLook w:val="01E0"/>
      </w:tblPr>
      <w:tblGrid>
        <w:gridCol w:w="1595"/>
        <w:gridCol w:w="839"/>
        <w:gridCol w:w="2417"/>
        <w:gridCol w:w="448"/>
        <w:gridCol w:w="1650"/>
        <w:gridCol w:w="294"/>
        <w:gridCol w:w="1692"/>
      </w:tblGrid>
      <w:tr>
        <w:trPr>
          <w:trHeight w:val="398" w:hRule="exact"/>
        </w:trPr>
        <w:tc>
          <w:tcPr>
            <w:tcW w:w="1595" w:type="dxa"/>
            <w:tcBorders>
              <w:top w:val="nil" w:sz="6" w:space="0" w:color="auto"/>
              <w:left w:val="nil" w:sz="6" w:space="0" w:color="auto"/>
              <w:bottom w:val="single" w:sz="12" w:space="0" w:color="000000"/>
              <w:right w:val="nil" w:sz="6" w:space="0" w:color="auto"/>
            </w:tcBorders>
          </w:tcPr>
          <w:p>
            <w:pPr/>
          </w:p>
        </w:tc>
        <w:tc>
          <w:tcPr>
            <w:tcW w:w="839"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50"/>
              <w:jc w:val="right"/>
              <w:rPr>
                <w:rFonts w:ascii="宋体" w:hAnsi="宋体" w:cs="宋体" w:eastAsia="宋体" w:hint="default"/>
                <w:sz w:val="22"/>
                <w:szCs w:val="22"/>
              </w:rPr>
            </w:pPr>
            <w:r>
              <w:rPr>
                <w:rFonts w:ascii="宋体" w:hAnsi="宋体" w:cs="宋体" w:eastAsia="宋体" w:hint="default"/>
                <w:w w:val="103"/>
                <w:sz w:val="22"/>
                <w:szCs w:val="22"/>
              </w:rPr>
              <w:t>项</w:t>
            </w:r>
            <w:r>
              <w:rPr>
                <w:rFonts w:ascii="宋体" w:hAnsi="宋体" w:cs="宋体" w:eastAsia="宋体" w:hint="default"/>
                <w:sz w:val="22"/>
                <w:szCs w:val="22"/>
              </w:rPr>
            </w:r>
          </w:p>
        </w:tc>
        <w:tc>
          <w:tcPr>
            <w:tcW w:w="2417"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left="152" w:right="0"/>
              <w:jc w:val="left"/>
              <w:rPr>
                <w:rFonts w:ascii="宋体" w:hAnsi="宋体" w:cs="宋体" w:eastAsia="宋体" w:hint="default"/>
                <w:sz w:val="22"/>
                <w:szCs w:val="22"/>
              </w:rPr>
            </w:pPr>
            <w:r>
              <w:rPr>
                <w:rFonts w:ascii="宋体" w:hAnsi="宋体" w:cs="宋体" w:eastAsia="宋体" w:hint="default"/>
                <w:w w:val="103"/>
                <w:sz w:val="22"/>
                <w:szCs w:val="22"/>
              </w:rPr>
              <w:t>目</w:t>
            </w:r>
            <w:r>
              <w:rPr>
                <w:rFonts w:ascii="宋体" w:hAnsi="宋体" w:cs="宋体" w:eastAsia="宋体" w:hint="default"/>
                <w:sz w:val="22"/>
                <w:szCs w:val="22"/>
              </w:rPr>
            </w:r>
          </w:p>
        </w:tc>
        <w:tc>
          <w:tcPr>
            <w:tcW w:w="448"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left="503" w:right="0"/>
              <w:jc w:val="left"/>
              <w:rPr>
                <w:rFonts w:ascii="宋体" w:hAnsi="宋体" w:cs="宋体" w:eastAsia="宋体" w:hint="default"/>
                <w:sz w:val="22"/>
                <w:szCs w:val="22"/>
              </w:rPr>
            </w:pPr>
            <w:r>
              <w:rPr>
                <w:rFonts w:ascii="宋体" w:hAnsi="宋体" w:cs="宋体" w:eastAsia="宋体" w:hint="default"/>
                <w:spacing w:val="-13"/>
                <w:w w:val="105"/>
                <w:sz w:val="22"/>
                <w:szCs w:val="22"/>
              </w:rPr>
              <w:t>年末数</w:t>
            </w:r>
            <w:r>
              <w:rPr>
                <w:rFonts w:ascii="宋体" w:hAnsi="宋体" w:cs="宋体" w:eastAsia="宋体" w:hint="default"/>
                <w:sz w:val="22"/>
                <w:szCs w:val="22"/>
              </w:rPr>
            </w:r>
          </w:p>
        </w:tc>
        <w:tc>
          <w:tcPr>
            <w:tcW w:w="29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left="531" w:right="0"/>
              <w:jc w:val="left"/>
              <w:rPr>
                <w:rFonts w:ascii="宋体" w:hAnsi="宋体" w:cs="宋体" w:eastAsia="宋体" w:hint="default"/>
                <w:sz w:val="22"/>
                <w:szCs w:val="22"/>
              </w:rPr>
            </w:pPr>
            <w:r>
              <w:rPr>
                <w:rFonts w:ascii="宋体" w:hAnsi="宋体" w:cs="宋体" w:eastAsia="宋体" w:hint="default"/>
                <w:spacing w:val="-7"/>
                <w:w w:val="105"/>
                <w:sz w:val="22"/>
                <w:szCs w:val="22"/>
              </w:rPr>
              <w:t>年初数</w:t>
            </w:r>
            <w:r>
              <w:rPr>
                <w:rFonts w:ascii="宋体" w:hAnsi="宋体" w:cs="宋体" w:eastAsia="宋体" w:hint="default"/>
                <w:spacing w:val="-7"/>
                <w:sz w:val="22"/>
                <w:szCs w:val="22"/>
              </w:rPr>
            </w:r>
          </w:p>
        </w:tc>
      </w:tr>
      <w:tr>
        <w:trPr>
          <w:trHeight w:val="429" w:hRule="exact"/>
        </w:trPr>
        <w:tc>
          <w:tcPr>
            <w:tcW w:w="1595" w:type="dxa"/>
            <w:tcBorders>
              <w:top w:val="single" w:sz="12" w:space="0" w:color="000000"/>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22"/>
                <w:szCs w:val="22"/>
              </w:rPr>
            </w:pPr>
            <w:r>
              <w:rPr>
                <w:rFonts w:ascii="宋体" w:hAnsi="宋体" w:cs="宋体" w:eastAsia="宋体" w:hint="default"/>
                <w:spacing w:val="-6"/>
                <w:w w:val="105"/>
                <w:sz w:val="22"/>
                <w:szCs w:val="22"/>
              </w:rPr>
              <w:t>应收账款</w:t>
            </w:r>
            <w:r>
              <w:rPr>
                <w:rFonts w:ascii="宋体" w:hAnsi="宋体" w:cs="宋体" w:eastAsia="宋体" w:hint="default"/>
                <w:spacing w:val="-6"/>
                <w:sz w:val="22"/>
                <w:szCs w:val="22"/>
              </w:rPr>
            </w:r>
          </w:p>
        </w:tc>
        <w:tc>
          <w:tcPr>
            <w:tcW w:w="839" w:type="dxa"/>
            <w:tcBorders>
              <w:top w:val="single" w:sz="12" w:space="0" w:color="000000"/>
              <w:left w:val="nil" w:sz="6" w:space="0" w:color="auto"/>
              <w:bottom w:val="nil" w:sz="6" w:space="0" w:color="auto"/>
              <w:right w:val="nil" w:sz="6" w:space="0" w:color="auto"/>
            </w:tcBorders>
          </w:tcPr>
          <w:p>
            <w:pPr/>
          </w:p>
        </w:tc>
        <w:tc>
          <w:tcPr>
            <w:tcW w:w="2417" w:type="dxa"/>
            <w:tcBorders>
              <w:top w:val="single" w:sz="12" w:space="0" w:color="000000"/>
              <w:left w:val="nil" w:sz="6" w:space="0" w:color="auto"/>
              <w:bottom w:val="nil" w:sz="6" w:space="0" w:color="auto"/>
              <w:right w:val="nil" w:sz="6" w:space="0" w:color="auto"/>
            </w:tcBorders>
          </w:tcPr>
          <w:p>
            <w:pPr/>
          </w:p>
        </w:tc>
        <w:tc>
          <w:tcPr>
            <w:tcW w:w="448" w:type="dxa"/>
            <w:tcBorders>
              <w:top w:val="nil" w:sz="6" w:space="0" w:color="auto"/>
              <w:left w:val="nil" w:sz="6" w:space="0" w:color="auto"/>
              <w:bottom w:val="nil" w:sz="6" w:space="0" w:color="auto"/>
              <w:right w:val="nil" w:sz="6" w:space="0" w:color="auto"/>
            </w:tcBorders>
          </w:tcPr>
          <w:p>
            <w:pPr/>
          </w:p>
        </w:tc>
        <w:tc>
          <w:tcPr>
            <w:tcW w:w="1650" w:type="dxa"/>
            <w:tcBorders>
              <w:top w:val="single" w:sz="12" w:space="0" w:color="000000"/>
              <w:left w:val="nil" w:sz="6" w:space="0" w:color="auto"/>
              <w:bottom w:val="nil" w:sz="6" w:space="0" w:color="auto"/>
              <w:right w:val="nil" w:sz="6" w:space="0" w:color="auto"/>
            </w:tcBorders>
          </w:tcPr>
          <w:p>
            <w:pPr>
              <w:pStyle w:val="TableParagraph"/>
              <w:spacing w:line="240" w:lineRule="auto" w:before="68"/>
              <w:ind w:right="53"/>
              <w:jc w:val="right"/>
              <w:rPr>
                <w:rFonts w:ascii="Times New Roman" w:hAnsi="Times New Roman" w:cs="Times New Roman" w:eastAsia="Times New Roman" w:hint="default"/>
                <w:sz w:val="22"/>
                <w:szCs w:val="22"/>
              </w:rPr>
            </w:pPr>
            <w:r>
              <w:rPr>
                <w:rFonts w:ascii="Times New Roman"/>
                <w:spacing w:val="-4"/>
                <w:sz w:val="22"/>
              </w:rPr>
              <w:t>3,027,840.72</w:t>
            </w:r>
            <w:r>
              <w:rPr>
                <w:rFonts w:ascii="Times New Roman"/>
                <w:sz w:val="22"/>
              </w:rPr>
            </w:r>
          </w:p>
        </w:tc>
        <w:tc>
          <w:tcPr>
            <w:tcW w:w="294" w:type="dxa"/>
            <w:tcBorders>
              <w:top w:val="nil" w:sz="6" w:space="0" w:color="auto"/>
              <w:left w:val="nil" w:sz="6" w:space="0" w:color="auto"/>
              <w:bottom w:val="nil" w:sz="6" w:space="0" w:color="auto"/>
              <w:right w:val="nil" w:sz="6" w:space="0" w:color="auto"/>
            </w:tcBorders>
          </w:tcPr>
          <w:p>
            <w:pPr/>
          </w:p>
        </w:tc>
        <w:tc>
          <w:tcPr>
            <w:tcW w:w="1692" w:type="dxa"/>
            <w:tcBorders>
              <w:top w:val="single" w:sz="12" w:space="0" w:color="000000"/>
              <w:left w:val="nil" w:sz="6" w:space="0" w:color="auto"/>
              <w:bottom w:val="nil" w:sz="6" w:space="0" w:color="auto"/>
              <w:right w:val="nil" w:sz="6" w:space="0" w:color="auto"/>
            </w:tcBorders>
          </w:tcPr>
          <w:p>
            <w:pPr>
              <w:pStyle w:val="TableParagraph"/>
              <w:spacing w:line="240" w:lineRule="auto" w:before="68"/>
              <w:ind w:right="79"/>
              <w:jc w:val="right"/>
              <w:rPr>
                <w:rFonts w:ascii="Times New Roman" w:hAnsi="Times New Roman" w:cs="Times New Roman" w:eastAsia="Times New Roman" w:hint="default"/>
                <w:sz w:val="22"/>
                <w:szCs w:val="22"/>
              </w:rPr>
            </w:pPr>
            <w:r>
              <w:rPr>
                <w:rFonts w:ascii="Times New Roman"/>
                <w:spacing w:val="-5"/>
                <w:sz w:val="22"/>
              </w:rPr>
              <w:t>2,913,444.23</w:t>
            </w:r>
          </w:p>
        </w:tc>
      </w:tr>
      <w:tr>
        <w:trPr>
          <w:trHeight w:val="414"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22"/>
                <w:szCs w:val="22"/>
              </w:rPr>
            </w:pPr>
            <w:r>
              <w:rPr>
                <w:rFonts w:ascii="宋体" w:hAnsi="宋体" w:cs="宋体" w:eastAsia="宋体" w:hint="default"/>
                <w:spacing w:val="-6"/>
                <w:w w:val="105"/>
                <w:sz w:val="22"/>
                <w:szCs w:val="22"/>
              </w:rPr>
              <w:t>其他应收款</w:t>
            </w:r>
            <w:r>
              <w:rPr>
                <w:rFonts w:ascii="宋体" w:hAnsi="宋体" w:cs="宋体" w:eastAsia="宋体" w:hint="default"/>
                <w:spacing w:val="-6"/>
                <w:sz w:val="22"/>
                <w:szCs w:val="22"/>
              </w:rPr>
            </w:r>
          </w:p>
        </w:tc>
        <w:tc>
          <w:tcPr>
            <w:tcW w:w="839"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
        </w:tc>
        <w:tc>
          <w:tcPr>
            <w:tcW w:w="448"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3"/>
              <w:jc w:val="right"/>
              <w:rPr>
                <w:rFonts w:ascii="Times New Roman" w:hAnsi="Times New Roman" w:cs="Times New Roman" w:eastAsia="Times New Roman" w:hint="default"/>
                <w:sz w:val="22"/>
                <w:szCs w:val="22"/>
              </w:rPr>
            </w:pPr>
            <w:r>
              <w:rPr>
                <w:rFonts w:ascii="Times New Roman"/>
                <w:spacing w:val="-4"/>
                <w:sz w:val="22"/>
              </w:rPr>
              <w:t>2,040,011.26</w:t>
            </w:r>
            <w:r>
              <w:rPr>
                <w:rFonts w:ascii="Times New Roman"/>
                <w:sz w:val="22"/>
              </w:rPr>
            </w:r>
          </w:p>
        </w:tc>
        <w:tc>
          <w:tcPr>
            <w:tcW w:w="29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9"/>
              <w:jc w:val="right"/>
              <w:rPr>
                <w:rFonts w:ascii="Times New Roman" w:hAnsi="Times New Roman" w:cs="Times New Roman" w:eastAsia="Times New Roman" w:hint="default"/>
                <w:sz w:val="22"/>
                <w:szCs w:val="22"/>
              </w:rPr>
            </w:pPr>
            <w:r>
              <w:rPr>
                <w:rFonts w:ascii="Times New Roman"/>
                <w:spacing w:val="-5"/>
                <w:sz w:val="22"/>
              </w:rPr>
              <w:t>2,042,571.42</w:t>
            </w:r>
          </w:p>
        </w:tc>
      </w:tr>
      <w:tr>
        <w:trPr>
          <w:trHeight w:val="417"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 w:right="0"/>
              <w:jc w:val="left"/>
              <w:rPr>
                <w:rFonts w:ascii="宋体" w:hAnsi="宋体" w:cs="宋体" w:eastAsia="宋体" w:hint="default"/>
                <w:sz w:val="22"/>
                <w:szCs w:val="22"/>
              </w:rPr>
            </w:pPr>
            <w:r>
              <w:rPr>
                <w:rFonts w:ascii="宋体" w:hAnsi="宋体" w:cs="宋体" w:eastAsia="宋体" w:hint="default"/>
                <w:spacing w:val="-6"/>
                <w:w w:val="105"/>
                <w:sz w:val="22"/>
                <w:szCs w:val="22"/>
              </w:rPr>
              <w:t>固定资产</w:t>
            </w:r>
            <w:r>
              <w:rPr>
                <w:rFonts w:ascii="宋体" w:hAnsi="宋体" w:cs="宋体" w:eastAsia="宋体" w:hint="default"/>
                <w:spacing w:val="-6"/>
                <w:sz w:val="22"/>
                <w:szCs w:val="22"/>
              </w:rPr>
            </w:r>
          </w:p>
        </w:tc>
        <w:tc>
          <w:tcPr>
            <w:tcW w:w="839"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
        </w:tc>
        <w:tc>
          <w:tcPr>
            <w:tcW w:w="448"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5"/>
              <w:jc w:val="right"/>
              <w:rPr>
                <w:rFonts w:ascii="Times New Roman" w:hAnsi="Times New Roman" w:cs="Times New Roman" w:eastAsia="Times New Roman" w:hint="default"/>
                <w:sz w:val="22"/>
                <w:szCs w:val="22"/>
              </w:rPr>
            </w:pPr>
            <w:r>
              <w:rPr>
                <w:rFonts w:ascii="Times New Roman"/>
                <w:spacing w:val="-5"/>
                <w:sz w:val="22"/>
              </w:rPr>
              <w:t>598,400.00</w:t>
            </w:r>
            <w:r>
              <w:rPr>
                <w:rFonts w:ascii="Times New Roman"/>
                <w:sz w:val="22"/>
              </w:rPr>
            </w:r>
          </w:p>
        </w:tc>
        <w:tc>
          <w:tcPr>
            <w:tcW w:w="29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r>
      <w:tr>
        <w:trPr>
          <w:trHeight w:val="415"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7" w:right="0"/>
              <w:jc w:val="left"/>
              <w:rPr>
                <w:rFonts w:ascii="宋体" w:hAnsi="宋体" w:cs="宋体" w:eastAsia="宋体" w:hint="default"/>
                <w:sz w:val="22"/>
                <w:szCs w:val="22"/>
              </w:rPr>
            </w:pPr>
            <w:r>
              <w:rPr>
                <w:rFonts w:ascii="宋体" w:hAnsi="宋体" w:cs="宋体" w:eastAsia="宋体" w:hint="default"/>
                <w:spacing w:val="-6"/>
                <w:w w:val="105"/>
                <w:sz w:val="22"/>
                <w:szCs w:val="22"/>
              </w:rPr>
              <w:t>无形资产</w:t>
            </w:r>
            <w:r>
              <w:rPr>
                <w:rFonts w:ascii="宋体" w:hAnsi="宋体" w:cs="宋体" w:eastAsia="宋体" w:hint="default"/>
                <w:spacing w:val="-6"/>
                <w:sz w:val="22"/>
                <w:szCs w:val="22"/>
              </w:rPr>
            </w:r>
          </w:p>
        </w:tc>
        <w:tc>
          <w:tcPr>
            <w:tcW w:w="839"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
        </w:tc>
        <w:tc>
          <w:tcPr>
            <w:tcW w:w="448"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5"/>
              <w:jc w:val="right"/>
              <w:rPr>
                <w:rFonts w:ascii="Times New Roman" w:hAnsi="Times New Roman" w:cs="Times New Roman" w:eastAsia="Times New Roman" w:hint="default"/>
                <w:sz w:val="22"/>
                <w:szCs w:val="22"/>
              </w:rPr>
            </w:pPr>
            <w:r>
              <w:rPr>
                <w:rFonts w:ascii="Times New Roman"/>
                <w:spacing w:val="-5"/>
                <w:sz w:val="22"/>
              </w:rPr>
              <w:t>560,708.50</w:t>
            </w:r>
            <w:r>
              <w:rPr>
                <w:rFonts w:ascii="Times New Roman"/>
                <w:sz w:val="22"/>
              </w:rPr>
            </w:r>
          </w:p>
        </w:tc>
        <w:tc>
          <w:tcPr>
            <w:tcW w:w="29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nil" w:sz="6" w:space="0" w:color="auto"/>
              <w:right w:val="nil" w:sz="6" w:space="0" w:color="auto"/>
            </w:tcBorders>
          </w:tcPr>
          <w:p>
            <w:pPr/>
          </w:p>
        </w:tc>
      </w:tr>
      <w:tr>
        <w:trPr>
          <w:trHeight w:val="394"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7" w:right="0"/>
              <w:jc w:val="left"/>
              <w:rPr>
                <w:rFonts w:ascii="宋体" w:hAnsi="宋体" w:cs="宋体" w:eastAsia="宋体" w:hint="default"/>
                <w:sz w:val="22"/>
                <w:szCs w:val="22"/>
              </w:rPr>
            </w:pPr>
            <w:r>
              <w:rPr>
                <w:rFonts w:ascii="宋体" w:hAnsi="宋体" w:cs="宋体" w:eastAsia="宋体" w:hint="default"/>
                <w:spacing w:val="-7"/>
                <w:w w:val="105"/>
                <w:sz w:val="22"/>
                <w:szCs w:val="22"/>
              </w:rPr>
              <w:t>开办费</w:t>
            </w:r>
            <w:r>
              <w:rPr>
                <w:rFonts w:ascii="宋体" w:hAnsi="宋体" w:cs="宋体" w:eastAsia="宋体" w:hint="default"/>
                <w:spacing w:val="-7"/>
                <w:sz w:val="22"/>
                <w:szCs w:val="22"/>
              </w:rPr>
            </w:r>
          </w:p>
        </w:tc>
        <w:tc>
          <w:tcPr>
            <w:tcW w:w="839" w:type="dxa"/>
            <w:tcBorders>
              <w:top w:val="nil" w:sz="6" w:space="0" w:color="auto"/>
              <w:left w:val="nil" w:sz="6" w:space="0" w:color="auto"/>
              <w:bottom w:val="nil" w:sz="6" w:space="0" w:color="auto"/>
              <w:right w:val="nil" w:sz="6" w:space="0" w:color="auto"/>
            </w:tcBorders>
          </w:tcPr>
          <w:p>
            <w:pPr/>
          </w:p>
        </w:tc>
        <w:tc>
          <w:tcPr>
            <w:tcW w:w="2417" w:type="dxa"/>
            <w:tcBorders>
              <w:top w:val="nil" w:sz="6" w:space="0" w:color="auto"/>
              <w:left w:val="nil" w:sz="6" w:space="0" w:color="auto"/>
              <w:bottom w:val="nil" w:sz="6" w:space="0" w:color="auto"/>
              <w:right w:val="nil" w:sz="6" w:space="0" w:color="auto"/>
            </w:tcBorders>
          </w:tcPr>
          <w:p>
            <w:pPr/>
          </w:p>
        </w:tc>
        <w:tc>
          <w:tcPr>
            <w:tcW w:w="448"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single" w:sz="11" w:space="0" w:color="000000"/>
              <w:right w:val="nil" w:sz="6" w:space="0" w:color="auto"/>
            </w:tcBorders>
          </w:tcPr>
          <w:p>
            <w:pPr>
              <w:pStyle w:val="TableParagraph"/>
              <w:spacing w:line="240" w:lineRule="auto" w:before="65"/>
              <w:ind w:right="54"/>
              <w:jc w:val="right"/>
              <w:rPr>
                <w:rFonts w:ascii="Times New Roman" w:hAnsi="Times New Roman" w:cs="Times New Roman" w:eastAsia="Times New Roman" w:hint="default"/>
                <w:sz w:val="22"/>
                <w:szCs w:val="22"/>
              </w:rPr>
            </w:pPr>
            <w:r>
              <w:rPr>
                <w:rFonts w:ascii="Times New Roman"/>
                <w:spacing w:val="-4"/>
                <w:sz w:val="22"/>
              </w:rPr>
              <w:t>1,085,509.15</w:t>
            </w:r>
            <w:r>
              <w:rPr>
                <w:rFonts w:ascii="Times New Roman"/>
                <w:sz w:val="22"/>
              </w:rPr>
            </w:r>
          </w:p>
        </w:tc>
        <w:tc>
          <w:tcPr>
            <w:tcW w:w="294" w:type="dxa"/>
            <w:tcBorders>
              <w:top w:val="nil" w:sz="6" w:space="0" w:color="auto"/>
              <w:left w:val="nil" w:sz="6" w:space="0" w:color="auto"/>
              <w:bottom w:val="nil" w:sz="6" w:space="0" w:color="auto"/>
              <w:right w:val="nil" w:sz="6" w:space="0" w:color="auto"/>
            </w:tcBorders>
          </w:tcPr>
          <w:p>
            <w:pPr/>
          </w:p>
        </w:tc>
        <w:tc>
          <w:tcPr>
            <w:tcW w:w="1692" w:type="dxa"/>
            <w:tcBorders>
              <w:top w:val="nil" w:sz="6" w:space="0" w:color="auto"/>
              <w:left w:val="nil" w:sz="6" w:space="0" w:color="auto"/>
              <w:bottom w:val="single" w:sz="11" w:space="0" w:color="000000"/>
              <w:right w:val="nil" w:sz="6" w:space="0" w:color="auto"/>
            </w:tcBorders>
          </w:tcPr>
          <w:p>
            <w:pPr/>
          </w:p>
        </w:tc>
      </w:tr>
      <w:tr>
        <w:trPr>
          <w:trHeight w:val="397" w:hRule="exact"/>
        </w:trPr>
        <w:tc>
          <w:tcPr>
            <w:tcW w:w="1595" w:type="dxa"/>
            <w:tcBorders>
              <w:top w:val="nil" w:sz="6" w:space="0" w:color="auto"/>
              <w:left w:val="nil" w:sz="6" w:space="0" w:color="auto"/>
              <w:bottom w:val="nil" w:sz="6" w:space="0" w:color="auto"/>
              <w:right w:val="nil" w:sz="6" w:space="0" w:color="auto"/>
            </w:tcBorders>
          </w:tcPr>
          <w:p>
            <w:pP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0"/>
              <w:jc w:val="right"/>
              <w:rPr>
                <w:rFonts w:ascii="宋体" w:hAnsi="宋体" w:cs="宋体" w:eastAsia="宋体" w:hint="default"/>
                <w:sz w:val="22"/>
                <w:szCs w:val="22"/>
              </w:rPr>
            </w:pPr>
            <w:r>
              <w:rPr>
                <w:rFonts w:ascii="宋体" w:hAnsi="宋体" w:cs="宋体" w:eastAsia="宋体" w:hint="default"/>
                <w:w w:val="103"/>
                <w:sz w:val="22"/>
                <w:szCs w:val="22"/>
              </w:rPr>
              <w:t>合</w:t>
            </w:r>
            <w:r>
              <w:rPr>
                <w:rFonts w:ascii="宋体" w:hAnsi="宋体" w:cs="宋体" w:eastAsia="宋体" w:hint="default"/>
                <w:sz w:val="22"/>
                <w:szCs w:val="22"/>
              </w:rPr>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52" w:right="0"/>
              <w:jc w:val="left"/>
              <w:rPr>
                <w:rFonts w:ascii="宋体" w:hAnsi="宋体" w:cs="宋体" w:eastAsia="宋体" w:hint="default"/>
                <w:sz w:val="22"/>
                <w:szCs w:val="22"/>
              </w:rPr>
            </w:pPr>
            <w:r>
              <w:rPr>
                <w:rFonts w:ascii="宋体" w:hAnsi="宋体" w:cs="宋体" w:eastAsia="宋体" w:hint="default"/>
                <w:w w:val="103"/>
                <w:sz w:val="22"/>
                <w:szCs w:val="22"/>
              </w:rPr>
              <w:t>计</w:t>
            </w:r>
            <w:r>
              <w:rPr>
                <w:rFonts w:ascii="宋体" w:hAnsi="宋体" w:cs="宋体" w:eastAsia="宋体" w:hint="default"/>
                <w:sz w:val="22"/>
                <w:szCs w:val="22"/>
              </w:rPr>
            </w:r>
          </w:p>
        </w:tc>
        <w:tc>
          <w:tcPr>
            <w:tcW w:w="448" w:type="dxa"/>
            <w:tcBorders>
              <w:top w:val="nil" w:sz="6" w:space="0" w:color="auto"/>
              <w:left w:val="nil" w:sz="6" w:space="0" w:color="auto"/>
              <w:bottom w:val="nil" w:sz="6" w:space="0" w:color="auto"/>
              <w:right w:val="nil" w:sz="6" w:space="0" w:color="auto"/>
            </w:tcBorders>
          </w:tcPr>
          <w:p>
            <w:pPr/>
          </w:p>
        </w:tc>
        <w:tc>
          <w:tcPr>
            <w:tcW w:w="1650" w:type="dxa"/>
            <w:tcBorders>
              <w:top w:val="single" w:sz="11" w:space="0" w:color="000000"/>
              <w:left w:val="nil" w:sz="6" w:space="0" w:color="auto"/>
              <w:bottom w:val="single" w:sz="12" w:space="0" w:color="000000"/>
              <w:right w:val="nil" w:sz="6" w:space="0" w:color="auto"/>
            </w:tcBorders>
          </w:tcPr>
          <w:p>
            <w:pPr>
              <w:pStyle w:val="TableParagraph"/>
              <w:spacing w:line="240" w:lineRule="auto" w:before="68"/>
              <w:ind w:right="94"/>
              <w:jc w:val="right"/>
              <w:rPr>
                <w:rFonts w:ascii="Times New Roman" w:hAnsi="Times New Roman" w:cs="Times New Roman" w:eastAsia="Times New Roman" w:hint="default"/>
                <w:sz w:val="22"/>
                <w:szCs w:val="22"/>
              </w:rPr>
            </w:pPr>
            <w:r>
              <w:rPr>
                <w:rFonts w:ascii="Times New Roman"/>
                <w:spacing w:val="-6"/>
                <w:sz w:val="22"/>
              </w:rPr>
              <w:t>7,312,469.63</w:t>
            </w:r>
          </w:p>
        </w:tc>
        <w:tc>
          <w:tcPr>
            <w:tcW w:w="294" w:type="dxa"/>
            <w:tcBorders>
              <w:top w:val="nil" w:sz="6" w:space="0" w:color="auto"/>
              <w:left w:val="nil" w:sz="6" w:space="0" w:color="auto"/>
              <w:bottom w:val="nil" w:sz="6" w:space="0" w:color="auto"/>
              <w:right w:val="nil" w:sz="6" w:space="0" w:color="auto"/>
            </w:tcBorders>
          </w:tcPr>
          <w:p>
            <w:pPr/>
          </w:p>
        </w:tc>
        <w:tc>
          <w:tcPr>
            <w:tcW w:w="1692" w:type="dxa"/>
            <w:tcBorders>
              <w:top w:val="single" w:sz="11" w:space="0" w:color="000000"/>
              <w:left w:val="nil" w:sz="6" w:space="0" w:color="auto"/>
              <w:bottom w:val="single" w:sz="12" w:space="0" w:color="000000"/>
              <w:right w:val="nil" w:sz="6" w:space="0" w:color="auto"/>
            </w:tcBorders>
          </w:tcPr>
          <w:p>
            <w:pPr>
              <w:pStyle w:val="TableParagraph"/>
              <w:spacing w:line="240" w:lineRule="auto" w:before="68"/>
              <w:ind w:right="123"/>
              <w:jc w:val="right"/>
              <w:rPr>
                <w:rFonts w:ascii="Times New Roman" w:hAnsi="Times New Roman" w:cs="Times New Roman" w:eastAsia="Times New Roman" w:hint="default"/>
                <w:sz w:val="22"/>
                <w:szCs w:val="22"/>
              </w:rPr>
            </w:pPr>
            <w:r>
              <w:rPr>
                <w:rFonts w:ascii="Times New Roman"/>
                <w:spacing w:val="-4"/>
                <w:sz w:val="22"/>
              </w:rPr>
              <w:t>4,956,015.65</w:t>
            </w:r>
            <w:r>
              <w:rPr>
                <w:rFonts w:ascii="Times New Roman"/>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368" w:lineRule="exact"/>
        <w:ind w:left="681" w:right="0"/>
        <w:jc w:val="left"/>
        <w:rPr>
          <w:b w:val="0"/>
          <w:bCs w:val="0"/>
        </w:rPr>
      </w:pPr>
      <w:r>
        <w:rPr/>
        <w:pict>
          <v:group style="position:absolute;margin-left:355.619995pt;margin-top:-49.228645pt;width:82.5pt;height:.1pt;mso-position-horizontal-relative:page;mso-position-vertical-relative:paragraph;z-index:5392" coordorigin="7112,-985" coordsize="1650,2">
            <v:shape style="position:absolute;left:7112;top:-985;width:1650;height:2" coordorigin="7112,-985" coordsize="1650,0" path="m7112,-985l8762,-985e" filled="false" stroked="true" strokeweight=".66pt" strokecolor="#000000">
              <v:path arrowok="t"/>
            </v:shape>
            <w10:wrap type="none"/>
          </v:group>
        </w:pict>
      </w:r>
      <w:r>
        <w:rPr/>
        <w:pict>
          <v:group style="position:absolute;margin-left:452.820007pt;margin-top:-49.228645pt;width:84.6pt;height:.1pt;mso-position-horizontal-relative:page;mso-position-vertical-relative:paragraph;z-index:5416" coordorigin="9056,-985" coordsize="1692,2">
            <v:shape style="position:absolute;left:9056;top:-985;width:1692;height:2" coordorigin="9056,-985" coordsize="1692,0" path="m9056,-985l10748,-985e" filled="false" stroked="true" strokeweight=".66pt" strokecolor="#000000">
              <v:path arrowok="t"/>
            </v:shape>
            <w10:wrap type="none"/>
          </v:group>
        </w:pict>
      </w:r>
      <w:r>
        <w:rPr/>
        <w:t>n)  </w:t>
      </w:r>
      <w:r>
        <w:rPr>
          <w:spacing w:val="7"/>
        </w:rPr>
        <w:t> </w:t>
      </w:r>
      <w:r>
        <w:rPr/>
        <w:t>资产减值准备明细表</w:t>
      </w:r>
      <w:r>
        <w:rPr>
          <w:b w:val="0"/>
          <w:bCs w:val="0"/>
        </w:rPr>
      </w:r>
    </w:p>
    <w:p>
      <w:pPr>
        <w:spacing w:after="0" w:line="368" w:lineRule="exact"/>
        <w:jc w:val="left"/>
        <w:sectPr>
          <w:pgSz w:w="11910" w:h="16840"/>
          <w:pgMar w:header="915" w:footer="1712" w:top="1100" w:bottom="1900" w:left="1660" w:right="940"/>
        </w:sectPr>
      </w:pPr>
    </w:p>
    <w:p>
      <w:pPr>
        <w:spacing w:line="240" w:lineRule="auto" w:before="10"/>
        <w:rPr>
          <w:rFonts w:ascii="Microsoft JhengHei" w:hAnsi="Microsoft JhengHei" w:cs="Microsoft JhengHei" w:eastAsia="Microsoft JhengHei" w:hint="default"/>
          <w:b/>
          <w:bCs/>
          <w:sz w:val="2"/>
          <w:szCs w:val="2"/>
        </w:rPr>
      </w:pPr>
      <w:r>
        <w:rPr/>
        <w:pict>
          <v:shape style="position:absolute;margin-left:90.18pt;margin-top:41.999668pt;width:18.240pt;height:15.719999pt;mso-position-horizontal-relative:page;mso-position-vertical-relative:page;z-index:5440" type="#_x0000_t75" stroked="false">
            <v:imagedata r:id="rId11" o:title=""/>
          </v:shape>
        </w:pict>
      </w:r>
    </w:p>
    <w:tbl>
      <w:tblPr>
        <w:tblW w:w="0" w:type="auto"/>
        <w:jc w:val="left"/>
        <w:tblInd w:w="138" w:type="dxa"/>
        <w:tblLayout w:type="fixed"/>
        <w:tblCellMar>
          <w:top w:w="0" w:type="dxa"/>
          <w:left w:w="0" w:type="dxa"/>
          <w:bottom w:w="0" w:type="dxa"/>
          <w:right w:w="0" w:type="dxa"/>
        </w:tblCellMar>
        <w:tblLook w:val="01E0"/>
      </w:tblPr>
      <w:tblGrid>
        <w:gridCol w:w="2864"/>
        <w:gridCol w:w="1180"/>
        <w:gridCol w:w="1214"/>
        <w:gridCol w:w="1141"/>
        <w:gridCol w:w="900"/>
        <w:gridCol w:w="1070"/>
        <w:gridCol w:w="1207"/>
      </w:tblGrid>
      <w:tr>
        <w:trPr>
          <w:trHeight w:val="326" w:hRule="exact"/>
        </w:trPr>
        <w:tc>
          <w:tcPr>
            <w:tcW w:w="2864" w:type="dxa"/>
            <w:vMerge w:val="restart"/>
            <w:tcBorders>
              <w:top w:val="single" w:sz="11" w:space="0" w:color="000000"/>
              <w:left w:val="single" w:sz="11" w:space="0" w:color="000000"/>
              <w:right w:val="single" w:sz="5"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tabs>
                <w:tab w:pos="469"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180" w:type="dxa"/>
            <w:vMerge w:val="restart"/>
            <w:tcBorders>
              <w:top w:val="single" w:sz="11" w:space="0" w:color="000000"/>
              <w:left w:val="single" w:sz="5" w:space="0" w:color="000000"/>
              <w:right w:val="single" w:sz="11"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313"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214" w:type="dxa"/>
            <w:vMerge w:val="restart"/>
            <w:tcBorders>
              <w:top w:val="single" w:sz="11" w:space="0" w:color="000000"/>
              <w:left w:val="single" w:sz="11" w:space="0" w:color="000000"/>
              <w:right w:val="single" w:sz="10"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本年计提数</w:t>
            </w:r>
          </w:p>
        </w:tc>
        <w:tc>
          <w:tcPr>
            <w:tcW w:w="3112" w:type="dxa"/>
            <w:gridSpan w:val="3"/>
            <w:tcBorders>
              <w:top w:val="single" w:sz="11" w:space="0" w:color="000000"/>
              <w:left w:val="single" w:sz="10" w:space="0" w:color="000000"/>
              <w:bottom w:val="single" w:sz="5" w:space="0" w:color="000000"/>
              <w:right w:val="single" w:sz="5"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本年减少数</w:t>
            </w:r>
          </w:p>
        </w:tc>
        <w:tc>
          <w:tcPr>
            <w:tcW w:w="1207" w:type="dxa"/>
            <w:vMerge w:val="restart"/>
            <w:tcBorders>
              <w:top w:val="single" w:sz="11" w:space="0" w:color="000000"/>
              <w:left w:val="single" w:sz="5" w:space="0" w:color="000000"/>
              <w:right w:val="single" w:sz="11"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325" w:hRule="exact"/>
        </w:trPr>
        <w:tc>
          <w:tcPr>
            <w:tcW w:w="2864" w:type="dxa"/>
            <w:vMerge/>
            <w:tcBorders>
              <w:left w:val="single" w:sz="11" w:space="0" w:color="000000"/>
              <w:bottom w:val="single" w:sz="5" w:space="0" w:color="000000"/>
              <w:right w:val="single" w:sz="5" w:space="0" w:color="000000"/>
            </w:tcBorders>
          </w:tcPr>
          <w:p>
            <w:pPr/>
          </w:p>
        </w:tc>
        <w:tc>
          <w:tcPr>
            <w:tcW w:w="1180" w:type="dxa"/>
            <w:vMerge/>
            <w:tcBorders>
              <w:left w:val="single" w:sz="5" w:space="0" w:color="000000"/>
              <w:bottom w:val="single" w:sz="5" w:space="0" w:color="000000"/>
              <w:right w:val="single" w:sz="11" w:space="0" w:color="000000"/>
            </w:tcBorders>
          </w:tcPr>
          <w:p>
            <w:pPr/>
          </w:p>
        </w:tc>
        <w:tc>
          <w:tcPr>
            <w:tcW w:w="1214" w:type="dxa"/>
            <w:vMerge/>
            <w:tcBorders>
              <w:left w:val="single" w:sz="11" w:space="0" w:color="000000"/>
              <w:bottom w:val="single" w:sz="5" w:space="0" w:color="000000"/>
              <w:right w:val="single" w:sz="10" w:space="0" w:color="000000"/>
            </w:tcBorders>
          </w:tcPr>
          <w:p>
            <w:pPr/>
          </w:p>
        </w:tc>
        <w:tc>
          <w:tcPr>
            <w:tcW w:w="114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25"/>
              <w:ind w:left="287" w:right="0"/>
              <w:jc w:val="left"/>
              <w:rPr>
                <w:rFonts w:ascii="宋体" w:hAnsi="宋体" w:cs="宋体" w:eastAsia="宋体" w:hint="default"/>
                <w:sz w:val="18"/>
                <w:szCs w:val="18"/>
              </w:rPr>
            </w:pPr>
            <w:r>
              <w:rPr>
                <w:rFonts w:ascii="宋体" w:hAnsi="宋体" w:cs="宋体" w:eastAsia="宋体" w:hint="default"/>
                <w:spacing w:val="4"/>
                <w:sz w:val="18"/>
                <w:szCs w:val="18"/>
              </w:rPr>
              <w:t>转回数</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5"/>
              <w:ind w:left="170" w:right="0"/>
              <w:jc w:val="left"/>
              <w:rPr>
                <w:rFonts w:ascii="宋体" w:hAnsi="宋体" w:cs="宋体" w:eastAsia="宋体" w:hint="default"/>
                <w:sz w:val="18"/>
                <w:szCs w:val="18"/>
              </w:rPr>
            </w:pPr>
            <w:r>
              <w:rPr>
                <w:rFonts w:ascii="宋体" w:hAnsi="宋体" w:cs="宋体" w:eastAsia="宋体" w:hint="default"/>
                <w:spacing w:val="3"/>
                <w:sz w:val="18"/>
                <w:szCs w:val="18"/>
              </w:rPr>
              <w:t>转销数</w:t>
            </w:r>
          </w:p>
        </w:tc>
        <w:tc>
          <w:tcPr>
            <w:tcW w:w="10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5"/>
              <w:ind w:left="35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vMerge/>
            <w:tcBorders>
              <w:left w:val="single" w:sz="5" w:space="0" w:color="000000"/>
              <w:bottom w:val="single" w:sz="5" w:space="0" w:color="000000"/>
              <w:right w:val="single" w:sz="11" w:space="0" w:color="000000"/>
            </w:tcBorders>
          </w:tcPr>
          <w:p>
            <w:pPr/>
          </w:p>
        </w:tc>
      </w:tr>
      <w:tr>
        <w:trPr>
          <w:trHeight w:val="339" w:hRule="exact"/>
        </w:trPr>
        <w:tc>
          <w:tcPr>
            <w:tcW w:w="2864" w:type="dxa"/>
            <w:tcBorders>
              <w:top w:val="single" w:sz="5" w:space="0" w:color="000000"/>
              <w:left w:val="single" w:sz="11" w:space="0" w:color="000000"/>
              <w:bottom w:val="single" w:sz="5" w:space="0" w:color="000000"/>
              <w:right w:val="single" w:sz="5" w:space="0" w:color="000000"/>
            </w:tcBorders>
          </w:tcPr>
          <w:p>
            <w:pPr>
              <w:pStyle w:val="TableParagraph"/>
              <w:spacing w:line="240" w:lineRule="auto" w:before="26"/>
              <w:ind w:left="13" w:right="0"/>
              <w:jc w:val="left"/>
              <w:rPr>
                <w:rFonts w:ascii="宋体" w:hAnsi="宋体" w:cs="宋体" w:eastAsia="宋体" w:hint="default"/>
                <w:sz w:val="18"/>
                <w:szCs w:val="18"/>
              </w:rPr>
            </w:pPr>
            <w:r>
              <w:rPr>
                <w:rFonts w:ascii="宋体" w:hAnsi="宋体" w:cs="宋体" w:eastAsia="宋体" w:hint="default"/>
                <w:spacing w:val="2"/>
                <w:sz w:val="18"/>
                <w:szCs w:val="18"/>
              </w:rPr>
              <w:t>一、坏账准备合计</w:t>
            </w:r>
          </w:p>
        </w:tc>
        <w:tc>
          <w:tcPr>
            <w:tcW w:w="1180"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1"/>
              <w:ind w:right="62"/>
              <w:jc w:val="right"/>
              <w:rPr>
                <w:rFonts w:ascii="Times New Roman" w:hAnsi="Times New Roman" w:cs="Times New Roman" w:eastAsia="Times New Roman" w:hint="default"/>
                <w:sz w:val="18"/>
                <w:szCs w:val="18"/>
              </w:rPr>
            </w:pPr>
            <w:r>
              <w:rPr>
                <w:rFonts w:ascii="Times New Roman"/>
                <w:spacing w:val="-1"/>
                <w:sz w:val="18"/>
              </w:rPr>
              <w:t>5,903,547.97</w:t>
            </w:r>
            <w:r>
              <w:rPr>
                <w:rFonts w:ascii="Times New Roman"/>
                <w:sz w:val="18"/>
              </w:rPr>
            </w:r>
          </w:p>
        </w:tc>
        <w:tc>
          <w:tcPr>
            <w:tcW w:w="1214" w:type="dxa"/>
            <w:tcBorders>
              <w:top w:val="single" w:sz="5" w:space="0" w:color="000000"/>
              <w:left w:val="single" w:sz="11" w:space="0" w:color="000000"/>
              <w:bottom w:val="single" w:sz="5" w:space="0" w:color="000000"/>
              <w:right w:val="single" w:sz="10" w:space="0" w:color="000000"/>
            </w:tcBorders>
          </w:tcPr>
          <w:p>
            <w:pPr>
              <w:pStyle w:val="TableParagraph"/>
              <w:spacing w:line="240" w:lineRule="auto" w:before="61"/>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1"/>
              <w:ind w:right="62"/>
              <w:jc w:val="right"/>
              <w:rPr>
                <w:rFonts w:ascii="Times New Roman" w:hAnsi="Times New Roman" w:cs="Times New Roman" w:eastAsia="Times New Roman" w:hint="default"/>
                <w:sz w:val="18"/>
                <w:szCs w:val="18"/>
              </w:rPr>
            </w:pPr>
            <w:r>
              <w:rPr>
                <w:rFonts w:ascii="Times New Roman"/>
                <w:sz w:val="18"/>
              </w:rPr>
              <w:t>688,552.43</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1"/>
              <w:ind w:right="75"/>
              <w:jc w:val="right"/>
              <w:rPr>
                <w:rFonts w:ascii="Times New Roman" w:hAnsi="Times New Roman" w:cs="Times New Roman" w:eastAsia="Times New Roman" w:hint="default"/>
                <w:sz w:val="18"/>
                <w:szCs w:val="18"/>
              </w:rPr>
            </w:pPr>
            <w:r>
              <w:rPr>
                <w:rFonts w:ascii="Times New Roman"/>
                <w:sz w:val="18"/>
              </w:rPr>
              <w:t>14,197.00</w:t>
            </w:r>
          </w:p>
        </w:tc>
        <w:tc>
          <w:tcPr>
            <w:tcW w:w="10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1"/>
              <w:ind w:right="62"/>
              <w:jc w:val="right"/>
              <w:rPr>
                <w:rFonts w:ascii="Times New Roman" w:hAnsi="Times New Roman" w:cs="Times New Roman" w:eastAsia="Times New Roman" w:hint="default"/>
                <w:sz w:val="18"/>
                <w:szCs w:val="18"/>
              </w:rPr>
            </w:pPr>
            <w:r>
              <w:rPr>
                <w:rFonts w:ascii="Times New Roman"/>
                <w:sz w:val="18"/>
              </w:rPr>
              <w:t>702,749.43</w:t>
            </w:r>
          </w:p>
        </w:tc>
        <w:tc>
          <w:tcPr>
            <w:tcW w:w="1207"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1"/>
              <w:ind w:right="62"/>
              <w:jc w:val="right"/>
              <w:rPr>
                <w:rFonts w:ascii="Times New Roman" w:hAnsi="Times New Roman" w:cs="Times New Roman" w:eastAsia="Times New Roman" w:hint="default"/>
                <w:sz w:val="18"/>
                <w:szCs w:val="18"/>
              </w:rPr>
            </w:pPr>
            <w:r>
              <w:rPr>
                <w:rFonts w:ascii="Times New Roman"/>
                <w:spacing w:val="-1"/>
                <w:sz w:val="18"/>
              </w:rPr>
              <w:t>5,200,798.54</w:t>
            </w:r>
            <w:r>
              <w:rPr>
                <w:rFonts w:ascii="Times New Roman"/>
                <w:sz w:val="18"/>
              </w:rPr>
            </w:r>
          </w:p>
        </w:tc>
      </w:tr>
      <w:tr>
        <w:trPr>
          <w:trHeight w:val="340" w:hRule="exact"/>
        </w:trPr>
        <w:tc>
          <w:tcPr>
            <w:tcW w:w="2864" w:type="dxa"/>
            <w:tcBorders>
              <w:top w:val="single" w:sz="5" w:space="0" w:color="000000"/>
              <w:left w:val="single" w:sz="11" w:space="0" w:color="000000"/>
              <w:bottom w:val="single" w:sz="5" w:space="0" w:color="000000"/>
              <w:right w:val="single" w:sz="5" w:space="0" w:color="000000"/>
            </w:tcBorders>
          </w:tcPr>
          <w:p>
            <w:pPr>
              <w:pStyle w:val="TableParagraph"/>
              <w:spacing w:line="240" w:lineRule="auto" w:before="25"/>
              <w:ind w:left="391" w:right="0"/>
              <w:jc w:val="left"/>
              <w:rPr>
                <w:rFonts w:ascii="宋体" w:hAnsi="宋体" w:cs="宋体" w:eastAsia="宋体" w:hint="default"/>
                <w:sz w:val="18"/>
                <w:szCs w:val="18"/>
              </w:rPr>
            </w:pPr>
            <w:r>
              <w:rPr>
                <w:rFonts w:ascii="宋体" w:hAnsi="宋体" w:cs="宋体" w:eastAsia="宋体" w:hint="default"/>
                <w:sz w:val="18"/>
                <w:szCs w:val="18"/>
              </w:rPr>
              <w:t>其中：应收账款</w:t>
            </w:r>
          </w:p>
        </w:tc>
        <w:tc>
          <w:tcPr>
            <w:tcW w:w="1180"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pacing w:val="-1"/>
                <w:sz w:val="18"/>
              </w:rPr>
              <w:t>3,808,536.91</w:t>
            </w:r>
            <w:r>
              <w:rPr>
                <w:rFonts w:ascii="Times New Roman"/>
                <w:sz w:val="18"/>
              </w:rPr>
            </w:r>
          </w:p>
        </w:tc>
        <w:tc>
          <w:tcPr>
            <w:tcW w:w="1214" w:type="dxa"/>
            <w:tcBorders>
              <w:top w:val="single" w:sz="5" w:space="0" w:color="000000"/>
              <w:left w:val="single" w:sz="11" w:space="0" w:color="000000"/>
              <w:bottom w:val="single" w:sz="5" w:space="0" w:color="000000"/>
              <w:right w:val="single" w:sz="10" w:space="0" w:color="000000"/>
            </w:tcBorders>
          </w:tcPr>
          <w:p>
            <w:pPr>
              <w:pStyle w:val="TableParagraph"/>
              <w:spacing w:line="240" w:lineRule="auto" w:before="60"/>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z w:val="18"/>
              </w:rPr>
              <w:t>633,552.63</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right="75"/>
              <w:jc w:val="right"/>
              <w:rPr>
                <w:rFonts w:ascii="Times New Roman" w:hAnsi="Times New Roman" w:cs="Times New Roman" w:eastAsia="Times New Roman" w:hint="default"/>
                <w:sz w:val="18"/>
                <w:szCs w:val="18"/>
              </w:rPr>
            </w:pPr>
            <w:r>
              <w:rPr>
                <w:rFonts w:ascii="Times New Roman"/>
                <w:sz w:val="18"/>
              </w:rPr>
              <w:t>14,197.00</w:t>
            </w:r>
          </w:p>
        </w:tc>
        <w:tc>
          <w:tcPr>
            <w:tcW w:w="10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z w:val="18"/>
              </w:rPr>
              <w:t>647,749.63</w:t>
            </w:r>
          </w:p>
        </w:tc>
        <w:tc>
          <w:tcPr>
            <w:tcW w:w="1207"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pacing w:val="-1"/>
                <w:sz w:val="18"/>
              </w:rPr>
              <w:t>3,160,787.28</w:t>
            </w:r>
            <w:r>
              <w:rPr>
                <w:rFonts w:ascii="Times New Roman"/>
                <w:sz w:val="18"/>
              </w:rPr>
            </w:r>
          </w:p>
        </w:tc>
      </w:tr>
      <w:tr>
        <w:trPr>
          <w:trHeight w:val="338" w:hRule="exact"/>
        </w:trPr>
        <w:tc>
          <w:tcPr>
            <w:tcW w:w="2864" w:type="dxa"/>
            <w:tcBorders>
              <w:top w:val="single" w:sz="5" w:space="0" w:color="000000"/>
              <w:left w:val="single" w:sz="11" w:space="0" w:color="000000"/>
              <w:bottom w:val="single" w:sz="5" w:space="0" w:color="000000"/>
              <w:right w:val="single" w:sz="5" w:space="0" w:color="000000"/>
            </w:tcBorders>
          </w:tcPr>
          <w:p>
            <w:pPr>
              <w:pStyle w:val="TableParagraph"/>
              <w:spacing w:line="240" w:lineRule="auto" w:before="25"/>
              <w:ind w:left="93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80"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pacing w:val="-1"/>
                <w:sz w:val="18"/>
              </w:rPr>
              <w:t>2,095,011.06</w:t>
            </w:r>
            <w:r>
              <w:rPr>
                <w:rFonts w:ascii="Times New Roman"/>
                <w:sz w:val="18"/>
              </w:rPr>
            </w:r>
          </w:p>
        </w:tc>
        <w:tc>
          <w:tcPr>
            <w:tcW w:w="1214" w:type="dxa"/>
            <w:tcBorders>
              <w:top w:val="single" w:sz="5" w:space="0" w:color="000000"/>
              <w:left w:val="single" w:sz="11" w:space="0" w:color="000000"/>
              <w:bottom w:val="single" w:sz="5" w:space="0" w:color="000000"/>
              <w:right w:val="single" w:sz="10" w:space="0" w:color="000000"/>
            </w:tcBorders>
          </w:tcPr>
          <w:p>
            <w:pPr>
              <w:pStyle w:val="TableParagraph"/>
              <w:spacing w:line="240" w:lineRule="auto" w:before="60"/>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z w:val="18"/>
              </w:rPr>
              <w:t>54,999.80</w:t>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left="561"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z w:val="18"/>
              </w:rPr>
              <w:t>54,999.80</w:t>
            </w:r>
          </w:p>
        </w:tc>
        <w:tc>
          <w:tcPr>
            <w:tcW w:w="1207"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pacing w:val="-1"/>
                <w:sz w:val="18"/>
              </w:rPr>
              <w:t>2,040,011.26</w:t>
            </w:r>
            <w:r>
              <w:rPr>
                <w:rFonts w:ascii="Times New Roman"/>
                <w:sz w:val="18"/>
              </w:rPr>
            </w:r>
          </w:p>
        </w:tc>
      </w:tr>
      <w:tr>
        <w:trPr>
          <w:trHeight w:val="340" w:hRule="exact"/>
        </w:trPr>
        <w:tc>
          <w:tcPr>
            <w:tcW w:w="2864" w:type="dxa"/>
            <w:tcBorders>
              <w:top w:val="single" w:sz="5" w:space="0" w:color="000000"/>
              <w:left w:val="single" w:sz="11" w:space="0" w:color="000000"/>
              <w:bottom w:val="single" w:sz="5" w:space="0" w:color="000000"/>
              <w:right w:val="single" w:sz="5" w:space="0" w:color="000000"/>
            </w:tcBorders>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二、存货跌价准备合计</w:t>
            </w:r>
          </w:p>
        </w:tc>
        <w:tc>
          <w:tcPr>
            <w:tcW w:w="1180"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1"/>
              <w:ind w:right="24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5" w:space="0" w:color="000000"/>
              <w:left w:val="single" w:sz="11" w:space="0" w:color="000000"/>
              <w:bottom w:val="single" w:sz="5" w:space="0" w:color="000000"/>
              <w:right w:val="single" w:sz="10" w:space="0" w:color="000000"/>
            </w:tcBorders>
          </w:tcPr>
          <w:p>
            <w:pPr>
              <w:pStyle w:val="TableParagraph"/>
              <w:spacing w:line="240" w:lineRule="auto" w:before="61"/>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1"/>
              <w:ind w:left="562"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7"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1"/>
              <w:ind w:right="23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39" w:hRule="exact"/>
        </w:trPr>
        <w:tc>
          <w:tcPr>
            <w:tcW w:w="2864" w:type="dxa"/>
            <w:tcBorders>
              <w:top w:val="single" w:sz="5" w:space="0" w:color="000000"/>
              <w:left w:val="single" w:sz="11" w:space="0" w:color="000000"/>
              <w:bottom w:val="single" w:sz="5" w:space="0" w:color="000000"/>
              <w:right w:val="single" w:sz="5" w:space="0" w:color="000000"/>
            </w:tcBorders>
          </w:tcPr>
          <w:p>
            <w:pPr>
              <w:pStyle w:val="TableParagraph"/>
              <w:spacing w:line="240" w:lineRule="auto" w:before="25"/>
              <w:ind w:left="391" w:right="0"/>
              <w:jc w:val="left"/>
              <w:rPr>
                <w:rFonts w:ascii="宋体" w:hAnsi="宋体" w:cs="宋体" w:eastAsia="宋体" w:hint="default"/>
                <w:sz w:val="18"/>
                <w:szCs w:val="18"/>
              </w:rPr>
            </w:pPr>
            <w:r>
              <w:rPr>
                <w:rFonts w:ascii="宋体" w:hAnsi="宋体" w:cs="宋体" w:eastAsia="宋体" w:hint="default"/>
                <w:sz w:val="18"/>
                <w:szCs w:val="18"/>
              </w:rPr>
              <w:t>其中：库存商品</w:t>
            </w:r>
          </w:p>
        </w:tc>
        <w:tc>
          <w:tcPr>
            <w:tcW w:w="1180"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0"/>
              <w:ind w:right="24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5" w:space="0" w:color="000000"/>
              <w:left w:val="single" w:sz="11" w:space="0" w:color="000000"/>
              <w:bottom w:val="single" w:sz="5" w:space="0" w:color="000000"/>
              <w:right w:val="single" w:sz="10" w:space="0" w:color="000000"/>
            </w:tcBorders>
          </w:tcPr>
          <w:p>
            <w:pPr>
              <w:pStyle w:val="TableParagraph"/>
              <w:spacing w:line="240" w:lineRule="auto" w:before="60"/>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0"/>
              <w:ind w:right="25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left="562"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left="66"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7"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0"/>
              <w:ind w:right="23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39" w:hRule="exact"/>
        </w:trPr>
        <w:tc>
          <w:tcPr>
            <w:tcW w:w="2864" w:type="dxa"/>
            <w:tcBorders>
              <w:top w:val="single" w:sz="5" w:space="0" w:color="000000"/>
              <w:left w:val="single" w:sz="11" w:space="0" w:color="000000"/>
              <w:bottom w:val="single" w:sz="5" w:space="0" w:color="000000"/>
              <w:right w:val="single" w:sz="5" w:space="0" w:color="000000"/>
            </w:tcBorders>
          </w:tcPr>
          <w:p>
            <w:pPr>
              <w:pStyle w:val="TableParagraph"/>
              <w:spacing w:line="240" w:lineRule="auto" w:before="26"/>
              <w:ind w:left="939" w:right="0"/>
              <w:jc w:val="left"/>
              <w:rPr>
                <w:rFonts w:ascii="宋体" w:hAnsi="宋体" w:cs="宋体" w:eastAsia="宋体" w:hint="default"/>
                <w:sz w:val="18"/>
                <w:szCs w:val="18"/>
              </w:rPr>
            </w:pPr>
            <w:r>
              <w:rPr>
                <w:rFonts w:ascii="宋体" w:hAnsi="宋体" w:cs="宋体" w:eastAsia="宋体" w:hint="default"/>
                <w:spacing w:val="3"/>
                <w:sz w:val="18"/>
                <w:szCs w:val="18"/>
              </w:rPr>
              <w:t>原材料</w:t>
            </w:r>
          </w:p>
        </w:tc>
        <w:tc>
          <w:tcPr>
            <w:tcW w:w="1180"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1"/>
              <w:ind w:right="24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5" w:space="0" w:color="000000"/>
              <w:left w:val="single" w:sz="11" w:space="0" w:color="000000"/>
              <w:bottom w:val="single" w:sz="5" w:space="0" w:color="000000"/>
              <w:right w:val="single" w:sz="10" w:space="0" w:color="000000"/>
            </w:tcBorders>
          </w:tcPr>
          <w:p>
            <w:pPr>
              <w:pStyle w:val="TableParagraph"/>
              <w:spacing w:line="240" w:lineRule="auto" w:before="61"/>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1"/>
              <w:ind w:left="562"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1"/>
              <w:ind w:left="66"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7"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1"/>
              <w:ind w:right="23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40" w:hRule="exact"/>
        </w:trPr>
        <w:tc>
          <w:tcPr>
            <w:tcW w:w="2864" w:type="dxa"/>
            <w:tcBorders>
              <w:top w:val="single" w:sz="5" w:space="0" w:color="000000"/>
              <w:left w:val="single" w:sz="11" w:space="0" w:color="000000"/>
              <w:bottom w:val="single" w:sz="5" w:space="0" w:color="000000"/>
              <w:right w:val="single" w:sz="5" w:space="0" w:color="000000"/>
            </w:tcBorders>
          </w:tcPr>
          <w:p>
            <w:pPr>
              <w:pStyle w:val="TableParagraph"/>
              <w:spacing w:line="240" w:lineRule="auto" w:before="38"/>
              <w:ind w:left="13" w:right="0"/>
              <w:jc w:val="left"/>
              <w:rPr>
                <w:rFonts w:ascii="宋体" w:hAnsi="宋体" w:cs="宋体" w:eastAsia="宋体" w:hint="default"/>
                <w:sz w:val="18"/>
                <w:szCs w:val="18"/>
              </w:rPr>
            </w:pPr>
            <w:r>
              <w:rPr>
                <w:rFonts w:ascii="宋体" w:hAnsi="宋体" w:cs="宋体" w:eastAsia="宋体" w:hint="default"/>
                <w:spacing w:val="2"/>
                <w:sz w:val="18"/>
                <w:szCs w:val="18"/>
              </w:rPr>
              <w:t>三、可供出售金融资产减值准备</w:t>
            </w:r>
          </w:p>
        </w:tc>
        <w:tc>
          <w:tcPr>
            <w:tcW w:w="1180"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0"/>
              <w:ind w:right="24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5" w:space="0" w:color="000000"/>
              <w:left w:val="single" w:sz="11" w:space="0" w:color="000000"/>
              <w:bottom w:val="single" w:sz="5" w:space="0" w:color="000000"/>
              <w:right w:val="single" w:sz="10" w:space="0" w:color="000000"/>
            </w:tcBorders>
          </w:tcPr>
          <w:p>
            <w:pPr>
              <w:pStyle w:val="TableParagraph"/>
              <w:spacing w:line="240" w:lineRule="auto" w:before="60"/>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0"/>
              <w:ind w:right="25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left="562"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right="25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7"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0"/>
              <w:ind w:right="23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38" w:hRule="exact"/>
        </w:trPr>
        <w:tc>
          <w:tcPr>
            <w:tcW w:w="2864" w:type="dxa"/>
            <w:tcBorders>
              <w:top w:val="single" w:sz="5" w:space="0" w:color="000000"/>
              <w:left w:val="single" w:sz="11" w:space="0" w:color="000000"/>
              <w:bottom w:val="single" w:sz="5" w:space="0" w:color="000000"/>
              <w:right w:val="single" w:sz="5" w:space="0" w:color="000000"/>
            </w:tcBorders>
          </w:tcPr>
          <w:p>
            <w:pPr>
              <w:pStyle w:val="TableParagraph"/>
              <w:spacing w:line="240" w:lineRule="auto" w:before="38"/>
              <w:ind w:left="13"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180"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0"/>
              <w:ind w:right="24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5" w:space="0" w:color="000000"/>
              <w:left w:val="single" w:sz="11" w:space="0" w:color="000000"/>
              <w:bottom w:val="single" w:sz="5" w:space="0" w:color="000000"/>
              <w:right w:val="single" w:sz="10" w:space="0" w:color="000000"/>
            </w:tcBorders>
          </w:tcPr>
          <w:p>
            <w:pPr>
              <w:pStyle w:val="TableParagraph"/>
              <w:spacing w:line="240" w:lineRule="auto" w:before="60"/>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0"/>
              <w:ind w:right="25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left="562"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right="25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7"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0"/>
              <w:ind w:right="23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40" w:hRule="exact"/>
        </w:trPr>
        <w:tc>
          <w:tcPr>
            <w:tcW w:w="2864" w:type="dxa"/>
            <w:tcBorders>
              <w:top w:val="single" w:sz="5" w:space="0" w:color="000000"/>
              <w:left w:val="single" w:sz="11" w:space="0" w:color="000000"/>
              <w:bottom w:val="single" w:sz="5" w:space="0" w:color="000000"/>
              <w:right w:val="single" w:sz="5" w:space="0" w:color="000000"/>
            </w:tcBorders>
          </w:tcPr>
          <w:p>
            <w:pPr>
              <w:pStyle w:val="TableParagraph"/>
              <w:spacing w:line="240" w:lineRule="auto" w:before="38"/>
              <w:ind w:left="13"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180"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1"/>
              <w:ind w:right="24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5" w:space="0" w:color="000000"/>
              <w:left w:val="single" w:sz="11" w:space="0" w:color="000000"/>
              <w:bottom w:val="single" w:sz="5" w:space="0" w:color="000000"/>
              <w:right w:val="single" w:sz="10" w:space="0" w:color="000000"/>
            </w:tcBorders>
          </w:tcPr>
          <w:p>
            <w:pPr>
              <w:pStyle w:val="TableParagraph"/>
              <w:spacing w:line="240" w:lineRule="auto" w:before="61"/>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1"/>
              <w:ind w:left="562"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7"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1"/>
              <w:ind w:right="23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39" w:hRule="exact"/>
        </w:trPr>
        <w:tc>
          <w:tcPr>
            <w:tcW w:w="2864" w:type="dxa"/>
            <w:tcBorders>
              <w:top w:val="single" w:sz="5" w:space="0" w:color="000000"/>
              <w:left w:val="single" w:sz="11" w:space="0" w:color="000000"/>
              <w:bottom w:val="single" w:sz="5" w:space="0" w:color="000000"/>
              <w:right w:val="single" w:sz="5" w:space="0" w:color="000000"/>
            </w:tcBorders>
          </w:tcPr>
          <w:p>
            <w:pPr>
              <w:pStyle w:val="TableParagraph"/>
              <w:spacing w:line="240" w:lineRule="auto" w:before="38"/>
              <w:ind w:left="13" w:right="0"/>
              <w:jc w:val="left"/>
              <w:rPr>
                <w:rFonts w:ascii="宋体" w:hAnsi="宋体" w:cs="宋体" w:eastAsia="宋体" w:hint="default"/>
                <w:sz w:val="18"/>
                <w:szCs w:val="18"/>
              </w:rPr>
            </w:pPr>
            <w:r>
              <w:rPr>
                <w:rFonts w:ascii="宋体" w:hAnsi="宋体" w:cs="宋体" w:eastAsia="宋体" w:hint="default"/>
                <w:sz w:val="18"/>
                <w:szCs w:val="18"/>
              </w:rPr>
              <w:t>六、</w:t>
            </w:r>
            <w:r>
              <w:rPr>
                <w:rFonts w:ascii="宋体" w:hAnsi="宋体" w:cs="宋体" w:eastAsia="宋体" w:hint="default"/>
                <w:spacing w:val="52"/>
                <w:sz w:val="18"/>
                <w:szCs w:val="18"/>
              </w:rPr>
              <w:t> </w:t>
            </w:r>
            <w:r>
              <w:rPr>
                <w:rFonts w:ascii="宋体" w:hAnsi="宋体" w:cs="宋体" w:eastAsia="宋体" w:hint="default"/>
                <w:sz w:val="18"/>
                <w:szCs w:val="18"/>
              </w:rPr>
              <w:t>投资性房地产减值准备</w:t>
            </w:r>
          </w:p>
        </w:tc>
        <w:tc>
          <w:tcPr>
            <w:tcW w:w="1180"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0"/>
              <w:ind w:right="24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5" w:space="0" w:color="000000"/>
              <w:left w:val="single" w:sz="11" w:space="0" w:color="000000"/>
              <w:bottom w:val="single" w:sz="5" w:space="0" w:color="000000"/>
              <w:right w:val="single" w:sz="10" w:space="0" w:color="000000"/>
            </w:tcBorders>
          </w:tcPr>
          <w:p>
            <w:pPr>
              <w:pStyle w:val="TableParagraph"/>
              <w:spacing w:line="240" w:lineRule="auto" w:before="60"/>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0"/>
              <w:ind w:right="25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left="562"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right="25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7"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0"/>
              <w:ind w:right="23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39" w:hRule="exact"/>
        </w:trPr>
        <w:tc>
          <w:tcPr>
            <w:tcW w:w="2864" w:type="dxa"/>
            <w:tcBorders>
              <w:top w:val="single" w:sz="5" w:space="0" w:color="000000"/>
              <w:left w:val="single" w:sz="11" w:space="0" w:color="000000"/>
              <w:bottom w:val="single" w:sz="5" w:space="0" w:color="000000"/>
              <w:right w:val="single" w:sz="5" w:space="0" w:color="000000"/>
            </w:tcBorders>
          </w:tcPr>
          <w:p>
            <w:pPr>
              <w:pStyle w:val="TableParagraph"/>
              <w:spacing w:line="240" w:lineRule="auto" w:before="39"/>
              <w:ind w:left="13" w:right="0"/>
              <w:jc w:val="left"/>
              <w:rPr>
                <w:rFonts w:ascii="宋体" w:hAnsi="宋体" w:cs="宋体" w:eastAsia="宋体" w:hint="default"/>
                <w:sz w:val="18"/>
                <w:szCs w:val="18"/>
              </w:rPr>
            </w:pPr>
            <w:r>
              <w:rPr>
                <w:rFonts w:ascii="宋体" w:hAnsi="宋体" w:cs="宋体" w:eastAsia="宋体" w:hint="default"/>
                <w:sz w:val="18"/>
                <w:szCs w:val="18"/>
              </w:rPr>
              <w:t>七、固定资产减值准备合计</w:t>
            </w:r>
          </w:p>
        </w:tc>
        <w:tc>
          <w:tcPr>
            <w:tcW w:w="1180"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1"/>
              <w:ind w:right="62"/>
              <w:jc w:val="right"/>
              <w:rPr>
                <w:rFonts w:ascii="Times New Roman" w:hAnsi="Times New Roman" w:cs="Times New Roman" w:eastAsia="Times New Roman" w:hint="default"/>
                <w:sz w:val="18"/>
                <w:szCs w:val="18"/>
              </w:rPr>
            </w:pPr>
            <w:r>
              <w:rPr>
                <w:rFonts w:ascii="Times New Roman"/>
                <w:sz w:val="18"/>
              </w:rPr>
              <w:t>95,717.77</w:t>
            </w:r>
          </w:p>
        </w:tc>
        <w:tc>
          <w:tcPr>
            <w:tcW w:w="1214" w:type="dxa"/>
            <w:tcBorders>
              <w:top w:val="single" w:sz="5" w:space="0" w:color="000000"/>
              <w:left w:val="single" w:sz="11" w:space="0" w:color="000000"/>
              <w:bottom w:val="single" w:sz="5" w:space="0" w:color="000000"/>
              <w:right w:val="single" w:sz="10" w:space="0" w:color="000000"/>
            </w:tcBorders>
          </w:tcPr>
          <w:p>
            <w:pPr>
              <w:pStyle w:val="TableParagraph"/>
              <w:spacing w:line="240" w:lineRule="auto" w:before="61"/>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1"/>
              <w:ind w:right="25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1"/>
              <w:ind w:right="75"/>
              <w:jc w:val="right"/>
              <w:rPr>
                <w:rFonts w:ascii="Times New Roman" w:hAnsi="Times New Roman" w:cs="Times New Roman" w:eastAsia="Times New Roman" w:hint="default"/>
                <w:sz w:val="18"/>
                <w:szCs w:val="18"/>
              </w:rPr>
            </w:pPr>
            <w:r>
              <w:rPr>
                <w:rFonts w:ascii="Times New Roman"/>
                <w:spacing w:val="-1"/>
                <w:sz w:val="18"/>
              </w:rPr>
              <w:t>2,500.00</w:t>
            </w:r>
          </w:p>
        </w:tc>
        <w:tc>
          <w:tcPr>
            <w:tcW w:w="10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1"/>
              <w:ind w:right="62"/>
              <w:jc w:val="right"/>
              <w:rPr>
                <w:rFonts w:ascii="Times New Roman" w:hAnsi="Times New Roman" w:cs="Times New Roman" w:eastAsia="Times New Roman" w:hint="default"/>
                <w:sz w:val="18"/>
                <w:szCs w:val="18"/>
              </w:rPr>
            </w:pPr>
            <w:r>
              <w:rPr>
                <w:rFonts w:ascii="Times New Roman"/>
                <w:sz w:val="18"/>
              </w:rPr>
              <w:t>2,500.00</w:t>
            </w:r>
          </w:p>
        </w:tc>
        <w:tc>
          <w:tcPr>
            <w:tcW w:w="1207"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1"/>
              <w:ind w:right="62"/>
              <w:jc w:val="right"/>
              <w:rPr>
                <w:rFonts w:ascii="Times New Roman" w:hAnsi="Times New Roman" w:cs="Times New Roman" w:eastAsia="Times New Roman" w:hint="default"/>
                <w:sz w:val="18"/>
                <w:szCs w:val="18"/>
              </w:rPr>
            </w:pPr>
            <w:r>
              <w:rPr>
                <w:rFonts w:ascii="Times New Roman"/>
                <w:spacing w:val="-1"/>
                <w:sz w:val="18"/>
              </w:rPr>
              <w:t>93,217.77</w:t>
            </w:r>
            <w:r>
              <w:rPr>
                <w:rFonts w:ascii="Times New Roman"/>
                <w:sz w:val="18"/>
              </w:rPr>
            </w:r>
          </w:p>
        </w:tc>
      </w:tr>
      <w:tr>
        <w:trPr>
          <w:trHeight w:val="340" w:hRule="exact"/>
        </w:trPr>
        <w:tc>
          <w:tcPr>
            <w:tcW w:w="2864" w:type="dxa"/>
            <w:tcBorders>
              <w:top w:val="single" w:sz="5" w:space="0" w:color="000000"/>
              <w:left w:val="single" w:sz="11" w:space="0" w:color="000000"/>
              <w:bottom w:val="single" w:sz="5" w:space="0" w:color="000000"/>
              <w:right w:val="single" w:sz="5" w:space="0" w:color="000000"/>
            </w:tcBorders>
          </w:tcPr>
          <w:p>
            <w:pPr>
              <w:pStyle w:val="TableParagraph"/>
              <w:spacing w:line="240" w:lineRule="auto" w:before="38"/>
              <w:ind w:left="391"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180"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0"/>
              <w:ind w:right="24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5" w:space="0" w:color="000000"/>
              <w:left w:val="single" w:sz="11" w:space="0" w:color="000000"/>
              <w:bottom w:val="single" w:sz="5" w:space="0" w:color="000000"/>
              <w:right w:val="single" w:sz="10" w:space="0" w:color="000000"/>
            </w:tcBorders>
          </w:tcPr>
          <w:p>
            <w:pPr>
              <w:pStyle w:val="TableParagraph"/>
              <w:spacing w:line="240" w:lineRule="auto" w:before="60"/>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5" w:space="0" w:color="000000"/>
              <w:left w:val="single" w:sz="10" w:space="0" w:color="000000"/>
              <w:bottom w:val="single" w:sz="5" w:space="0" w:color="000000"/>
              <w:right w:val="single" w:sz="5" w:space="0" w:color="000000"/>
            </w:tcBorders>
          </w:tcPr>
          <w:p>
            <w:pPr>
              <w:pStyle w:val="TableParagraph"/>
              <w:spacing w:line="240" w:lineRule="auto" w:before="60"/>
              <w:ind w:right="25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left="562"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60"/>
              <w:ind w:right="25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7" w:type="dxa"/>
            <w:tcBorders>
              <w:top w:val="single" w:sz="5" w:space="0" w:color="000000"/>
              <w:left w:val="single" w:sz="5" w:space="0" w:color="000000"/>
              <w:bottom w:val="single" w:sz="5" w:space="0" w:color="000000"/>
              <w:right w:val="single" w:sz="11" w:space="0" w:color="000000"/>
            </w:tcBorders>
          </w:tcPr>
          <w:p>
            <w:pPr>
              <w:pStyle w:val="TableParagraph"/>
              <w:spacing w:line="240" w:lineRule="auto" w:before="60"/>
              <w:ind w:right="23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45" w:hRule="exact"/>
        </w:trPr>
        <w:tc>
          <w:tcPr>
            <w:tcW w:w="2864" w:type="dxa"/>
            <w:tcBorders>
              <w:top w:val="single" w:sz="5" w:space="0" w:color="000000"/>
              <w:left w:val="single" w:sz="11" w:space="0" w:color="000000"/>
              <w:bottom w:val="single" w:sz="11" w:space="0" w:color="000000"/>
              <w:right w:val="single" w:sz="5" w:space="0" w:color="000000"/>
            </w:tcBorders>
          </w:tcPr>
          <w:p>
            <w:pPr>
              <w:pStyle w:val="TableParagraph"/>
              <w:spacing w:line="240" w:lineRule="auto" w:before="38"/>
              <w:ind w:left="939" w:right="0"/>
              <w:jc w:val="left"/>
              <w:rPr>
                <w:rFonts w:ascii="宋体" w:hAnsi="宋体" w:cs="宋体" w:eastAsia="宋体" w:hint="default"/>
                <w:sz w:val="18"/>
                <w:szCs w:val="18"/>
              </w:rPr>
            </w:pPr>
            <w:r>
              <w:rPr>
                <w:rFonts w:ascii="宋体" w:hAnsi="宋体" w:cs="宋体" w:eastAsia="宋体" w:hint="default"/>
                <w:spacing w:val="2"/>
                <w:sz w:val="18"/>
                <w:szCs w:val="18"/>
              </w:rPr>
              <w:t>机器设备</w:t>
            </w:r>
            <w:r>
              <w:rPr>
                <w:rFonts w:ascii="宋体" w:hAnsi="宋体" w:cs="宋体" w:eastAsia="宋体" w:hint="default"/>
                <w:sz w:val="18"/>
                <w:szCs w:val="18"/>
              </w:rPr>
            </w:r>
          </w:p>
        </w:tc>
        <w:tc>
          <w:tcPr>
            <w:tcW w:w="1180" w:type="dxa"/>
            <w:tcBorders>
              <w:top w:val="single" w:sz="5" w:space="0" w:color="000000"/>
              <w:left w:val="single" w:sz="5" w:space="0" w:color="000000"/>
              <w:bottom w:val="single" w:sz="11" w:space="0" w:color="000000"/>
              <w:right w:val="single" w:sz="11"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z w:val="18"/>
              </w:rPr>
              <w:t>95,717.77</w:t>
            </w:r>
          </w:p>
        </w:tc>
        <w:tc>
          <w:tcPr>
            <w:tcW w:w="1214" w:type="dxa"/>
            <w:tcBorders>
              <w:top w:val="single" w:sz="5" w:space="0" w:color="000000"/>
              <w:left w:val="single" w:sz="11" w:space="0" w:color="000000"/>
              <w:bottom w:val="single" w:sz="11" w:space="0" w:color="000000"/>
              <w:right w:val="single" w:sz="10" w:space="0" w:color="000000"/>
            </w:tcBorders>
          </w:tcPr>
          <w:p>
            <w:pPr>
              <w:pStyle w:val="TableParagraph"/>
              <w:spacing w:line="240" w:lineRule="auto" w:before="60"/>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5" w:space="0" w:color="000000"/>
              <w:left w:val="single" w:sz="10" w:space="0" w:color="000000"/>
              <w:bottom w:val="single" w:sz="11" w:space="0" w:color="000000"/>
              <w:right w:val="single" w:sz="5" w:space="0" w:color="000000"/>
            </w:tcBorders>
          </w:tcPr>
          <w:p>
            <w:pPr>
              <w:pStyle w:val="TableParagraph"/>
              <w:spacing w:line="240" w:lineRule="auto" w:before="60"/>
              <w:ind w:right="251"/>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5" w:space="0" w:color="000000"/>
              <w:left w:val="single" w:sz="5" w:space="0" w:color="000000"/>
              <w:bottom w:val="single" w:sz="11" w:space="0" w:color="000000"/>
              <w:right w:val="single" w:sz="5" w:space="0" w:color="000000"/>
            </w:tcBorders>
          </w:tcPr>
          <w:p>
            <w:pPr>
              <w:pStyle w:val="TableParagraph"/>
              <w:spacing w:line="240" w:lineRule="auto" w:before="60"/>
              <w:ind w:right="75"/>
              <w:jc w:val="right"/>
              <w:rPr>
                <w:rFonts w:ascii="Times New Roman" w:hAnsi="Times New Roman" w:cs="Times New Roman" w:eastAsia="Times New Roman" w:hint="default"/>
                <w:sz w:val="18"/>
                <w:szCs w:val="18"/>
              </w:rPr>
            </w:pPr>
            <w:r>
              <w:rPr>
                <w:rFonts w:ascii="Times New Roman"/>
                <w:spacing w:val="-1"/>
                <w:sz w:val="18"/>
              </w:rPr>
              <w:t>2,500.00</w:t>
            </w:r>
          </w:p>
        </w:tc>
        <w:tc>
          <w:tcPr>
            <w:tcW w:w="1070" w:type="dxa"/>
            <w:tcBorders>
              <w:top w:val="single" w:sz="5" w:space="0" w:color="000000"/>
              <w:left w:val="single" w:sz="5" w:space="0" w:color="000000"/>
              <w:bottom w:val="single" w:sz="11" w:space="0" w:color="000000"/>
              <w:right w:val="single" w:sz="5"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z w:val="18"/>
              </w:rPr>
              <w:t>2,500.00</w:t>
            </w:r>
          </w:p>
        </w:tc>
        <w:tc>
          <w:tcPr>
            <w:tcW w:w="1207" w:type="dxa"/>
            <w:tcBorders>
              <w:top w:val="single" w:sz="5" w:space="0" w:color="000000"/>
              <w:left w:val="single" w:sz="5" w:space="0" w:color="000000"/>
              <w:bottom w:val="single" w:sz="11" w:space="0" w:color="000000"/>
              <w:right w:val="single" w:sz="11" w:space="0" w:color="000000"/>
            </w:tcBorders>
          </w:tcPr>
          <w:p>
            <w:pPr>
              <w:pStyle w:val="TableParagraph"/>
              <w:spacing w:line="240" w:lineRule="auto" w:before="60"/>
              <w:ind w:right="62"/>
              <w:jc w:val="right"/>
              <w:rPr>
                <w:rFonts w:ascii="Times New Roman" w:hAnsi="Times New Roman" w:cs="Times New Roman" w:eastAsia="Times New Roman" w:hint="default"/>
                <w:sz w:val="18"/>
                <w:szCs w:val="18"/>
              </w:rPr>
            </w:pPr>
            <w:r>
              <w:rPr>
                <w:rFonts w:ascii="Times New Roman"/>
                <w:spacing w:val="-1"/>
                <w:sz w:val="18"/>
              </w:rPr>
              <w:t>93,217.77</w:t>
            </w:r>
            <w:r>
              <w:rPr>
                <w:rFonts w:ascii="Times New Roman"/>
                <w:sz w:val="18"/>
              </w:rPr>
            </w:r>
          </w:p>
        </w:tc>
      </w:tr>
      <w:tr>
        <w:trPr>
          <w:trHeight w:val="340" w:hRule="exact"/>
        </w:trPr>
        <w:tc>
          <w:tcPr>
            <w:tcW w:w="2864" w:type="dxa"/>
            <w:tcBorders>
              <w:top w:val="single" w:sz="11" w:space="0" w:color="000000"/>
              <w:left w:val="single" w:sz="11" w:space="0" w:color="000000"/>
              <w:bottom w:val="single" w:sz="11" w:space="0" w:color="000000"/>
              <w:right w:val="single" w:sz="5" w:space="0" w:color="000000"/>
            </w:tcBorders>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180" w:type="dxa"/>
            <w:tcBorders>
              <w:top w:val="single" w:sz="11" w:space="0" w:color="000000"/>
              <w:left w:val="single" w:sz="5" w:space="0" w:color="000000"/>
              <w:bottom w:val="single" w:sz="11" w:space="0" w:color="000000"/>
              <w:right w:val="single" w:sz="11" w:space="0" w:color="000000"/>
            </w:tcBorders>
          </w:tcPr>
          <w:p>
            <w:pPr>
              <w:pStyle w:val="TableParagraph"/>
              <w:spacing w:line="240" w:lineRule="auto" w:before="48"/>
              <w:ind w:right="24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11" w:space="0" w:color="000000"/>
              <w:left w:val="single" w:sz="11" w:space="0" w:color="000000"/>
              <w:bottom w:val="single" w:sz="11" w:space="0" w:color="000000"/>
              <w:right w:val="single" w:sz="10" w:space="0" w:color="000000"/>
            </w:tcBorders>
          </w:tcPr>
          <w:p>
            <w:pPr>
              <w:pStyle w:val="TableParagraph"/>
              <w:spacing w:line="240" w:lineRule="auto" w:before="48"/>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11" w:space="0" w:color="000000"/>
              <w:left w:val="single" w:sz="10" w:space="0" w:color="000000"/>
              <w:bottom w:val="single" w:sz="11" w:space="0" w:color="000000"/>
              <w:right w:val="single" w:sz="5" w:space="0" w:color="000000"/>
            </w:tcBorders>
          </w:tcPr>
          <w:p>
            <w:pPr>
              <w:pStyle w:val="TableParagraph"/>
              <w:spacing w:line="240" w:lineRule="auto" w:before="48"/>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11" w:space="0" w:color="000000"/>
              <w:left w:val="single" w:sz="5" w:space="0" w:color="000000"/>
              <w:bottom w:val="single" w:sz="11" w:space="0" w:color="000000"/>
              <w:right w:val="single" w:sz="5" w:space="0" w:color="000000"/>
            </w:tcBorders>
          </w:tcPr>
          <w:p>
            <w:pPr>
              <w:pStyle w:val="TableParagraph"/>
              <w:spacing w:line="240" w:lineRule="auto" w:before="48"/>
              <w:ind w:left="561"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11" w:space="0" w:color="000000"/>
              <w:left w:val="single" w:sz="5" w:space="0" w:color="000000"/>
              <w:bottom w:val="single" w:sz="11" w:space="0" w:color="000000"/>
              <w:right w:val="single" w:sz="5" w:space="0" w:color="000000"/>
            </w:tcBorders>
          </w:tcPr>
          <w:p>
            <w:pPr>
              <w:pStyle w:val="TableParagraph"/>
              <w:spacing w:line="240" w:lineRule="auto" w:before="48"/>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7" w:type="dxa"/>
            <w:tcBorders>
              <w:top w:val="single" w:sz="11" w:space="0" w:color="000000"/>
              <w:left w:val="single" w:sz="5" w:space="0" w:color="000000"/>
              <w:bottom w:val="single" w:sz="11" w:space="0" w:color="000000"/>
              <w:right w:val="single" w:sz="11" w:space="0" w:color="000000"/>
            </w:tcBorders>
          </w:tcPr>
          <w:p>
            <w:pPr>
              <w:pStyle w:val="TableParagraph"/>
              <w:spacing w:line="240" w:lineRule="auto" w:before="48"/>
              <w:ind w:right="23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39" w:hRule="exact"/>
        </w:trPr>
        <w:tc>
          <w:tcPr>
            <w:tcW w:w="2864" w:type="dxa"/>
            <w:tcBorders>
              <w:top w:val="single" w:sz="11" w:space="0" w:color="000000"/>
              <w:left w:val="single" w:sz="11" w:space="0" w:color="000000"/>
              <w:bottom w:val="single" w:sz="10" w:space="0" w:color="000000"/>
              <w:right w:val="single" w:sz="5" w:space="0" w:color="000000"/>
            </w:tcBorders>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180" w:type="dxa"/>
            <w:tcBorders>
              <w:top w:val="single" w:sz="11" w:space="0" w:color="000000"/>
              <w:left w:val="single" w:sz="5" w:space="0" w:color="000000"/>
              <w:bottom w:val="single" w:sz="10" w:space="0" w:color="000000"/>
              <w:right w:val="single" w:sz="11" w:space="0" w:color="000000"/>
            </w:tcBorders>
          </w:tcPr>
          <w:p>
            <w:pPr>
              <w:pStyle w:val="TableParagraph"/>
              <w:spacing w:line="240" w:lineRule="auto" w:before="47"/>
              <w:ind w:right="24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11" w:space="0" w:color="000000"/>
              <w:left w:val="single" w:sz="11" w:space="0" w:color="000000"/>
              <w:bottom w:val="single" w:sz="10" w:space="0" w:color="000000"/>
              <w:right w:val="single" w:sz="10" w:space="0" w:color="000000"/>
            </w:tcBorders>
          </w:tcPr>
          <w:p>
            <w:pPr>
              <w:pStyle w:val="TableParagraph"/>
              <w:spacing w:line="240" w:lineRule="auto" w:before="47"/>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11" w:space="0" w:color="000000"/>
              <w:left w:val="single" w:sz="10" w:space="0" w:color="000000"/>
              <w:bottom w:val="single" w:sz="10" w:space="0" w:color="000000"/>
              <w:right w:val="single" w:sz="5" w:space="0" w:color="000000"/>
            </w:tcBorders>
          </w:tcPr>
          <w:p>
            <w:pPr>
              <w:pStyle w:val="TableParagraph"/>
              <w:spacing w:line="240" w:lineRule="auto" w:before="47"/>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11" w:space="0" w:color="000000"/>
              <w:left w:val="single" w:sz="5" w:space="0" w:color="000000"/>
              <w:bottom w:val="single" w:sz="10" w:space="0" w:color="000000"/>
              <w:right w:val="single" w:sz="5" w:space="0" w:color="000000"/>
            </w:tcBorders>
          </w:tcPr>
          <w:p>
            <w:pPr>
              <w:pStyle w:val="TableParagraph"/>
              <w:spacing w:line="240" w:lineRule="auto" w:before="47"/>
              <w:ind w:left="561"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11" w:space="0" w:color="000000"/>
              <w:left w:val="single" w:sz="5" w:space="0" w:color="000000"/>
              <w:bottom w:val="single" w:sz="10" w:space="0" w:color="000000"/>
              <w:right w:val="single" w:sz="5" w:space="0" w:color="000000"/>
            </w:tcBorders>
          </w:tcPr>
          <w:p>
            <w:pPr>
              <w:pStyle w:val="TableParagraph"/>
              <w:spacing w:line="240" w:lineRule="auto" w:before="47"/>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7" w:type="dxa"/>
            <w:tcBorders>
              <w:top w:val="single" w:sz="11" w:space="0" w:color="000000"/>
              <w:left w:val="single" w:sz="5" w:space="0" w:color="000000"/>
              <w:bottom w:val="single" w:sz="10" w:space="0" w:color="000000"/>
              <w:right w:val="single" w:sz="11" w:space="0" w:color="000000"/>
            </w:tcBorders>
          </w:tcPr>
          <w:p>
            <w:pPr>
              <w:pStyle w:val="TableParagraph"/>
              <w:spacing w:line="240" w:lineRule="auto" w:before="47"/>
              <w:ind w:right="23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39" w:hRule="exact"/>
        </w:trPr>
        <w:tc>
          <w:tcPr>
            <w:tcW w:w="2864" w:type="dxa"/>
            <w:tcBorders>
              <w:top w:val="single" w:sz="10" w:space="0" w:color="000000"/>
              <w:left w:val="single" w:sz="11" w:space="0" w:color="000000"/>
              <w:bottom w:val="single" w:sz="11" w:space="0" w:color="000000"/>
              <w:right w:val="single" w:sz="5" w:space="0" w:color="000000"/>
            </w:tcBorders>
          </w:tcPr>
          <w:p>
            <w:pPr>
              <w:pStyle w:val="TableParagraph"/>
              <w:spacing w:line="240" w:lineRule="auto" w:before="26"/>
              <w:ind w:left="13" w:right="0"/>
              <w:jc w:val="left"/>
              <w:rPr>
                <w:rFonts w:ascii="宋体" w:hAnsi="宋体" w:cs="宋体" w:eastAsia="宋体" w:hint="default"/>
                <w:sz w:val="18"/>
                <w:szCs w:val="18"/>
              </w:rPr>
            </w:pPr>
            <w:r>
              <w:rPr>
                <w:rFonts w:ascii="宋体" w:hAnsi="宋体" w:cs="宋体" w:eastAsia="宋体" w:hint="default"/>
                <w:sz w:val="18"/>
                <w:szCs w:val="18"/>
              </w:rPr>
              <w:t>十、无形资产减值准备</w:t>
            </w:r>
          </w:p>
        </w:tc>
        <w:tc>
          <w:tcPr>
            <w:tcW w:w="1180" w:type="dxa"/>
            <w:tcBorders>
              <w:top w:val="single" w:sz="10" w:space="0" w:color="000000"/>
              <w:left w:val="single" w:sz="5" w:space="0" w:color="000000"/>
              <w:bottom w:val="single" w:sz="11" w:space="0" w:color="000000"/>
              <w:right w:val="single" w:sz="11" w:space="0" w:color="000000"/>
            </w:tcBorders>
          </w:tcPr>
          <w:p>
            <w:pPr>
              <w:pStyle w:val="TableParagraph"/>
              <w:spacing w:line="240" w:lineRule="auto" w:before="48"/>
              <w:ind w:right="24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10" w:space="0" w:color="000000"/>
              <w:left w:val="single" w:sz="11" w:space="0" w:color="000000"/>
              <w:bottom w:val="single" w:sz="11" w:space="0" w:color="000000"/>
              <w:right w:val="single" w:sz="10" w:space="0" w:color="000000"/>
            </w:tcBorders>
          </w:tcPr>
          <w:p>
            <w:pPr>
              <w:pStyle w:val="TableParagraph"/>
              <w:spacing w:line="240" w:lineRule="auto" w:before="48"/>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10" w:space="0" w:color="000000"/>
              <w:left w:val="single" w:sz="10" w:space="0" w:color="000000"/>
              <w:bottom w:val="single" w:sz="11" w:space="0" w:color="000000"/>
              <w:right w:val="single" w:sz="5" w:space="0" w:color="000000"/>
            </w:tcBorders>
          </w:tcPr>
          <w:p>
            <w:pPr>
              <w:pStyle w:val="TableParagraph"/>
              <w:spacing w:line="240" w:lineRule="auto" w:before="48"/>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10" w:space="0" w:color="000000"/>
              <w:left w:val="single" w:sz="5" w:space="0" w:color="000000"/>
              <w:bottom w:val="single" w:sz="11" w:space="0" w:color="000000"/>
              <w:right w:val="single" w:sz="5" w:space="0" w:color="000000"/>
            </w:tcBorders>
          </w:tcPr>
          <w:p>
            <w:pPr>
              <w:pStyle w:val="TableParagraph"/>
              <w:spacing w:line="240" w:lineRule="auto" w:before="48"/>
              <w:ind w:left="561"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10" w:space="0" w:color="000000"/>
              <w:left w:val="single" w:sz="5" w:space="0" w:color="000000"/>
              <w:bottom w:val="single" w:sz="11" w:space="0" w:color="000000"/>
              <w:right w:val="single" w:sz="5" w:space="0" w:color="000000"/>
            </w:tcBorders>
          </w:tcPr>
          <w:p>
            <w:pPr>
              <w:pStyle w:val="TableParagraph"/>
              <w:spacing w:line="240" w:lineRule="auto" w:before="48"/>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7" w:type="dxa"/>
            <w:tcBorders>
              <w:top w:val="single" w:sz="10" w:space="0" w:color="000000"/>
              <w:left w:val="single" w:sz="5" w:space="0" w:color="000000"/>
              <w:bottom w:val="single" w:sz="11" w:space="0" w:color="000000"/>
              <w:right w:val="single" w:sz="11" w:space="0" w:color="000000"/>
            </w:tcBorders>
          </w:tcPr>
          <w:p>
            <w:pPr>
              <w:pStyle w:val="TableParagraph"/>
              <w:spacing w:line="240" w:lineRule="auto" w:before="48"/>
              <w:ind w:right="23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40" w:hRule="exact"/>
        </w:trPr>
        <w:tc>
          <w:tcPr>
            <w:tcW w:w="2864" w:type="dxa"/>
            <w:tcBorders>
              <w:top w:val="single" w:sz="11" w:space="0" w:color="000000"/>
              <w:left w:val="single" w:sz="11" w:space="0" w:color="000000"/>
              <w:bottom w:val="single" w:sz="11" w:space="0" w:color="000000"/>
              <w:right w:val="single" w:sz="5" w:space="0" w:color="000000"/>
            </w:tcBorders>
          </w:tcPr>
          <w:p>
            <w:pPr>
              <w:pStyle w:val="TableParagraph"/>
              <w:spacing w:line="240" w:lineRule="auto" w:before="25"/>
              <w:ind w:left="573" w:right="0"/>
              <w:jc w:val="left"/>
              <w:rPr>
                <w:rFonts w:ascii="宋体" w:hAnsi="宋体" w:cs="宋体" w:eastAsia="宋体" w:hint="default"/>
                <w:sz w:val="18"/>
                <w:szCs w:val="18"/>
              </w:rPr>
            </w:pPr>
            <w:r>
              <w:rPr>
                <w:rFonts w:ascii="宋体" w:hAnsi="宋体" w:cs="宋体" w:eastAsia="宋体" w:hint="default"/>
                <w:sz w:val="18"/>
                <w:szCs w:val="18"/>
              </w:rPr>
              <w:t>其中：专利权</w:t>
            </w:r>
          </w:p>
        </w:tc>
        <w:tc>
          <w:tcPr>
            <w:tcW w:w="1180" w:type="dxa"/>
            <w:tcBorders>
              <w:top w:val="single" w:sz="11" w:space="0" w:color="000000"/>
              <w:left w:val="single" w:sz="5" w:space="0" w:color="000000"/>
              <w:bottom w:val="single" w:sz="11" w:space="0" w:color="000000"/>
              <w:right w:val="single" w:sz="11" w:space="0" w:color="000000"/>
            </w:tcBorders>
          </w:tcPr>
          <w:p>
            <w:pPr>
              <w:pStyle w:val="TableParagraph"/>
              <w:spacing w:line="240" w:lineRule="auto" w:before="47"/>
              <w:ind w:right="24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11" w:space="0" w:color="000000"/>
              <w:left w:val="single" w:sz="11" w:space="0" w:color="000000"/>
              <w:bottom w:val="single" w:sz="11" w:space="0" w:color="000000"/>
              <w:right w:val="single" w:sz="10" w:space="0" w:color="000000"/>
            </w:tcBorders>
          </w:tcPr>
          <w:p>
            <w:pPr>
              <w:pStyle w:val="TableParagraph"/>
              <w:spacing w:line="240" w:lineRule="auto" w:before="47"/>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11" w:space="0" w:color="000000"/>
              <w:left w:val="single" w:sz="10" w:space="0" w:color="000000"/>
              <w:bottom w:val="single" w:sz="11" w:space="0" w:color="000000"/>
              <w:right w:val="single" w:sz="5" w:space="0" w:color="000000"/>
            </w:tcBorders>
          </w:tcPr>
          <w:p>
            <w:pPr>
              <w:pStyle w:val="TableParagraph"/>
              <w:spacing w:line="240" w:lineRule="auto" w:before="47"/>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11" w:space="0" w:color="000000"/>
              <w:left w:val="single" w:sz="5" w:space="0" w:color="000000"/>
              <w:bottom w:val="single" w:sz="11" w:space="0" w:color="000000"/>
              <w:right w:val="single" w:sz="5" w:space="0" w:color="000000"/>
            </w:tcBorders>
          </w:tcPr>
          <w:p>
            <w:pPr>
              <w:pStyle w:val="TableParagraph"/>
              <w:spacing w:line="240" w:lineRule="auto" w:before="47"/>
              <w:ind w:left="561"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11" w:space="0" w:color="000000"/>
              <w:left w:val="single" w:sz="5" w:space="0" w:color="000000"/>
              <w:bottom w:val="single" w:sz="11" w:space="0" w:color="000000"/>
              <w:right w:val="single" w:sz="5" w:space="0" w:color="000000"/>
            </w:tcBorders>
          </w:tcPr>
          <w:p>
            <w:pPr>
              <w:pStyle w:val="TableParagraph"/>
              <w:spacing w:line="240" w:lineRule="auto" w:before="47"/>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7" w:type="dxa"/>
            <w:tcBorders>
              <w:top w:val="single" w:sz="11" w:space="0" w:color="000000"/>
              <w:left w:val="single" w:sz="5" w:space="0" w:color="000000"/>
              <w:bottom w:val="single" w:sz="11" w:space="0" w:color="000000"/>
              <w:right w:val="single" w:sz="11" w:space="0" w:color="000000"/>
            </w:tcBorders>
          </w:tcPr>
          <w:p>
            <w:pPr>
              <w:pStyle w:val="TableParagraph"/>
              <w:spacing w:line="240" w:lineRule="auto" w:before="47"/>
              <w:ind w:right="23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39" w:hRule="exact"/>
        </w:trPr>
        <w:tc>
          <w:tcPr>
            <w:tcW w:w="2864" w:type="dxa"/>
            <w:tcBorders>
              <w:top w:val="single" w:sz="11" w:space="0" w:color="000000"/>
              <w:left w:val="single" w:sz="11" w:space="0" w:color="000000"/>
              <w:bottom w:val="single" w:sz="11" w:space="0" w:color="000000"/>
              <w:right w:val="single" w:sz="5" w:space="0" w:color="000000"/>
            </w:tcBorders>
          </w:tcPr>
          <w:p>
            <w:pPr>
              <w:pStyle w:val="TableParagraph"/>
              <w:spacing w:line="240" w:lineRule="auto" w:before="25"/>
              <w:ind w:right="37"/>
              <w:jc w:val="center"/>
              <w:rPr>
                <w:rFonts w:ascii="宋体" w:hAnsi="宋体" w:cs="宋体" w:eastAsia="宋体" w:hint="default"/>
                <w:sz w:val="18"/>
                <w:szCs w:val="18"/>
              </w:rPr>
            </w:pPr>
            <w:r>
              <w:rPr>
                <w:rFonts w:ascii="宋体" w:hAnsi="宋体" w:cs="宋体" w:eastAsia="宋体" w:hint="default"/>
                <w:spacing w:val="3"/>
                <w:sz w:val="18"/>
                <w:szCs w:val="18"/>
              </w:rPr>
              <w:t>商标权</w:t>
            </w:r>
            <w:r>
              <w:rPr>
                <w:rFonts w:ascii="宋体" w:hAnsi="宋体" w:cs="宋体" w:eastAsia="宋体" w:hint="default"/>
                <w:sz w:val="18"/>
                <w:szCs w:val="18"/>
              </w:rPr>
            </w:r>
          </w:p>
        </w:tc>
        <w:tc>
          <w:tcPr>
            <w:tcW w:w="1180" w:type="dxa"/>
            <w:tcBorders>
              <w:top w:val="single" w:sz="11" w:space="0" w:color="000000"/>
              <w:left w:val="single" w:sz="5" w:space="0" w:color="000000"/>
              <w:bottom w:val="single" w:sz="11" w:space="0" w:color="000000"/>
              <w:right w:val="single" w:sz="11" w:space="0" w:color="000000"/>
            </w:tcBorders>
          </w:tcPr>
          <w:p>
            <w:pPr>
              <w:pStyle w:val="TableParagraph"/>
              <w:spacing w:line="240" w:lineRule="auto" w:before="47"/>
              <w:ind w:right="24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11" w:space="0" w:color="000000"/>
              <w:left w:val="single" w:sz="11" w:space="0" w:color="000000"/>
              <w:bottom w:val="single" w:sz="11" w:space="0" w:color="000000"/>
              <w:right w:val="single" w:sz="10" w:space="0" w:color="000000"/>
            </w:tcBorders>
          </w:tcPr>
          <w:p>
            <w:pPr>
              <w:pStyle w:val="TableParagraph"/>
              <w:spacing w:line="240" w:lineRule="auto" w:before="47"/>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11" w:space="0" w:color="000000"/>
              <w:left w:val="single" w:sz="10" w:space="0" w:color="000000"/>
              <w:bottom w:val="single" w:sz="11" w:space="0" w:color="000000"/>
              <w:right w:val="single" w:sz="5" w:space="0" w:color="000000"/>
            </w:tcBorders>
          </w:tcPr>
          <w:p>
            <w:pPr>
              <w:pStyle w:val="TableParagraph"/>
              <w:spacing w:line="240" w:lineRule="auto" w:before="47"/>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11" w:space="0" w:color="000000"/>
              <w:left w:val="single" w:sz="5" w:space="0" w:color="000000"/>
              <w:bottom w:val="single" w:sz="11" w:space="0" w:color="000000"/>
              <w:right w:val="single" w:sz="5" w:space="0" w:color="000000"/>
            </w:tcBorders>
          </w:tcPr>
          <w:p>
            <w:pPr>
              <w:pStyle w:val="TableParagraph"/>
              <w:spacing w:line="240" w:lineRule="auto" w:before="47"/>
              <w:ind w:left="561"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11" w:space="0" w:color="000000"/>
              <w:left w:val="single" w:sz="5" w:space="0" w:color="000000"/>
              <w:bottom w:val="single" w:sz="11" w:space="0" w:color="000000"/>
              <w:right w:val="single" w:sz="5" w:space="0" w:color="000000"/>
            </w:tcBorders>
          </w:tcPr>
          <w:p>
            <w:pPr>
              <w:pStyle w:val="TableParagraph"/>
              <w:spacing w:line="240" w:lineRule="auto" w:before="47"/>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7" w:type="dxa"/>
            <w:tcBorders>
              <w:top w:val="single" w:sz="11" w:space="0" w:color="000000"/>
              <w:left w:val="single" w:sz="5" w:space="0" w:color="000000"/>
              <w:bottom w:val="single" w:sz="11" w:space="0" w:color="000000"/>
              <w:right w:val="single" w:sz="11" w:space="0" w:color="000000"/>
            </w:tcBorders>
          </w:tcPr>
          <w:p>
            <w:pPr>
              <w:pStyle w:val="TableParagraph"/>
              <w:spacing w:line="240" w:lineRule="auto" w:before="47"/>
              <w:ind w:right="23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39" w:hRule="exact"/>
        </w:trPr>
        <w:tc>
          <w:tcPr>
            <w:tcW w:w="2864" w:type="dxa"/>
            <w:tcBorders>
              <w:top w:val="single" w:sz="11" w:space="0" w:color="000000"/>
              <w:left w:val="single" w:sz="11" w:space="0" w:color="000000"/>
              <w:bottom w:val="single" w:sz="11" w:space="0" w:color="000000"/>
              <w:right w:val="single" w:sz="5" w:space="0" w:color="000000"/>
            </w:tcBorders>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pacing w:val="2"/>
                <w:sz w:val="18"/>
                <w:szCs w:val="18"/>
              </w:rPr>
              <w:t>十一、商誉减值准备</w:t>
            </w:r>
            <w:r>
              <w:rPr>
                <w:rFonts w:ascii="宋体" w:hAnsi="宋体" w:cs="宋体" w:eastAsia="宋体" w:hint="default"/>
                <w:sz w:val="18"/>
                <w:szCs w:val="18"/>
              </w:rPr>
            </w:r>
          </w:p>
        </w:tc>
        <w:tc>
          <w:tcPr>
            <w:tcW w:w="1180" w:type="dxa"/>
            <w:tcBorders>
              <w:top w:val="single" w:sz="11" w:space="0" w:color="000000"/>
              <w:left w:val="single" w:sz="5" w:space="0" w:color="000000"/>
              <w:bottom w:val="single" w:sz="11" w:space="0" w:color="000000"/>
              <w:right w:val="single" w:sz="11" w:space="0" w:color="000000"/>
            </w:tcBorders>
          </w:tcPr>
          <w:p>
            <w:pPr>
              <w:pStyle w:val="TableParagraph"/>
              <w:spacing w:line="240" w:lineRule="auto" w:before="48"/>
              <w:ind w:right="24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11" w:space="0" w:color="000000"/>
              <w:left w:val="single" w:sz="11" w:space="0" w:color="000000"/>
              <w:bottom w:val="single" w:sz="11" w:space="0" w:color="000000"/>
              <w:right w:val="single" w:sz="10" w:space="0" w:color="000000"/>
            </w:tcBorders>
          </w:tcPr>
          <w:p>
            <w:pPr>
              <w:pStyle w:val="TableParagraph"/>
              <w:spacing w:line="240" w:lineRule="auto" w:before="48"/>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11" w:space="0" w:color="000000"/>
              <w:left w:val="single" w:sz="10" w:space="0" w:color="000000"/>
              <w:bottom w:val="single" w:sz="11" w:space="0" w:color="000000"/>
              <w:right w:val="single" w:sz="5" w:space="0" w:color="000000"/>
            </w:tcBorders>
          </w:tcPr>
          <w:p>
            <w:pPr>
              <w:pStyle w:val="TableParagraph"/>
              <w:spacing w:line="240" w:lineRule="auto" w:before="48"/>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11" w:space="0" w:color="000000"/>
              <w:left w:val="single" w:sz="5" w:space="0" w:color="000000"/>
              <w:bottom w:val="single" w:sz="11" w:space="0" w:color="000000"/>
              <w:right w:val="single" w:sz="5" w:space="0" w:color="000000"/>
            </w:tcBorders>
          </w:tcPr>
          <w:p>
            <w:pPr>
              <w:pStyle w:val="TableParagraph"/>
              <w:spacing w:line="240" w:lineRule="auto" w:before="48"/>
              <w:ind w:left="561"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11" w:space="0" w:color="000000"/>
              <w:left w:val="single" w:sz="5" w:space="0" w:color="000000"/>
              <w:bottom w:val="single" w:sz="11" w:space="0" w:color="000000"/>
              <w:right w:val="single" w:sz="5" w:space="0" w:color="000000"/>
            </w:tcBorders>
          </w:tcPr>
          <w:p>
            <w:pPr>
              <w:pStyle w:val="TableParagraph"/>
              <w:spacing w:line="240" w:lineRule="auto" w:before="48"/>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7" w:type="dxa"/>
            <w:tcBorders>
              <w:top w:val="single" w:sz="11" w:space="0" w:color="000000"/>
              <w:left w:val="single" w:sz="5" w:space="0" w:color="000000"/>
              <w:bottom w:val="single" w:sz="11" w:space="0" w:color="000000"/>
              <w:right w:val="single" w:sz="11" w:space="0" w:color="000000"/>
            </w:tcBorders>
          </w:tcPr>
          <w:p>
            <w:pPr>
              <w:pStyle w:val="TableParagraph"/>
              <w:spacing w:line="240" w:lineRule="auto" w:before="48"/>
              <w:ind w:right="23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39" w:hRule="exact"/>
        </w:trPr>
        <w:tc>
          <w:tcPr>
            <w:tcW w:w="2864" w:type="dxa"/>
            <w:tcBorders>
              <w:top w:val="single" w:sz="11" w:space="0" w:color="000000"/>
              <w:left w:val="single" w:sz="11" w:space="0" w:color="000000"/>
              <w:bottom w:val="single" w:sz="10" w:space="0" w:color="000000"/>
              <w:right w:val="single" w:sz="5" w:space="0" w:color="000000"/>
            </w:tcBorders>
          </w:tcPr>
          <w:p>
            <w:pPr>
              <w:pStyle w:val="TableParagraph"/>
              <w:spacing w:line="240" w:lineRule="auto" w:before="25"/>
              <w:ind w:left="13" w:right="0"/>
              <w:jc w:val="left"/>
              <w:rPr>
                <w:rFonts w:ascii="宋体" w:hAnsi="宋体" w:cs="宋体" w:eastAsia="宋体" w:hint="default"/>
                <w:sz w:val="18"/>
                <w:szCs w:val="18"/>
              </w:rPr>
            </w:pPr>
            <w:r>
              <w:rPr>
                <w:rFonts w:ascii="宋体" w:hAnsi="宋体" w:cs="宋体" w:eastAsia="宋体" w:hint="default"/>
                <w:sz w:val="18"/>
                <w:szCs w:val="18"/>
              </w:rPr>
              <w:t>十二、其他</w:t>
            </w:r>
          </w:p>
        </w:tc>
        <w:tc>
          <w:tcPr>
            <w:tcW w:w="1180" w:type="dxa"/>
            <w:tcBorders>
              <w:top w:val="single" w:sz="11" w:space="0" w:color="000000"/>
              <w:left w:val="single" w:sz="5" w:space="0" w:color="000000"/>
              <w:bottom w:val="single" w:sz="10" w:space="0" w:color="000000"/>
              <w:right w:val="single" w:sz="11" w:space="0" w:color="000000"/>
            </w:tcBorders>
          </w:tcPr>
          <w:p>
            <w:pPr>
              <w:pStyle w:val="TableParagraph"/>
              <w:spacing w:line="240" w:lineRule="auto" w:before="47"/>
              <w:ind w:right="24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14" w:type="dxa"/>
            <w:tcBorders>
              <w:top w:val="single" w:sz="11" w:space="0" w:color="000000"/>
              <w:left w:val="single" w:sz="11" w:space="0" w:color="000000"/>
              <w:bottom w:val="single" w:sz="10" w:space="0" w:color="000000"/>
              <w:right w:val="single" w:sz="10" w:space="0" w:color="000000"/>
            </w:tcBorders>
          </w:tcPr>
          <w:p>
            <w:pPr>
              <w:pStyle w:val="TableParagraph"/>
              <w:spacing w:line="240" w:lineRule="auto" w:before="47"/>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11" w:space="0" w:color="000000"/>
              <w:left w:val="single" w:sz="10" w:space="0" w:color="000000"/>
              <w:bottom w:val="single" w:sz="10" w:space="0" w:color="000000"/>
              <w:right w:val="single" w:sz="5" w:space="0" w:color="000000"/>
            </w:tcBorders>
          </w:tcPr>
          <w:p>
            <w:pPr>
              <w:pStyle w:val="TableParagraph"/>
              <w:spacing w:line="240" w:lineRule="auto" w:before="47"/>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00" w:type="dxa"/>
            <w:tcBorders>
              <w:top w:val="single" w:sz="11" w:space="0" w:color="000000"/>
              <w:left w:val="single" w:sz="5" w:space="0" w:color="000000"/>
              <w:bottom w:val="single" w:sz="10" w:space="0" w:color="000000"/>
              <w:right w:val="single" w:sz="5" w:space="0" w:color="000000"/>
            </w:tcBorders>
          </w:tcPr>
          <w:p>
            <w:pPr>
              <w:pStyle w:val="TableParagraph"/>
              <w:spacing w:line="240" w:lineRule="auto" w:before="47"/>
              <w:ind w:left="561"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70" w:type="dxa"/>
            <w:tcBorders>
              <w:top w:val="single" w:sz="11" w:space="0" w:color="000000"/>
              <w:left w:val="single" w:sz="5" w:space="0" w:color="000000"/>
              <w:bottom w:val="single" w:sz="10" w:space="0" w:color="000000"/>
              <w:right w:val="single" w:sz="5" w:space="0" w:color="000000"/>
            </w:tcBorders>
          </w:tcPr>
          <w:p>
            <w:pPr>
              <w:pStyle w:val="TableParagraph"/>
              <w:spacing w:line="240" w:lineRule="auto" w:before="47"/>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207" w:type="dxa"/>
            <w:tcBorders>
              <w:top w:val="single" w:sz="11" w:space="0" w:color="000000"/>
              <w:left w:val="single" w:sz="5" w:space="0" w:color="000000"/>
              <w:bottom w:val="single" w:sz="10" w:space="0" w:color="000000"/>
              <w:right w:val="single" w:sz="11" w:space="0" w:color="000000"/>
            </w:tcBorders>
          </w:tcPr>
          <w:p>
            <w:pPr>
              <w:pStyle w:val="TableParagraph"/>
              <w:spacing w:line="240" w:lineRule="auto" w:before="47"/>
              <w:ind w:right="237"/>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39" w:hRule="exact"/>
        </w:trPr>
        <w:tc>
          <w:tcPr>
            <w:tcW w:w="2864" w:type="dxa"/>
            <w:tcBorders>
              <w:top w:val="single" w:sz="10" w:space="0" w:color="000000"/>
              <w:left w:val="single" w:sz="11" w:space="0" w:color="000000"/>
              <w:bottom w:val="single" w:sz="11" w:space="0" w:color="000000"/>
              <w:right w:val="single" w:sz="5" w:space="0" w:color="000000"/>
            </w:tcBorders>
          </w:tcPr>
          <w:p>
            <w:pPr>
              <w:pStyle w:val="TableParagraph"/>
              <w:tabs>
                <w:tab w:pos="469" w:val="left" w:leader="none"/>
              </w:tabs>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80" w:type="dxa"/>
            <w:tcBorders>
              <w:top w:val="single" w:sz="10" w:space="0" w:color="000000"/>
              <w:left w:val="single" w:sz="5" w:space="0" w:color="000000"/>
              <w:bottom w:val="single" w:sz="11" w:space="0" w:color="000000"/>
              <w:right w:val="single" w:sz="11" w:space="0" w:color="000000"/>
            </w:tcBorders>
          </w:tcPr>
          <w:p>
            <w:pPr>
              <w:pStyle w:val="TableParagraph"/>
              <w:spacing w:line="240" w:lineRule="auto" w:before="61"/>
              <w:ind w:right="62"/>
              <w:jc w:val="right"/>
              <w:rPr>
                <w:rFonts w:ascii="Times New Roman" w:hAnsi="Times New Roman" w:cs="Times New Roman" w:eastAsia="Times New Roman" w:hint="default"/>
                <w:sz w:val="18"/>
                <w:szCs w:val="18"/>
              </w:rPr>
            </w:pPr>
            <w:r>
              <w:rPr>
                <w:rFonts w:ascii="Times New Roman"/>
                <w:spacing w:val="-1"/>
                <w:sz w:val="18"/>
              </w:rPr>
              <w:t>5,999,265.74</w:t>
            </w:r>
            <w:r>
              <w:rPr>
                <w:rFonts w:ascii="Times New Roman"/>
                <w:sz w:val="18"/>
              </w:rPr>
            </w:r>
          </w:p>
        </w:tc>
        <w:tc>
          <w:tcPr>
            <w:tcW w:w="1214" w:type="dxa"/>
            <w:tcBorders>
              <w:top w:val="single" w:sz="10" w:space="0" w:color="000000"/>
              <w:left w:val="single" w:sz="11" w:space="0" w:color="000000"/>
              <w:bottom w:val="single" w:sz="11" w:space="0" w:color="000000"/>
              <w:right w:val="single" w:sz="10" w:space="0" w:color="000000"/>
            </w:tcBorders>
          </w:tcPr>
          <w:p>
            <w:pPr>
              <w:pStyle w:val="TableParagraph"/>
              <w:spacing w:line="240" w:lineRule="auto" w:before="61"/>
              <w:ind w:right="25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41" w:type="dxa"/>
            <w:tcBorders>
              <w:top w:val="single" w:sz="10" w:space="0" w:color="000000"/>
              <w:left w:val="single" w:sz="10" w:space="0" w:color="000000"/>
              <w:bottom w:val="single" w:sz="11" w:space="0" w:color="000000"/>
              <w:right w:val="single" w:sz="5" w:space="0" w:color="000000"/>
            </w:tcBorders>
          </w:tcPr>
          <w:p>
            <w:pPr>
              <w:pStyle w:val="TableParagraph"/>
              <w:spacing w:line="240" w:lineRule="auto" w:before="61"/>
              <w:ind w:right="62"/>
              <w:jc w:val="right"/>
              <w:rPr>
                <w:rFonts w:ascii="Times New Roman" w:hAnsi="Times New Roman" w:cs="Times New Roman" w:eastAsia="Times New Roman" w:hint="default"/>
                <w:sz w:val="18"/>
                <w:szCs w:val="18"/>
              </w:rPr>
            </w:pPr>
            <w:r>
              <w:rPr>
                <w:rFonts w:ascii="Times New Roman"/>
                <w:sz w:val="18"/>
              </w:rPr>
              <w:t>688,552.43</w:t>
            </w:r>
          </w:p>
        </w:tc>
        <w:tc>
          <w:tcPr>
            <w:tcW w:w="900" w:type="dxa"/>
            <w:tcBorders>
              <w:top w:val="single" w:sz="10" w:space="0" w:color="000000"/>
              <w:left w:val="single" w:sz="5" w:space="0" w:color="000000"/>
              <w:bottom w:val="single" w:sz="11" w:space="0" w:color="000000"/>
              <w:right w:val="single" w:sz="5" w:space="0" w:color="000000"/>
            </w:tcBorders>
          </w:tcPr>
          <w:p>
            <w:pPr>
              <w:pStyle w:val="TableParagraph"/>
              <w:spacing w:line="240" w:lineRule="auto" w:before="61"/>
              <w:ind w:right="75"/>
              <w:jc w:val="right"/>
              <w:rPr>
                <w:rFonts w:ascii="Times New Roman" w:hAnsi="Times New Roman" w:cs="Times New Roman" w:eastAsia="Times New Roman" w:hint="default"/>
                <w:sz w:val="18"/>
                <w:szCs w:val="18"/>
              </w:rPr>
            </w:pPr>
            <w:r>
              <w:rPr>
                <w:rFonts w:ascii="Times New Roman"/>
                <w:sz w:val="18"/>
              </w:rPr>
              <w:t>16,697.00</w:t>
            </w:r>
          </w:p>
        </w:tc>
        <w:tc>
          <w:tcPr>
            <w:tcW w:w="1070" w:type="dxa"/>
            <w:tcBorders>
              <w:top w:val="single" w:sz="10" w:space="0" w:color="000000"/>
              <w:left w:val="single" w:sz="5" w:space="0" w:color="000000"/>
              <w:bottom w:val="single" w:sz="11" w:space="0" w:color="000000"/>
              <w:right w:val="single" w:sz="5" w:space="0" w:color="000000"/>
            </w:tcBorders>
          </w:tcPr>
          <w:p>
            <w:pPr>
              <w:pStyle w:val="TableParagraph"/>
              <w:spacing w:line="240" w:lineRule="auto" w:before="61"/>
              <w:ind w:right="62"/>
              <w:jc w:val="right"/>
              <w:rPr>
                <w:rFonts w:ascii="Times New Roman" w:hAnsi="Times New Roman" w:cs="Times New Roman" w:eastAsia="Times New Roman" w:hint="default"/>
                <w:sz w:val="18"/>
                <w:szCs w:val="18"/>
              </w:rPr>
            </w:pPr>
            <w:r>
              <w:rPr>
                <w:rFonts w:ascii="Times New Roman"/>
                <w:sz w:val="18"/>
              </w:rPr>
              <w:t>705,249.43</w:t>
            </w:r>
          </w:p>
        </w:tc>
        <w:tc>
          <w:tcPr>
            <w:tcW w:w="1207" w:type="dxa"/>
            <w:tcBorders>
              <w:top w:val="single" w:sz="10" w:space="0" w:color="000000"/>
              <w:left w:val="single" w:sz="5" w:space="0" w:color="000000"/>
              <w:bottom w:val="single" w:sz="11" w:space="0" w:color="000000"/>
              <w:right w:val="single" w:sz="11" w:space="0" w:color="000000"/>
            </w:tcBorders>
          </w:tcPr>
          <w:p>
            <w:pPr>
              <w:pStyle w:val="TableParagraph"/>
              <w:spacing w:line="240" w:lineRule="auto" w:before="61"/>
              <w:ind w:right="62"/>
              <w:jc w:val="right"/>
              <w:rPr>
                <w:rFonts w:ascii="Times New Roman" w:hAnsi="Times New Roman" w:cs="Times New Roman" w:eastAsia="Times New Roman" w:hint="default"/>
                <w:sz w:val="18"/>
                <w:szCs w:val="18"/>
              </w:rPr>
            </w:pPr>
            <w:r>
              <w:rPr>
                <w:rFonts w:ascii="Times New Roman"/>
                <w:spacing w:val="-1"/>
                <w:sz w:val="18"/>
              </w:rPr>
              <w:t>5,294,016.31</w:t>
            </w:r>
            <w:r>
              <w:rPr>
                <w:rFonts w:ascii="Times New Roman"/>
                <w:sz w:val="18"/>
              </w:rPr>
            </w:r>
          </w:p>
        </w:tc>
      </w:tr>
    </w:tbl>
    <w:p>
      <w:pPr>
        <w:spacing w:line="240" w:lineRule="auto" w:before="9"/>
        <w:rPr>
          <w:rFonts w:ascii="Microsoft JhengHei" w:hAnsi="Microsoft JhengHei" w:cs="Microsoft JhengHei" w:eastAsia="Microsoft JhengHei" w:hint="default"/>
          <w:b/>
          <w:bCs/>
          <w:sz w:val="25"/>
          <w:szCs w:val="25"/>
        </w:rPr>
      </w:pPr>
    </w:p>
    <w:p>
      <w:pPr>
        <w:pStyle w:val="Heading3"/>
        <w:spacing w:line="368" w:lineRule="exact"/>
        <w:ind w:left="681" w:right="0"/>
        <w:jc w:val="left"/>
        <w:rPr>
          <w:b w:val="0"/>
          <w:bCs w:val="0"/>
        </w:rPr>
      </w:pPr>
      <w:r>
        <w:rPr/>
        <w:t>o)  </w:t>
      </w:r>
      <w:r>
        <w:rPr>
          <w:spacing w:val="7"/>
        </w:rPr>
        <w:t> </w:t>
      </w:r>
      <w:r>
        <w:rPr/>
        <w:t>短期借款</w:t>
      </w:r>
      <w:r>
        <w:rPr>
          <w:b w:val="0"/>
          <w:bCs w:val="0"/>
        </w:rPr>
      </w:r>
    </w:p>
    <w:p>
      <w:pPr>
        <w:pStyle w:val="BodyText"/>
        <w:spacing w:line="240" w:lineRule="auto" w:before="94"/>
        <w:ind w:left="857" w:right="0"/>
        <w:jc w:val="left"/>
      </w:pPr>
      <w:r>
        <w:rPr/>
        <w:t>短期借款明细情况</w:t>
      </w:r>
    </w:p>
    <w:p>
      <w:pPr>
        <w:spacing w:line="240" w:lineRule="auto" w:before="9"/>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4205"/>
        <w:gridCol w:w="1757"/>
        <w:gridCol w:w="1229"/>
        <w:gridCol w:w="1929"/>
      </w:tblGrid>
      <w:tr>
        <w:trPr>
          <w:trHeight w:val="652" w:hRule="exact"/>
        </w:trPr>
        <w:tc>
          <w:tcPr>
            <w:tcW w:w="4205" w:type="dxa"/>
            <w:tcBorders>
              <w:top w:val="nil" w:sz="6" w:space="0" w:color="auto"/>
              <w:left w:val="nil" w:sz="6" w:space="0" w:color="auto"/>
              <w:bottom w:val="nil" w:sz="6" w:space="0" w:color="auto"/>
              <w:right w:val="nil" w:sz="6" w:space="0" w:color="auto"/>
            </w:tcBorders>
          </w:tcPr>
          <w:p>
            <w:pPr>
              <w:pStyle w:val="TableParagraph"/>
              <w:tabs>
                <w:tab w:pos="1088" w:val="left" w:leader="none"/>
                <w:tab w:pos="2885" w:val="left" w:leader="none"/>
              </w:tabs>
              <w:spacing w:line="242" w:lineRule="auto" w:before="32"/>
              <w:ind w:left="183" w:right="1300" w:hanging="149"/>
              <w:jc w:val="left"/>
              <w:rPr>
                <w:rFonts w:ascii="宋体" w:hAnsi="宋体" w:cs="宋体" w:eastAsia="宋体" w:hint="default"/>
                <w:sz w:val="22"/>
                <w:szCs w:val="22"/>
              </w:rPr>
            </w:pPr>
            <w:r>
              <w:rPr>
                <w:rFonts w:ascii="Times New Roman" w:hAnsi="Times New Roman" w:cs="Times New Roman" w:eastAsia="Times New Roman" w:hint="default"/>
                <w:w w:val="100"/>
                <w:sz w:val="22"/>
                <w:szCs w:val="22"/>
              </w:rPr>
            </w:r>
            <w:r>
              <w:rPr>
                <w:rFonts w:ascii="Times New Roman" w:hAnsi="Times New Roman" w:cs="Times New Roman" w:eastAsia="Times New Roman" w:hint="default"/>
                <w:w w:val="100"/>
                <w:sz w:val="22"/>
                <w:szCs w:val="22"/>
                <w:u w:val="single" w:color="000000"/>
              </w:rPr>
              <w:t> </w:t>
            </w:r>
            <w:r>
              <w:rPr>
                <w:rFonts w:ascii="Times New Roman" w:hAnsi="Times New Roman" w:cs="Times New Roman" w:eastAsia="Times New Roman" w:hint="default"/>
                <w:sz w:val="22"/>
                <w:szCs w:val="22"/>
                <w:u w:val="single" w:color="000000"/>
              </w:rPr>
              <w:tab/>
              <w:tab/>
            </w:r>
            <w:r>
              <w:rPr>
                <w:rFonts w:ascii="宋体" w:hAnsi="宋体" w:cs="宋体" w:eastAsia="宋体" w:hint="default"/>
                <w:spacing w:val="-1"/>
                <w:w w:val="100"/>
                <w:sz w:val="22"/>
                <w:szCs w:val="22"/>
                <w:u w:val="single" w:color="000000"/>
              </w:rPr>
              <w:t>借款类</w:t>
            </w:r>
            <w:r>
              <w:rPr>
                <w:rFonts w:ascii="宋体" w:hAnsi="宋体" w:cs="宋体" w:eastAsia="宋体" w:hint="default"/>
                <w:w w:val="100"/>
                <w:sz w:val="22"/>
                <w:szCs w:val="22"/>
                <w:u w:val="single" w:color="000000"/>
              </w:rPr>
              <w:t>别</w:t>
            </w:r>
            <w:r>
              <w:rPr>
                <w:rFonts w:ascii="宋体" w:hAnsi="宋体" w:cs="宋体" w:eastAsia="宋体" w:hint="default"/>
                <w:sz w:val="22"/>
                <w:szCs w:val="22"/>
                <w:u w:val="single" w:color="000000"/>
              </w:rPr>
              <w:tab/>
            </w:r>
            <w:r>
              <w:rPr>
                <w:rFonts w:ascii="宋体" w:hAnsi="宋体" w:cs="宋体" w:eastAsia="宋体" w:hint="default"/>
                <w:w w:val="15"/>
                <w:sz w:val="22"/>
                <w:szCs w:val="22"/>
                <w:u w:val="single" w:color="000000"/>
              </w:rPr>
              <w:t> </w:t>
            </w:r>
            <w:r>
              <w:rPr>
                <w:rFonts w:ascii="宋体" w:hAnsi="宋体" w:cs="宋体" w:eastAsia="宋体" w:hint="default"/>
                <w:sz w:val="22"/>
                <w:szCs w:val="22"/>
                <w:u w:val="single" w:color="000000"/>
              </w:rPr>
            </w:r>
            <w:r>
              <w:rPr>
                <w:rFonts w:ascii="宋体" w:hAnsi="宋体" w:cs="宋体" w:eastAsia="宋体" w:hint="default"/>
                <w:sz w:val="22"/>
                <w:szCs w:val="22"/>
              </w:rPr>
            </w:r>
            <w:r>
              <w:rPr>
                <w:rFonts w:ascii="宋体" w:hAnsi="宋体" w:cs="宋体" w:eastAsia="宋体" w:hint="default"/>
                <w:sz w:val="22"/>
                <w:szCs w:val="22"/>
              </w:rPr>
              <w:t> </w:t>
            </w:r>
            <w:r>
              <w:rPr>
                <w:rFonts w:ascii="宋体" w:hAnsi="宋体" w:cs="宋体" w:eastAsia="宋体" w:hint="default"/>
                <w:spacing w:val="-1"/>
                <w:w w:val="100"/>
                <w:sz w:val="22"/>
                <w:szCs w:val="22"/>
              </w:rPr>
              <w:t>信用借款</w:t>
            </w:r>
            <w:r>
              <w:rPr>
                <w:rFonts w:ascii="宋体" w:hAnsi="宋体" w:cs="宋体" w:eastAsia="宋体" w:hint="default"/>
                <w:w w:val="100"/>
                <w:sz w:val="22"/>
                <w:szCs w:val="22"/>
              </w:rPr>
            </w:r>
          </w:p>
        </w:tc>
        <w:tc>
          <w:tcPr>
            <w:tcW w:w="1757" w:type="dxa"/>
            <w:tcBorders>
              <w:top w:val="nil" w:sz="6" w:space="0" w:color="auto"/>
              <w:left w:val="nil" w:sz="6" w:space="0" w:color="auto"/>
              <w:bottom w:val="nil" w:sz="6" w:space="0" w:color="auto"/>
              <w:right w:val="nil" w:sz="6" w:space="0" w:color="auto"/>
            </w:tcBorders>
          </w:tcPr>
          <w:p>
            <w:pPr>
              <w:pStyle w:val="TableParagraph"/>
              <w:tabs>
                <w:tab w:pos="610" w:val="left" w:leader="none"/>
                <w:tab w:pos="1756" w:val="left" w:leader="none"/>
              </w:tabs>
              <w:spacing w:line="240" w:lineRule="auto" w:before="32"/>
              <w:ind w:right="0"/>
              <w:jc w:val="left"/>
              <w:rPr>
                <w:rFonts w:ascii="宋体" w:hAnsi="宋体" w:cs="宋体" w:eastAsia="宋体" w:hint="default"/>
                <w:sz w:val="22"/>
                <w:szCs w:val="22"/>
              </w:rPr>
            </w:pPr>
            <w:r>
              <w:rPr>
                <w:rFonts w:ascii="Times New Roman" w:hAnsi="Times New Roman" w:cs="Times New Roman" w:eastAsia="Times New Roman" w:hint="default"/>
                <w:w w:val="100"/>
                <w:sz w:val="22"/>
                <w:szCs w:val="22"/>
              </w:rPr>
            </w:r>
            <w:r>
              <w:rPr>
                <w:rFonts w:ascii="Times New Roman" w:hAnsi="Times New Roman" w:cs="Times New Roman" w:eastAsia="Times New Roman" w:hint="default"/>
                <w:w w:val="100"/>
                <w:sz w:val="22"/>
                <w:szCs w:val="22"/>
                <w:u w:val="single" w:color="000000"/>
              </w:rPr>
              <w:t> </w:t>
            </w:r>
            <w:r>
              <w:rPr>
                <w:rFonts w:ascii="Times New Roman" w:hAnsi="Times New Roman" w:cs="Times New Roman" w:eastAsia="Times New Roman" w:hint="default"/>
                <w:sz w:val="22"/>
                <w:szCs w:val="22"/>
                <w:u w:val="single" w:color="000000"/>
              </w:rPr>
              <w:tab/>
            </w:r>
            <w:r>
              <w:rPr>
                <w:rFonts w:ascii="宋体" w:hAnsi="宋体" w:cs="宋体" w:eastAsia="宋体" w:hint="default"/>
                <w:sz w:val="22"/>
                <w:szCs w:val="22"/>
                <w:u w:val="single" w:color="000000"/>
              </w:rPr>
              <w:t>年末数</w:t>
              <w:tab/>
            </w:r>
            <w:r>
              <w:rPr>
                <w:rFonts w:ascii="宋体" w:hAnsi="宋体" w:cs="宋体" w:eastAsia="宋体" w:hint="default"/>
                <w:sz w:val="22"/>
                <w:szCs w:val="22"/>
              </w:rPr>
            </w:r>
          </w:p>
          <w:p>
            <w:pPr>
              <w:pStyle w:val="TableParagraph"/>
              <w:spacing w:line="240" w:lineRule="auto" w:before="37"/>
              <w:ind w:right="112"/>
              <w:jc w:val="right"/>
              <w:rPr>
                <w:rFonts w:ascii="Times New Roman" w:hAnsi="Times New Roman" w:cs="Times New Roman" w:eastAsia="Times New Roman" w:hint="default"/>
                <w:sz w:val="22"/>
                <w:szCs w:val="22"/>
              </w:rPr>
            </w:pPr>
            <w:r>
              <w:rPr>
                <w:rFonts w:ascii="Times New Roman"/>
                <w:w w:val="100"/>
                <w:sz w:val="22"/>
              </w:rPr>
              <w:t>-</w:t>
            </w:r>
          </w:p>
        </w:tc>
        <w:tc>
          <w:tcPr>
            <w:tcW w:w="1229"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tabs>
                <w:tab w:pos="676" w:val="left" w:leader="none"/>
                <w:tab w:pos="1893" w:val="left" w:leader="none"/>
              </w:tabs>
              <w:spacing w:line="240" w:lineRule="auto" w:before="32"/>
              <w:ind w:right="0"/>
              <w:jc w:val="left"/>
              <w:rPr>
                <w:rFonts w:ascii="宋体" w:hAnsi="宋体" w:cs="宋体" w:eastAsia="宋体" w:hint="default"/>
                <w:sz w:val="22"/>
                <w:szCs w:val="22"/>
              </w:rPr>
            </w:pPr>
            <w:r>
              <w:rPr>
                <w:rFonts w:ascii="Times New Roman" w:hAnsi="Times New Roman" w:cs="Times New Roman" w:eastAsia="Times New Roman" w:hint="default"/>
                <w:w w:val="100"/>
                <w:sz w:val="22"/>
                <w:szCs w:val="22"/>
              </w:rPr>
            </w:r>
            <w:r>
              <w:rPr>
                <w:rFonts w:ascii="Times New Roman" w:hAnsi="Times New Roman" w:cs="Times New Roman" w:eastAsia="Times New Roman" w:hint="default"/>
                <w:w w:val="100"/>
                <w:sz w:val="22"/>
                <w:szCs w:val="22"/>
                <w:u w:val="single" w:color="000000"/>
              </w:rPr>
              <w:t> </w:t>
            </w:r>
            <w:r>
              <w:rPr>
                <w:rFonts w:ascii="Times New Roman" w:hAnsi="Times New Roman" w:cs="Times New Roman" w:eastAsia="Times New Roman" w:hint="default"/>
                <w:sz w:val="22"/>
                <w:szCs w:val="22"/>
                <w:u w:val="single" w:color="000000"/>
              </w:rPr>
              <w:tab/>
            </w:r>
            <w:r>
              <w:rPr>
                <w:rFonts w:ascii="宋体" w:hAnsi="宋体" w:cs="宋体" w:eastAsia="宋体" w:hint="default"/>
                <w:sz w:val="22"/>
                <w:szCs w:val="22"/>
                <w:u w:val="single" w:color="000000"/>
              </w:rPr>
              <w:t>年初数</w:t>
              <w:tab/>
            </w:r>
            <w:r>
              <w:rPr>
                <w:rFonts w:ascii="宋体" w:hAnsi="宋体" w:cs="宋体" w:eastAsia="宋体" w:hint="default"/>
                <w:sz w:val="22"/>
                <w:szCs w:val="22"/>
              </w:rPr>
            </w:r>
          </w:p>
          <w:p>
            <w:pPr>
              <w:pStyle w:val="TableParagraph"/>
              <w:spacing w:line="240" w:lineRule="auto" w:before="37"/>
              <w:ind w:left="566" w:right="0"/>
              <w:jc w:val="left"/>
              <w:rPr>
                <w:rFonts w:ascii="Times New Roman" w:hAnsi="Times New Roman" w:cs="Times New Roman" w:eastAsia="Times New Roman" w:hint="default"/>
                <w:sz w:val="22"/>
                <w:szCs w:val="22"/>
              </w:rPr>
            </w:pPr>
            <w:r>
              <w:rPr>
                <w:rFonts w:ascii="Times New Roman"/>
                <w:sz w:val="22"/>
              </w:rPr>
              <w:t>65,000,000.00</w:t>
            </w:r>
          </w:p>
        </w:tc>
      </w:tr>
      <w:tr>
        <w:trPr>
          <w:trHeight w:val="307"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66" w:lineRule="exact"/>
              <w:ind w:left="183"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8"/>
              <w:jc w:val="right"/>
              <w:rPr>
                <w:rFonts w:ascii="Times New Roman" w:hAnsi="Times New Roman" w:cs="Times New Roman" w:eastAsia="Times New Roman" w:hint="default"/>
                <w:sz w:val="22"/>
                <w:szCs w:val="22"/>
              </w:rPr>
            </w:pPr>
            <w:r>
              <w:rPr>
                <w:rFonts w:ascii="Times New Roman"/>
                <w:spacing w:val="-1"/>
                <w:sz w:val="22"/>
              </w:rPr>
              <w:t>10,000,000.00</w:t>
            </w:r>
            <w:r>
              <w:rPr>
                <w:rFonts w:ascii="Times New Roman"/>
                <w:sz w:val="22"/>
              </w:rPr>
            </w:r>
          </w:p>
        </w:tc>
        <w:tc>
          <w:tcPr>
            <w:tcW w:w="1229"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Times New Roman" w:hAnsi="Times New Roman" w:cs="Times New Roman" w:eastAsia="Times New Roman" w:hint="default"/>
                <w:sz w:val="22"/>
                <w:szCs w:val="22"/>
              </w:rPr>
            </w:pPr>
            <w:r>
              <w:rPr>
                <w:rFonts w:ascii="Times New Roman"/>
                <w:spacing w:val="-1"/>
                <w:sz w:val="22"/>
              </w:rPr>
              <w:t>17,460,000.00</w:t>
            </w:r>
            <w:r>
              <w:rPr>
                <w:rFonts w:ascii="Times New Roman"/>
                <w:sz w:val="22"/>
              </w:rPr>
            </w:r>
          </w:p>
        </w:tc>
      </w:tr>
      <w:tr>
        <w:trPr>
          <w:trHeight w:val="29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66" w:lineRule="exact"/>
              <w:ind w:left="183" w:right="0"/>
              <w:jc w:val="left"/>
              <w:rPr>
                <w:rFonts w:ascii="宋体" w:hAnsi="宋体" w:cs="宋体" w:eastAsia="宋体" w:hint="default"/>
                <w:sz w:val="22"/>
                <w:szCs w:val="22"/>
              </w:rPr>
            </w:pPr>
            <w:r>
              <w:rPr>
                <w:rFonts w:ascii="宋体" w:hAnsi="宋体" w:cs="宋体" w:eastAsia="宋体" w:hint="default"/>
                <w:sz w:val="22"/>
                <w:szCs w:val="22"/>
              </w:rPr>
              <w:t>质押借款</w:t>
            </w:r>
          </w:p>
        </w:tc>
        <w:tc>
          <w:tcPr>
            <w:tcW w:w="1757"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112"/>
              <w:jc w:val="right"/>
              <w:rPr>
                <w:rFonts w:ascii="Times New Roman" w:hAnsi="Times New Roman" w:cs="Times New Roman" w:eastAsia="Times New Roman" w:hint="default"/>
                <w:sz w:val="22"/>
                <w:szCs w:val="22"/>
              </w:rPr>
            </w:pPr>
            <w:r>
              <w:rPr>
                <w:rFonts w:ascii="Times New Roman"/>
                <w:w w:val="100"/>
                <w:sz w:val="22"/>
              </w:rPr>
              <w:t>-</w:t>
            </w:r>
          </w:p>
        </w:tc>
        <w:tc>
          <w:tcPr>
            <w:tcW w:w="1229"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90"/>
              <w:jc w:val="right"/>
              <w:rPr>
                <w:rFonts w:ascii="Times New Roman" w:hAnsi="Times New Roman" w:cs="Times New Roman" w:eastAsia="Times New Roman" w:hint="default"/>
                <w:sz w:val="22"/>
                <w:szCs w:val="22"/>
              </w:rPr>
            </w:pPr>
            <w:r>
              <w:rPr>
                <w:rFonts w:ascii="Times New Roman"/>
                <w:spacing w:val="-1"/>
                <w:sz w:val="22"/>
              </w:rPr>
              <w:t>25,000,000.00</w:t>
            </w:r>
            <w:r>
              <w:rPr>
                <w:rFonts w:ascii="Times New Roman"/>
                <w:sz w:val="22"/>
              </w:rPr>
            </w:r>
          </w:p>
        </w:tc>
      </w:tr>
      <w:tr>
        <w:trPr>
          <w:trHeight w:val="342" w:hRule="exact"/>
        </w:trPr>
        <w:tc>
          <w:tcPr>
            <w:tcW w:w="4205" w:type="dxa"/>
            <w:tcBorders>
              <w:top w:val="nil" w:sz="6" w:space="0" w:color="auto"/>
              <w:left w:val="nil" w:sz="6" w:space="0" w:color="auto"/>
              <w:bottom w:val="nil" w:sz="6" w:space="0" w:color="auto"/>
              <w:right w:val="nil" w:sz="6" w:space="0" w:color="auto"/>
            </w:tcBorders>
          </w:tcPr>
          <w:p>
            <w:pPr>
              <w:pStyle w:val="TableParagraph"/>
              <w:tabs>
                <w:tab w:pos="1587" w:val="left" w:leader="none"/>
              </w:tabs>
              <w:spacing w:line="286" w:lineRule="exact"/>
              <w:ind w:left="1146"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1757"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68"/>
              <w:jc w:val="right"/>
              <w:rPr>
                <w:rFonts w:ascii="Times New Roman" w:hAnsi="Times New Roman" w:cs="Times New Roman" w:eastAsia="Times New Roman" w:hint="default"/>
                <w:sz w:val="22"/>
                <w:szCs w:val="22"/>
              </w:rPr>
            </w:pPr>
            <w:r>
              <w:rPr>
                <w:rFonts w:ascii="Times New Roman"/>
                <w:spacing w:val="-1"/>
                <w:sz w:val="22"/>
              </w:rPr>
              <w:t>10,000,000.00</w:t>
            </w:r>
            <w:r>
              <w:rPr>
                <w:rFonts w:ascii="Times New Roman"/>
                <w:sz w:val="22"/>
              </w:rPr>
            </w:r>
          </w:p>
        </w:tc>
        <w:tc>
          <w:tcPr>
            <w:tcW w:w="1229" w:type="dxa"/>
            <w:tcBorders>
              <w:top w:val="nil" w:sz="6" w:space="0" w:color="auto"/>
              <w:left w:val="nil" w:sz="6" w:space="0" w:color="auto"/>
              <w:bottom w:val="nil" w:sz="6" w:space="0" w:color="auto"/>
              <w:right w:val="nil" w:sz="6" w:space="0" w:color="auto"/>
            </w:tcBorders>
          </w:tcPr>
          <w:p>
            <w:pPr/>
          </w:p>
        </w:tc>
        <w:tc>
          <w:tcPr>
            <w:tcW w:w="1929"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90"/>
              <w:jc w:val="right"/>
              <w:rPr>
                <w:rFonts w:ascii="Times New Roman" w:hAnsi="Times New Roman" w:cs="Times New Roman" w:eastAsia="Times New Roman" w:hint="default"/>
                <w:sz w:val="22"/>
                <w:szCs w:val="22"/>
              </w:rPr>
            </w:pPr>
            <w:r>
              <w:rPr>
                <w:rFonts w:ascii="Times New Roman"/>
                <w:spacing w:val="-1"/>
                <w:sz w:val="22"/>
              </w:rPr>
              <w:t>107,460,000.00</w:t>
            </w:r>
            <w:r>
              <w:rPr>
                <w:rFonts w:ascii="Times New Roman"/>
                <w:sz w:val="22"/>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27"/>
        <w:ind w:left="617" w:right="0"/>
        <w:jc w:val="left"/>
      </w:pPr>
      <w:r>
        <w:rPr/>
        <w:pict>
          <v:group style="position:absolute;margin-left:298.920013pt;margin-top:-26.99436pt;width:87.8pt;height:.1pt;mso-position-horizontal-relative:page;mso-position-vertical-relative:paragraph;z-index:-591304" coordorigin="5978,-540" coordsize="1756,2">
            <v:shape style="position:absolute;left:5978;top:-540;width:1756;height:2" coordorigin="5978,-540" coordsize="1756,0" path="m5978,-540l7734,-540e" filled="false" stroked="true" strokeweight=".95999pt" strokecolor="#000000">
              <v:path arrowok="t"/>
            </v:shape>
            <w10:wrap type="none"/>
          </v:group>
        </w:pict>
      </w:r>
      <w:r>
        <w:rPr/>
        <w:pict>
          <v:group style="position:absolute;margin-left:448.140015pt;margin-top:-26.99436pt;width:94.7pt;height:.1pt;mso-position-horizontal-relative:page;mso-position-vertical-relative:paragraph;z-index:-591280" coordorigin="8963,-540" coordsize="1894,2">
            <v:shape style="position:absolute;left:8963;top:-540;width:1894;height:2" coordorigin="8963,-540" coordsize="1894,0" path="m8963,-540l10856,-540e" filled="false" stroked="true" strokeweight=".95999pt" strokecolor="#000000">
              <v:path arrowok="t"/>
            </v:shape>
            <w10:wrap type="none"/>
          </v:group>
        </w:pict>
      </w:r>
      <w:r>
        <w:rPr/>
        <w:t>截至</w:t>
      </w:r>
      <w:r>
        <w:rPr>
          <w:spacing w:val="-58"/>
        </w:rPr>
        <w:t> </w:t>
      </w:r>
      <w:r>
        <w:rPr/>
        <w:t>2007</w:t>
      </w:r>
      <w:r>
        <w:rPr>
          <w:spacing w:val="-56"/>
        </w:rPr>
        <w:t> </w:t>
      </w:r>
      <w:r>
        <w:rPr/>
        <w:t>年</w:t>
      </w:r>
      <w:r>
        <w:rPr>
          <w:spacing w:val="-58"/>
        </w:rPr>
        <w:t> </w:t>
      </w:r>
      <w:r>
        <w:rPr/>
        <w:t>12</w:t>
      </w:r>
      <w:r>
        <w:rPr>
          <w:spacing w:val="-57"/>
        </w:rPr>
        <w:t> </w:t>
      </w:r>
      <w:r>
        <w:rPr/>
        <w:t>月</w:t>
      </w:r>
      <w:r>
        <w:rPr>
          <w:spacing w:val="-58"/>
        </w:rPr>
        <w:t> </w:t>
      </w:r>
      <w:r>
        <w:rPr/>
        <w:t>31</w:t>
      </w:r>
      <w:r>
        <w:rPr>
          <w:spacing w:val="-56"/>
        </w:rPr>
        <w:t> </w:t>
      </w:r>
      <w:r>
        <w:rPr/>
        <w:t>日，短期借款年末数为</w:t>
      </w:r>
      <w:r>
        <w:rPr>
          <w:spacing w:val="-58"/>
        </w:rPr>
        <w:t> </w:t>
      </w:r>
      <w:r>
        <w:rPr/>
        <w:t>10,000,000.00</w:t>
      </w:r>
      <w:r>
        <w:rPr>
          <w:spacing w:val="-57"/>
        </w:rPr>
        <w:t> </w:t>
      </w:r>
      <w:r>
        <w:rPr/>
        <w:t>元，比年初数</w:t>
      </w:r>
    </w:p>
    <w:p>
      <w:pPr>
        <w:pStyle w:val="BodyText"/>
        <w:spacing w:line="336" w:lineRule="auto" w:before="126"/>
        <w:ind w:right="1402"/>
        <w:jc w:val="left"/>
      </w:pPr>
      <w:r>
        <w:rPr/>
        <w:t>107,460,000.00 元减少</w:t>
      </w:r>
      <w:r>
        <w:rPr>
          <w:spacing w:val="-95"/>
        </w:rPr>
        <w:t> </w:t>
      </w:r>
      <w:r>
        <w:rPr/>
        <w:t>90.69%，其主要原因是公开发行股票募集资金补充了流</w:t>
      </w:r>
      <w:r>
        <w:rPr>
          <w:spacing w:val="-1"/>
          <w:w w:val="100"/>
        </w:rPr>
        <w:t> </w:t>
      </w:r>
      <w:r>
        <w:rPr/>
        <w:t>动资金，偿还了以前年度的借款。</w:t>
      </w:r>
    </w:p>
    <w:p>
      <w:pPr>
        <w:spacing w:line="240" w:lineRule="auto" w:before="12"/>
        <w:rPr>
          <w:rFonts w:ascii="宋体" w:hAnsi="宋体" w:cs="宋体" w:eastAsia="宋体" w:hint="default"/>
          <w:sz w:val="28"/>
          <w:szCs w:val="28"/>
        </w:rPr>
      </w:pPr>
    </w:p>
    <w:p>
      <w:pPr>
        <w:pStyle w:val="Heading3"/>
        <w:spacing w:line="240" w:lineRule="auto"/>
        <w:ind w:left="681" w:right="0"/>
        <w:jc w:val="left"/>
        <w:rPr>
          <w:b w:val="0"/>
          <w:bCs w:val="0"/>
        </w:rPr>
      </w:pPr>
      <w:r>
        <w:rPr/>
        <w:t>p)  </w:t>
      </w:r>
      <w:r>
        <w:rPr>
          <w:spacing w:val="6"/>
        </w:rPr>
        <w:t> </w:t>
      </w:r>
      <w:r>
        <w:rPr/>
        <w:t>应付票据</w:t>
      </w:r>
      <w:r>
        <w:rPr>
          <w:b w:val="0"/>
          <w:bCs w:val="0"/>
        </w:rPr>
      </w:r>
    </w:p>
    <w:p>
      <w:pPr>
        <w:spacing w:after="0" w:line="240" w:lineRule="auto"/>
        <w:jc w:val="left"/>
        <w:sectPr>
          <w:footerReference w:type="default" r:id="rId50"/>
          <w:pgSz w:w="11910" w:h="16840"/>
          <w:pgMar w:footer="1712" w:header="915" w:top="1100" w:bottom="1900" w:left="1660" w:right="380"/>
          <w:pgNumType w:start="110"/>
        </w:sectPr>
      </w:pPr>
    </w:p>
    <w:p>
      <w:pPr>
        <w:tabs>
          <w:tab w:pos="3077" w:val="left" w:leader="none"/>
          <w:tab w:pos="5022" w:val="left" w:leader="none"/>
          <w:tab w:pos="6499" w:val="left" w:leader="none"/>
          <w:tab w:pos="7777" w:val="left" w:leader="none"/>
        </w:tabs>
        <w:spacing w:line="415" w:lineRule="auto" w:before="132"/>
        <w:ind w:left="180" w:right="380" w:firstLine="694"/>
        <w:jc w:val="left"/>
        <w:rPr>
          <w:rFonts w:ascii="Times New Roman" w:hAnsi="Times New Roman" w:cs="Times New Roman" w:eastAsia="Times New Roman" w:hint="default"/>
          <w:sz w:val="20"/>
          <w:szCs w:val="20"/>
        </w:rPr>
      </w:pPr>
      <w:r>
        <w:rPr/>
        <w:pict>
          <v:group style="position:absolute;margin-left:88.019981pt;margin-top:41.999668pt;width:419.35pt;height:16.4pt;mso-position-horizontal-relative:page;mso-position-vertical-relative:page;z-index:560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pict>
          <v:group style="position:absolute;margin-left:89.879951pt;margin-top:24.610014pt;width:113.65pt;height:1.5pt;mso-position-horizontal-relative:page;mso-position-vertical-relative:paragraph;z-index:-591136" coordorigin="1798,492" coordsize="2273,30">
            <v:group style="position:absolute;left:1812;top:493;width:2244;height:2" coordorigin="1812,493" coordsize="2244,2">
              <v:shape style="position:absolute;left:1812;top:493;width:2244;height:2" coordorigin="1812,493" coordsize="2244,0" path="m1812,493l4056,493e" filled="false" stroked="true" strokeweight=".06pt" strokecolor="#000000">
                <v:path arrowok="t"/>
              </v:shape>
            </v:group>
            <v:group style="position:absolute;left:1812;top:507;width:2244;height:2" coordorigin="1812,507" coordsize="2244,2">
              <v:shape style="position:absolute;left:1812;top:507;width:2244;height:2" coordorigin="1812,507" coordsize="2244,0" path="m1812,507l4056,507e" filled="false" stroked="true" strokeweight="1.4401pt" strokecolor="#000000">
                <v:path arrowok="t"/>
              </v:shape>
            </v:group>
            <w10:wrap type="none"/>
          </v:group>
        </w:pict>
      </w:r>
      <w:r>
        <w:rPr/>
        <w:pict>
          <v:group style="position:absolute;margin-left:206.999954pt;margin-top:24.610014pt;width:94.5pt;height:1.5pt;mso-position-horizontal-relative:page;mso-position-vertical-relative:paragraph;z-index:-591112" coordorigin="4140,492" coordsize="1890,30">
            <v:group style="position:absolute;left:4154;top:493;width:1862;height:2" coordorigin="4154,493" coordsize="1862,2">
              <v:shape style="position:absolute;left:4154;top:493;width:1862;height:2" coordorigin="4154,493" coordsize="1862,0" path="m4154,493l6016,493e" filled="false" stroked="true" strokeweight=".06pt" strokecolor="#000000">
                <v:path arrowok="t"/>
              </v:shape>
            </v:group>
            <v:group style="position:absolute;left:4154;top:507;width:1862;height:2" coordorigin="4154,507" coordsize="1862,2">
              <v:shape style="position:absolute;left:4154;top:507;width:1862;height:2" coordorigin="4154,507" coordsize="1862,0" path="m4154,507l6016,507e" filled="false" stroked="true" strokeweight="1.4401pt" strokecolor="#000000">
                <v:path arrowok="t"/>
              </v:shape>
            </v:group>
            <w10:wrap type="none"/>
          </v:group>
        </w:pict>
      </w:r>
      <w:r>
        <w:rPr/>
        <w:pict>
          <v:group style="position:absolute;margin-left:304.319946pt;margin-top:24.610014pt;width:94.45pt;height:1.5pt;mso-position-horizontal-relative:page;mso-position-vertical-relative:paragraph;z-index:-591088" coordorigin="6086,492" coordsize="1889,30">
            <v:group style="position:absolute;left:6101;top:493;width:1860;height:2" coordorigin="6101,493" coordsize="1860,2">
              <v:shape style="position:absolute;left:6101;top:493;width:1860;height:2" coordorigin="6101,493" coordsize="1860,0" path="m6101,493l7961,493e" filled="false" stroked="true" strokeweight=".06pt" strokecolor="#000000">
                <v:path arrowok="t"/>
              </v:shape>
            </v:group>
            <v:group style="position:absolute;left:6101;top:507;width:1860;height:2" coordorigin="6101,507" coordsize="1860,2">
              <v:shape style="position:absolute;left:6101;top:507;width:1860;height:2" coordorigin="6101,507" coordsize="1860,0" path="m6101,507l7961,507e" filled="false" stroked="true" strokeweight="1.4401pt" strokecolor="#000000">
                <v:path arrowok="t"/>
              </v:shape>
            </v:group>
            <w10:wrap type="none"/>
          </v:group>
        </w:pict>
      </w:r>
      <w:r>
        <w:rPr/>
        <w:pict>
          <v:group style="position:absolute;margin-left:207.360016pt;margin-top:47.410015pt;width:93.8pt;height:.75pt;mso-position-horizontal-relative:page;mso-position-vertical-relative:paragraph;z-index:-591064" coordorigin="4147,948" coordsize="1876,15">
            <v:group style="position:absolute;left:4154;top:949;width:1862;height:2" coordorigin="4154,949" coordsize="1862,2">
              <v:shape style="position:absolute;left:4154;top:949;width:1862;height:2" coordorigin="4154,949" coordsize="1862,0" path="m4154,949l6016,949e" filled="false" stroked="true" strokeweight=".06pt" strokecolor="#000000">
                <v:path arrowok="t"/>
              </v:shape>
            </v:group>
            <v:group style="position:absolute;left:4154;top:956;width:1862;height:2" coordorigin="4154,956" coordsize="1862,2">
              <v:shape style="position:absolute;left:4154;top:956;width:1862;height:2" coordorigin="4154,956" coordsize="1862,0" path="m4154,956l6016,956e" filled="false" stroked="true" strokeweight=".71997pt" strokecolor="#000000">
                <v:path arrowok="t"/>
              </v:shape>
            </v:group>
            <w10:wrap type="none"/>
          </v:group>
        </w:pict>
      </w:r>
      <w:r>
        <w:rPr/>
        <w:pict>
          <v:group style="position:absolute;margin-left:304.680023pt;margin-top:47.410015pt;width:93.75pt;height:.75pt;mso-position-horizontal-relative:page;mso-position-vertical-relative:paragraph;z-index:-591040" coordorigin="6094,948" coordsize="1875,15">
            <v:group style="position:absolute;left:6101;top:949;width:1860;height:2" coordorigin="6101,949" coordsize="1860,2">
              <v:shape style="position:absolute;left:6101;top:949;width:1860;height:2" coordorigin="6101,949" coordsize="1860,0" path="m6101,949l7961,949e" filled="false" stroked="true" strokeweight=".06pt" strokecolor="#000000">
                <v:path arrowok="t"/>
              </v:shape>
            </v:group>
            <v:group style="position:absolute;left:6101;top:956;width:1860;height:2" coordorigin="6101,956" coordsize="1860,2">
              <v:shape style="position:absolute;left:6101;top:956;width:1860;height:2" coordorigin="6101,956" coordsize="1860,0" path="m6101,956l7961,956e" filled="false" stroked="true" strokeweight=".71997pt" strokecolor="#000000">
                <v:path arrowok="t"/>
              </v:shape>
            </v:group>
            <w10:wrap type="none"/>
          </v:group>
        </w:pict>
      </w:r>
      <w:r>
        <w:rPr/>
        <w:pict>
          <v:group style="position:absolute;margin-left:401.579956pt;margin-top:24.610014pt;width:132.8pt;height:1.5pt;mso-position-horizontal-relative:page;mso-position-vertical-relative:paragraph;z-index:-591016" coordorigin="8032,492" coordsize="2656,30">
            <v:group style="position:absolute;left:8046;top:493;width:2627;height:2" coordorigin="8046,493" coordsize="2627,2">
              <v:shape style="position:absolute;left:8046;top:493;width:2627;height:2" coordorigin="8046,493" coordsize="2627,0" path="m8046,493l10673,493e" filled="false" stroked="true" strokeweight=".06pt" strokecolor="#000000">
                <v:path arrowok="t"/>
              </v:shape>
            </v:group>
            <v:group style="position:absolute;left:8046;top:507;width:2627;height:2" coordorigin="8046,507" coordsize="2627,2">
              <v:shape style="position:absolute;left:8046;top:507;width:2627;height:2" coordorigin="8046,507" coordsize="2627,0" path="m8046,507l10673,507e" filled="false" stroked="true" strokeweight="1.4401pt" strokecolor="#000000">
                <v:path arrowok="t"/>
              </v:shape>
            </v:group>
            <w10:wrap type="none"/>
          </v:group>
        </w:pict>
      </w:r>
      <w:r>
        <w:rPr/>
        <w:pict>
          <v:group style="position:absolute;margin-left:401.940002pt;margin-top:47.410015pt;width:132.1pt;height:.75pt;mso-position-horizontal-relative:page;mso-position-vertical-relative:paragraph;z-index:-590992" coordorigin="8039,948" coordsize="2642,15">
            <v:group style="position:absolute;left:8046;top:949;width:2627;height:2" coordorigin="8046,949" coordsize="2627,2">
              <v:shape style="position:absolute;left:8046;top:949;width:2627;height:2" coordorigin="8046,949" coordsize="2627,0" path="m8046,949l10673,949e" filled="false" stroked="true" strokeweight=".06pt" strokecolor="#000000">
                <v:path arrowok="t"/>
              </v:shape>
            </v:group>
            <v:group style="position:absolute;left:8046;top:956;width:2627;height:2" coordorigin="8046,956" coordsize="2627,2">
              <v:shape style="position:absolute;left:8046;top:956;width:2627;height:2" coordorigin="8046,956" coordsize="2627,0" path="m8046,956l10673,956e" filled="false" stroked="true" strokeweight=".71997pt" strokecolor="#000000">
                <v:path arrowok="t"/>
              </v:shape>
            </v:group>
            <w10:wrap type="none"/>
          </v:group>
        </w:pict>
      </w:r>
      <w:r>
        <w:rPr>
          <w:rFonts w:ascii="宋体" w:hAnsi="宋体" w:cs="宋体" w:eastAsia="宋体" w:hint="default"/>
          <w:spacing w:val="2"/>
          <w:sz w:val="20"/>
          <w:szCs w:val="20"/>
        </w:rPr>
        <w:t>票据种类</w:t>
        <w:tab/>
      </w:r>
      <w:r>
        <w:rPr>
          <w:rFonts w:ascii="宋体" w:hAnsi="宋体" w:cs="宋体" w:eastAsia="宋体" w:hint="default"/>
          <w:spacing w:val="3"/>
          <w:sz w:val="20"/>
          <w:szCs w:val="20"/>
        </w:rPr>
        <w:t>年末数</w:t>
        <w:tab/>
      </w:r>
      <w:r>
        <w:rPr>
          <w:rFonts w:ascii="宋体" w:hAnsi="宋体" w:cs="宋体" w:eastAsia="宋体" w:hint="default"/>
          <w:spacing w:val="-1"/>
          <w:w w:val="95"/>
          <w:sz w:val="20"/>
          <w:szCs w:val="20"/>
        </w:rPr>
        <w:t>年初数</w:t>
        <w:tab/>
      </w:r>
      <w:r>
        <w:rPr>
          <w:rFonts w:ascii="宋体" w:hAnsi="宋体" w:cs="宋体" w:eastAsia="宋体" w:hint="default"/>
          <w:spacing w:val="1"/>
          <w:sz w:val="20"/>
          <w:szCs w:val="20"/>
        </w:rPr>
        <w:t>下一会计期间将到期的金额</w:t>
      </w:r>
      <w:r>
        <w:rPr>
          <w:rFonts w:ascii="宋体" w:hAnsi="宋体" w:cs="宋体" w:eastAsia="宋体" w:hint="default"/>
          <w:spacing w:val="-1"/>
          <w:w w:val="99"/>
          <w:sz w:val="20"/>
          <w:szCs w:val="20"/>
        </w:rPr>
        <w:t> </w:t>
      </w:r>
      <w:r>
        <w:rPr>
          <w:rFonts w:ascii="宋体" w:hAnsi="宋体" w:cs="宋体" w:eastAsia="宋体" w:hint="default"/>
          <w:position w:val="-1"/>
          <w:sz w:val="20"/>
          <w:szCs w:val="20"/>
        </w:rPr>
        <w:t>银行承兑汇票</w:t>
        <w:tab/>
      </w:r>
      <w:r>
        <w:rPr>
          <w:rFonts w:ascii="Times New Roman" w:hAnsi="Times New Roman" w:cs="Times New Roman" w:eastAsia="Times New Roman" w:hint="default"/>
          <w:sz w:val="20"/>
          <w:szCs w:val="20"/>
        </w:rPr>
        <w:t>37,485,275.72</w:t>
        <w:tab/>
        <w:t>43,655,519.95</w:t>
        <w:tab/>
        <w:tab/>
        <w:t>37,485,275.72</w:t>
      </w:r>
    </w:p>
    <w:p>
      <w:pPr>
        <w:tabs>
          <w:tab w:pos="3077" w:val="left" w:leader="none"/>
          <w:tab w:pos="5022" w:val="left" w:leader="none"/>
          <w:tab w:pos="7777" w:val="left" w:leader="none"/>
        </w:tabs>
        <w:spacing w:before="17"/>
        <w:ind w:left="975" w:right="76"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r>
      <w:r>
        <w:rPr>
          <w:rFonts w:ascii="宋体" w:hAnsi="宋体" w:cs="宋体" w:eastAsia="宋体" w:hint="default"/>
          <w:spacing w:val="97"/>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position w:val="1"/>
          <w:sz w:val="20"/>
          <w:szCs w:val="20"/>
        </w:rPr>
        <w:t>37,485,275.72</w:t>
        <w:tab/>
        <w:t>43,655,519.95</w:t>
        <w:tab/>
        <w:t>37,485,275.72</w:t>
      </w:r>
      <w:r>
        <w:rPr>
          <w:rFonts w:ascii="Times New Roman" w:hAnsi="Times New Roman" w:cs="Times New Roman" w:eastAsia="Times New Roman" w:hint="default"/>
          <w:sz w:val="20"/>
          <w:szCs w:val="20"/>
        </w:rPr>
      </w:r>
    </w:p>
    <w:p>
      <w:pPr>
        <w:spacing w:line="240" w:lineRule="auto" w:before="11"/>
        <w:rPr>
          <w:rFonts w:ascii="Times New Roman" w:hAnsi="Times New Roman" w:cs="Times New Roman" w:eastAsia="Times New Roman" w:hint="default"/>
          <w:sz w:val="6"/>
          <w:szCs w:val="6"/>
        </w:rPr>
      </w:pPr>
    </w:p>
    <w:p>
      <w:pPr>
        <w:spacing w:line="57" w:lineRule="exact"/>
        <w:ind w:left="2487" w:right="0" w:firstLine="0"/>
        <w:rPr>
          <w:rFonts w:ascii="Times New Roman" w:hAnsi="Times New Roman" w:cs="Times New Roman" w:eastAsia="Times New Roman" w:hint="default"/>
          <w:sz w:val="5"/>
          <w:szCs w:val="5"/>
        </w:rPr>
      </w:pPr>
      <w:r>
        <w:rPr>
          <w:rFonts w:ascii="Times New Roman"/>
          <w:position w:val="0"/>
          <w:sz w:val="5"/>
        </w:rPr>
        <w:pict>
          <v:group style="width:93.8pt;height:2.9pt;mso-position-horizontal-relative:char;mso-position-vertical-relative:line" coordorigin="0,0" coordsize="1876,58">
            <v:group style="position:absolute;left:7;top:7;width:1862;height:2" coordorigin="7,7" coordsize="1862,2">
              <v:shape style="position:absolute;left:7;top:7;width:1862;height:2" coordorigin="7,7" coordsize="1862,0" path="m7,7l1868,7e" filled="false" stroked="true" strokeweight=".71997pt" strokecolor="#000000">
                <v:path arrowok="t"/>
              </v:shape>
            </v:group>
            <v:group style="position:absolute;left:7;top:50;width:1862;height:2" coordorigin="7,50" coordsize="1862,2">
              <v:shape style="position:absolute;left:7;top:50;width:1862;height:2" coordorigin="7,50" coordsize="1862,0" path="m7,50l1868,50e" filled="false" stroked="true" strokeweight=".71997pt" strokecolor="#000000">
                <v:path arrowok="t"/>
              </v:shape>
            </v:group>
          </v:group>
        </w:pict>
      </w:r>
      <w:r>
        <w:rPr>
          <w:rFonts w:ascii="Times New Roman"/>
          <w:position w:val="0"/>
          <w:sz w:val="5"/>
        </w:rPr>
      </w:r>
      <w:r>
        <w:rPr>
          <w:rFonts w:ascii="Times New Roman"/>
          <w:spacing w:val="52"/>
          <w:position w:val="0"/>
          <w:sz w:val="5"/>
        </w:rPr>
        <w:t> </w:t>
      </w:r>
      <w:r>
        <w:rPr>
          <w:rFonts w:ascii="Times New Roman"/>
          <w:spacing w:val="52"/>
          <w:position w:val="0"/>
          <w:sz w:val="5"/>
        </w:rPr>
        <w:pict>
          <v:group style="width:93.75pt;height:2.9pt;mso-position-horizontal-relative:char;mso-position-vertical-relative:line" coordorigin="0,0" coordsize="1875,58">
            <v:group style="position:absolute;left:7;top:7;width:1860;height:2" coordorigin="7,7" coordsize="1860,2">
              <v:shape style="position:absolute;left:7;top:7;width:1860;height:2" coordorigin="7,7" coordsize="1860,0" path="m7,7l1867,7e" filled="false" stroked="true" strokeweight=".71997pt" strokecolor="#000000">
                <v:path arrowok="t"/>
              </v:shape>
            </v:group>
            <v:group style="position:absolute;left:7;top:50;width:1860;height:2" coordorigin="7,50" coordsize="1860,2">
              <v:shape style="position:absolute;left:7;top:50;width:1860;height:2" coordorigin="7,50" coordsize="1860,0" path="m7,50l1867,50e" filled="false" stroked="true" strokeweight=".71997pt" strokecolor="#000000">
                <v:path arrowok="t"/>
              </v:shape>
            </v:group>
          </v:group>
        </w:pict>
      </w:r>
      <w:r>
        <w:rPr>
          <w:rFonts w:ascii="Times New Roman"/>
          <w:spacing w:val="52"/>
          <w:position w:val="0"/>
          <w:sz w:val="5"/>
        </w:rPr>
      </w:r>
      <w:r>
        <w:rPr>
          <w:rFonts w:ascii="Times New Roman"/>
          <w:spacing w:val="52"/>
          <w:position w:val="0"/>
          <w:sz w:val="5"/>
        </w:rPr>
        <w:t> </w:t>
      </w:r>
      <w:r>
        <w:rPr>
          <w:rFonts w:ascii="Times New Roman"/>
          <w:spacing w:val="52"/>
          <w:position w:val="0"/>
          <w:sz w:val="5"/>
        </w:rPr>
        <w:pict>
          <v:group style="width:132.1pt;height:2.9pt;mso-position-horizontal-relative:char;mso-position-vertical-relative:line" coordorigin="0,0" coordsize="2642,58">
            <v:group style="position:absolute;left:7;top:7;width:2627;height:2" coordorigin="7,7" coordsize="2627,2">
              <v:shape style="position:absolute;left:7;top:7;width:2627;height:2" coordorigin="7,7" coordsize="2627,0" path="m7,7l2634,7e" filled="false" stroked="true" strokeweight=".71997pt" strokecolor="#000000">
                <v:path arrowok="t"/>
              </v:shape>
            </v:group>
            <v:group style="position:absolute;left:7;top:50;width:2627;height:2" coordorigin="7,50" coordsize="2627,2">
              <v:shape style="position:absolute;left:7;top:50;width:2627;height:2" coordorigin="7,50" coordsize="2627,0" path="m7,50l2634,50e" filled="false" stroked="true" strokeweight=".71997pt" strokecolor="#000000">
                <v:path arrowok="t"/>
              </v:shape>
            </v:group>
          </v:group>
        </w:pict>
      </w:r>
      <w:r>
        <w:rPr>
          <w:rFonts w:ascii="Times New Roman"/>
          <w:spacing w:val="52"/>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pStyle w:val="Heading3"/>
        <w:spacing w:line="368" w:lineRule="exact"/>
        <w:ind w:left="681" w:right="76"/>
        <w:jc w:val="left"/>
        <w:rPr>
          <w:b w:val="0"/>
          <w:bCs w:val="0"/>
        </w:rPr>
      </w:pPr>
      <w:r>
        <w:rPr/>
        <w:t>q)  </w:t>
      </w:r>
      <w:r>
        <w:rPr>
          <w:spacing w:val="6"/>
        </w:rPr>
        <w:t> </w:t>
      </w:r>
      <w:r>
        <w:rPr/>
        <w:t>应付账款</w:t>
      </w:r>
      <w:r>
        <w:rPr>
          <w:b w:val="0"/>
          <w:bCs w:val="0"/>
        </w:rPr>
      </w:r>
    </w:p>
    <w:p>
      <w:pPr>
        <w:pStyle w:val="BodyText"/>
        <w:spacing w:line="240" w:lineRule="auto" w:before="94"/>
        <w:ind w:left="617" w:right="76"/>
        <w:jc w:val="left"/>
      </w:pPr>
      <w:r>
        <w:rPr/>
        <w:t>（1）应付账款明细情况</w:t>
      </w:r>
    </w:p>
    <w:p>
      <w:pPr>
        <w:spacing w:line="240" w:lineRule="auto" w:before="5"/>
        <w:rPr>
          <w:rFonts w:ascii="宋体" w:hAnsi="宋体" w:cs="宋体" w:eastAsia="宋体" w:hint="default"/>
          <w:sz w:val="10"/>
          <w:szCs w:val="10"/>
        </w:rPr>
      </w:pPr>
    </w:p>
    <w:p>
      <w:pPr>
        <w:tabs>
          <w:tab w:pos="5167" w:val="left" w:leader="none"/>
        </w:tabs>
        <w:spacing w:line="223" w:lineRule="exact" w:before="41"/>
        <w:ind w:left="1444" w:right="0" w:firstLine="0"/>
        <w:jc w:val="center"/>
        <w:rPr>
          <w:rFonts w:ascii="宋体" w:hAnsi="宋体" w:cs="宋体" w:eastAsia="宋体" w:hint="default"/>
          <w:sz w:val="21"/>
          <w:szCs w:val="21"/>
        </w:rPr>
      </w:pPr>
      <w:r>
        <w:rPr>
          <w:rFonts w:ascii="宋体" w:hAnsi="宋体" w:cs="宋体" w:eastAsia="宋体" w:hint="default"/>
          <w:spacing w:val="6"/>
          <w:sz w:val="21"/>
          <w:szCs w:val="21"/>
        </w:rPr>
        <w:t>年末数</w:t>
        <w:tab/>
      </w:r>
      <w:r>
        <w:rPr>
          <w:rFonts w:ascii="宋体" w:hAnsi="宋体" w:cs="宋体" w:eastAsia="宋体" w:hint="default"/>
          <w:spacing w:val="6"/>
          <w:w w:val="105"/>
          <w:sz w:val="21"/>
          <w:szCs w:val="21"/>
        </w:rPr>
        <w:t>年初数</w:t>
      </w:r>
      <w:r>
        <w:rPr>
          <w:rFonts w:ascii="宋体" w:hAnsi="宋体" w:cs="宋体" w:eastAsia="宋体" w:hint="default"/>
          <w:sz w:val="21"/>
          <w:szCs w:val="21"/>
        </w:rPr>
      </w:r>
    </w:p>
    <w:p>
      <w:pPr>
        <w:spacing w:line="170" w:lineRule="exact" w:before="0"/>
        <w:ind w:left="514" w:right="76" w:firstLine="0"/>
        <w:jc w:val="left"/>
        <w:rPr>
          <w:rFonts w:ascii="宋体" w:hAnsi="宋体" w:cs="宋体" w:eastAsia="宋体" w:hint="default"/>
          <w:sz w:val="21"/>
          <w:szCs w:val="21"/>
        </w:rPr>
      </w:pPr>
      <w:r>
        <w:rPr/>
        <w:pict>
          <v:group style="position:absolute;margin-left:178.230011pt;margin-top:4.943844pt;width:161.050pt;height:.85pt;mso-position-horizontal-relative:page;mso-position-vertical-relative:paragraph;z-index:5800" coordorigin="3565,99" coordsize="3221,17">
            <v:group style="position:absolute;left:3572;top:99;width:3206;height:2" coordorigin="3572,99" coordsize="3206,2">
              <v:shape style="position:absolute;left:3572;top:99;width:3206;height:2" coordorigin="3572,99" coordsize="3206,0" path="m3572,99l6778,99e" filled="false" stroked="true" strokeweight=".06pt" strokecolor="#000000">
                <v:path arrowok="t"/>
              </v:shape>
            </v:group>
            <v:group style="position:absolute;left:3572;top:107;width:3206;height:2" coordorigin="3572,107" coordsize="3206,2">
              <v:shape style="position:absolute;left:3572;top:107;width:3206;height:2" coordorigin="3572,107" coordsize="3206,0" path="m3572,107l6778,107e" filled="false" stroked="true" strokeweight=".77997pt" strokecolor="#000000">
                <v:path arrowok="t"/>
              </v:shape>
            </v:group>
            <w10:wrap type="none"/>
          </v:group>
        </w:pict>
      </w:r>
      <w:r>
        <w:rPr/>
        <w:pict>
          <v:group style="position:absolute;margin-left:362.070007pt;margin-top:4.943844pt;width:165.75pt;height:.85pt;mso-position-horizontal-relative:page;mso-position-vertical-relative:paragraph;z-index:5896" coordorigin="7241,99" coordsize="3315,17">
            <v:group style="position:absolute;left:7249;top:99;width:3299;height:2" coordorigin="7249,99" coordsize="3299,2">
              <v:shape style="position:absolute;left:7249;top:99;width:3299;height:2" coordorigin="7249,99" coordsize="3299,0" path="m7249,99l10548,99e" filled="false" stroked="true" strokeweight=".06pt" strokecolor="#000000">
                <v:path arrowok="t"/>
              </v:shape>
            </v:group>
            <v:group style="position:absolute;left:7249;top:107;width:3299;height:2" coordorigin="7249,107" coordsize="3299,2">
              <v:shape style="position:absolute;left:7249;top:107;width:3299;height:2" coordorigin="7249,107" coordsize="3299,0" path="m7249,107l10548,107e" filled="false" stroked="true" strokeweight=".77997pt" strokecolor="#000000">
                <v:path arrowok="t"/>
              </v:shape>
            </v:group>
            <w10:wrap type="none"/>
          </v:group>
        </w:pict>
      </w:r>
      <w:r>
        <w:rPr>
          <w:rFonts w:ascii="宋体" w:hAnsi="宋体" w:cs="宋体" w:eastAsia="宋体" w:hint="default"/>
          <w:w w:val="105"/>
          <w:sz w:val="21"/>
          <w:szCs w:val="21"/>
        </w:rPr>
        <w:t>账</w:t>
      </w:r>
      <w:r>
        <w:rPr>
          <w:rFonts w:ascii="宋体" w:hAnsi="宋体" w:cs="宋体" w:eastAsia="宋体" w:hint="default"/>
          <w:spacing w:val="-5"/>
          <w:w w:val="105"/>
          <w:sz w:val="21"/>
          <w:szCs w:val="21"/>
        </w:rPr>
        <w:t> </w:t>
      </w:r>
      <w:r>
        <w:rPr>
          <w:rFonts w:ascii="宋体" w:hAnsi="宋体" w:cs="宋体" w:eastAsia="宋体" w:hint="default"/>
          <w:w w:val="105"/>
          <w:sz w:val="21"/>
          <w:szCs w:val="21"/>
        </w:rPr>
        <w:t>龄</w:t>
      </w:r>
      <w:r>
        <w:rPr>
          <w:rFonts w:ascii="宋体" w:hAnsi="宋体" w:cs="宋体" w:eastAsia="宋体" w:hint="default"/>
          <w:sz w:val="21"/>
          <w:szCs w:val="21"/>
        </w:rPr>
      </w:r>
    </w:p>
    <w:p>
      <w:pPr>
        <w:tabs>
          <w:tab w:pos="2164" w:val="left" w:leader="none"/>
          <w:tab w:pos="3514" w:val="left" w:leader="none"/>
          <w:tab w:pos="5321" w:val="left" w:leader="none"/>
          <w:tab w:pos="5887" w:val="left" w:leader="none"/>
          <w:tab w:pos="7285" w:val="left" w:leader="none"/>
        </w:tabs>
        <w:spacing w:line="223" w:lineRule="exact" w:before="0"/>
        <w:ind w:left="1598" w:right="0" w:firstLine="0"/>
        <w:jc w:val="center"/>
        <w:rPr>
          <w:rFonts w:ascii="宋体" w:hAnsi="宋体" w:cs="宋体" w:eastAsia="宋体" w:hint="default"/>
          <w:sz w:val="21"/>
          <w:szCs w:val="21"/>
        </w:rPr>
      </w:pPr>
      <w:r>
        <w:rPr>
          <w:rFonts w:ascii="宋体" w:hAnsi="宋体" w:cs="宋体" w:eastAsia="宋体" w:hint="default"/>
          <w:sz w:val="21"/>
          <w:szCs w:val="21"/>
        </w:rPr>
        <w:t>金</w:t>
        <w:tab/>
        <w:t>额</w:t>
        <w:tab/>
        <w:t>比例</w:t>
        <w:tab/>
        <w:t>金</w:t>
        <w:tab/>
        <w:t>额</w:t>
        <w:tab/>
      </w:r>
      <w:r>
        <w:rPr>
          <w:rFonts w:ascii="宋体" w:hAnsi="宋体" w:cs="宋体" w:eastAsia="宋体" w:hint="default"/>
          <w:w w:val="105"/>
          <w:sz w:val="21"/>
          <w:szCs w:val="21"/>
        </w:rPr>
        <w:t>比例</w:t>
      </w:r>
      <w:r>
        <w:rPr>
          <w:rFonts w:ascii="宋体" w:hAnsi="宋体" w:cs="宋体" w:eastAsia="宋体" w:hint="default"/>
          <w:sz w:val="21"/>
          <w:szCs w:val="21"/>
        </w:rPr>
      </w:r>
    </w:p>
    <w:p>
      <w:pPr>
        <w:spacing w:line="240" w:lineRule="auto" w:before="13"/>
        <w:rPr>
          <w:rFonts w:ascii="宋体" w:hAnsi="宋体" w:cs="宋体" w:eastAsia="宋体" w:hint="default"/>
          <w:sz w:val="2"/>
          <w:szCs w:val="2"/>
        </w:rPr>
      </w:pPr>
    </w:p>
    <w:tbl>
      <w:tblPr>
        <w:tblW w:w="0" w:type="auto"/>
        <w:jc w:val="left"/>
        <w:tblInd w:w="153" w:type="dxa"/>
        <w:tblLayout w:type="fixed"/>
        <w:tblCellMar>
          <w:top w:w="0" w:type="dxa"/>
          <w:left w:w="0" w:type="dxa"/>
          <w:bottom w:w="0" w:type="dxa"/>
          <w:right w:w="0" w:type="dxa"/>
        </w:tblCellMar>
        <w:tblLook w:val="01E0"/>
      </w:tblPr>
      <w:tblGrid>
        <w:gridCol w:w="1256"/>
        <w:gridCol w:w="503"/>
        <w:gridCol w:w="1745"/>
        <w:gridCol w:w="298"/>
        <w:gridCol w:w="1163"/>
        <w:gridCol w:w="472"/>
        <w:gridCol w:w="1837"/>
        <w:gridCol w:w="299"/>
        <w:gridCol w:w="1163"/>
      </w:tblGrid>
      <w:tr>
        <w:trPr>
          <w:trHeight w:val="328" w:hRule="exact"/>
        </w:trPr>
        <w:tc>
          <w:tcPr>
            <w:tcW w:w="1256" w:type="dxa"/>
            <w:tcBorders>
              <w:top w:val="single" w:sz="6" w:space="0" w:color="000000"/>
              <w:left w:val="nil" w:sz="6" w:space="0" w:color="auto"/>
              <w:bottom w:val="nil" w:sz="6" w:space="0" w:color="auto"/>
              <w:right w:val="nil" w:sz="6" w:space="0" w:color="auto"/>
            </w:tcBorders>
          </w:tcPr>
          <w:p>
            <w:pPr>
              <w:pStyle w:val="TableParagraph"/>
              <w:spacing w:line="263" w:lineRule="exact"/>
              <w:ind w:left="31" w:right="0"/>
              <w:jc w:val="left"/>
              <w:rPr>
                <w:rFonts w:ascii="宋体" w:hAnsi="宋体" w:cs="宋体" w:eastAsia="宋体" w:hint="default"/>
                <w:sz w:val="21"/>
                <w:szCs w:val="21"/>
              </w:rPr>
            </w:pPr>
            <w:r>
              <w:rPr>
                <w:rFonts w:ascii="宋体" w:hAnsi="宋体" w:cs="宋体" w:eastAsia="宋体" w:hint="default"/>
                <w:spacing w:val="5"/>
                <w:w w:val="105"/>
                <w:sz w:val="21"/>
                <w:szCs w:val="21"/>
              </w:rPr>
              <w:t>1年以内</w:t>
            </w:r>
            <w:r>
              <w:rPr>
                <w:rFonts w:ascii="宋体" w:hAnsi="宋体" w:cs="宋体" w:eastAsia="宋体" w:hint="default"/>
                <w:spacing w:val="5"/>
                <w:sz w:val="21"/>
                <w:szCs w:val="21"/>
              </w:rPr>
            </w:r>
          </w:p>
        </w:tc>
        <w:tc>
          <w:tcPr>
            <w:tcW w:w="503" w:type="dxa"/>
            <w:tcBorders>
              <w:top w:val="nil" w:sz="6" w:space="0" w:color="auto"/>
              <w:left w:val="nil" w:sz="6" w:space="0" w:color="auto"/>
              <w:bottom w:val="nil" w:sz="6" w:space="0" w:color="auto"/>
              <w:right w:val="nil" w:sz="6" w:space="0" w:color="auto"/>
            </w:tcBorders>
          </w:tcPr>
          <w:p>
            <w:pPr/>
          </w:p>
        </w:tc>
        <w:tc>
          <w:tcPr>
            <w:tcW w:w="1745"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right="94"/>
              <w:jc w:val="right"/>
              <w:rPr>
                <w:rFonts w:ascii="Times New Roman" w:hAnsi="Times New Roman" w:cs="Times New Roman" w:eastAsia="Times New Roman" w:hint="default"/>
                <w:sz w:val="21"/>
                <w:szCs w:val="21"/>
              </w:rPr>
            </w:pPr>
            <w:r>
              <w:rPr>
                <w:rFonts w:ascii="Times New Roman"/>
                <w:spacing w:val="2"/>
                <w:sz w:val="21"/>
              </w:rPr>
              <w:t>75,806,379.35</w:t>
            </w:r>
          </w:p>
        </w:tc>
        <w:tc>
          <w:tcPr>
            <w:tcW w:w="298" w:type="dxa"/>
            <w:tcBorders>
              <w:top w:val="nil" w:sz="6" w:space="0" w:color="auto"/>
              <w:left w:val="nil" w:sz="6" w:space="0" w:color="auto"/>
              <w:bottom w:val="nil" w:sz="6" w:space="0" w:color="auto"/>
              <w:right w:val="nil" w:sz="6" w:space="0" w:color="auto"/>
            </w:tcBorders>
          </w:tcPr>
          <w:p>
            <w:pPr/>
          </w:p>
        </w:tc>
        <w:tc>
          <w:tcPr>
            <w:tcW w:w="1163"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right="35"/>
              <w:jc w:val="right"/>
              <w:rPr>
                <w:rFonts w:ascii="Times New Roman" w:hAnsi="Times New Roman" w:cs="Times New Roman" w:eastAsia="Times New Roman" w:hint="default"/>
                <w:sz w:val="21"/>
                <w:szCs w:val="21"/>
              </w:rPr>
            </w:pPr>
            <w:r>
              <w:rPr>
                <w:rFonts w:ascii="Times New Roman"/>
                <w:w w:val="105"/>
                <w:sz w:val="21"/>
              </w:rPr>
              <w:t>99.05%</w:t>
            </w:r>
            <w:r>
              <w:rPr>
                <w:rFonts w:ascii="Times New Roman"/>
                <w:sz w:val="21"/>
              </w:rPr>
            </w:r>
          </w:p>
        </w:tc>
        <w:tc>
          <w:tcPr>
            <w:tcW w:w="472" w:type="dxa"/>
            <w:tcBorders>
              <w:top w:val="nil" w:sz="6" w:space="0" w:color="auto"/>
              <w:left w:val="nil" w:sz="6" w:space="0" w:color="auto"/>
              <w:bottom w:val="nil" w:sz="6" w:space="0" w:color="auto"/>
              <w:right w:val="nil" w:sz="6" w:space="0" w:color="auto"/>
            </w:tcBorders>
          </w:tcPr>
          <w:p>
            <w:pPr/>
          </w:p>
        </w:tc>
        <w:tc>
          <w:tcPr>
            <w:tcW w:w="1837"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right="93"/>
              <w:jc w:val="right"/>
              <w:rPr>
                <w:rFonts w:ascii="Times New Roman" w:hAnsi="Times New Roman" w:cs="Times New Roman" w:eastAsia="Times New Roman" w:hint="default"/>
                <w:sz w:val="21"/>
                <w:szCs w:val="21"/>
              </w:rPr>
            </w:pPr>
            <w:r>
              <w:rPr>
                <w:rFonts w:ascii="Times New Roman"/>
                <w:spacing w:val="2"/>
                <w:sz w:val="21"/>
              </w:rPr>
              <w:t>65,943,905.91</w:t>
            </w:r>
          </w:p>
        </w:tc>
        <w:tc>
          <w:tcPr>
            <w:tcW w:w="299" w:type="dxa"/>
            <w:tcBorders>
              <w:top w:val="nil" w:sz="6" w:space="0" w:color="auto"/>
              <w:left w:val="nil" w:sz="6" w:space="0" w:color="auto"/>
              <w:bottom w:val="nil" w:sz="6" w:space="0" w:color="auto"/>
              <w:right w:val="nil" w:sz="6" w:space="0" w:color="auto"/>
            </w:tcBorders>
          </w:tcPr>
          <w:p>
            <w:pPr/>
          </w:p>
        </w:tc>
        <w:tc>
          <w:tcPr>
            <w:tcW w:w="1163" w:type="dxa"/>
            <w:tcBorders>
              <w:top w:val="single" w:sz="6" w:space="0" w:color="000000"/>
              <w:left w:val="nil" w:sz="6" w:space="0" w:color="auto"/>
              <w:bottom w:val="nil" w:sz="6" w:space="0" w:color="auto"/>
              <w:right w:val="nil" w:sz="6" w:space="0" w:color="auto"/>
            </w:tcBorders>
          </w:tcPr>
          <w:p>
            <w:pPr>
              <w:pStyle w:val="TableParagraph"/>
              <w:spacing w:line="240" w:lineRule="auto" w:before="30"/>
              <w:ind w:right="37"/>
              <w:jc w:val="right"/>
              <w:rPr>
                <w:rFonts w:ascii="Times New Roman" w:hAnsi="Times New Roman" w:cs="Times New Roman" w:eastAsia="Times New Roman" w:hint="default"/>
                <w:sz w:val="21"/>
                <w:szCs w:val="21"/>
              </w:rPr>
            </w:pPr>
            <w:r>
              <w:rPr>
                <w:rFonts w:ascii="Times New Roman"/>
                <w:w w:val="105"/>
                <w:sz w:val="21"/>
              </w:rPr>
              <w:t>98.20%</w:t>
            </w:r>
            <w:r>
              <w:rPr>
                <w:rFonts w:ascii="Times New Roman"/>
                <w:sz w:val="21"/>
              </w:rPr>
            </w:r>
          </w:p>
        </w:tc>
      </w:tr>
      <w:tr>
        <w:trPr>
          <w:trHeight w:val="320" w:hRule="exact"/>
        </w:trPr>
        <w:tc>
          <w:tcPr>
            <w:tcW w:w="1256" w:type="dxa"/>
            <w:tcBorders>
              <w:top w:val="nil" w:sz="6" w:space="0" w:color="auto"/>
              <w:left w:val="nil" w:sz="6" w:space="0" w:color="auto"/>
              <w:bottom w:val="nil" w:sz="6" w:space="0" w:color="auto"/>
              <w:right w:val="nil" w:sz="6" w:space="0" w:color="auto"/>
            </w:tcBorders>
          </w:tcPr>
          <w:p>
            <w:pPr>
              <w:pStyle w:val="TableParagraph"/>
              <w:spacing w:line="268" w:lineRule="exact"/>
              <w:ind w:left="31" w:right="0"/>
              <w:jc w:val="left"/>
              <w:rPr>
                <w:rFonts w:ascii="宋体" w:hAnsi="宋体" w:cs="宋体" w:eastAsia="宋体" w:hint="default"/>
                <w:sz w:val="21"/>
                <w:szCs w:val="21"/>
              </w:rPr>
            </w:pPr>
            <w:r>
              <w:rPr>
                <w:rFonts w:ascii="宋体" w:hAnsi="宋体" w:cs="宋体" w:eastAsia="宋体" w:hint="default"/>
                <w:spacing w:val="4"/>
                <w:w w:val="105"/>
                <w:sz w:val="21"/>
                <w:szCs w:val="21"/>
              </w:rPr>
              <w:t>1至2年</w:t>
            </w:r>
            <w:r>
              <w:rPr>
                <w:rFonts w:ascii="宋体" w:hAnsi="宋体" w:cs="宋体" w:eastAsia="宋体" w:hint="default"/>
                <w:spacing w:val="4"/>
                <w:sz w:val="21"/>
                <w:szCs w:val="21"/>
              </w:rPr>
            </w:r>
          </w:p>
        </w:tc>
        <w:tc>
          <w:tcPr>
            <w:tcW w:w="503"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4"/>
              <w:jc w:val="right"/>
              <w:rPr>
                <w:rFonts w:ascii="Times New Roman" w:hAnsi="Times New Roman" w:cs="Times New Roman" w:eastAsia="Times New Roman" w:hint="default"/>
                <w:sz w:val="21"/>
                <w:szCs w:val="21"/>
              </w:rPr>
            </w:pPr>
            <w:r>
              <w:rPr>
                <w:rFonts w:ascii="Times New Roman"/>
                <w:w w:val="105"/>
                <w:sz w:val="21"/>
              </w:rPr>
              <w:t>357,641.72</w:t>
            </w:r>
            <w:r>
              <w:rPr>
                <w:rFonts w:ascii="Times New Roman"/>
                <w:sz w:val="21"/>
              </w:rPr>
            </w:r>
          </w:p>
        </w:tc>
        <w:tc>
          <w:tcPr>
            <w:tcW w:w="29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7"/>
              <w:jc w:val="right"/>
              <w:rPr>
                <w:rFonts w:ascii="Times New Roman" w:hAnsi="Times New Roman" w:cs="Times New Roman" w:eastAsia="Times New Roman" w:hint="default"/>
                <w:sz w:val="21"/>
                <w:szCs w:val="21"/>
              </w:rPr>
            </w:pPr>
            <w:r>
              <w:rPr>
                <w:rFonts w:ascii="Times New Roman"/>
                <w:w w:val="105"/>
                <w:sz w:val="21"/>
              </w:rPr>
              <w:t>0.47%</w:t>
            </w:r>
            <w:r>
              <w:rPr>
                <w:rFonts w:ascii="Times New Roman"/>
                <w:sz w:val="21"/>
              </w:rPr>
            </w:r>
          </w:p>
        </w:tc>
        <w:tc>
          <w:tcPr>
            <w:tcW w:w="472"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3"/>
              <w:jc w:val="right"/>
              <w:rPr>
                <w:rFonts w:ascii="Times New Roman" w:hAnsi="Times New Roman" w:cs="Times New Roman" w:eastAsia="Times New Roman" w:hint="default"/>
                <w:sz w:val="21"/>
                <w:szCs w:val="21"/>
              </w:rPr>
            </w:pPr>
            <w:r>
              <w:rPr>
                <w:rFonts w:ascii="Times New Roman"/>
                <w:spacing w:val="2"/>
                <w:sz w:val="21"/>
              </w:rPr>
              <w:t>1,119,799.68</w:t>
            </w:r>
          </w:p>
        </w:tc>
        <w:tc>
          <w:tcPr>
            <w:tcW w:w="299"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7"/>
              <w:jc w:val="right"/>
              <w:rPr>
                <w:rFonts w:ascii="Times New Roman" w:hAnsi="Times New Roman" w:cs="Times New Roman" w:eastAsia="Times New Roman" w:hint="default"/>
                <w:sz w:val="21"/>
                <w:szCs w:val="21"/>
              </w:rPr>
            </w:pPr>
            <w:r>
              <w:rPr>
                <w:rFonts w:ascii="Times New Roman"/>
                <w:w w:val="105"/>
                <w:sz w:val="21"/>
              </w:rPr>
              <w:t>1.67%</w:t>
            </w:r>
            <w:r>
              <w:rPr>
                <w:rFonts w:ascii="Times New Roman"/>
                <w:sz w:val="21"/>
              </w:rPr>
            </w:r>
          </w:p>
        </w:tc>
      </w:tr>
      <w:tr>
        <w:trPr>
          <w:trHeight w:val="323" w:hRule="exact"/>
        </w:trPr>
        <w:tc>
          <w:tcPr>
            <w:tcW w:w="1256" w:type="dxa"/>
            <w:tcBorders>
              <w:top w:val="nil" w:sz="6" w:space="0" w:color="auto"/>
              <w:left w:val="nil" w:sz="6" w:space="0" w:color="auto"/>
              <w:bottom w:val="nil" w:sz="6" w:space="0" w:color="auto"/>
              <w:right w:val="nil" w:sz="6" w:space="0" w:color="auto"/>
            </w:tcBorders>
          </w:tcPr>
          <w:p>
            <w:pPr>
              <w:pStyle w:val="TableParagraph"/>
              <w:spacing w:line="273" w:lineRule="exact"/>
              <w:ind w:left="31" w:right="0"/>
              <w:jc w:val="left"/>
              <w:rPr>
                <w:rFonts w:ascii="宋体" w:hAnsi="宋体" w:cs="宋体" w:eastAsia="宋体" w:hint="default"/>
                <w:sz w:val="21"/>
                <w:szCs w:val="21"/>
              </w:rPr>
            </w:pPr>
            <w:r>
              <w:rPr>
                <w:rFonts w:ascii="宋体" w:hAnsi="宋体" w:cs="宋体" w:eastAsia="宋体" w:hint="default"/>
                <w:spacing w:val="4"/>
                <w:w w:val="105"/>
                <w:sz w:val="21"/>
                <w:szCs w:val="21"/>
              </w:rPr>
              <w:t>2至3年</w:t>
            </w:r>
            <w:r>
              <w:rPr>
                <w:rFonts w:ascii="宋体" w:hAnsi="宋体" w:cs="宋体" w:eastAsia="宋体" w:hint="default"/>
                <w:spacing w:val="4"/>
                <w:sz w:val="21"/>
                <w:szCs w:val="21"/>
              </w:rPr>
            </w:r>
          </w:p>
        </w:tc>
        <w:tc>
          <w:tcPr>
            <w:tcW w:w="503"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4"/>
              <w:jc w:val="right"/>
              <w:rPr>
                <w:rFonts w:ascii="Times New Roman" w:hAnsi="Times New Roman" w:cs="Times New Roman" w:eastAsia="Times New Roman" w:hint="default"/>
                <w:sz w:val="21"/>
                <w:szCs w:val="21"/>
              </w:rPr>
            </w:pPr>
            <w:r>
              <w:rPr>
                <w:rFonts w:ascii="Times New Roman"/>
                <w:w w:val="105"/>
                <w:sz w:val="21"/>
              </w:rPr>
              <w:t>276,812.15</w:t>
            </w:r>
            <w:r>
              <w:rPr>
                <w:rFonts w:ascii="Times New Roman"/>
                <w:sz w:val="21"/>
              </w:rPr>
            </w:r>
          </w:p>
        </w:tc>
        <w:tc>
          <w:tcPr>
            <w:tcW w:w="29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7"/>
              <w:jc w:val="right"/>
              <w:rPr>
                <w:rFonts w:ascii="Times New Roman" w:hAnsi="Times New Roman" w:cs="Times New Roman" w:eastAsia="Times New Roman" w:hint="default"/>
                <w:sz w:val="21"/>
                <w:szCs w:val="21"/>
              </w:rPr>
            </w:pPr>
            <w:r>
              <w:rPr>
                <w:rFonts w:ascii="Times New Roman"/>
                <w:w w:val="105"/>
                <w:sz w:val="21"/>
              </w:rPr>
              <w:t>0.36%</w:t>
            </w:r>
            <w:r>
              <w:rPr>
                <w:rFonts w:ascii="Times New Roman"/>
                <w:sz w:val="21"/>
              </w:rPr>
            </w:r>
          </w:p>
        </w:tc>
        <w:tc>
          <w:tcPr>
            <w:tcW w:w="472"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3"/>
              <w:jc w:val="right"/>
              <w:rPr>
                <w:rFonts w:ascii="Times New Roman" w:hAnsi="Times New Roman" w:cs="Times New Roman" w:eastAsia="Times New Roman" w:hint="default"/>
                <w:sz w:val="21"/>
                <w:szCs w:val="21"/>
              </w:rPr>
            </w:pPr>
            <w:r>
              <w:rPr>
                <w:rFonts w:ascii="Times New Roman"/>
                <w:w w:val="105"/>
                <w:sz w:val="21"/>
              </w:rPr>
              <w:t>14,286.58</w:t>
            </w:r>
            <w:r>
              <w:rPr>
                <w:rFonts w:ascii="Times New Roman"/>
                <w:sz w:val="21"/>
              </w:rPr>
            </w:r>
          </w:p>
        </w:tc>
        <w:tc>
          <w:tcPr>
            <w:tcW w:w="299"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7"/>
              <w:jc w:val="right"/>
              <w:rPr>
                <w:rFonts w:ascii="Times New Roman" w:hAnsi="Times New Roman" w:cs="Times New Roman" w:eastAsia="Times New Roman" w:hint="default"/>
                <w:sz w:val="21"/>
                <w:szCs w:val="21"/>
              </w:rPr>
            </w:pPr>
            <w:r>
              <w:rPr>
                <w:rFonts w:ascii="Times New Roman"/>
                <w:w w:val="105"/>
                <w:sz w:val="21"/>
              </w:rPr>
              <w:t>0.02%</w:t>
            </w:r>
            <w:r>
              <w:rPr>
                <w:rFonts w:ascii="Times New Roman"/>
                <w:sz w:val="21"/>
              </w:rPr>
            </w:r>
          </w:p>
        </w:tc>
      </w:tr>
      <w:tr>
        <w:trPr>
          <w:trHeight w:val="315" w:hRule="exact"/>
        </w:trPr>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pacing w:val="5"/>
                <w:w w:val="105"/>
                <w:sz w:val="21"/>
                <w:szCs w:val="21"/>
              </w:rPr>
              <w:t>3年以上</w:t>
            </w:r>
            <w:r>
              <w:rPr>
                <w:rFonts w:ascii="宋体" w:hAnsi="宋体" w:cs="宋体" w:eastAsia="宋体" w:hint="default"/>
                <w:spacing w:val="5"/>
                <w:sz w:val="21"/>
                <w:szCs w:val="21"/>
              </w:rPr>
            </w:r>
          </w:p>
        </w:tc>
        <w:tc>
          <w:tcPr>
            <w:tcW w:w="503"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right="94"/>
              <w:jc w:val="right"/>
              <w:rPr>
                <w:rFonts w:ascii="Times New Roman" w:hAnsi="Times New Roman" w:cs="Times New Roman" w:eastAsia="Times New Roman" w:hint="default"/>
                <w:sz w:val="21"/>
                <w:szCs w:val="21"/>
              </w:rPr>
            </w:pPr>
            <w:r>
              <w:rPr>
                <w:rFonts w:ascii="Times New Roman"/>
                <w:w w:val="105"/>
                <w:sz w:val="21"/>
              </w:rPr>
              <w:t>91,808.28</w:t>
            </w:r>
            <w:r>
              <w:rPr>
                <w:rFonts w:ascii="Times New Roman"/>
                <w:sz w:val="21"/>
              </w:rPr>
            </w:r>
          </w:p>
        </w:tc>
        <w:tc>
          <w:tcPr>
            <w:tcW w:w="298"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right="37"/>
              <w:jc w:val="right"/>
              <w:rPr>
                <w:rFonts w:ascii="Times New Roman" w:hAnsi="Times New Roman" w:cs="Times New Roman" w:eastAsia="Times New Roman" w:hint="default"/>
                <w:sz w:val="21"/>
                <w:szCs w:val="21"/>
              </w:rPr>
            </w:pPr>
            <w:r>
              <w:rPr>
                <w:rFonts w:ascii="Times New Roman"/>
                <w:w w:val="105"/>
                <w:sz w:val="21"/>
              </w:rPr>
              <w:t>0.12%</w:t>
            </w:r>
            <w:r>
              <w:rPr>
                <w:rFonts w:ascii="Times New Roman"/>
                <w:sz w:val="21"/>
              </w:rPr>
            </w:r>
          </w:p>
        </w:tc>
        <w:tc>
          <w:tcPr>
            <w:tcW w:w="472"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right="93"/>
              <w:jc w:val="right"/>
              <w:rPr>
                <w:rFonts w:ascii="Times New Roman" w:hAnsi="Times New Roman" w:cs="Times New Roman" w:eastAsia="Times New Roman" w:hint="default"/>
                <w:sz w:val="21"/>
                <w:szCs w:val="21"/>
              </w:rPr>
            </w:pPr>
            <w:r>
              <w:rPr>
                <w:rFonts w:ascii="Times New Roman"/>
                <w:w w:val="105"/>
                <w:sz w:val="21"/>
              </w:rPr>
              <w:t>77,521.70</w:t>
            </w:r>
            <w:r>
              <w:rPr>
                <w:rFonts w:ascii="Times New Roman"/>
                <w:sz w:val="21"/>
              </w:rPr>
            </w:r>
          </w:p>
        </w:tc>
        <w:tc>
          <w:tcPr>
            <w:tcW w:w="299" w:type="dxa"/>
            <w:tcBorders>
              <w:top w:val="nil" w:sz="6" w:space="0" w:color="auto"/>
              <w:left w:val="nil" w:sz="6" w:space="0" w:color="auto"/>
              <w:bottom w:val="nil" w:sz="6" w:space="0" w:color="auto"/>
              <w:right w:val="nil" w:sz="6" w:space="0" w:color="auto"/>
            </w:tcBorders>
          </w:tcPr>
          <w:p>
            <w:pPr/>
          </w:p>
        </w:tc>
        <w:tc>
          <w:tcPr>
            <w:tcW w:w="1163"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right="37"/>
              <w:jc w:val="right"/>
              <w:rPr>
                <w:rFonts w:ascii="Times New Roman" w:hAnsi="Times New Roman" w:cs="Times New Roman" w:eastAsia="Times New Roman" w:hint="default"/>
                <w:sz w:val="21"/>
                <w:szCs w:val="21"/>
              </w:rPr>
            </w:pPr>
            <w:r>
              <w:rPr>
                <w:rFonts w:ascii="Times New Roman"/>
                <w:w w:val="105"/>
                <w:sz w:val="21"/>
              </w:rPr>
              <w:t>0.11%</w:t>
            </w:r>
            <w:r>
              <w:rPr>
                <w:rFonts w:ascii="Times New Roman"/>
                <w:sz w:val="21"/>
              </w:rPr>
            </w:r>
          </w:p>
        </w:tc>
      </w:tr>
      <w:tr>
        <w:trPr>
          <w:trHeight w:val="341" w:hRule="exact"/>
        </w:trPr>
        <w:tc>
          <w:tcPr>
            <w:tcW w:w="1256" w:type="dxa"/>
            <w:tcBorders>
              <w:top w:val="nil" w:sz="6" w:space="0" w:color="auto"/>
              <w:left w:val="nil" w:sz="6" w:space="0" w:color="auto"/>
              <w:bottom w:val="nil" w:sz="6" w:space="0" w:color="auto"/>
              <w:right w:val="nil" w:sz="6" w:space="0" w:color="auto"/>
            </w:tcBorders>
          </w:tcPr>
          <w:p>
            <w:pPr>
              <w:pStyle w:val="TableParagraph"/>
              <w:spacing w:line="270" w:lineRule="exact"/>
              <w:ind w:left="361" w:right="0"/>
              <w:jc w:val="left"/>
              <w:rPr>
                <w:rFonts w:ascii="宋体" w:hAnsi="宋体" w:cs="宋体" w:eastAsia="宋体" w:hint="default"/>
                <w:sz w:val="21"/>
                <w:szCs w:val="21"/>
              </w:rPr>
            </w:pPr>
            <w:r>
              <w:rPr>
                <w:rFonts w:ascii="宋体" w:hAnsi="宋体" w:cs="宋体" w:eastAsia="宋体" w:hint="default"/>
                <w:w w:val="105"/>
                <w:sz w:val="21"/>
                <w:szCs w:val="21"/>
              </w:rPr>
              <w:t>合</w:t>
            </w:r>
            <w:r>
              <w:rPr>
                <w:rFonts w:ascii="宋体" w:hAnsi="宋体" w:cs="宋体" w:eastAsia="宋体" w:hint="default"/>
                <w:spacing w:val="-5"/>
                <w:w w:val="105"/>
                <w:sz w:val="21"/>
                <w:szCs w:val="21"/>
              </w:rPr>
              <w:t> </w:t>
            </w:r>
            <w:r>
              <w:rPr>
                <w:rFonts w:ascii="宋体" w:hAnsi="宋体" w:cs="宋体" w:eastAsia="宋体" w:hint="default"/>
                <w:w w:val="105"/>
                <w:sz w:val="21"/>
                <w:szCs w:val="21"/>
              </w:rPr>
              <w:t>计</w:t>
            </w:r>
            <w:r>
              <w:rPr>
                <w:rFonts w:ascii="宋体" w:hAnsi="宋体" w:cs="宋体" w:eastAsia="宋体" w:hint="default"/>
                <w:sz w:val="21"/>
                <w:szCs w:val="21"/>
              </w:rPr>
            </w:r>
          </w:p>
        </w:tc>
        <w:tc>
          <w:tcPr>
            <w:tcW w:w="503" w:type="dxa"/>
            <w:tcBorders>
              <w:top w:val="nil" w:sz="6" w:space="0" w:color="auto"/>
              <w:left w:val="nil" w:sz="6" w:space="0" w:color="auto"/>
              <w:bottom w:val="nil" w:sz="6" w:space="0" w:color="auto"/>
              <w:right w:val="nil" w:sz="6" w:space="0" w:color="auto"/>
            </w:tcBorders>
          </w:tcPr>
          <w:p>
            <w:pPr/>
          </w:p>
        </w:tc>
        <w:tc>
          <w:tcPr>
            <w:tcW w:w="1745" w:type="dxa"/>
            <w:tcBorders>
              <w:top w:val="single" w:sz="6" w:space="0" w:color="000000"/>
              <w:left w:val="nil" w:sz="6" w:space="0" w:color="auto"/>
              <w:bottom w:val="single" w:sz="6" w:space="0" w:color="000000"/>
              <w:right w:val="nil" w:sz="6" w:space="0" w:color="auto"/>
            </w:tcBorders>
          </w:tcPr>
          <w:p>
            <w:pPr>
              <w:pStyle w:val="TableParagraph"/>
              <w:spacing w:line="240" w:lineRule="auto" w:before="30"/>
              <w:ind w:right="94"/>
              <w:jc w:val="right"/>
              <w:rPr>
                <w:rFonts w:ascii="Times New Roman" w:hAnsi="Times New Roman" w:cs="Times New Roman" w:eastAsia="Times New Roman" w:hint="default"/>
                <w:sz w:val="21"/>
                <w:szCs w:val="21"/>
              </w:rPr>
            </w:pPr>
            <w:r>
              <w:rPr>
                <w:rFonts w:ascii="Times New Roman"/>
                <w:spacing w:val="2"/>
                <w:sz w:val="21"/>
              </w:rPr>
              <w:t>76,532,641.50</w:t>
            </w:r>
          </w:p>
        </w:tc>
        <w:tc>
          <w:tcPr>
            <w:tcW w:w="298" w:type="dxa"/>
            <w:tcBorders>
              <w:top w:val="nil" w:sz="6" w:space="0" w:color="auto"/>
              <w:left w:val="nil" w:sz="6" w:space="0" w:color="auto"/>
              <w:bottom w:val="nil" w:sz="6" w:space="0" w:color="auto"/>
              <w:right w:val="nil" w:sz="6" w:space="0" w:color="auto"/>
            </w:tcBorders>
          </w:tcPr>
          <w:p>
            <w:pPr/>
          </w:p>
        </w:tc>
        <w:tc>
          <w:tcPr>
            <w:tcW w:w="1163" w:type="dxa"/>
            <w:tcBorders>
              <w:top w:val="single" w:sz="6" w:space="0" w:color="000000"/>
              <w:left w:val="nil" w:sz="6" w:space="0" w:color="auto"/>
              <w:bottom w:val="single" w:sz="6" w:space="0" w:color="000000"/>
              <w:right w:val="nil" w:sz="6" w:space="0" w:color="auto"/>
            </w:tcBorders>
          </w:tcPr>
          <w:p>
            <w:pPr>
              <w:pStyle w:val="TableParagraph"/>
              <w:spacing w:line="240" w:lineRule="auto" w:before="30"/>
              <w:ind w:right="37"/>
              <w:jc w:val="right"/>
              <w:rPr>
                <w:rFonts w:ascii="Times New Roman" w:hAnsi="Times New Roman" w:cs="Times New Roman" w:eastAsia="Times New Roman" w:hint="default"/>
                <w:sz w:val="21"/>
                <w:szCs w:val="21"/>
              </w:rPr>
            </w:pPr>
            <w:r>
              <w:rPr>
                <w:rFonts w:ascii="Times New Roman"/>
                <w:spacing w:val="3"/>
                <w:sz w:val="21"/>
              </w:rPr>
              <w:t>100.00%</w:t>
            </w:r>
          </w:p>
        </w:tc>
        <w:tc>
          <w:tcPr>
            <w:tcW w:w="472" w:type="dxa"/>
            <w:tcBorders>
              <w:top w:val="nil" w:sz="6" w:space="0" w:color="auto"/>
              <w:left w:val="nil" w:sz="6" w:space="0" w:color="auto"/>
              <w:bottom w:val="nil" w:sz="6" w:space="0" w:color="auto"/>
              <w:right w:val="nil" w:sz="6" w:space="0" w:color="auto"/>
            </w:tcBorders>
          </w:tcPr>
          <w:p>
            <w:pPr/>
          </w:p>
        </w:tc>
        <w:tc>
          <w:tcPr>
            <w:tcW w:w="1837" w:type="dxa"/>
            <w:tcBorders>
              <w:top w:val="single" w:sz="6" w:space="0" w:color="000000"/>
              <w:left w:val="nil" w:sz="6" w:space="0" w:color="auto"/>
              <w:bottom w:val="single" w:sz="6" w:space="0" w:color="000000"/>
              <w:right w:val="nil" w:sz="6" w:space="0" w:color="auto"/>
            </w:tcBorders>
          </w:tcPr>
          <w:p>
            <w:pPr>
              <w:pStyle w:val="TableParagraph"/>
              <w:spacing w:line="240" w:lineRule="auto" w:before="30"/>
              <w:ind w:right="93"/>
              <w:jc w:val="right"/>
              <w:rPr>
                <w:rFonts w:ascii="Times New Roman" w:hAnsi="Times New Roman" w:cs="Times New Roman" w:eastAsia="Times New Roman" w:hint="default"/>
                <w:sz w:val="21"/>
                <w:szCs w:val="21"/>
              </w:rPr>
            </w:pPr>
            <w:r>
              <w:rPr>
                <w:rFonts w:ascii="Times New Roman"/>
                <w:spacing w:val="2"/>
                <w:sz w:val="21"/>
              </w:rPr>
              <w:t>67,155,513.87</w:t>
            </w:r>
          </w:p>
        </w:tc>
        <w:tc>
          <w:tcPr>
            <w:tcW w:w="299" w:type="dxa"/>
            <w:tcBorders>
              <w:top w:val="nil" w:sz="6" w:space="0" w:color="auto"/>
              <w:left w:val="nil" w:sz="6" w:space="0" w:color="auto"/>
              <w:bottom w:val="nil" w:sz="6" w:space="0" w:color="auto"/>
              <w:right w:val="nil" w:sz="6" w:space="0" w:color="auto"/>
            </w:tcBorders>
          </w:tcPr>
          <w:p>
            <w:pPr/>
          </w:p>
        </w:tc>
        <w:tc>
          <w:tcPr>
            <w:tcW w:w="1163" w:type="dxa"/>
            <w:tcBorders>
              <w:top w:val="single" w:sz="6" w:space="0" w:color="000000"/>
              <w:left w:val="nil" w:sz="6" w:space="0" w:color="auto"/>
              <w:bottom w:val="single" w:sz="6" w:space="0" w:color="000000"/>
              <w:right w:val="nil" w:sz="6" w:space="0" w:color="auto"/>
            </w:tcBorders>
          </w:tcPr>
          <w:p>
            <w:pPr>
              <w:pStyle w:val="TableParagraph"/>
              <w:spacing w:line="240" w:lineRule="auto" w:before="30"/>
              <w:ind w:right="37"/>
              <w:jc w:val="right"/>
              <w:rPr>
                <w:rFonts w:ascii="Times New Roman" w:hAnsi="Times New Roman" w:cs="Times New Roman" w:eastAsia="Times New Roman" w:hint="default"/>
                <w:sz w:val="21"/>
                <w:szCs w:val="21"/>
              </w:rPr>
            </w:pPr>
            <w:r>
              <w:rPr>
                <w:rFonts w:ascii="Times New Roman"/>
                <w:spacing w:val="3"/>
                <w:sz w:val="21"/>
              </w:rPr>
              <w:t>100.00%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336" w:lineRule="auto" w:before="27"/>
        <w:ind w:right="76" w:firstLine="480"/>
        <w:jc w:val="left"/>
      </w:pPr>
      <w:r>
        <w:rPr/>
        <w:pict>
          <v:group style="position:absolute;margin-left:178.619995pt;margin-top:-27.504374pt;width:87.2pt;height:.1pt;mso-position-horizontal-relative:page;mso-position-vertical-relative:paragraph;z-index:-590944" coordorigin="3572,-550" coordsize="1744,2">
            <v:shape style="position:absolute;left:3572;top:-550;width:1744;height:2" coordorigin="3572,-550" coordsize="1744,0" path="m3572,-550l5316,-550e" filled="false" stroked="true" strokeweight=".78003pt" strokecolor="#000000">
              <v:path arrowok="t"/>
            </v:shape>
            <w10:wrap type="none"/>
          </v:group>
        </w:pict>
      </w:r>
      <w:r>
        <w:rPr/>
        <w:pict>
          <v:group style="position:absolute;margin-left:280.739990pt;margin-top:-27.504374pt;width:58.15pt;height:.1pt;mso-position-horizontal-relative:page;mso-position-vertical-relative:paragraph;z-index:-590920" coordorigin="5615,-550" coordsize="1163,2">
            <v:shape style="position:absolute;left:5615;top:-550;width:1163;height:2" coordorigin="5615,-550" coordsize="1163,0" path="m5615,-550l6778,-550e" filled="false" stroked="true" strokeweight=".78003pt" strokecolor="#000000">
              <v:path arrowok="t"/>
            </v:shape>
            <w10:wrap type="none"/>
          </v:group>
        </w:pict>
      </w:r>
      <w:r>
        <w:rPr/>
        <w:pict>
          <v:group style="position:absolute;margin-left:362.459991pt;margin-top:-27.504358pt;width:91.9pt;height:.1pt;mso-position-horizontal-relative:page;mso-position-vertical-relative:paragraph;z-index:-590896" coordorigin="7249,-550" coordsize="1838,2">
            <v:shape style="position:absolute;left:7249;top:-550;width:1838;height:2" coordorigin="7249,-550" coordsize="1838,0" path="m7249,-550l9086,-550e" filled="false" stroked="true" strokeweight=".78pt" strokecolor="#000000">
              <v:path arrowok="t"/>
            </v:shape>
            <w10:wrap type="none"/>
          </v:group>
        </w:pict>
      </w:r>
      <w:r>
        <w:rPr/>
        <w:pict>
          <v:group style="position:absolute;margin-left:469.26001pt;margin-top:-27.504374pt;width:58.15pt;height:.1pt;mso-position-horizontal-relative:page;mso-position-vertical-relative:paragraph;z-index:-590848" coordorigin="9385,-550" coordsize="1163,2">
            <v:shape style="position:absolute;left:9385;top:-550;width:1163;height:2" coordorigin="9385,-550" coordsize="1163,0" path="m9385,-550l10548,-550e" filled="false" stroked="true" strokeweight=".78003pt" strokecolor="#000000">
              <v:path arrowok="t"/>
            </v:shape>
            <w10:wrap type="none"/>
          </v:group>
        </w:pict>
      </w:r>
      <w:r>
        <w:rPr>
          <w:spacing w:val="-4"/>
        </w:rPr>
        <w:t>（2）应付账款年末数中无应付持本公司 </w:t>
      </w:r>
      <w:r>
        <w:rPr>
          <w:spacing w:val="-9"/>
        </w:rPr>
        <w:t>5%（含</w:t>
      </w:r>
      <w:r>
        <w:rPr>
          <w:spacing w:val="-76"/>
        </w:rPr>
        <w:t> </w:t>
      </w:r>
      <w:r>
        <w:rPr>
          <w:spacing w:val="-5"/>
        </w:rPr>
        <w:t>5%）以上有表决权股份的股</w:t>
      </w:r>
      <w:r>
        <w:rPr>
          <w:spacing w:val="-2"/>
          <w:w w:val="100"/>
        </w:rPr>
        <w:t> </w:t>
      </w:r>
      <w:r>
        <w:rPr>
          <w:spacing w:val="-2"/>
        </w:rPr>
        <w:t>东单位款项。</w:t>
      </w:r>
      <w:r>
        <w:rPr/>
      </w:r>
    </w:p>
    <w:p>
      <w:pPr>
        <w:pStyle w:val="BodyText"/>
        <w:spacing w:line="336" w:lineRule="auto" w:before="29"/>
        <w:ind w:right="753" w:firstLine="480"/>
        <w:jc w:val="left"/>
      </w:pPr>
      <w:r>
        <w:rPr>
          <w:spacing w:val="-2"/>
        </w:rPr>
        <w:t>（3）应付账款年末数中包括应付本公司关联方青岛奥华纸业有限公司材料</w:t>
      </w:r>
      <w:r>
        <w:rPr>
          <w:spacing w:val="-1"/>
          <w:w w:val="100"/>
        </w:rPr>
        <w:t> </w:t>
      </w:r>
      <w:r>
        <w:rPr/>
        <w:t>款</w:t>
      </w:r>
      <w:r>
        <w:rPr>
          <w:spacing w:val="-64"/>
        </w:rPr>
        <w:t> </w:t>
      </w:r>
      <w:r>
        <w:rPr/>
        <w:t>4,931,429.99</w:t>
      </w:r>
      <w:r>
        <w:rPr>
          <w:spacing w:val="-63"/>
        </w:rPr>
        <w:t> </w:t>
      </w:r>
      <w:r>
        <w:rPr/>
        <w:t>元。</w:t>
      </w:r>
    </w:p>
    <w:p>
      <w:pPr>
        <w:pStyle w:val="BodyText"/>
        <w:spacing w:line="240" w:lineRule="auto"/>
        <w:ind w:left="617" w:right="76"/>
        <w:jc w:val="left"/>
      </w:pPr>
      <w:r>
        <w:rPr/>
        <w:t>（4）账龄超过</w:t>
      </w:r>
      <w:r>
        <w:rPr>
          <w:spacing w:val="-68"/>
        </w:rPr>
        <w:t> </w:t>
      </w:r>
      <w:r>
        <w:rPr/>
        <w:t>1</w:t>
      </w:r>
      <w:r>
        <w:rPr>
          <w:spacing w:val="-67"/>
        </w:rPr>
        <w:t> </w:t>
      </w:r>
      <w:r>
        <w:rPr/>
        <w:t>年的大额应付账款</w:t>
      </w:r>
    </w:p>
    <w:p>
      <w:pPr>
        <w:tabs>
          <w:tab w:pos="3669" w:val="left" w:leader="none"/>
          <w:tab w:pos="5314" w:val="left" w:leader="none"/>
          <w:tab w:pos="7595" w:val="left" w:leader="none"/>
        </w:tabs>
        <w:spacing w:line="342" w:lineRule="exact" w:before="150"/>
        <w:ind w:left="1103" w:right="76" w:firstLine="0"/>
        <w:jc w:val="left"/>
        <w:rPr>
          <w:rFonts w:ascii="宋体" w:hAnsi="宋体" w:cs="宋体" w:eastAsia="宋体" w:hint="default"/>
          <w:sz w:val="22"/>
          <w:szCs w:val="22"/>
        </w:rPr>
      </w:pPr>
      <w:r>
        <w:rPr>
          <w:rFonts w:ascii="宋体" w:hAnsi="宋体" w:cs="宋体" w:eastAsia="宋体" w:hint="default"/>
          <w:spacing w:val="-1"/>
          <w:sz w:val="22"/>
          <w:szCs w:val="22"/>
        </w:rPr>
        <w:t>债权人名称</w:t>
        <w:tab/>
      </w:r>
      <w:r>
        <w:rPr>
          <w:rFonts w:ascii="宋体" w:hAnsi="宋体" w:cs="宋体" w:eastAsia="宋体" w:hint="default"/>
          <w:sz w:val="22"/>
          <w:szCs w:val="22"/>
        </w:rPr>
        <w:t>金额</w:t>
        <w:tab/>
      </w:r>
      <w:r>
        <w:rPr>
          <w:rFonts w:ascii="宋体" w:hAnsi="宋体" w:cs="宋体" w:eastAsia="宋体" w:hint="default"/>
          <w:spacing w:val="-1"/>
          <w:sz w:val="22"/>
          <w:szCs w:val="22"/>
        </w:rPr>
        <w:t>未偿还的原因</w:t>
        <w:tab/>
      </w:r>
      <w:r>
        <w:rPr>
          <w:rFonts w:ascii="宋体" w:hAnsi="宋体" w:cs="宋体" w:eastAsia="宋体" w:hint="default"/>
          <w:spacing w:val="-1"/>
          <w:position w:val="13"/>
          <w:sz w:val="22"/>
          <w:szCs w:val="22"/>
        </w:rPr>
        <w:t>报表日后是</w:t>
      </w:r>
      <w:r>
        <w:rPr>
          <w:rFonts w:ascii="宋体" w:hAnsi="宋体" w:cs="宋体" w:eastAsia="宋体" w:hint="default"/>
          <w:spacing w:val="-1"/>
          <w:sz w:val="22"/>
          <w:szCs w:val="22"/>
        </w:rPr>
      </w:r>
    </w:p>
    <w:p>
      <w:pPr>
        <w:tabs>
          <w:tab w:pos="7759" w:val="left" w:leader="none"/>
          <w:tab w:pos="8796" w:val="left" w:leader="none"/>
        </w:tabs>
        <w:spacing w:line="212" w:lineRule="exact" w:before="0"/>
        <w:ind w:left="7372" w:right="76" w:firstLine="0"/>
        <w:jc w:val="left"/>
        <w:rPr>
          <w:rFonts w:ascii="宋体" w:hAnsi="宋体" w:cs="宋体" w:eastAsia="宋体" w:hint="default"/>
          <w:sz w:val="22"/>
          <w:szCs w:val="22"/>
        </w:rPr>
      </w:pPr>
      <w:r>
        <w:rPr>
          <w:rFonts w:ascii="Times New Roman" w:hAnsi="Times New Roman" w:cs="Times New Roman" w:eastAsia="Times New Roman" w:hint="default"/>
          <w:w w:val="100"/>
          <w:sz w:val="22"/>
          <w:szCs w:val="22"/>
        </w:rPr>
      </w:r>
      <w:r>
        <w:rPr>
          <w:rFonts w:ascii="Times New Roman" w:hAnsi="Times New Roman" w:cs="Times New Roman" w:eastAsia="Times New Roman" w:hint="default"/>
          <w:w w:val="100"/>
          <w:sz w:val="22"/>
          <w:szCs w:val="22"/>
          <w:u w:val="single" w:color="000000"/>
        </w:rPr>
        <w:t> </w:t>
      </w:r>
      <w:r>
        <w:rPr>
          <w:rFonts w:ascii="Times New Roman" w:hAnsi="Times New Roman" w:cs="Times New Roman" w:eastAsia="Times New Roman" w:hint="default"/>
          <w:sz w:val="22"/>
          <w:szCs w:val="22"/>
          <w:u w:val="single" w:color="000000"/>
        </w:rPr>
        <w:tab/>
      </w:r>
      <w:r>
        <w:rPr>
          <w:rFonts w:ascii="宋体" w:hAnsi="宋体" w:cs="宋体" w:eastAsia="宋体" w:hint="default"/>
          <w:sz w:val="22"/>
          <w:szCs w:val="22"/>
          <w:u w:val="single" w:color="000000"/>
        </w:rPr>
        <w:t>否归还</w:t>
        <w:tab/>
      </w:r>
      <w:r>
        <w:rPr>
          <w:rFonts w:ascii="宋体" w:hAnsi="宋体" w:cs="宋体" w:eastAsia="宋体" w:hint="default"/>
          <w:sz w:val="22"/>
          <w:szCs w:val="22"/>
        </w:rPr>
      </w: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359.3pt;height:1pt;mso-position-horizontal-relative:char;mso-position-vertical-relative:line" coordorigin="0,0" coordsize="7186,20">
            <v:group style="position:absolute;left:10;top:1;width:2994;height:2" coordorigin="10,1" coordsize="2994,2">
              <v:shape style="position:absolute;left:10;top:1;width:2994;height:2" coordorigin="10,1" coordsize="2994,0" path="m10,1l3004,1e" filled="false" stroked="true" strokeweight=".06pt" strokecolor="#000000">
                <v:path arrowok="t"/>
              </v:shape>
            </v:group>
            <v:group style="position:absolute;left:10;top:10;width:2994;height:2" coordorigin="10,10" coordsize="2994,2">
              <v:shape style="position:absolute;left:10;top:10;width:2994;height:2" coordorigin="10,10" coordsize="2994,0" path="m10,10l3004,10e" filled="false" stroked="true" strokeweight=".95999pt" strokecolor="#000000">
                <v:path arrowok="t"/>
              </v:shape>
            </v:group>
            <v:group style="position:absolute;left:3076;top:1;width:1334;height:2" coordorigin="3076,1" coordsize="1334,2">
              <v:shape style="position:absolute;left:3076;top:1;width:1334;height:2" coordorigin="3076,1" coordsize="1334,0" path="m3076,1l4409,1e" filled="false" stroked="true" strokeweight=".06pt" strokecolor="#000000">
                <v:path arrowok="t"/>
              </v:shape>
            </v:group>
            <v:group style="position:absolute;left:3076;top:10;width:1334;height:2" coordorigin="3076,10" coordsize="1334,2">
              <v:shape style="position:absolute;left:3076;top:10;width:1334;height:2" coordorigin="3076,10" coordsize="1334,0" path="m3076,10l4409,10e" filled="false" stroked="true" strokeweight=".95999pt" strokecolor="#000000">
                <v:path arrowok="t"/>
              </v:shape>
            </v:group>
            <v:group style="position:absolute;left:4481;top:1;width:2696;height:2" coordorigin="4481,1" coordsize="2696,2">
              <v:shape style="position:absolute;left:4481;top:1;width:2696;height:2" coordorigin="4481,1" coordsize="2696,0" path="m4481,1l7176,1e" filled="false" stroked="true" strokeweight=".06pt" strokecolor="#000000">
                <v:path arrowok="t"/>
              </v:shape>
            </v:group>
            <v:group style="position:absolute;left:4481;top:10;width:2696;height:2" coordorigin="4481,10" coordsize="2696,2">
              <v:shape style="position:absolute;left:4481;top:10;width:2696;height:2" coordorigin="4481,10" coordsize="2696,0" path="m4481,10l7176,10e" filled="false" stroked="true" strokeweight=".95999pt" strokecolor="#000000">
                <v:path arrowok="t"/>
              </v:shape>
            </v:group>
          </v:group>
        </w:pict>
      </w:r>
      <w:r>
        <w:rPr>
          <w:rFonts w:ascii="宋体" w:hAnsi="宋体" w:cs="宋体" w:eastAsia="宋体" w:hint="default"/>
          <w:sz w:val="2"/>
          <w:szCs w:val="2"/>
        </w:rPr>
      </w:r>
    </w:p>
    <w:p>
      <w:pPr>
        <w:tabs>
          <w:tab w:pos="1929" w:val="left" w:leader="none"/>
          <w:tab w:pos="3461" w:val="left" w:leader="none"/>
          <w:tab w:pos="4873" w:val="left" w:leader="none"/>
          <w:tab w:pos="7983" w:val="left" w:leader="none"/>
        </w:tabs>
        <w:spacing w:line="283" w:lineRule="auto" w:before="0"/>
        <w:ind w:left="1158" w:right="1118" w:hanging="862"/>
        <w:jc w:val="left"/>
        <w:rPr>
          <w:rFonts w:ascii="Times New Roman" w:hAnsi="Times New Roman" w:cs="Times New Roman" w:eastAsia="Times New Roman" w:hint="default"/>
          <w:sz w:val="22"/>
          <w:szCs w:val="22"/>
        </w:rPr>
      </w:pPr>
      <w:r>
        <w:rPr/>
        <w:pict>
          <v:group style="position:absolute;margin-left:243.240005pt;margin-top:15.998044pt;width:67.650pt;height:1.05pt;mso-position-horizontal-relative:page;mso-position-vertical-relative:paragraph;z-index:-590824" coordorigin="4865,320" coordsize="1353,21">
            <v:group style="position:absolute;left:4874;top:321;width:1334;height:2" coordorigin="4874,321" coordsize="1334,2">
              <v:shape style="position:absolute;left:4874;top:321;width:1334;height:2" coordorigin="4874,321" coordsize="1334,0" path="m4874,321l6208,321e" filled="false" stroked="true" strokeweight=".06pt" strokecolor="#000000">
                <v:path arrowok="t"/>
              </v:shape>
            </v:group>
            <v:group style="position:absolute;left:4874;top:331;width:1334;height:2" coordorigin="4874,331" coordsize="1334,2">
              <v:shape style="position:absolute;left:4874;top:331;width:1334;height:2" coordorigin="4874,331" coordsize="1334,0" path="m4874,331l6208,331e" filled="false" stroked="true" strokeweight=".95999pt" strokecolor="#000000">
                <v:path arrowok="t"/>
              </v:shape>
            </v:group>
            <w10:wrap type="none"/>
          </v:group>
        </w:pict>
      </w:r>
      <w:r>
        <w:rPr/>
        <w:pict>
          <v:group style="position:absolute;margin-left:243.240005pt;margin-top:31.988054pt;width:67.650pt;height:2.9pt;mso-position-horizontal-relative:page;mso-position-vertical-relative:paragraph;z-index:-590800" coordorigin="4865,640" coordsize="1353,58">
            <v:group style="position:absolute;left:4874;top:649;width:1334;height:2" coordorigin="4874,649" coordsize="1334,2">
              <v:shape style="position:absolute;left:4874;top:649;width:1334;height:2" coordorigin="4874,649" coordsize="1334,0" path="m4874,649l6208,649e" filled="false" stroked="true" strokeweight=".95999pt" strokecolor="#000000">
                <v:path arrowok="t"/>
              </v:shape>
            </v:group>
            <v:group style="position:absolute;left:4874;top:688;width:1334;height:2" coordorigin="4874,688" coordsize="1334,2">
              <v:shape style="position:absolute;left:4874;top:688;width:1334;height:2" coordorigin="4874,688" coordsize="1334,0" path="m4874,688l6208,688e" filled="false" stroked="true" strokeweight=".95999pt" strokecolor="#000000">
                <v:path arrowok="t"/>
              </v:shape>
            </v:group>
            <w10:wrap type="none"/>
          </v:group>
        </w:pict>
      </w:r>
      <w:r>
        <w:rPr>
          <w:rFonts w:ascii="宋体" w:hAnsi="宋体" w:cs="宋体" w:eastAsia="宋体" w:hint="default"/>
          <w:spacing w:val="-1"/>
          <w:sz w:val="22"/>
          <w:szCs w:val="22"/>
        </w:rPr>
        <w:t>山东泰山纸业有限公司</w:t>
        <w:tab/>
      </w:r>
      <w:r>
        <w:rPr>
          <w:rFonts w:ascii="Times New Roman" w:hAnsi="Times New Roman" w:cs="Times New Roman" w:eastAsia="Times New Roman" w:hint="default"/>
          <w:spacing w:val="-1"/>
          <w:position w:val="2"/>
          <w:sz w:val="22"/>
          <w:szCs w:val="22"/>
        </w:rPr>
        <w:t>222,563.14</w:t>
        <w:tab/>
      </w:r>
      <w:r>
        <w:rPr>
          <w:rFonts w:ascii="宋体" w:hAnsi="宋体" w:cs="宋体" w:eastAsia="宋体" w:hint="default"/>
          <w:spacing w:val="-1"/>
          <w:sz w:val="22"/>
          <w:szCs w:val="22"/>
        </w:rPr>
        <w:t>尚未支付的原纸采购款</w:t>
        <w:tab/>
      </w:r>
      <w:r>
        <w:rPr>
          <w:rFonts w:ascii="宋体" w:hAnsi="宋体" w:cs="宋体" w:eastAsia="宋体" w:hint="default"/>
          <w:sz w:val="22"/>
          <w:szCs w:val="22"/>
        </w:rPr>
        <w:t>否</w:t>
      </w:r>
      <w:r>
        <w:rPr>
          <w:rFonts w:ascii="宋体" w:hAnsi="宋体" w:cs="宋体" w:eastAsia="宋体" w:hint="default"/>
          <w:w w:val="100"/>
          <w:sz w:val="22"/>
          <w:szCs w:val="22"/>
        </w:rPr>
        <w:t> </w:t>
      </w:r>
      <w:r>
        <w:rPr>
          <w:rFonts w:ascii="宋体" w:hAnsi="宋体" w:cs="宋体" w:eastAsia="宋体" w:hint="default"/>
          <w:sz w:val="22"/>
          <w:szCs w:val="22"/>
        </w:rPr>
        <w:t>合</w:t>
        <w:tab/>
        <w:t>计</w:t>
        <w:tab/>
      </w:r>
      <w:r>
        <w:rPr>
          <w:rFonts w:ascii="Times New Roman" w:hAnsi="Times New Roman" w:cs="Times New Roman" w:eastAsia="Times New Roman" w:hint="default"/>
          <w:position w:val="2"/>
          <w:sz w:val="22"/>
          <w:szCs w:val="22"/>
        </w:rPr>
        <w:t>222,563.14</w:t>
      </w:r>
      <w:r>
        <w:rPr>
          <w:rFonts w:ascii="Times New Roman" w:hAnsi="Times New Roman" w:cs="Times New Roman" w:eastAsia="Times New Roman" w:hint="default"/>
          <w:sz w:val="22"/>
          <w:szCs w:val="2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3"/>
          <w:szCs w:val="23"/>
        </w:rPr>
      </w:pPr>
    </w:p>
    <w:p>
      <w:pPr>
        <w:pStyle w:val="Heading3"/>
        <w:spacing w:line="368" w:lineRule="exact"/>
        <w:ind w:left="681" w:right="76"/>
        <w:jc w:val="left"/>
        <w:rPr>
          <w:b w:val="0"/>
          <w:bCs w:val="0"/>
        </w:rPr>
      </w:pPr>
      <w:r>
        <w:rPr>
          <w:w w:val="115"/>
        </w:rPr>
        <w:t>r)</w:t>
      </w:r>
      <w:r>
        <w:rPr>
          <w:spacing w:val="6"/>
          <w:w w:val="115"/>
        </w:rPr>
        <w:t> </w:t>
      </w:r>
      <w:r>
        <w:rPr>
          <w:w w:val="115"/>
        </w:rPr>
        <w:t>预收款项</w:t>
      </w:r>
      <w:r>
        <w:rPr>
          <w:b w:val="0"/>
          <w:bCs w:val="0"/>
          <w:w w:val="115"/>
        </w:rPr>
      </w:r>
    </w:p>
    <w:p>
      <w:pPr>
        <w:pStyle w:val="BodyText"/>
        <w:spacing w:line="240" w:lineRule="auto" w:before="94"/>
        <w:ind w:left="617" w:right="76"/>
        <w:jc w:val="left"/>
      </w:pPr>
      <w:r>
        <w:rPr/>
        <w:t>（1）预收款项明细情况</w:t>
      </w:r>
    </w:p>
    <w:p>
      <w:pPr>
        <w:spacing w:line="240" w:lineRule="auto" w:before="0"/>
        <w:rPr>
          <w:rFonts w:ascii="宋体" w:hAnsi="宋体" w:cs="宋体" w:eastAsia="宋体" w:hint="default"/>
          <w:sz w:val="11"/>
          <w:szCs w:val="11"/>
        </w:rPr>
      </w:pPr>
    </w:p>
    <w:p>
      <w:pPr>
        <w:tabs>
          <w:tab w:pos="7162" w:val="left" w:leader="none"/>
        </w:tabs>
        <w:spacing w:line="229" w:lineRule="exact" w:before="38"/>
        <w:ind w:left="3333" w:right="76" w:firstLine="0"/>
        <w:jc w:val="left"/>
        <w:rPr>
          <w:rFonts w:ascii="宋体" w:hAnsi="宋体" w:cs="宋体" w:eastAsia="宋体" w:hint="default"/>
          <w:sz w:val="22"/>
          <w:szCs w:val="22"/>
        </w:rPr>
      </w:pPr>
      <w:r>
        <w:rPr>
          <w:rFonts w:ascii="宋体" w:hAnsi="宋体" w:cs="宋体" w:eastAsia="宋体" w:hint="default"/>
          <w:sz w:val="22"/>
          <w:szCs w:val="22"/>
        </w:rPr>
        <w:t>年末数</w:t>
        <w:tab/>
      </w:r>
      <w:r>
        <w:rPr>
          <w:rFonts w:ascii="宋体" w:hAnsi="宋体" w:cs="宋体" w:eastAsia="宋体" w:hint="default"/>
          <w:spacing w:val="2"/>
          <w:w w:val="105"/>
          <w:sz w:val="22"/>
          <w:szCs w:val="22"/>
        </w:rPr>
        <w:t>年初数</w:t>
      </w:r>
      <w:r>
        <w:rPr>
          <w:rFonts w:ascii="宋体" w:hAnsi="宋体" w:cs="宋体" w:eastAsia="宋体" w:hint="default"/>
          <w:sz w:val="22"/>
          <w:szCs w:val="22"/>
        </w:rPr>
      </w:r>
    </w:p>
    <w:p>
      <w:pPr>
        <w:spacing w:line="177" w:lineRule="exact" w:before="0"/>
        <w:ind w:left="555" w:right="76" w:firstLine="0"/>
        <w:jc w:val="left"/>
        <w:rPr>
          <w:rFonts w:ascii="宋体" w:hAnsi="宋体" w:cs="宋体" w:eastAsia="宋体" w:hint="default"/>
          <w:sz w:val="22"/>
          <w:szCs w:val="22"/>
        </w:rPr>
      </w:pPr>
      <w:r>
        <w:rPr/>
        <w:pict>
          <v:group style="position:absolute;margin-left:183.869995pt;margin-top:5.140347pt;width:165.5pt;height:.7pt;mso-position-horizontal-relative:page;mso-position-vertical-relative:paragraph;z-index:5992" coordorigin="3677,103" coordsize="3310,14">
            <v:group style="position:absolute;left:3684;top:103;width:3297;height:2" coordorigin="3684,103" coordsize="3297,2">
              <v:shape style="position:absolute;left:3684;top:103;width:3297;height:2" coordorigin="3684,103" coordsize="3297,0" path="m3684,103l6980,103e" filled="false" stroked="true" strokeweight=".06pt" strokecolor="#000000">
                <v:path arrowok="t"/>
              </v:shape>
            </v:group>
            <v:group style="position:absolute;left:3684;top:110;width:3297;height:2" coordorigin="3684,110" coordsize="3297,2">
              <v:shape style="position:absolute;left:3684;top:110;width:3297;height:2" coordorigin="3684,110" coordsize="3297,0" path="m3684,110l6980,110e" filled="false" stroked="true" strokeweight=".66pt" strokecolor="#000000">
                <v:path arrowok="t"/>
              </v:shape>
            </v:group>
            <w10:wrap type="none"/>
          </v:group>
        </w:pict>
      </w:r>
      <w:r>
        <w:rPr/>
        <w:pict>
          <v:group style="position:absolute;margin-left:371.730011pt;margin-top:5.140347pt;width:172pt;height:.7pt;mso-position-horizontal-relative:page;mso-position-vertical-relative:paragraph;z-index:6088" coordorigin="7435,103" coordsize="3440,14">
            <v:group style="position:absolute;left:7441;top:103;width:3426;height:2" coordorigin="7441,103" coordsize="3426,2">
              <v:shape style="position:absolute;left:7441;top:103;width:3426;height:2" coordorigin="7441,103" coordsize="3426,0" path="m7441,103l10867,103e" filled="false" stroked="true" strokeweight=".06pt" strokecolor="#000000">
                <v:path arrowok="t"/>
              </v:shape>
            </v:group>
            <v:group style="position:absolute;left:7441;top:110;width:3426;height:2" coordorigin="7441,110" coordsize="3426,2">
              <v:shape style="position:absolute;left:7441;top:110;width:3426;height:2" coordorigin="7441,110" coordsize="3426,0" path="m7441,110l10867,110e" filled="false" stroked="true" strokeweight=".66pt" strokecolor="#000000">
                <v:path arrowok="t"/>
              </v:shape>
            </v:group>
            <w10:wrap type="none"/>
          </v:group>
        </w:pict>
      </w:r>
      <w:r>
        <w:rPr>
          <w:rFonts w:ascii="宋体" w:hAnsi="宋体" w:cs="宋体" w:eastAsia="宋体" w:hint="default"/>
          <w:w w:val="105"/>
          <w:sz w:val="22"/>
          <w:szCs w:val="22"/>
        </w:rPr>
        <w:t>账</w:t>
      </w:r>
      <w:r>
        <w:rPr>
          <w:rFonts w:ascii="宋体" w:hAnsi="宋体" w:cs="宋体" w:eastAsia="宋体" w:hint="default"/>
          <w:spacing w:val="-6"/>
          <w:w w:val="105"/>
          <w:sz w:val="22"/>
          <w:szCs w:val="22"/>
        </w:rPr>
        <w:t> </w:t>
      </w:r>
      <w:r>
        <w:rPr>
          <w:rFonts w:ascii="宋体" w:hAnsi="宋体" w:cs="宋体" w:eastAsia="宋体" w:hint="default"/>
          <w:w w:val="105"/>
          <w:sz w:val="22"/>
          <w:szCs w:val="22"/>
        </w:rPr>
        <w:t>龄</w:t>
      </w:r>
      <w:r>
        <w:rPr>
          <w:rFonts w:ascii="宋体" w:hAnsi="宋体" w:cs="宋体" w:eastAsia="宋体" w:hint="default"/>
          <w:sz w:val="22"/>
          <w:szCs w:val="22"/>
        </w:rPr>
      </w:r>
    </w:p>
    <w:p>
      <w:pPr>
        <w:tabs>
          <w:tab w:pos="3117" w:val="left" w:leader="none"/>
          <w:tab w:pos="4513" w:val="left" w:leader="none"/>
          <w:tab w:pos="6385" w:val="left" w:leader="none"/>
          <w:tab w:pos="6947" w:val="left" w:leader="none"/>
          <w:tab w:pos="8400" w:val="left" w:leader="none"/>
        </w:tabs>
        <w:spacing w:line="236" w:lineRule="exact" w:before="0"/>
        <w:ind w:left="2555" w:right="76" w:firstLine="0"/>
        <w:jc w:val="left"/>
        <w:rPr>
          <w:rFonts w:ascii="宋体" w:hAnsi="宋体" w:cs="宋体" w:eastAsia="宋体" w:hint="default"/>
          <w:sz w:val="22"/>
          <w:szCs w:val="22"/>
        </w:rPr>
      </w:pPr>
      <w:r>
        <w:rPr/>
        <w:pict>
          <v:group style="position:absolute;margin-left:184.199997pt;margin-top:80.290657pt;width:91.4pt;height:.1pt;mso-position-horizontal-relative:page;mso-position-vertical-relative:paragraph;z-index:-590752" coordorigin="3684,1606" coordsize="1828,2">
            <v:shape style="position:absolute;left:3684;top:1606;width:1828;height:2" coordorigin="3684,1606" coordsize="1828,0" path="m3684,1606l5512,1606e" filled="false" stroked="true" strokeweight=".66pt" strokecolor="#000000">
              <v:path arrowok="t"/>
            </v:shape>
            <w10:wrap type="none"/>
          </v:group>
        </w:pict>
      </w:r>
      <w:r>
        <w:rPr/>
        <w:pict>
          <v:group style="position:absolute;margin-left:289.980011pt;margin-top:80.290657pt;width:59.05pt;height:.1pt;mso-position-horizontal-relative:page;mso-position-vertical-relative:paragraph;z-index:-590728" coordorigin="5800,1606" coordsize="1181,2">
            <v:shape style="position:absolute;left:5800;top:1606;width:1181;height:2" coordorigin="5800,1606" coordsize="1181,0" path="m5800,1606l6980,1606e" filled="false" stroked="true" strokeweight=".66pt" strokecolor="#000000">
              <v:path arrowok="t"/>
            </v:shape>
            <w10:wrap type="none"/>
          </v:group>
        </w:pict>
      </w:r>
      <w:r>
        <w:rPr/>
        <w:pict>
          <v:group style="position:absolute;margin-left:372.059998pt;margin-top:80.290657pt;width:98.6pt;height:.1pt;mso-position-horizontal-relative:page;mso-position-vertical-relative:paragraph;z-index:-590704" coordorigin="7441,1606" coordsize="1972,2">
            <v:shape style="position:absolute;left:7441;top:1606;width:1972;height:2" coordorigin="7441,1606" coordsize="1972,0" path="m7441,1606l9413,1606e" filled="false" stroked="true" strokeweight=".66pt" strokecolor="#000000">
              <v:path arrowok="t"/>
            </v:shape>
            <w10:wrap type="none"/>
          </v:group>
        </w:pict>
      </w:r>
      <w:r>
        <w:rPr/>
        <w:pict>
          <v:group style="position:absolute;margin-left:485.040009pt;margin-top:80.290657pt;width:58.35pt;height:.1pt;mso-position-horizontal-relative:page;mso-position-vertical-relative:paragraph;z-index:-590656" coordorigin="9701,1606" coordsize="1167,2">
            <v:shape style="position:absolute;left:9701;top:1606;width:1167;height:2" coordorigin="9701,1606" coordsize="1167,0" path="m9701,1606l10867,1606e" filled="false" stroked="true" strokeweight=".66pt" strokecolor="#000000">
              <v:path arrowok="t"/>
            </v:shape>
            <w10:wrap type="none"/>
          </v:group>
        </w:pict>
      </w:r>
      <w:r>
        <w:rPr>
          <w:rFonts w:ascii="宋体" w:hAnsi="宋体" w:cs="宋体" w:eastAsia="宋体" w:hint="default"/>
          <w:sz w:val="22"/>
          <w:szCs w:val="22"/>
        </w:rPr>
        <w:t>金</w:t>
        <w:tab/>
        <w:t>额</w:t>
        <w:tab/>
        <w:t>比例</w:t>
        <w:tab/>
        <w:t>金</w:t>
        <w:tab/>
        <w:t>额</w:t>
        <w:tab/>
      </w:r>
      <w:r>
        <w:rPr>
          <w:rFonts w:ascii="宋体" w:hAnsi="宋体" w:cs="宋体" w:eastAsia="宋体" w:hint="default"/>
          <w:w w:val="105"/>
          <w:sz w:val="22"/>
          <w:szCs w:val="22"/>
        </w:rPr>
        <w:t>比例</w:t>
      </w:r>
      <w:r>
        <w:rPr>
          <w:rFonts w:ascii="宋体" w:hAnsi="宋体" w:cs="宋体" w:eastAsia="宋体" w:hint="default"/>
          <w:sz w:val="22"/>
          <w:szCs w:val="22"/>
        </w:rPr>
      </w:r>
    </w:p>
    <w:p>
      <w:pPr>
        <w:spacing w:line="240" w:lineRule="auto" w:before="11"/>
        <w:rPr>
          <w:rFonts w:ascii="宋体" w:hAnsi="宋体" w:cs="宋体" w:eastAsia="宋体" w:hint="default"/>
          <w:sz w:val="2"/>
          <w:szCs w:val="2"/>
        </w:rPr>
      </w:pPr>
    </w:p>
    <w:tbl>
      <w:tblPr>
        <w:tblW w:w="0" w:type="auto"/>
        <w:jc w:val="left"/>
        <w:tblInd w:w="151" w:type="dxa"/>
        <w:tblLayout w:type="fixed"/>
        <w:tblCellMar>
          <w:top w:w="0" w:type="dxa"/>
          <w:left w:w="0" w:type="dxa"/>
          <w:bottom w:w="0" w:type="dxa"/>
          <w:right w:w="0" w:type="dxa"/>
        </w:tblCellMar>
        <w:tblLook w:val="01E0"/>
      </w:tblPr>
      <w:tblGrid>
        <w:gridCol w:w="1368"/>
        <w:gridCol w:w="504"/>
        <w:gridCol w:w="1828"/>
        <w:gridCol w:w="288"/>
        <w:gridCol w:w="1181"/>
        <w:gridCol w:w="461"/>
        <w:gridCol w:w="1972"/>
        <w:gridCol w:w="288"/>
        <w:gridCol w:w="1166"/>
      </w:tblGrid>
      <w:tr>
        <w:trPr>
          <w:trHeight w:val="354" w:hRule="exact"/>
        </w:trPr>
        <w:tc>
          <w:tcPr>
            <w:tcW w:w="1368" w:type="dxa"/>
            <w:tcBorders>
              <w:top w:val="single" w:sz="6" w:space="0" w:color="000000"/>
              <w:left w:val="nil" w:sz="6" w:space="0" w:color="auto"/>
              <w:bottom w:val="nil" w:sz="6" w:space="0" w:color="auto"/>
              <w:right w:val="nil" w:sz="6" w:space="0" w:color="auto"/>
            </w:tcBorders>
          </w:tcPr>
          <w:p>
            <w:pPr>
              <w:pStyle w:val="TableParagraph"/>
              <w:spacing w:line="240" w:lineRule="auto" w:before="8"/>
              <w:ind w:left="28" w:right="0"/>
              <w:jc w:val="left"/>
              <w:rPr>
                <w:rFonts w:ascii="宋体" w:hAnsi="宋体" w:cs="宋体" w:eastAsia="宋体" w:hint="default"/>
                <w:sz w:val="22"/>
                <w:szCs w:val="22"/>
              </w:rPr>
            </w:pPr>
            <w:r>
              <w:rPr>
                <w:rFonts w:ascii="宋体" w:hAnsi="宋体" w:cs="宋体" w:eastAsia="宋体" w:hint="default"/>
                <w:spacing w:val="-3"/>
                <w:w w:val="105"/>
                <w:sz w:val="22"/>
                <w:szCs w:val="22"/>
              </w:rPr>
              <w:t>1年以内</w:t>
            </w:r>
            <w:r>
              <w:rPr>
                <w:rFonts w:ascii="宋体" w:hAnsi="宋体" w:cs="宋体" w:eastAsia="宋体" w:hint="default"/>
                <w:spacing w:val="-3"/>
                <w:sz w:val="22"/>
                <w:szCs w:val="22"/>
              </w:rPr>
            </w:r>
          </w:p>
        </w:tc>
        <w:tc>
          <w:tcPr>
            <w:tcW w:w="504" w:type="dxa"/>
            <w:tcBorders>
              <w:top w:val="nil" w:sz="6" w:space="0" w:color="auto"/>
              <w:left w:val="nil" w:sz="6" w:space="0" w:color="auto"/>
              <w:bottom w:val="nil" w:sz="6" w:space="0" w:color="auto"/>
              <w:right w:val="nil" w:sz="6" w:space="0" w:color="auto"/>
            </w:tcBorders>
          </w:tcPr>
          <w:p>
            <w:pPr/>
          </w:p>
        </w:tc>
        <w:tc>
          <w:tcPr>
            <w:tcW w:w="1828" w:type="dxa"/>
            <w:tcBorders>
              <w:top w:val="single" w:sz="6" w:space="0" w:color="000000"/>
              <w:left w:val="nil" w:sz="6" w:space="0" w:color="auto"/>
              <w:bottom w:val="nil" w:sz="6" w:space="0" w:color="auto"/>
              <w:right w:val="nil" w:sz="6" w:space="0" w:color="auto"/>
            </w:tcBorders>
          </w:tcPr>
          <w:p>
            <w:pPr>
              <w:pStyle w:val="TableParagraph"/>
              <w:spacing w:line="240" w:lineRule="auto" w:before="39"/>
              <w:ind w:right="84"/>
              <w:jc w:val="right"/>
              <w:rPr>
                <w:rFonts w:ascii="Times New Roman" w:hAnsi="Times New Roman" w:cs="Times New Roman" w:eastAsia="Times New Roman" w:hint="default"/>
                <w:sz w:val="22"/>
                <w:szCs w:val="22"/>
              </w:rPr>
            </w:pPr>
            <w:r>
              <w:rPr>
                <w:rFonts w:ascii="Times New Roman"/>
                <w:spacing w:val="-2"/>
                <w:sz w:val="22"/>
              </w:rPr>
              <w:t>16,586,239.61</w:t>
            </w:r>
            <w:r>
              <w:rPr>
                <w:rFonts w:ascii="Times New Roman"/>
                <w:sz w:val="22"/>
              </w:rPr>
            </w: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single" w:sz="6" w:space="0" w:color="000000"/>
              <w:left w:val="nil" w:sz="6" w:space="0" w:color="auto"/>
              <w:bottom w:val="nil" w:sz="6" w:space="0" w:color="auto"/>
              <w:right w:val="nil" w:sz="6" w:space="0" w:color="auto"/>
            </w:tcBorders>
          </w:tcPr>
          <w:p>
            <w:pPr>
              <w:pStyle w:val="TableParagraph"/>
              <w:spacing w:line="240" w:lineRule="auto" w:before="39"/>
              <w:ind w:right="39"/>
              <w:jc w:val="right"/>
              <w:rPr>
                <w:rFonts w:ascii="Times New Roman" w:hAnsi="Times New Roman" w:cs="Times New Roman" w:eastAsia="Times New Roman" w:hint="default"/>
                <w:sz w:val="22"/>
                <w:szCs w:val="22"/>
              </w:rPr>
            </w:pPr>
            <w:r>
              <w:rPr>
                <w:rFonts w:ascii="Times New Roman"/>
                <w:spacing w:val="-3"/>
                <w:sz w:val="22"/>
              </w:rPr>
              <w:t>99.51%</w:t>
            </w:r>
            <w:r>
              <w:rPr>
                <w:rFonts w:ascii="Times New Roman"/>
                <w:sz w:val="22"/>
              </w:rPr>
            </w:r>
          </w:p>
        </w:tc>
        <w:tc>
          <w:tcPr>
            <w:tcW w:w="461" w:type="dxa"/>
            <w:tcBorders>
              <w:top w:val="nil" w:sz="6" w:space="0" w:color="auto"/>
              <w:left w:val="nil" w:sz="6" w:space="0" w:color="auto"/>
              <w:bottom w:val="nil" w:sz="6" w:space="0" w:color="auto"/>
              <w:right w:val="nil" w:sz="6" w:space="0" w:color="auto"/>
            </w:tcBorders>
          </w:tcPr>
          <w:p>
            <w:pPr/>
          </w:p>
        </w:tc>
        <w:tc>
          <w:tcPr>
            <w:tcW w:w="1972" w:type="dxa"/>
            <w:tcBorders>
              <w:top w:val="single" w:sz="6" w:space="0" w:color="000000"/>
              <w:left w:val="nil" w:sz="6" w:space="0" w:color="auto"/>
              <w:bottom w:val="nil" w:sz="6" w:space="0" w:color="auto"/>
              <w:right w:val="nil" w:sz="6" w:space="0" w:color="auto"/>
            </w:tcBorders>
          </w:tcPr>
          <w:p>
            <w:pPr>
              <w:pStyle w:val="TableParagraph"/>
              <w:spacing w:line="240" w:lineRule="auto" w:before="39"/>
              <w:ind w:right="99"/>
              <w:jc w:val="right"/>
              <w:rPr>
                <w:rFonts w:ascii="Times New Roman" w:hAnsi="Times New Roman" w:cs="Times New Roman" w:eastAsia="Times New Roman" w:hint="default"/>
                <w:sz w:val="22"/>
                <w:szCs w:val="22"/>
              </w:rPr>
            </w:pPr>
            <w:r>
              <w:rPr>
                <w:rFonts w:ascii="Times New Roman"/>
                <w:spacing w:val="-3"/>
                <w:sz w:val="22"/>
              </w:rPr>
              <w:t>12,885,327.09</w:t>
            </w:r>
            <w:r>
              <w:rPr>
                <w:rFonts w:ascii="Times New Roman"/>
                <w:sz w:val="22"/>
              </w:rPr>
            </w:r>
          </w:p>
        </w:tc>
        <w:tc>
          <w:tcPr>
            <w:tcW w:w="288" w:type="dxa"/>
            <w:tcBorders>
              <w:top w:val="nil" w:sz="6" w:space="0" w:color="auto"/>
              <w:left w:val="nil" w:sz="6" w:space="0" w:color="auto"/>
              <w:bottom w:val="nil" w:sz="6" w:space="0" w:color="auto"/>
              <w:right w:val="nil" w:sz="6" w:space="0" w:color="auto"/>
            </w:tcBorders>
          </w:tcPr>
          <w:p>
            <w:pPr/>
          </w:p>
        </w:tc>
        <w:tc>
          <w:tcPr>
            <w:tcW w:w="1166" w:type="dxa"/>
            <w:tcBorders>
              <w:top w:val="single" w:sz="6" w:space="0" w:color="000000"/>
              <w:left w:val="nil" w:sz="6" w:space="0" w:color="auto"/>
              <w:bottom w:val="nil" w:sz="6" w:space="0" w:color="auto"/>
              <w:right w:val="nil" w:sz="6" w:space="0" w:color="auto"/>
            </w:tcBorders>
          </w:tcPr>
          <w:p>
            <w:pPr>
              <w:pStyle w:val="TableParagraph"/>
              <w:spacing w:line="240" w:lineRule="auto" w:before="39"/>
              <w:ind w:right="40"/>
              <w:jc w:val="right"/>
              <w:rPr>
                <w:rFonts w:ascii="Times New Roman" w:hAnsi="Times New Roman" w:cs="Times New Roman" w:eastAsia="Times New Roman" w:hint="default"/>
                <w:sz w:val="22"/>
                <w:szCs w:val="22"/>
              </w:rPr>
            </w:pPr>
            <w:r>
              <w:rPr>
                <w:rFonts w:ascii="Times New Roman"/>
                <w:spacing w:val="-3"/>
                <w:sz w:val="22"/>
              </w:rPr>
              <w:t>99.59%</w:t>
            </w:r>
          </w:p>
        </w:tc>
      </w:tr>
      <w:tr>
        <w:trPr>
          <w:trHeight w:val="333"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76" w:lineRule="exact"/>
              <w:ind w:left="28" w:right="0"/>
              <w:jc w:val="left"/>
              <w:rPr>
                <w:rFonts w:ascii="宋体" w:hAnsi="宋体" w:cs="宋体" w:eastAsia="宋体" w:hint="default"/>
                <w:sz w:val="22"/>
                <w:szCs w:val="22"/>
              </w:rPr>
            </w:pPr>
            <w:r>
              <w:rPr>
                <w:rFonts w:ascii="宋体" w:hAnsi="宋体" w:cs="宋体" w:eastAsia="宋体" w:hint="default"/>
                <w:spacing w:val="-3"/>
                <w:w w:val="105"/>
                <w:sz w:val="22"/>
                <w:szCs w:val="22"/>
              </w:rPr>
              <w:t>1至2年</w:t>
            </w:r>
            <w:r>
              <w:rPr>
                <w:rFonts w:ascii="宋体" w:hAnsi="宋体" w:cs="宋体" w:eastAsia="宋体" w:hint="default"/>
                <w:spacing w:val="-3"/>
                <w:sz w:val="22"/>
                <w:szCs w:val="22"/>
              </w:rPr>
            </w:r>
          </w:p>
        </w:tc>
        <w:tc>
          <w:tcPr>
            <w:tcW w:w="504"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6"/>
              <w:jc w:val="right"/>
              <w:rPr>
                <w:rFonts w:ascii="Times New Roman" w:hAnsi="Times New Roman" w:cs="Times New Roman" w:eastAsia="Times New Roman" w:hint="default"/>
                <w:sz w:val="22"/>
                <w:szCs w:val="22"/>
              </w:rPr>
            </w:pPr>
            <w:r>
              <w:rPr>
                <w:rFonts w:ascii="Times New Roman"/>
                <w:spacing w:val="-3"/>
                <w:sz w:val="22"/>
              </w:rPr>
              <w:t>79,445.28</w:t>
            </w: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9"/>
              <w:jc w:val="right"/>
              <w:rPr>
                <w:rFonts w:ascii="Times New Roman" w:hAnsi="Times New Roman" w:cs="Times New Roman" w:eastAsia="Times New Roman" w:hint="default"/>
                <w:sz w:val="22"/>
                <w:szCs w:val="22"/>
              </w:rPr>
            </w:pPr>
            <w:r>
              <w:rPr>
                <w:rFonts w:ascii="Times New Roman"/>
                <w:spacing w:val="-3"/>
                <w:sz w:val="22"/>
              </w:rPr>
              <w:t>0.48%</w:t>
            </w:r>
            <w:r>
              <w:rPr>
                <w:rFonts w:ascii="Times New Roman"/>
                <w:sz w:val="22"/>
              </w:rPr>
            </w:r>
          </w:p>
        </w:tc>
        <w:tc>
          <w:tcPr>
            <w:tcW w:w="461"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1"/>
              <w:jc w:val="right"/>
              <w:rPr>
                <w:rFonts w:ascii="Times New Roman" w:hAnsi="Times New Roman" w:cs="Times New Roman" w:eastAsia="Times New Roman" w:hint="default"/>
                <w:sz w:val="22"/>
                <w:szCs w:val="22"/>
              </w:rPr>
            </w:pPr>
            <w:r>
              <w:rPr>
                <w:rFonts w:ascii="Times New Roman"/>
                <w:spacing w:val="-3"/>
                <w:sz w:val="22"/>
              </w:rPr>
              <w:t>52,696.56</w:t>
            </w:r>
            <w:r>
              <w:rPr>
                <w:rFonts w:ascii="Times New Roman"/>
                <w:sz w:val="22"/>
              </w:rPr>
            </w:r>
          </w:p>
        </w:tc>
        <w:tc>
          <w:tcPr>
            <w:tcW w:w="288"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0"/>
              <w:jc w:val="right"/>
              <w:rPr>
                <w:rFonts w:ascii="Times New Roman" w:hAnsi="Times New Roman" w:cs="Times New Roman" w:eastAsia="Times New Roman" w:hint="default"/>
                <w:sz w:val="22"/>
                <w:szCs w:val="22"/>
              </w:rPr>
            </w:pPr>
            <w:r>
              <w:rPr>
                <w:rFonts w:ascii="Times New Roman"/>
                <w:spacing w:val="-3"/>
                <w:sz w:val="22"/>
              </w:rPr>
              <w:t>0.40%</w:t>
            </w:r>
          </w:p>
        </w:tc>
      </w:tr>
      <w:tr>
        <w:trPr>
          <w:trHeight w:val="327"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82" w:lineRule="exact"/>
              <w:ind w:left="28" w:right="0"/>
              <w:jc w:val="left"/>
              <w:rPr>
                <w:rFonts w:ascii="宋体" w:hAnsi="宋体" w:cs="宋体" w:eastAsia="宋体" w:hint="default"/>
                <w:sz w:val="22"/>
                <w:szCs w:val="22"/>
              </w:rPr>
            </w:pPr>
            <w:r>
              <w:rPr>
                <w:rFonts w:ascii="宋体" w:hAnsi="宋体" w:cs="宋体" w:eastAsia="宋体" w:hint="default"/>
                <w:spacing w:val="-3"/>
                <w:w w:val="105"/>
                <w:sz w:val="22"/>
                <w:szCs w:val="22"/>
              </w:rPr>
              <w:t>2至3年</w:t>
            </w:r>
            <w:r>
              <w:rPr>
                <w:rFonts w:ascii="宋体" w:hAnsi="宋体" w:cs="宋体" w:eastAsia="宋体" w:hint="default"/>
                <w:spacing w:val="-3"/>
                <w:sz w:val="22"/>
                <w:szCs w:val="22"/>
              </w:rPr>
            </w:r>
          </w:p>
        </w:tc>
        <w:tc>
          <w:tcPr>
            <w:tcW w:w="504"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single" w:sz="12" w:space="0" w:color="000000"/>
              <w:right w:val="nil" w:sz="6" w:space="0" w:color="auto"/>
            </w:tcBorders>
          </w:tcPr>
          <w:p>
            <w:pPr>
              <w:pStyle w:val="TableParagraph"/>
              <w:spacing w:line="240" w:lineRule="auto" w:before="27"/>
              <w:ind w:right="84"/>
              <w:jc w:val="right"/>
              <w:rPr>
                <w:rFonts w:ascii="Times New Roman" w:hAnsi="Times New Roman" w:cs="Times New Roman" w:eastAsia="Times New Roman" w:hint="default"/>
                <w:sz w:val="22"/>
                <w:szCs w:val="22"/>
              </w:rPr>
            </w:pPr>
            <w:r>
              <w:rPr>
                <w:rFonts w:ascii="Times New Roman"/>
                <w:spacing w:val="-3"/>
                <w:sz w:val="22"/>
              </w:rPr>
              <w:t>680.00</w:t>
            </w:r>
            <w:r>
              <w:rPr>
                <w:rFonts w:ascii="Times New Roman"/>
                <w:sz w:val="22"/>
              </w:rPr>
            </w: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12" w:space="0" w:color="000000"/>
              <w:right w:val="nil" w:sz="6" w:space="0" w:color="auto"/>
            </w:tcBorders>
          </w:tcPr>
          <w:p>
            <w:pPr>
              <w:pStyle w:val="TableParagraph"/>
              <w:spacing w:line="240" w:lineRule="auto" w:before="27"/>
              <w:ind w:right="39"/>
              <w:jc w:val="right"/>
              <w:rPr>
                <w:rFonts w:ascii="Times New Roman" w:hAnsi="Times New Roman" w:cs="Times New Roman" w:eastAsia="Times New Roman" w:hint="default"/>
                <w:sz w:val="22"/>
                <w:szCs w:val="22"/>
              </w:rPr>
            </w:pPr>
            <w:r>
              <w:rPr>
                <w:rFonts w:ascii="Times New Roman"/>
                <w:spacing w:val="-3"/>
                <w:sz w:val="22"/>
              </w:rPr>
              <w:t>0.01%</w:t>
            </w:r>
            <w:r>
              <w:rPr>
                <w:rFonts w:ascii="Times New Roman"/>
                <w:sz w:val="22"/>
              </w:rPr>
            </w:r>
          </w:p>
        </w:tc>
        <w:tc>
          <w:tcPr>
            <w:tcW w:w="461"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single" w:sz="12" w:space="0" w:color="000000"/>
              <w:right w:val="nil" w:sz="6" w:space="0" w:color="auto"/>
            </w:tcBorders>
          </w:tcPr>
          <w:p>
            <w:pPr>
              <w:pStyle w:val="TableParagraph"/>
              <w:spacing w:line="240" w:lineRule="auto" w:before="27"/>
              <w:ind w:right="101"/>
              <w:jc w:val="right"/>
              <w:rPr>
                <w:rFonts w:ascii="Times New Roman" w:hAnsi="Times New Roman" w:cs="Times New Roman" w:eastAsia="Times New Roman" w:hint="default"/>
                <w:sz w:val="22"/>
                <w:szCs w:val="22"/>
              </w:rPr>
            </w:pPr>
            <w:r>
              <w:rPr>
                <w:rFonts w:ascii="Times New Roman"/>
                <w:spacing w:val="-3"/>
                <w:sz w:val="22"/>
              </w:rPr>
              <w:t>80.00</w:t>
            </w:r>
            <w:r>
              <w:rPr>
                <w:rFonts w:ascii="Times New Roman"/>
                <w:sz w:val="22"/>
              </w:rPr>
            </w:r>
          </w:p>
        </w:tc>
        <w:tc>
          <w:tcPr>
            <w:tcW w:w="288"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single" w:sz="12" w:space="0" w:color="000000"/>
              <w:right w:val="nil" w:sz="6" w:space="0" w:color="auto"/>
            </w:tcBorders>
          </w:tcPr>
          <w:p>
            <w:pPr>
              <w:pStyle w:val="TableParagraph"/>
              <w:spacing w:line="240" w:lineRule="auto" w:before="27"/>
              <w:ind w:right="40"/>
              <w:jc w:val="right"/>
              <w:rPr>
                <w:rFonts w:ascii="Times New Roman" w:hAnsi="Times New Roman" w:cs="Times New Roman" w:eastAsia="Times New Roman" w:hint="default"/>
                <w:sz w:val="22"/>
                <w:szCs w:val="22"/>
              </w:rPr>
            </w:pPr>
            <w:r>
              <w:rPr>
                <w:rFonts w:ascii="Times New Roman"/>
                <w:spacing w:val="-3"/>
                <w:sz w:val="22"/>
              </w:rPr>
              <w:t>0.01%</w:t>
            </w:r>
          </w:p>
        </w:tc>
      </w:tr>
      <w:tr>
        <w:trPr>
          <w:trHeight w:val="354"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403" w:right="0"/>
              <w:jc w:val="left"/>
              <w:rPr>
                <w:rFonts w:ascii="宋体" w:hAnsi="宋体" w:cs="宋体" w:eastAsia="宋体" w:hint="default"/>
                <w:sz w:val="22"/>
                <w:szCs w:val="22"/>
              </w:rPr>
            </w:pPr>
            <w:r>
              <w:rPr>
                <w:rFonts w:ascii="宋体" w:hAnsi="宋体" w:cs="宋体" w:eastAsia="宋体" w:hint="default"/>
                <w:w w:val="105"/>
                <w:sz w:val="22"/>
                <w:szCs w:val="22"/>
              </w:rPr>
              <w:t>合</w:t>
            </w:r>
            <w:r>
              <w:rPr>
                <w:rFonts w:ascii="宋体" w:hAnsi="宋体" w:cs="宋体" w:eastAsia="宋体" w:hint="default"/>
                <w:spacing w:val="-6"/>
                <w:w w:val="105"/>
                <w:sz w:val="22"/>
                <w:szCs w:val="22"/>
              </w:rPr>
              <w:t> </w:t>
            </w:r>
            <w:r>
              <w:rPr>
                <w:rFonts w:ascii="宋体" w:hAnsi="宋体" w:cs="宋体" w:eastAsia="宋体" w:hint="default"/>
                <w:w w:val="105"/>
                <w:sz w:val="22"/>
                <w:szCs w:val="22"/>
              </w:rPr>
              <w:t>计</w:t>
            </w:r>
            <w:r>
              <w:rPr>
                <w:rFonts w:ascii="宋体" w:hAnsi="宋体" w:cs="宋体" w:eastAsia="宋体" w:hint="default"/>
                <w:sz w:val="22"/>
                <w:szCs w:val="22"/>
              </w:rPr>
            </w:r>
          </w:p>
        </w:tc>
        <w:tc>
          <w:tcPr>
            <w:tcW w:w="504" w:type="dxa"/>
            <w:tcBorders>
              <w:top w:val="nil" w:sz="6" w:space="0" w:color="auto"/>
              <w:left w:val="nil" w:sz="6" w:space="0" w:color="auto"/>
              <w:bottom w:val="nil" w:sz="6" w:space="0" w:color="auto"/>
              <w:right w:val="nil" w:sz="6" w:space="0" w:color="auto"/>
            </w:tcBorders>
          </w:tcPr>
          <w:p>
            <w:pPr/>
          </w:p>
        </w:tc>
        <w:tc>
          <w:tcPr>
            <w:tcW w:w="1828" w:type="dxa"/>
            <w:tcBorders>
              <w:top w:val="single" w:sz="12" w:space="0" w:color="000000"/>
              <w:left w:val="nil" w:sz="6" w:space="0" w:color="auto"/>
              <w:bottom w:val="single" w:sz="12" w:space="0" w:color="000000"/>
              <w:right w:val="nil" w:sz="6" w:space="0" w:color="auto"/>
            </w:tcBorders>
          </w:tcPr>
          <w:p>
            <w:pPr>
              <w:pStyle w:val="TableParagraph"/>
              <w:spacing w:line="240" w:lineRule="auto" w:before="25"/>
              <w:ind w:right="84"/>
              <w:jc w:val="right"/>
              <w:rPr>
                <w:rFonts w:ascii="Times New Roman" w:hAnsi="Times New Roman" w:cs="Times New Roman" w:eastAsia="Times New Roman" w:hint="default"/>
                <w:sz w:val="22"/>
                <w:szCs w:val="22"/>
              </w:rPr>
            </w:pPr>
            <w:r>
              <w:rPr>
                <w:rFonts w:ascii="Times New Roman"/>
                <w:spacing w:val="-2"/>
                <w:sz w:val="22"/>
              </w:rPr>
              <w:t>16,666,364.89</w:t>
            </w:r>
            <w:r>
              <w:rPr>
                <w:rFonts w:ascii="Times New Roman"/>
                <w:sz w:val="22"/>
              </w:rPr>
            </w:r>
          </w:p>
        </w:tc>
        <w:tc>
          <w:tcPr>
            <w:tcW w:w="288" w:type="dxa"/>
            <w:tcBorders>
              <w:top w:val="nil" w:sz="6" w:space="0" w:color="auto"/>
              <w:left w:val="nil" w:sz="6" w:space="0" w:color="auto"/>
              <w:bottom w:val="nil" w:sz="6" w:space="0" w:color="auto"/>
              <w:right w:val="nil" w:sz="6" w:space="0" w:color="auto"/>
            </w:tcBorders>
          </w:tcPr>
          <w:p>
            <w:pPr/>
          </w:p>
        </w:tc>
        <w:tc>
          <w:tcPr>
            <w:tcW w:w="11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25"/>
              <w:ind w:right="39"/>
              <w:jc w:val="right"/>
              <w:rPr>
                <w:rFonts w:ascii="Times New Roman" w:hAnsi="Times New Roman" w:cs="Times New Roman" w:eastAsia="Times New Roman" w:hint="default"/>
                <w:sz w:val="22"/>
                <w:szCs w:val="22"/>
              </w:rPr>
            </w:pPr>
            <w:r>
              <w:rPr>
                <w:rFonts w:ascii="Times New Roman"/>
                <w:spacing w:val="-1"/>
                <w:sz w:val="22"/>
              </w:rPr>
              <w:t>100.00%</w:t>
            </w:r>
            <w:r>
              <w:rPr>
                <w:rFonts w:ascii="Times New Roman"/>
                <w:sz w:val="22"/>
              </w:rPr>
            </w:r>
          </w:p>
        </w:tc>
        <w:tc>
          <w:tcPr>
            <w:tcW w:w="461" w:type="dxa"/>
            <w:tcBorders>
              <w:top w:val="nil" w:sz="6" w:space="0" w:color="auto"/>
              <w:left w:val="nil" w:sz="6" w:space="0" w:color="auto"/>
              <w:bottom w:val="nil" w:sz="6" w:space="0" w:color="auto"/>
              <w:right w:val="nil" w:sz="6" w:space="0" w:color="auto"/>
            </w:tcBorders>
          </w:tcPr>
          <w:p>
            <w:pPr/>
          </w:p>
        </w:tc>
        <w:tc>
          <w:tcPr>
            <w:tcW w:w="19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5"/>
              <w:ind w:right="100"/>
              <w:jc w:val="right"/>
              <w:rPr>
                <w:rFonts w:ascii="Times New Roman" w:hAnsi="Times New Roman" w:cs="Times New Roman" w:eastAsia="Times New Roman" w:hint="default"/>
                <w:sz w:val="22"/>
                <w:szCs w:val="22"/>
              </w:rPr>
            </w:pPr>
            <w:r>
              <w:rPr>
                <w:rFonts w:ascii="Times New Roman"/>
                <w:spacing w:val="-3"/>
                <w:sz w:val="22"/>
              </w:rPr>
              <w:t>12,938,103.65</w:t>
            </w:r>
            <w:r>
              <w:rPr>
                <w:rFonts w:ascii="Times New Roman"/>
                <w:sz w:val="22"/>
              </w:rPr>
            </w:r>
          </w:p>
        </w:tc>
        <w:tc>
          <w:tcPr>
            <w:tcW w:w="288" w:type="dxa"/>
            <w:tcBorders>
              <w:top w:val="nil" w:sz="6" w:space="0" w:color="auto"/>
              <w:left w:val="nil" w:sz="6" w:space="0" w:color="auto"/>
              <w:bottom w:val="nil" w:sz="6" w:space="0" w:color="auto"/>
              <w:right w:val="nil" w:sz="6" w:space="0" w:color="auto"/>
            </w:tcBorders>
          </w:tcPr>
          <w:p>
            <w:pPr/>
          </w:p>
        </w:tc>
        <w:tc>
          <w:tcPr>
            <w:tcW w:w="11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25"/>
              <w:ind w:right="41"/>
              <w:jc w:val="right"/>
              <w:rPr>
                <w:rFonts w:ascii="Times New Roman" w:hAnsi="Times New Roman" w:cs="Times New Roman" w:eastAsia="Times New Roman" w:hint="default"/>
                <w:sz w:val="22"/>
                <w:szCs w:val="22"/>
              </w:rPr>
            </w:pPr>
            <w:r>
              <w:rPr>
                <w:rFonts w:ascii="Times New Roman"/>
                <w:spacing w:val="-2"/>
                <w:sz w:val="22"/>
              </w:rPr>
              <w:t>100.00%</w:t>
            </w:r>
          </w:p>
        </w:tc>
      </w:tr>
    </w:tbl>
    <w:p>
      <w:pPr>
        <w:spacing w:after="0" w:line="240" w:lineRule="auto"/>
        <w:jc w:val="right"/>
        <w:rPr>
          <w:rFonts w:ascii="Times New Roman" w:hAnsi="Times New Roman" w:cs="Times New Roman" w:eastAsia="Times New Roman" w:hint="default"/>
          <w:sz w:val="22"/>
          <w:szCs w:val="22"/>
        </w:rPr>
        <w:sectPr>
          <w:pgSz w:w="11910" w:h="16840"/>
          <w:pgMar w:header="915" w:footer="1712" w:top="1100" w:bottom="1900" w:left="1660" w:right="920"/>
        </w:sectPr>
      </w:pPr>
    </w:p>
    <w:p>
      <w:pPr>
        <w:pStyle w:val="BodyText"/>
        <w:spacing w:line="336" w:lineRule="auto" w:before="71"/>
        <w:ind w:right="624" w:firstLine="480"/>
        <w:jc w:val="left"/>
      </w:pPr>
      <w:r>
        <w:rPr>
          <w:spacing w:val="-4"/>
        </w:rPr>
        <w:t>（2）预收款项年末数中无预收持本公司 </w:t>
      </w:r>
      <w:r>
        <w:rPr>
          <w:spacing w:val="-9"/>
        </w:rPr>
        <w:t>5%（含</w:t>
      </w:r>
      <w:r>
        <w:rPr>
          <w:spacing w:val="-76"/>
        </w:rPr>
        <w:t> </w:t>
      </w:r>
      <w:r>
        <w:rPr>
          <w:spacing w:val="-5"/>
        </w:rPr>
        <w:t>5%）以上有表决权股份的股</w:t>
      </w:r>
      <w:r>
        <w:rPr>
          <w:spacing w:val="-2"/>
          <w:w w:val="100"/>
        </w:rPr>
        <w:t> </w:t>
      </w:r>
      <w:r>
        <w:rPr>
          <w:spacing w:val="-2"/>
        </w:rPr>
        <w:t>东单位款项。</w:t>
      </w:r>
      <w:r>
        <w:rPr/>
      </w:r>
    </w:p>
    <w:p>
      <w:pPr>
        <w:pStyle w:val="BodyText"/>
        <w:spacing w:line="240" w:lineRule="auto" w:before="29"/>
        <w:ind w:left="617" w:right="624"/>
        <w:jc w:val="left"/>
      </w:pPr>
      <w:r>
        <w:rPr/>
        <w:t>（3）预收款项年末数中不包括预收其它关联方的款项。</w:t>
      </w:r>
    </w:p>
    <w:p>
      <w:pPr>
        <w:spacing w:line="266" w:lineRule="auto" w:before="126"/>
        <w:ind w:left="681" w:right="2573" w:hanging="64"/>
        <w:jc w:val="left"/>
        <w:rPr>
          <w:rFonts w:ascii="Microsoft JhengHei" w:hAnsi="Microsoft JhengHei" w:cs="Microsoft JhengHei" w:eastAsia="Microsoft JhengHei" w:hint="default"/>
          <w:sz w:val="24"/>
          <w:szCs w:val="24"/>
        </w:rPr>
      </w:pPr>
      <w:r>
        <w:rPr/>
        <w:pict>
          <v:shape style="position:absolute;margin-left:90.360001pt;margin-top:44.935013pt;width:432.75pt;height:131.6pt;mso-position-horizontal-relative:page;mso-position-vertical-relative:paragraph;z-index:6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2"/>
                    <w:gridCol w:w="103"/>
                    <w:gridCol w:w="1633"/>
                    <w:gridCol w:w="88"/>
                    <w:gridCol w:w="1484"/>
                    <w:gridCol w:w="118"/>
                    <w:gridCol w:w="1664"/>
                    <w:gridCol w:w="103"/>
                    <w:gridCol w:w="1769"/>
                  </w:tblGrid>
                  <w:tr>
                    <w:trPr>
                      <w:trHeight w:val="346" w:hRule="exact"/>
                    </w:trPr>
                    <w:tc>
                      <w:tcPr>
                        <w:tcW w:w="1692"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5"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03"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521"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8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347"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18"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437" w:right="0"/>
                          <w:jc w:val="left"/>
                          <w:rPr>
                            <w:rFonts w:ascii="宋体" w:hAnsi="宋体" w:cs="宋体" w:eastAsia="宋体" w:hint="default"/>
                            <w:sz w:val="20"/>
                            <w:szCs w:val="20"/>
                          </w:rPr>
                        </w:pPr>
                        <w:r>
                          <w:rPr>
                            <w:rFonts w:ascii="宋体" w:hAnsi="宋体" w:cs="宋体" w:eastAsia="宋体" w:hint="default"/>
                            <w:sz w:val="20"/>
                            <w:szCs w:val="20"/>
                          </w:rPr>
                          <w:t>本年支付</w:t>
                        </w:r>
                      </w:p>
                    </w:tc>
                    <w:tc>
                      <w:tcPr>
                        <w:tcW w:w="103"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590"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333" w:hRule="exact"/>
                    </w:trPr>
                    <w:tc>
                      <w:tcPr>
                        <w:tcW w:w="1692"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136" w:right="0"/>
                          <w:jc w:val="left"/>
                          <w:rPr>
                            <w:rFonts w:ascii="宋体" w:hAnsi="宋体" w:cs="宋体" w:eastAsia="宋体" w:hint="default"/>
                            <w:sz w:val="20"/>
                            <w:szCs w:val="20"/>
                          </w:rPr>
                        </w:pPr>
                        <w:r>
                          <w:rPr>
                            <w:rFonts w:ascii="宋体" w:hAnsi="宋体" w:cs="宋体" w:eastAsia="宋体" w:hint="default"/>
                            <w:sz w:val="20"/>
                            <w:szCs w:val="20"/>
                          </w:rPr>
                          <w:t>工资</w:t>
                        </w:r>
                      </w:p>
                    </w:tc>
                    <w:tc>
                      <w:tcPr>
                        <w:tcW w:w="103" w:type="dxa"/>
                        <w:tcBorders>
                          <w:top w:val="nil" w:sz="6" w:space="0" w:color="auto"/>
                          <w:left w:val="nil" w:sz="6" w:space="0" w:color="auto"/>
                          <w:bottom w:val="nil" w:sz="6" w:space="0" w:color="auto"/>
                          <w:right w:val="nil" w:sz="6" w:space="0" w:color="auto"/>
                        </w:tcBorders>
                      </w:tcPr>
                      <w:p>
                        <w:pPr/>
                      </w:p>
                    </w:tc>
                    <w:tc>
                      <w:tcPr>
                        <w:tcW w:w="1633"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20"/>
                            <w:szCs w:val="20"/>
                          </w:rPr>
                        </w:pPr>
                        <w:r>
                          <w:rPr>
                            <w:rFonts w:ascii="Times New Roman"/>
                            <w:sz w:val="20"/>
                          </w:rPr>
                          <w:t>3,465,898.72</w:t>
                        </w:r>
                      </w:p>
                    </w:tc>
                    <w:tc>
                      <w:tcPr>
                        <w:tcW w:w="88" w:type="dxa"/>
                        <w:tcBorders>
                          <w:top w:val="nil" w:sz="6" w:space="0" w:color="auto"/>
                          <w:left w:val="nil" w:sz="6" w:space="0" w:color="auto"/>
                          <w:bottom w:val="nil" w:sz="6" w:space="0" w:color="auto"/>
                          <w:right w:val="nil" w:sz="6" w:space="0" w:color="auto"/>
                        </w:tcBorders>
                      </w:tcPr>
                      <w:p>
                        <w:pPr/>
                      </w:p>
                    </w:tc>
                    <w:tc>
                      <w:tcPr>
                        <w:tcW w:w="1484"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right="87"/>
                          <w:jc w:val="right"/>
                          <w:rPr>
                            <w:rFonts w:ascii="Times New Roman" w:hAnsi="Times New Roman" w:cs="Times New Roman" w:eastAsia="Times New Roman" w:hint="default"/>
                            <w:sz w:val="20"/>
                            <w:szCs w:val="20"/>
                          </w:rPr>
                        </w:pPr>
                        <w:r>
                          <w:rPr>
                            <w:rFonts w:ascii="Times New Roman"/>
                            <w:sz w:val="20"/>
                          </w:rPr>
                          <w:t>12,605,298.00</w:t>
                        </w:r>
                      </w:p>
                    </w:tc>
                    <w:tc>
                      <w:tcPr>
                        <w:tcW w:w="118" w:type="dxa"/>
                        <w:tcBorders>
                          <w:top w:val="nil" w:sz="6" w:space="0" w:color="auto"/>
                          <w:left w:val="nil" w:sz="6" w:space="0" w:color="auto"/>
                          <w:bottom w:val="nil" w:sz="6" w:space="0" w:color="auto"/>
                          <w:right w:val="nil" w:sz="6" w:space="0" w:color="auto"/>
                        </w:tcBorders>
                      </w:tcPr>
                      <w:p>
                        <w:pPr/>
                      </w:p>
                    </w:tc>
                    <w:tc>
                      <w:tcPr>
                        <w:tcW w:w="1664"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right="87"/>
                          <w:jc w:val="right"/>
                          <w:rPr>
                            <w:rFonts w:ascii="Times New Roman" w:hAnsi="Times New Roman" w:cs="Times New Roman" w:eastAsia="Times New Roman" w:hint="default"/>
                            <w:sz w:val="20"/>
                            <w:szCs w:val="20"/>
                          </w:rPr>
                        </w:pPr>
                        <w:r>
                          <w:rPr>
                            <w:rFonts w:ascii="Times New Roman"/>
                            <w:sz w:val="20"/>
                          </w:rPr>
                          <w:t>14,697,325.17</w:t>
                        </w:r>
                      </w:p>
                    </w:tc>
                    <w:tc>
                      <w:tcPr>
                        <w:tcW w:w="103" w:type="dxa"/>
                        <w:tcBorders>
                          <w:top w:val="nil" w:sz="6" w:space="0" w:color="auto"/>
                          <w:left w:val="nil" w:sz="6" w:space="0" w:color="auto"/>
                          <w:bottom w:val="nil" w:sz="6" w:space="0" w:color="auto"/>
                          <w:right w:val="nil" w:sz="6" w:space="0" w:color="auto"/>
                        </w:tcBorders>
                      </w:tcPr>
                      <w:p>
                        <w:pPr/>
                      </w:p>
                    </w:tc>
                    <w:tc>
                      <w:tcPr>
                        <w:tcW w:w="1769"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right="88"/>
                          <w:jc w:val="right"/>
                          <w:rPr>
                            <w:rFonts w:ascii="Times New Roman" w:hAnsi="Times New Roman" w:cs="Times New Roman" w:eastAsia="Times New Roman" w:hint="default"/>
                            <w:sz w:val="20"/>
                            <w:szCs w:val="20"/>
                          </w:rPr>
                        </w:pPr>
                        <w:r>
                          <w:rPr>
                            <w:rFonts w:ascii="Times New Roman"/>
                            <w:sz w:val="20"/>
                          </w:rPr>
                          <w:t>1,373,871.55</w:t>
                        </w:r>
                      </w:p>
                    </w:tc>
                  </w:tr>
                  <w:tr>
                    <w:trPr>
                      <w:trHeight w:val="321" w:hRule="exact"/>
                    </w:trPr>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ind w:left="136" w:right="0"/>
                          <w:jc w:val="left"/>
                          <w:rPr>
                            <w:rFonts w:ascii="宋体" w:hAnsi="宋体" w:cs="宋体" w:eastAsia="宋体" w:hint="default"/>
                            <w:sz w:val="20"/>
                            <w:szCs w:val="20"/>
                          </w:rPr>
                        </w:pPr>
                        <w:r>
                          <w:rPr>
                            <w:rFonts w:ascii="宋体" w:hAnsi="宋体" w:cs="宋体" w:eastAsia="宋体" w:hint="default"/>
                            <w:sz w:val="20"/>
                            <w:szCs w:val="20"/>
                          </w:rPr>
                          <w:t>职工福利</w:t>
                        </w:r>
                      </w:p>
                    </w:tc>
                    <w:tc>
                      <w:tcPr>
                        <w:tcW w:w="103"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6"/>
                          <w:jc w:val="right"/>
                          <w:rPr>
                            <w:rFonts w:ascii="Times New Roman" w:hAnsi="Times New Roman" w:cs="Times New Roman" w:eastAsia="Times New Roman" w:hint="default"/>
                            <w:sz w:val="20"/>
                            <w:szCs w:val="20"/>
                          </w:rPr>
                        </w:pPr>
                        <w:r>
                          <w:rPr>
                            <w:rFonts w:ascii="Times New Roman"/>
                            <w:sz w:val="20"/>
                          </w:rPr>
                          <w:t>90,746.92</w:t>
                        </w:r>
                      </w:p>
                    </w:tc>
                    <w:tc>
                      <w:tcPr>
                        <w:tcW w:w="8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7"/>
                          <w:jc w:val="right"/>
                          <w:rPr>
                            <w:rFonts w:ascii="Times New Roman" w:hAnsi="Times New Roman" w:cs="Times New Roman" w:eastAsia="Times New Roman" w:hint="default"/>
                            <w:sz w:val="20"/>
                            <w:szCs w:val="20"/>
                          </w:rPr>
                        </w:pPr>
                        <w:r>
                          <w:rPr>
                            <w:rFonts w:ascii="Times New Roman"/>
                            <w:w w:val="95"/>
                            <w:sz w:val="20"/>
                          </w:rPr>
                          <w:t>182,878.24</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8"/>
                          <w:jc w:val="right"/>
                          <w:rPr>
                            <w:rFonts w:ascii="Times New Roman" w:hAnsi="Times New Roman" w:cs="Times New Roman" w:eastAsia="Times New Roman" w:hint="default"/>
                            <w:sz w:val="20"/>
                            <w:szCs w:val="20"/>
                          </w:rPr>
                        </w:pPr>
                        <w:r>
                          <w:rPr>
                            <w:rFonts w:ascii="Times New Roman"/>
                            <w:w w:val="95"/>
                            <w:sz w:val="20"/>
                          </w:rPr>
                          <w:t>228,039.43</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9"/>
                          <w:jc w:val="right"/>
                          <w:rPr>
                            <w:rFonts w:ascii="Times New Roman" w:hAnsi="Times New Roman" w:cs="Times New Roman" w:eastAsia="Times New Roman" w:hint="default"/>
                            <w:sz w:val="20"/>
                            <w:szCs w:val="20"/>
                          </w:rPr>
                        </w:pPr>
                        <w:r>
                          <w:rPr>
                            <w:rFonts w:ascii="Times New Roman"/>
                            <w:spacing w:val="-1"/>
                            <w:sz w:val="20"/>
                          </w:rPr>
                          <w:t>45,585.73</w:t>
                        </w:r>
                      </w:p>
                    </w:tc>
                  </w:tr>
                  <w:tr>
                    <w:trPr>
                      <w:trHeight w:val="321" w:hRule="exact"/>
                    </w:trPr>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ind w:left="136" w:right="0"/>
                          <w:jc w:val="left"/>
                          <w:rPr>
                            <w:rFonts w:ascii="宋体" w:hAnsi="宋体" w:cs="宋体" w:eastAsia="宋体" w:hint="default"/>
                            <w:sz w:val="20"/>
                            <w:szCs w:val="20"/>
                          </w:rPr>
                        </w:pPr>
                        <w:r>
                          <w:rPr>
                            <w:rFonts w:ascii="宋体" w:hAnsi="宋体" w:cs="宋体" w:eastAsia="宋体" w:hint="default"/>
                            <w:sz w:val="20"/>
                            <w:szCs w:val="20"/>
                          </w:rPr>
                          <w:t>社会保险费</w:t>
                        </w:r>
                      </w:p>
                    </w:tc>
                    <w:tc>
                      <w:tcPr>
                        <w:tcW w:w="103"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6"/>
                          <w:jc w:val="right"/>
                          <w:rPr>
                            <w:rFonts w:ascii="Times New Roman" w:hAnsi="Times New Roman" w:cs="Times New Roman" w:eastAsia="Times New Roman" w:hint="default"/>
                            <w:sz w:val="20"/>
                            <w:szCs w:val="20"/>
                          </w:rPr>
                        </w:pPr>
                        <w:r>
                          <w:rPr>
                            <w:rFonts w:ascii="Times New Roman"/>
                            <w:sz w:val="20"/>
                          </w:rPr>
                          <w:t>133.56</w:t>
                        </w:r>
                      </w:p>
                    </w:tc>
                    <w:tc>
                      <w:tcPr>
                        <w:tcW w:w="8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7"/>
                          <w:jc w:val="right"/>
                          <w:rPr>
                            <w:rFonts w:ascii="Times New Roman" w:hAnsi="Times New Roman" w:cs="Times New Roman" w:eastAsia="Times New Roman" w:hint="default"/>
                            <w:sz w:val="20"/>
                            <w:szCs w:val="20"/>
                          </w:rPr>
                        </w:pPr>
                        <w:r>
                          <w:rPr>
                            <w:rFonts w:ascii="Times New Roman"/>
                            <w:w w:val="95"/>
                            <w:sz w:val="20"/>
                          </w:rPr>
                          <w:t>4,278,846.56</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8"/>
                          <w:jc w:val="right"/>
                          <w:rPr>
                            <w:rFonts w:ascii="Times New Roman" w:hAnsi="Times New Roman" w:cs="Times New Roman" w:eastAsia="Times New Roman" w:hint="default"/>
                            <w:sz w:val="20"/>
                            <w:szCs w:val="20"/>
                          </w:rPr>
                        </w:pPr>
                        <w:r>
                          <w:rPr>
                            <w:rFonts w:ascii="Times New Roman"/>
                            <w:sz w:val="20"/>
                          </w:rPr>
                          <w:t>4,278,646.61</w:t>
                        </w:r>
                      </w:p>
                    </w:tc>
                    <w:tc>
                      <w:tcPr>
                        <w:tcW w:w="103"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8"/>
                          <w:jc w:val="right"/>
                          <w:rPr>
                            <w:rFonts w:ascii="Times New Roman" w:hAnsi="Times New Roman" w:cs="Times New Roman" w:eastAsia="Times New Roman" w:hint="default"/>
                            <w:sz w:val="20"/>
                            <w:szCs w:val="20"/>
                          </w:rPr>
                        </w:pPr>
                        <w:r>
                          <w:rPr>
                            <w:rFonts w:ascii="Times New Roman"/>
                            <w:sz w:val="20"/>
                          </w:rPr>
                          <w:t>333.51</w:t>
                        </w:r>
                      </w:p>
                    </w:tc>
                  </w:tr>
                  <w:tr>
                    <w:trPr>
                      <w:trHeight w:val="321" w:hRule="exact"/>
                    </w:trPr>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ind w:left="136" w:right="0"/>
                          <w:jc w:val="left"/>
                          <w:rPr>
                            <w:rFonts w:ascii="宋体" w:hAnsi="宋体" w:cs="宋体" w:eastAsia="宋体" w:hint="default"/>
                            <w:sz w:val="20"/>
                            <w:szCs w:val="20"/>
                          </w:rPr>
                        </w:pPr>
                        <w:r>
                          <w:rPr>
                            <w:rFonts w:ascii="宋体" w:hAnsi="宋体" w:cs="宋体" w:eastAsia="宋体" w:hint="default"/>
                            <w:sz w:val="20"/>
                            <w:szCs w:val="20"/>
                          </w:rPr>
                          <w:t>住房公积金</w:t>
                        </w:r>
                      </w:p>
                    </w:tc>
                    <w:tc>
                      <w:tcPr>
                        <w:tcW w:w="103"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6"/>
                          <w:jc w:val="right"/>
                          <w:rPr>
                            <w:rFonts w:ascii="Times New Roman" w:hAnsi="Times New Roman" w:cs="Times New Roman" w:eastAsia="Times New Roman" w:hint="default"/>
                            <w:sz w:val="20"/>
                            <w:szCs w:val="20"/>
                          </w:rPr>
                        </w:pPr>
                        <w:r>
                          <w:rPr>
                            <w:rFonts w:ascii="Times New Roman"/>
                            <w:w w:val="95"/>
                            <w:sz w:val="20"/>
                          </w:rPr>
                          <w:t>-133.56</w:t>
                        </w:r>
                        <w:r>
                          <w:rPr>
                            <w:rFonts w:ascii="Times New Roman"/>
                            <w:sz w:val="20"/>
                          </w:rPr>
                        </w:r>
                      </w:p>
                    </w:tc>
                    <w:tc>
                      <w:tcPr>
                        <w:tcW w:w="8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7"/>
                          <w:jc w:val="right"/>
                          <w:rPr>
                            <w:rFonts w:ascii="Times New Roman" w:hAnsi="Times New Roman" w:cs="Times New Roman" w:eastAsia="Times New Roman" w:hint="default"/>
                            <w:sz w:val="20"/>
                            <w:szCs w:val="20"/>
                          </w:rPr>
                        </w:pPr>
                        <w:r>
                          <w:rPr>
                            <w:rFonts w:ascii="Times New Roman"/>
                            <w:w w:val="95"/>
                            <w:sz w:val="20"/>
                          </w:rPr>
                          <w:t>703,962.00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8"/>
                          <w:jc w:val="right"/>
                          <w:rPr>
                            <w:rFonts w:ascii="Times New Roman" w:hAnsi="Times New Roman" w:cs="Times New Roman" w:eastAsia="Times New Roman" w:hint="default"/>
                            <w:sz w:val="20"/>
                            <w:szCs w:val="20"/>
                          </w:rPr>
                        </w:pPr>
                        <w:r>
                          <w:rPr>
                            <w:rFonts w:ascii="Times New Roman"/>
                            <w:w w:val="95"/>
                            <w:sz w:val="20"/>
                          </w:rPr>
                          <w:t>703,828.44</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5"/>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320" w:hRule="exact"/>
                    </w:trPr>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ind w:left="136" w:right="0"/>
                          <w:jc w:val="left"/>
                          <w:rPr>
                            <w:rFonts w:ascii="宋体" w:hAnsi="宋体" w:cs="宋体" w:eastAsia="宋体" w:hint="default"/>
                            <w:sz w:val="20"/>
                            <w:szCs w:val="20"/>
                          </w:rPr>
                        </w:pPr>
                        <w:r>
                          <w:rPr>
                            <w:rFonts w:ascii="宋体" w:hAnsi="宋体" w:cs="宋体" w:eastAsia="宋体" w:hint="default"/>
                            <w:sz w:val="20"/>
                            <w:szCs w:val="20"/>
                          </w:rPr>
                          <w:t>工会经费</w:t>
                        </w:r>
                      </w:p>
                    </w:tc>
                    <w:tc>
                      <w:tcPr>
                        <w:tcW w:w="103"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6"/>
                          <w:jc w:val="right"/>
                          <w:rPr>
                            <w:rFonts w:ascii="Times New Roman" w:hAnsi="Times New Roman" w:cs="Times New Roman" w:eastAsia="Times New Roman" w:hint="default"/>
                            <w:sz w:val="20"/>
                            <w:szCs w:val="20"/>
                          </w:rPr>
                        </w:pPr>
                        <w:r>
                          <w:rPr>
                            <w:rFonts w:ascii="Times New Roman"/>
                            <w:sz w:val="20"/>
                          </w:rPr>
                          <w:t>839,458.06</w:t>
                        </w:r>
                      </w:p>
                    </w:tc>
                    <w:tc>
                      <w:tcPr>
                        <w:tcW w:w="8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7"/>
                          <w:jc w:val="right"/>
                          <w:rPr>
                            <w:rFonts w:ascii="Times New Roman" w:hAnsi="Times New Roman" w:cs="Times New Roman" w:eastAsia="Times New Roman" w:hint="default"/>
                            <w:sz w:val="20"/>
                            <w:szCs w:val="20"/>
                          </w:rPr>
                        </w:pPr>
                        <w:r>
                          <w:rPr>
                            <w:rFonts w:ascii="Times New Roman"/>
                            <w:w w:val="95"/>
                            <w:sz w:val="20"/>
                          </w:rPr>
                          <w:t>209,817.60</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8"/>
                          <w:jc w:val="right"/>
                          <w:rPr>
                            <w:rFonts w:ascii="Times New Roman" w:hAnsi="Times New Roman" w:cs="Times New Roman" w:eastAsia="Times New Roman" w:hint="default"/>
                            <w:sz w:val="20"/>
                            <w:szCs w:val="20"/>
                          </w:rPr>
                        </w:pPr>
                        <w:r>
                          <w:rPr>
                            <w:rFonts w:ascii="Times New Roman"/>
                            <w:w w:val="95"/>
                            <w:sz w:val="20"/>
                          </w:rPr>
                          <w:t>127,682.24</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9"/>
                          <w:jc w:val="right"/>
                          <w:rPr>
                            <w:rFonts w:ascii="Times New Roman" w:hAnsi="Times New Roman" w:cs="Times New Roman" w:eastAsia="Times New Roman" w:hint="default"/>
                            <w:sz w:val="20"/>
                            <w:szCs w:val="20"/>
                          </w:rPr>
                        </w:pPr>
                        <w:r>
                          <w:rPr>
                            <w:rFonts w:ascii="Times New Roman"/>
                            <w:spacing w:val="-1"/>
                            <w:sz w:val="20"/>
                          </w:rPr>
                          <w:t>921,593.42</w:t>
                        </w:r>
                      </w:p>
                    </w:tc>
                  </w:tr>
                  <w:tr>
                    <w:trPr>
                      <w:trHeight w:val="309" w:hRule="exact"/>
                    </w:trPr>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ind w:left="136" w:right="0"/>
                          <w:jc w:val="left"/>
                          <w:rPr>
                            <w:rFonts w:ascii="宋体" w:hAnsi="宋体" w:cs="宋体" w:eastAsia="宋体" w:hint="default"/>
                            <w:sz w:val="20"/>
                            <w:szCs w:val="20"/>
                          </w:rPr>
                        </w:pPr>
                        <w:r>
                          <w:rPr>
                            <w:rFonts w:ascii="宋体" w:hAnsi="宋体" w:cs="宋体" w:eastAsia="宋体" w:hint="default"/>
                            <w:sz w:val="20"/>
                            <w:szCs w:val="20"/>
                          </w:rPr>
                          <w:t>职工教育经费</w:t>
                        </w:r>
                      </w:p>
                    </w:tc>
                    <w:tc>
                      <w:tcPr>
                        <w:tcW w:w="103"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right="86"/>
                          <w:jc w:val="right"/>
                          <w:rPr>
                            <w:rFonts w:ascii="Times New Roman" w:hAnsi="Times New Roman" w:cs="Times New Roman" w:eastAsia="Times New Roman" w:hint="default"/>
                            <w:sz w:val="20"/>
                            <w:szCs w:val="20"/>
                          </w:rPr>
                        </w:pPr>
                        <w:r>
                          <w:rPr>
                            <w:rFonts w:ascii="Times New Roman"/>
                            <w:sz w:val="20"/>
                          </w:rPr>
                          <w:t>851,736.04</w:t>
                        </w:r>
                      </w:p>
                    </w:tc>
                    <w:tc>
                      <w:tcPr>
                        <w:tcW w:w="88"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right="87"/>
                          <w:jc w:val="right"/>
                          <w:rPr>
                            <w:rFonts w:ascii="Times New Roman" w:hAnsi="Times New Roman" w:cs="Times New Roman" w:eastAsia="Times New Roman" w:hint="default"/>
                            <w:sz w:val="20"/>
                            <w:szCs w:val="20"/>
                          </w:rPr>
                        </w:pPr>
                        <w:r>
                          <w:rPr>
                            <w:rFonts w:ascii="Times New Roman"/>
                            <w:w w:val="95"/>
                            <w:sz w:val="20"/>
                          </w:rPr>
                          <w:t>374,727.87</w:t>
                        </w:r>
                        <w:r>
                          <w:rPr>
                            <w:rFonts w:ascii="Times New Roman"/>
                            <w:sz w:val="20"/>
                          </w:rPr>
                        </w:r>
                      </w:p>
                    </w:tc>
                    <w:tc>
                      <w:tcPr>
                        <w:tcW w:w="118"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right="88"/>
                          <w:jc w:val="right"/>
                          <w:rPr>
                            <w:rFonts w:ascii="Times New Roman" w:hAnsi="Times New Roman" w:cs="Times New Roman" w:eastAsia="Times New Roman" w:hint="default"/>
                            <w:sz w:val="20"/>
                            <w:szCs w:val="20"/>
                          </w:rPr>
                        </w:pPr>
                        <w:r>
                          <w:rPr>
                            <w:rFonts w:ascii="Times New Roman"/>
                            <w:w w:val="95"/>
                            <w:sz w:val="20"/>
                          </w:rPr>
                          <w:t>71,071.09</w:t>
                        </w:r>
                        <w:r>
                          <w:rPr>
                            <w:rFonts w:ascii="Times New Roman"/>
                            <w:sz w:val="20"/>
                          </w:rPr>
                        </w:r>
                      </w:p>
                    </w:tc>
                    <w:tc>
                      <w:tcPr>
                        <w:tcW w:w="103" w:type="dxa"/>
                        <w:tcBorders>
                          <w:top w:val="nil" w:sz="6" w:space="0" w:color="auto"/>
                          <w:left w:val="nil" w:sz="6" w:space="0" w:color="auto"/>
                          <w:bottom w:val="nil" w:sz="6" w:space="0" w:color="auto"/>
                          <w:right w:val="nil" w:sz="6" w:space="0" w:color="auto"/>
                        </w:tcBorders>
                      </w:tcPr>
                      <w:p>
                        <w:pPr/>
                      </w:p>
                    </w:tc>
                    <w:tc>
                      <w:tcPr>
                        <w:tcW w:w="1769"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right="89"/>
                          <w:jc w:val="right"/>
                          <w:rPr>
                            <w:rFonts w:ascii="Times New Roman" w:hAnsi="Times New Roman" w:cs="Times New Roman" w:eastAsia="Times New Roman" w:hint="default"/>
                            <w:sz w:val="20"/>
                            <w:szCs w:val="20"/>
                          </w:rPr>
                        </w:pPr>
                        <w:r>
                          <w:rPr>
                            <w:rFonts w:ascii="Times New Roman"/>
                            <w:spacing w:val="-1"/>
                            <w:sz w:val="20"/>
                          </w:rPr>
                          <w:t>1,155,392.82</w:t>
                        </w:r>
                      </w:p>
                    </w:tc>
                  </w:tr>
                  <w:tr>
                    <w:trPr>
                      <w:trHeight w:val="341" w:hRule="exact"/>
                    </w:trPr>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6"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03" w:type="dxa"/>
                        <w:tcBorders>
                          <w:top w:val="nil" w:sz="6" w:space="0" w:color="auto"/>
                          <w:left w:val="nil" w:sz="6" w:space="0" w:color="auto"/>
                          <w:bottom w:val="nil" w:sz="6" w:space="0" w:color="auto"/>
                          <w:right w:val="nil" w:sz="6" w:space="0" w:color="auto"/>
                        </w:tcBorders>
                      </w:tcPr>
                      <w:p>
                        <w:pPr/>
                      </w:p>
                    </w:tc>
                    <w:tc>
                      <w:tcPr>
                        <w:tcW w:w="1633"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6"/>
                          <w:jc w:val="right"/>
                          <w:rPr>
                            <w:rFonts w:ascii="Times New Roman" w:hAnsi="Times New Roman" w:cs="Times New Roman" w:eastAsia="Times New Roman" w:hint="default"/>
                            <w:sz w:val="20"/>
                            <w:szCs w:val="20"/>
                          </w:rPr>
                        </w:pPr>
                        <w:r>
                          <w:rPr>
                            <w:rFonts w:ascii="Times New Roman"/>
                            <w:sz w:val="20"/>
                          </w:rPr>
                          <w:t>5,247,839.74</w:t>
                        </w:r>
                      </w:p>
                    </w:tc>
                    <w:tc>
                      <w:tcPr>
                        <w:tcW w:w="88" w:type="dxa"/>
                        <w:tcBorders>
                          <w:top w:val="nil" w:sz="6" w:space="0" w:color="auto"/>
                          <w:left w:val="nil" w:sz="6" w:space="0" w:color="auto"/>
                          <w:bottom w:val="nil" w:sz="6" w:space="0" w:color="auto"/>
                          <w:right w:val="nil" w:sz="6" w:space="0" w:color="auto"/>
                        </w:tcBorders>
                      </w:tcPr>
                      <w:p>
                        <w:pPr/>
                      </w:p>
                    </w:tc>
                    <w:tc>
                      <w:tcPr>
                        <w:tcW w:w="148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7"/>
                          <w:jc w:val="right"/>
                          <w:rPr>
                            <w:rFonts w:ascii="Times New Roman" w:hAnsi="Times New Roman" w:cs="Times New Roman" w:eastAsia="Times New Roman" w:hint="default"/>
                            <w:sz w:val="20"/>
                            <w:szCs w:val="20"/>
                          </w:rPr>
                        </w:pPr>
                        <w:r>
                          <w:rPr>
                            <w:rFonts w:ascii="Times New Roman"/>
                            <w:sz w:val="20"/>
                          </w:rPr>
                          <w:t>18,355,530.27</w:t>
                        </w:r>
                      </w:p>
                    </w:tc>
                    <w:tc>
                      <w:tcPr>
                        <w:tcW w:w="118" w:type="dxa"/>
                        <w:tcBorders>
                          <w:top w:val="nil" w:sz="6" w:space="0" w:color="auto"/>
                          <w:left w:val="nil" w:sz="6" w:space="0" w:color="auto"/>
                          <w:bottom w:val="nil" w:sz="6" w:space="0" w:color="auto"/>
                          <w:right w:val="nil" w:sz="6" w:space="0" w:color="auto"/>
                        </w:tcBorders>
                      </w:tcPr>
                      <w:p>
                        <w:pPr/>
                      </w:p>
                    </w:tc>
                    <w:tc>
                      <w:tcPr>
                        <w:tcW w:w="1664"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7"/>
                          <w:jc w:val="right"/>
                          <w:rPr>
                            <w:rFonts w:ascii="Times New Roman" w:hAnsi="Times New Roman" w:cs="Times New Roman" w:eastAsia="Times New Roman" w:hint="default"/>
                            <w:sz w:val="20"/>
                            <w:szCs w:val="20"/>
                          </w:rPr>
                        </w:pPr>
                        <w:r>
                          <w:rPr>
                            <w:rFonts w:ascii="Times New Roman"/>
                            <w:sz w:val="20"/>
                          </w:rPr>
                          <w:t>20,106,592.98</w:t>
                        </w:r>
                      </w:p>
                    </w:tc>
                    <w:tc>
                      <w:tcPr>
                        <w:tcW w:w="103" w:type="dxa"/>
                        <w:tcBorders>
                          <w:top w:val="nil" w:sz="6" w:space="0" w:color="auto"/>
                          <w:left w:val="nil" w:sz="6" w:space="0" w:color="auto"/>
                          <w:bottom w:val="nil" w:sz="6" w:space="0" w:color="auto"/>
                          <w:right w:val="nil" w:sz="6" w:space="0" w:color="auto"/>
                        </w:tcBorders>
                      </w:tcPr>
                      <w:p>
                        <w:pPr/>
                      </w:p>
                    </w:tc>
                    <w:tc>
                      <w:tcPr>
                        <w:tcW w:w="1769" w:type="dxa"/>
                        <w:tcBorders>
                          <w:top w:val="single" w:sz="8" w:space="0" w:color="000000"/>
                          <w:left w:val="nil" w:sz="6" w:space="0" w:color="auto"/>
                          <w:bottom w:val="single" w:sz="8" w:space="0" w:color="000000"/>
                          <w:right w:val="nil" w:sz="6" w:space="0" w:color="auto"/>
                        </w:tcBorders>
                      </w:tcPr>
                      <w:p>
                        <w:pPr>
                          <w:pStyle w:val="TableParagraph"/>
                          <w:spacing w:line="240" w:lineRule="auto" w:before="34"/>
                          <w:ind w:right="88"/>
                          <w:jc w:val="right"/>
                          <w:rPr>
                            <w:rFonts w:ascii="Times New Roman" w:hAnsi="Times New Roman" w:cs="Times New Roman" w:eastAsia="Times New Roman" w:hint="default"/>
                            <w:sz w:val="20"/>
                            <w:szCs w:val="20"/>
                          </w:rPr>
                        </w:pPr>
                        <w:r>
                          <w:rPr>
                            <w:rFonts w:ascii="Times New Roman"/>
                            <w:sz w:val="20"/>
                          </w:rPr>
                          <w:t>3,496,777.03</w:t>
                        </w:r>
                      </w:p>
                    </w:tc>
                  </w:tr>
                </w:tbl>
                <w:p>
                  <w:pPr/>
                </w:p>
              </w:txbxContent>
            </v:textbox>
            <w10:wrap type="none"/>
          </v:shape>
        </w:pict>
      </w:r>
      <w:r>
        <w:rPr>
          <w:rFonts w:ascii="宋体" w:hAnsi="宋体" w:cs="宋体" w:eastAsia="宋体" w:hint="default"/>
          <w:sz w:val="24"/>
          <w:szCs w:val="24"/>
        </w:rPr>
        <w:t>（4）账龄超过</w:t>
      </w:r>
      <w:r>
        <w:rPr>
          <w:rFonts w:ascii="宋体" w:hAnsi="宋体" w:cs="宋体" w:eastAsia="宋体" w:hint="default"/>
          <w:spacing w:val="-62"/>
          <w:sz w:val="24"/>
          <w:szCs w:val="24"/>
        </w:rPr>
        <w:t> </w:t>
      </w:r>
      <w:r>
        <w:rPr>
          <w:rFonts w:ascii="宋体" w:hAnsi="宋体" w:cs="宋体" w:eastAsia="宋体" w:hint="default"/>
          <w:sz w:val="24"/>
          <w:szCs w:val="24"/>
        </w:rPr>
        <w:t>1</w:t>
      </w:r>
      <w:r>
        <w:rPr>
          <w:rFonts w:ascii="宋体" w:hAnsi="宋体" w:cs="宋体" w:eastAsia="宋体" w:hint="default"/>
          <w:spacing w:val="-61"/>
          <w:sz w:val="24"/>
          <w:szCs w:val="24"/>
        </w:rPr>
        <w:t> </w:t>
      </w:r>
      <w:r>
        <w:rPr>
          <w:rFonts w:ascii="宋体" w:hAnsi="宋体" w:cs="宋体" w:eastAsia="宋体" w:hint="default"/>
          <w:sz w:val="24"/>
          <w:szCs w:val="24"/>
        </w:rPr>
        <w:t>年的预收款项总金额为</w:t>
      </w:r>
      <w:r>
        <w:rPr>
          <w:rFonts w:ascii="宋体" w:hAnsi="宋体" w:cs="宋体" w:eastAsia="宋体" w:hint="default"/>
          <w:spacing w:val="-62"/>
          <w:sz w:val="24"/>
          <w:szCs w:val="24"/>
        </w:rPr>
        <w:t> </w:t>
      </w:r>
      <w:r>
        <w:rPr>
          <w:rFonts w:ascii="宋体" w:hAnsi="宋体" w:cs="宋体" w:eastAsia="宋体" w:hint="default"/>
          <w:sz w:val="24"/>
          <w:szCs w:val="24"/>
        </w:rPr>
        <w:t>80,125.28</w:t>
      </w:r>
      <w:r>
        <w:rPr>
          <w:rFonts w:ascii="宋体" w:hAnsi="宋体" w:cs="宋体" w:eastAsia="宋体" w:hint="default"/>
          <w:spacing w:val="-61"/>
          <w:sz w:val="24"/>
          <w:szCs w:val="24"/>
        </w:rPr>
        <w:t> </w:t>
      </w:r>
      <w:r>
        <w:rPr>
          <w:rFonts w:ascii="宋体" w:hAnsi="宋体" w:cs="宋体" w:eastAsia="宋体" w:hint="default"/>
          <w:sz w:val="24"/>
          <w:szCs w:val="24"/>
        </w:rPr>
        <w:t>元。</w:t>
      </w:r>
      <w:r>
        <w:rPr>
          <w:rFonts w:ascii="宋体" w:hAnsi="宋体" w:cs="宋体" w:eastAsia="宋体" w:hint="default"/>
          <w:spacing w:val="-1"/>
          <w:w w:val="100"/>
          <w:sz w:val="24"/>
          <w:szCs w:val="24"/>
        </w:rPr>
        <w:t> </w:t>
      </w:r>
      <w:r>
        <w:rPr>
          <w:rFonts w:ascii="Microsoft JhengHei" w:hAnsi="Microsoft JhengHei" w:cs="Microsoft JhengHei" w:eastAsia="Microsoft JhengHei" w:hint="default"/>
          <w:b/>
          <w:bCs/>
          <w:sz w:val="24"/>
          <w:szCs w:val="24"/>
        </w:rPr>
        <w:t>s)  </w:t>
      </w:r>
      <w:r>
        <w:rPr>
          <w:rFonts w:ascii="Microsoft JhengHei" w:hAnsi="Microsoft JhengHei" w:cs="Microsoft JhengHei" w:eastAsia="Microsoft JhengHei" w:hint="default"/>
          <w:b/>
          <w:bCs/>
          <w:spacing w:val="44"/>
          <w:sz w:val="24"/>
          <w:szCs w:val="24"/>
        </w:rPr>
        <w:t> </w:t>
      </w:r>
      <w:r>
        <w:rPr>
          <w:rFonts w:ascii="Microsoft JhengHei" w:hAnsi="Microsoft JhengHei" w:cs="Microsoft JhengHei" w:eastAsia="Microsoft JhengHei" w:hint="default"/>
          <w:b/>
          <w:bCs/>
          <w:sz w:val="24"/>
          <w:szCs w:val="24"/>
        </w:rPr>
        <w:t>应付职工薪酬</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5"/>
          <w:szCs w:val="25"/>
        </w:rPr>
      </w:pPr>
    </w:p>
    <w:p>
      <w:pPr>
        <w:spacing w:line="20" w:lineRule="exact"/>
        <w:ind w:left="1932" w:right="0" w:firstLine="0"/>
        <w:rPr>
          <w:rFonts w:ascii="Microsoft JhengHei" w:hAnsi="Microsoft JhengHei" w:cs="Microsoft JhengHei" w:eastAsia="Microsoft JhengHei" w:hint="default"/>
          <w:sz w:val="2"/>
          <w:szCs w:val="2"/>
        </w:rPr>
      </w:pPr>
      <w:r>
        <w:rPr>
          <w:rFonts w:ascii="Microsoft JhengHei"/>
          <w:sz w:val="2"/>
        </w:rPr>
        <w:pict>
          <v:group style="width:82.65pt;height:1pt;mso-position-horizontal-relative:char;mso-position-vertical-relative:line" coordorigin="0,0" coordsize="1653,20">
            <v:group style="position:absolute;left:10;top:10;width:1634;height:2" coordorigin="10,10" coordsize="1634,2">
              <v:shape style="position:absolute;left:10;top:10;width:1634;height:2" coordorigin="10,10" coordsize="1634,0" path="m10,10l1643,10e" filled="false" stroked="true" strokeweight=".96002pt" strokecolor="#000000">
                <v:path arrowok="t"/>
              </v:shape>
            </v:group>
          </v:group>
        </w:pict>
      </w:r>
      <w:r>
        <w:rPr>
          <w:rFonts w:ascii="Microsoft JhengHei"/>
          <w:sz w:val="2"/>
        </w:rPr>
      </w:r>
      <w:r>
        <w:rPr>
          <w:rFonts w:ascii="Times New Roman"/>
          <w:spacing w:val="66"/>
          <w:sz w:val="2"/>
        </w:rPr>
        <w:t> </w:t>
      </w:r>
      <w:r>
        <w:rPr>
          <w:rFonts w:ascii="Microsoft JhengHei"/>
          <w:spacing w:val="66"/>
          <w:sz w:val="2"/>
        </w:rPr>
        <w:pict>
          <v:group style="width:75.150pt;height:1pt;mso-position-horizontal-relative:char;mso-position-vertical-relative:line" coordorigin="0,0" coordsize="1503,20">
            <v:group style="position:absolute;left:10;top:10;width:1484;height:2" coordorigin="10,10" coordsize="1484,2">
              <v:shape style="position:absolute;left:10;top:10;width:1484;height:2" coordorigin="10,10" coordsize="1484,0" path="m10,10l1493,10e" filled="false" stroked="true" strokeweight=".96002pt" strokecolor="#000000">
                <v:path arrowok="t"/>
              </v:shape>
            </v:group>
          </v:group>
        </w:pict>
      </w:r>
      <w:r>
        <w:rPr>
          <w:rFonts w:ascii="Microsoft JhengHei"/>
          <w:spacing w:val="66"/>
          <w:sz w:val="2"/>
        </w:rPr>
      </w:r>
      <w:r>
        <w:rPr>
          <w:rFonts w:ascii="Times New Roman"/>
          <w:spacing w:val="95"/>
          <w:sz w:val="2"/>
        </w:rPr>
        <w:t> </w:t>
      </w:r>
      <w:r>
        <w:rPr>
          <w:rFonts w:ascii="Microsoft JhengHei"/>
          <w:spacing w:val="95"/>
          <w:sz w:val="2"/>
        </w:rPr>
        <w:pict>
          <v:group style="width:84.2pt;height:1pt;mso-position-horizontal-relative:char;mso-position-vertical-relative:line" coordorigin="0,0" coordsize="1684,20">
            <v:group style="position:absolute;left:10;top:10;width:1665;height:2" coordorigin="10,10" coordsize="1665,2">
              <v:shape style="position:absolute;left:10;top:10;width:1665;height:2" coordorigin="10,10" coordsize="1665,0" path="m10,10l1674,10e" filled="false" stroked="true" strokeweight=".96002pt" strokecolor="#000000">
                <v:path arrowok="t"/>
              </v:shape>
            </v:group>
          </v:group>
        </w:pict>
      </w:r>
      <w:r>
        <w:rPr>
          <w:rFonts w:ascii="Microsoft JhengHei"/>
          <w:spacing w:val="95"/>
          <w:sz w:val="2"/>
        </w:rPr>
      </w:r>
      <w:r>
        <w:rPr>
          <w:rFonts w:ascii="Times New Roman"/>
          <w:spacing w:val="81"/>
          <w:sz w:val="2"/>
        </w:rPr>
        <w:t> </w:t>
      </w:r>
      <w:r>
        <w:rPr>
          <w:rFonts w:ascii="Microsoft JhengHei"/>
          <w:spacing w:val="81"/>
          <w:sz w:val="2"/>
        </w:rPr>
        <w:pict>
          <v:group style="width:89.4pt;height:1pt;mso-position-horizontal-relative:char;mso-position-vertical-relative:line" coordorigin="0,0" coordsize="1788,20">
            <v:group style="position:absolute;left:10;top:10;width:1769;height:2" coordorigin="10,10" coordsize="1769,2">
              <v:shape style="position:absolute;left:10;top:10;width:1769;height:2" coordorigin="10,10" coordsize="1769,0" path="m10,10l1778,10e" filled="false" stroked="true" strokeweight=".96002pt" strokecolor="#000000">
                <v:path arrowok="t"/>
              </v:shape>
            </v:group>
          </v:group>
        </w:pict>
      </w:r>
      <w:r>
        <w:rPr>
          <w:rFonts w:ascii="Microsoft JhengHei"/>
          <w:spacing w:val="81"/>
          <w:sz w:val="2"/>
        </w:rPr>
      </w:r>
    </w:p>
    <w:p>
      <w:pPr>
        <w:spacing w:line="240" w:lineRule="auto" w:before="12"/>
        <w:rPr>
          <w:rFonts w:ascii="Microsoft JhengHei" w:hAnsi="Microsoft JhengHei" w:cs="Microsoft JhengHei" w:eastAsia="Microsoft JhengHei" w:hint="default"/>
          <w:b/>
          <w:bCs/>
          <w:sz w:val="27"/>
          <w:szCs w:val="27"/>
        </w:rPr>
      </w:pPr>
    </w:p>
    <w:p>
      <w:pPr>
        <w:pStyle w:val="Heading3"/>
        <w:spacing w:line="368" w:lineRule="exact"/>
        <w:ind w:left="681" w:right="624"/>
        <w:jc w:val="left"/>
        <w:rPr>
          <w:b w:val="0"/>
          <w:bCs w:val="0"/>
        </w:rPr>
      </w:pPr>
      <w:r>
        <w:rPr>
          <w:w w:val="115"/>
        </w:rPr>
        <w:t>t)</w:t>
      </w:r>
      <w:r>
        <w:rPr>
          <w:spacing w:val="9"/>
          <w:w w:val="115"/>
        </w:rPr>
        <w:t> </w:t>
      </w:r>
      <w:r>
        <w:rPr>
          <w:w w:val="115"/>
        </w:rPr>
        <w:t>应交税费</w:t>
      </w:r>
      <w:r>
        <w:rPr>
          <w:b w:val="0"/>
          <w:bCs w:val="0"/>
          <w:w w:val="115"/>
        </w:rPr>
      </w:r>
    </w:p>
    <w:tbl>
      <w:tblPr>
        <w:tblW w:w="0" w:type="auto"/>
        <w:jc w:val="left"/>
        <w:tblInd w:w="147" w:type="dxa"/>
        <w:tblLayout w:type="fixed"/>
        <w:tblCellMar>
          <w:top w:w="0" w:type="dxa"/>
          <w:left w:w="0" w:type="dxa"/>
          <w:bottom w:w="0" w:type="dxa"/>
          <w:right w:w="0" w:type="dxa"/>
        </w:tblCellMar>
        <w:tblLook w:val="01E0"/>
      </w:tblPr>
      <w:tblGrid>
        <w:gridCol w:w="4026"/>
        <w:gridCol w:w="236"/>
        <w:gridCol w:w="1334"/>
        <w:gridCol w:w="191"/>
        <w:gridCol w:w="1410"/>
        <w:gridCol w:w="208"/>
        <w:gridCol w:w="1411"/>
      </w:tblGrid>
      <w:tr>
        <w:trPr>
          <w:trHeight w:val="339" w:hRule="exact"/>
        </w:trPr>
        <w:tc>
          <w:tcPr>
            <w:tcW w:w="4026"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left="15"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23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left="18" w:right="0"/>
              <w:jc w:val="center"/>
              <w:rPr>
                <w:rFonts w:ascii="宋体" w:hAnsi="宋体" w:cs="宋体" w:eastAsia="宋体" w:hint="default"/>
                <w:sz w:val="22"/>
                <w:szCs w:val="22"/>
              </w:rPr>
            </w:pPr>
            <w:r>
              <w:rPr>
                <w:rFonts w:ascii="宋体" w:hAnsi="宋体" w:cs="宋体" w:eastAsia="宋体" w:hint="default"/>
                <w:sz w:val="22"/>
                <w:szCs w:val="22"/>
              </w:rPr>
              <w:t>税（费）率</w:t>
            </w:r>
          </w:p>
        </w:tc>
        <w:tc>
          <w:tcPr>
            <w:tcW w:w="19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left="384" w:right="0"/>
              <w:jc w:val="left"/>
              <w:rPr>
                <w:rFonts w:ascii="宋体" w:hAnsi="宋体" w:cs="宋体" w:eastAsia="宋体" w:hint="default"/>
                <w:sz w:val="22"/>
                <w:szCs w:val="22"/>
              </w:rPr>
            </w:pPr>
            <w:r>
              <w:rPr>
                <w:rFonts w:ascii="宋体" w:hAnsi="宋体" w:cs="宋体" w:eastAsia="宋体" w:hint="default"/>
                <w:sz w:val="22"/>
                <w:szCs w:val="22"/>
              </w:rPr>
              <w:t>年末数</w:t>
            </w:r>
          </w:p>
        </w:tc>
        <w:tc>
          <w:tcPr>
            <w:tcW w:w="20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left="383" w:right="0"/>
              <w:jc w:val="left"/>
              <w:rPr>
                <w:rFonts w:ascii="宋体" w:hAnsi="宋体" w:cs="宋体" w:eastAsia="宋体" w:hint="default"/>
                <w:sz w:val="22"/>
                <w:szCs w:val="22"/>
              </w:rPr>
            </w:pPr>
            <w:r>
              <w:rPr>
                <w:rFonts w:ascii="宋体" w:hAnsi="宋体" w:cs="宋体" w:eastAsia="宋体" w:hint="default"/>
                <w:sz w:val="22"/>
                <w:szCs w:val="22"/>
              </w:rPr>
              <w:t>年初数</w:t>
            </w:r>
          </w:p>
        </w:tc>
      </w:tr>
      <w:tr>
        <w:trPr>
          <w:trHeight w:val="319" w:hRule="exact"/>
        </w:trPr>
        <w:tc>
          <w:tcPr>
            <w:tcW w:w="4026" w:type="dxa"/>
            <w:tcBorders>
              <w:top w:val="single" w:sz="8" w:space="0" w:color="000000"/>
              <w:left w:val="nil" w:sz="6" w:space="0" w:color="auto"/>
              <w:bottom w:val="nil" w:sz="6" w:space="0" w:color="auto"/>
              <w:right w:val="nil" w:sz="6" w:space="0" w:color="auto"/>
            </w:tcBorders>
          </w:tcPr>
          <w:p>
            <w:pPr>
              <w:pStyle w:val="TableParagraph"/>
              <w:spacing w:line="267" w:lineRule="exact"/>
              <w:ind w:left="148"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36" w:type="dxa"/>
            <w:tcBorders>
              <w:top w:val="nil" w:sz="6" w:space="0" w:color="auto"/>
              <w:left w:val="nil" w:sz="6" w:space="0" w:color="auto"/>
              <w:bottom w:val="nil" w:sz="6" w:space="0" w:color="auto"/>
              <w:right w:val="nil" w:sz="6" w:space="0" w:color="auto"/>
            </w:tcBorders>
          </w:tcPr>
          <w:p>
            <w:pPr/>
          </w:p>
        </w:tc>
        <w:tc>
          <w:tcPr>
            <w:tcW w:w="1334" w:type="dxa"/>
            <w:tcBorders>
              <w:top w:val="single" w:sz="8" w:space="0" w:color="000000"/>
              <w:left w:val="nil" w:sz="6" w:space="0" w:color="auto"/>
              <w:bottom w:val="nil" w:sz="6" w:space="0" w:color="auto"/>
              <w:right w:val="nil" w:sz="6" w:space="0" w:color="auto"/>
            </w:tcBorders>
          </w:tcPr>
          <w:p>
            <w:pPr>
              <w:pStyle w:val="TableParagraph"/>
              <w:spacing w:line="240" w:lineRule="auto" w:before="14"/>
              <w:ind w:left="14" w:right="0"/>
              <w:jc w:val="center"/>
              <w:rPr>
                <w:rFonts w:ascii="Times New Roman" w:hAnsi="Times New Roman" w:cs="Times New Roman" w:eastAsia="Times New Roman" w:hint="default"/>
                <w:sz w:val="22"/>
                <w:szCs w:val="22"/>
              </w:rPr>
            </w:pPr>
            <w:r>
              <w:rPr>
                <w:rFonts w:ascii="Times New Roman"/>
                <w:sz w:val="22"/>
              </w:rPr>
              <w:t>17%</w:t>
            </w:r>
          </w:p>
        </w:tc>
        <w:tc>
          <w:tcPr>
            <w:tcW w:w="191" w:type="dxa"/>
            <w:tcBorders>
              <w:top w:val="nil" w:sz="6" w:space="0" w:color="auto"/>
              <w:left w:val="nil" w:sz="6" w:space="0" w:color="auto"/>
              <w:bottom w:val="nil" w:sz="6" w:space="0" w:color="auto"/>
              <w:right w:val="nil" w:sz="6" w:space="0" w:color="auto"/>
            </w:tcBorders>
          </w:tcPr>
          <w:p>
            <w:pPr/>
          </w:p>
        </w:tc>
        <w:tc>
          <w:tcPr>
            <w:tcW w:w="1410" w:type="dxa"/>
            <w:tcBorders>
              <w:top w:val="single" w:sz="8" w:space="0" w:color="000000"/>
              <w:left w:val="nil" w:sz="6" w:space="0" w:color="auto"/>
              <w:bottom w:val="nil" w:sz="6" w:space="0" w:color="auto"/>
              <w:right w:val="nil" w:sz="6" w:space="0" w:color="auto"/>
            </w:tcBorders>
          </w:tcPr>
          <w:p>
            <w:pPr>
              <w:pStyle w:val="TableParagraph"/>
              <w:spacing w:line="240" w:lineRule="auto" w:before="14"/>
              <w:ind w:right="93"/>
              <w:jc w:val="right"/>
              <w:rPr>
                <w:rFonts w:ascii="Times New Roman" w:hAnsi="Times New Roman" w:cs="Times New Roman" w:eastAsia="Times New Roman" w:hint="default"/>
                <w:sz w:val="22"/>
                <w:szCs w:val="22"/>
              </w:rPr>
            </w:pPr>
            <w:r>
              <w:rPr>
                <w:rFonts w:ascii="Times New Roman"/>
                <w:spacing w:val="-1"/>
                <w:sz w:val="22"/>
              </w:rPr>
              <w:t>4,080,728.26</w:t>
            </w:r>
            <w:r>
              <w:rPr>
                <w:rFonts w:ascii="Times New Roman"/>
                <w:sz w:val="22"/>
              </w:rPr>
            </w:r>
          </w:p>
        </w:tc>
        <w:tc>
          <w:tcPr>
            <w:tcW w:w="208" w:type="dxa"/>
            <w:tcBorders>
              <w:top w:val="nil" w:sz="6" w:space="0" w:color="auto"/>
              <w:left w:val="nil" w:sz="6" w:space="0" w:color="auto"/>
              <w:bottom w:val="nil" w:sz="6" w:space="0" w:color="auto"/>
              <w:right w:val="nil" w:sz="6" w:space="0" w:color="auto"/>
            </w:tcBorders>
          </w:tcPr>
          <w:p>
            <w:pPr/>
          </w:p>
        </w:tc>
        <w:tc>
          <w:tcPr>
            <w:tcW w:w="1411" w:type="dxa"/>
            <w:tcBorders>
              <w:top w:val="single" w:sz="8" w:space="0" w:color="000000"/>
              <w:left w:val="nil" w:sz="6" w:space="0" w:color="auto"/>
              <w:bottom w:val="nil" w:sz="6" w:space="0" w:color="auto"/>
              <w:right w:val="nil" w:sz="6" w:space="0" w:color="auto"/>
            </w:tcBorders>
          </w:tcPr>
          <w:p>
            <w:pPr>
              <w:pStyle w:val="TableParagraph"/>
              <w:spacing w:line="240" w:lineRule="auto" w:before="14"/>
              <w:ind w:right="94"/>
              <w:jc w:val="right"/>
              <w:rPr>
                <w:rFonts w:ascii="Times New Roman" w:hAnsi="Times New Roman" w:cs="Times New Roman" w:eastAsia="Times New Roman" w:hint="default"/>
                <w:sz w:val="22"/>
                <w:szCs w:val="22"/>
              </w:rPr>
            </w:pPr>
            <w:r>
              <w:rPr>
                <w:rFonts w:ascii="Times New Roman"/>
                <w:spacing w:val="-1"/>
                <w:sz w:val="22"/>
              </w:rPr>
              <w:t>-103,747.09</w:t>
            </w:r>
          </w:p>
        </w:tc>
      </w:tr>
      <w:tr>
        <w:trPr>
          <w:trHeight w:val="307" w:hRule="exact"/>
        </w:trPr>
        <w:tc>
          <w:tcPr>
            <w:tcW w:w="4026" w:type="dxa"/>
            <w:tcBorders>
              <w:top w:val="nil" w:sz="6" w:space="0" w:color="auto"/>
              <w:left w:val="nil" w:sz="6" w:space="0" w:color="auto"/>
              <w:bottom w:val="nil" w:sz="6" w:space="0" w:color="auto"/>
              <w:right w:val="nil" w:sz="6" w:space="0" w:color="auto"/>
            </w:tcBorders>
          </w:tcPr>
          <w:p>
            <w:pPr>
              <w:pStyle w:val="TableParagraph"/>
              <w:spacing w:line="266" w:lineRule="exact"/>
              <w:ind w:left="148"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3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 w:right="0"/>
              <w:jc w:val="center"/>
              <w:rPr>
                <w:rFonts w:ascii="Times New Roman" w:hAnsi="Times New Roman" w:cs="Times New Roman" w:eastAsia="Times New Roman" w:hint="default"/>
                <w:sz w:val="22"/>
                <w:szCs w:val="22"/>
              </w:rPr>
            </w:pPr>
            <w:r>
              <w:rPr>
                <w:rFonts w:ascii="Times New Roman"/>
                <w:sz w:val="22"/>
              </w:rPr>
              <w:t>5%</w:t>
            </w:r>
          </w:p>
        </w:tc>
        <w:tc>
          <w:tcPr>
            <w:tcW w:w="19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2"/>
              <w:jc w:val="right"/>
              <w:rPr>
                <w:rFonts w:ascii="Times New Roman" w:hAnsi="Times New Roman" w:cs="Times New Roman" w:eastAsia="Times New Roman" w:hint="default"/>
                <w:sz w:val="22"/>
                <w:szCs w:val="22"/>
              </w:rPr>
            </w:pPr>
            <w:r>
              <w:rPr>
                <w:rFonts w:ascii="Times New Roman"/>
                <w:spacing w:val="-1"/>
                <w:sz w:val="22"/>
              </w:rPr>
              <w:t>4,168.60</w:t>
            </w:r>
          </w:p>
        </w:tc>
        <w:tc>
          <w:tcPr>
            <w:tcW w:w="20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4"/>
              <w:jc w:val="right"/>
              <w:rPr>
                <w:rFonts w:ascii="Times New Roman" w:hAnsi="Times New Roman" w:cs="Times New Roman" w:eastAsia="Times New Roman" w:hint="default"/>
                <w:sz w:val="22"/>
                <w:szCs w:val="22"/>
              </w:rPr>
            </w:pPr>
            <w:r>
              <w:rPr>
                <w:rFonts w:ascii="Times New Roman"/>
                <w:spacing w:val="-1"/>
                <w:sz w:val="22"/>
              </w:rPr>
              <w:t>21,998.54</w:t>
            </w:r>
          </w:p>
        </w:tc>
      </w:tr>
      <w:tr>
        <w:trPr>
          <w:trHeight w:val="307" w:hRule="exact"/>
        </w:trPr>
        <w:tc>
          <w:tcPr>
            <w:tcW w:w="4026" w:type="dxa"/>
            <w:tcBorders>
              <w:top w:val="nil" w:sz="6" w:space="0" w:color="auto"/>
              <w:left w:val="nil" w:sz="6" w:space="0" w:color="auto"/>
              <w:bottom w:val="nil" w:sz="6" w:space="0" w:color="auto"/>
              <w:right w:val="nil" w:sz="6" w:space="0" w:color="auto"/>
            </w:tcBorders>
          </w:tcPr>
          <w:p>
            <w:pPr>
              <w:pStyle w:val="TableParagraph"/>
              <w:spacing w:line="266" w:lineRule="exact"/>
              <w:ind w:left="148"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3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 w:right="0"/>
              <w:jc w:val="center"/>
              <w:rPr>
                <w:rFonts w:ascii="Times New Roman" w:hAnsi="Times New Roman" w:cs="Times New Roman" w:eastAsia="Times New Roman" w:hint="default"/>
                <w:sz w:val="22"/>
                <w:szCs w:val="22"/>
              </w:rPr>
            </w:pPr>
            <w:r>
              <w:rPr>
                <w:rFonts w:ascii="Times New Roman"/>
                <w:sz w:val="22"/>
              </w:rPr>
              <w:t>7%,5%</w:t>
            </w:r>
          </w:p>
        </w:tc>
        <w:tc>
          <w:tcPr>
            <w:tcW w:w="19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2"/>
              <w:jc w:val="right"/>
              <w:rPr>
                <w:rFonts w:ascii="Times New Roman" w:hAnsi="Times New Roman" w:cs="Times New Roman" w:eastAsia="Times New Roman" w:hint="default"/>
                <w:sz w:val="22"/>
                <w:szCs w:val="22"/>
              </w:rPr>
            </w:pPr>
            <w:r>
              <w:rPr>
                <w:rFonts w:ascii="Times New Roman"/>
                <w:spacing w:val="-1"/>
                <w:sz w:val="22"/>
              </w:rPr>
              <w:t>75,120.52</w:t>
            </w:r>
          </w:p>
        </w:tc>
        <w:tc>
          <w:tcPr>
            <w:tcW w:w="20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4"/>
              <w:jc w:val="right"/>
              <w:rPr>
                <w:rFonts w:ascii="Times New Roman" w:hAnsi="Times New Roman" w:cs="Times New Roman" w:eastAsia="Times New Roman" w:hint="default"/>
                <w:sz w:val="22"/>
                <w:szCs w:val="22"/>
              </w:rPr>
            </w:pPr>
            <w:r>
              <w:rPr>
                <w:rFonts w:ascii="Times New Roman"/>
                <w:spacing w:val="-1"/>
                <w:sz w:val="22"/>
              </w:rPr>
              <w:t>1,095.57</w:t>
            </w:r>
          </w:p>
        </w:tc>
      </w:tr>
      <w:tr>
        <w:trPr>
          <w:trHeight w:val="307" w:hRule="exact"/>
        </w:trPr>
        <w:tc>
          <w:tcPr>
            <w:tcW w:w="4026" w:type="dxa"/>
            <w:tcBorders>
              <w:top w:val="nil" w:sz="6" w:space="0" w:color="auto"/>
              <w:left w:val="nil" w:sz="6" w:space="0" w:color="auto"/>
              <w:bottom w:val="nil" w:sz="6" w:space="0" w:color="auto"/>
              <w:right w:val="nil" w:sz="6" w:space="0" w:color="auto"/>
            </w:tcBorders>
          </w:tcPr>
          <w:p>
            <w:pPr>
              <w:pStyle w:val="TableParagraph"/>
              <w:spacing w:line="266" w:lineRule="exact"/>
              <w:ind w:left="148"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23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2"/>
              <w:jc w:val="right"/>
              <w:rPr>
                <w:rFonts w:ascii="Times New Roman" w:hAnsi="Times New Roman" w:cs="Times New Roman" w:eastAsia="Times New Roman" w:hint="default"/>
                <w:sz w:val="22"/>
                <w:szCs w:val="22"/>
              </w:rPr>
            </w:pPr>
            <w:r>
              <w:rPr>
                <w:rFonts w:ascii="Times New Roman"/>
                <w:spacing w:val="-1"/>
                <w:sz w:val="22"/>
              </w:rPr>
              <w:t>143,722.54</w:t>
            </w:r>
          </w:p>
        </w:tc>
        <w:tc>
          <w:tcPr>
            <w:tcW w:w="20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Times New Roman" w:hAnsi="Times New Roman" w:cs="Times New Roman" w:eastAsia="Times New Roman" w:hint="default"/>
                <w:sz w:val="22"/>
                <w:szCs w:val="22"/>
              </w:rPr>
            </w:pPr>
            <w:r>
              <w:rPr>
                <w:rFonts w:ascii="Times New Roman"/>
                <w:spacing w:val="-1"/>
                <w:sz w:val="22"/>
              </w:rPr>
              <w:t>7,262.22</w:t>
            </w:r>
          </w:p>
        </w:tc>
      </w:tr>
      <w:tr>
        <w:trPr>
          <w:trHeight w:val="307" w:hRule="exact"/>
        </w:trPr>
        <w:tc>
          <w:tcPr>
            <w:tcW w:w="4026" w:type="dxa"/>
            <w:tcBorders>
              <w:top w:val="nil" w:sz="6" w:space="0" w:color="auto"/>
              <w:left w:val="nil" w:sz="6" w:space="0" w:color="auto"/>
              <w:bottom w:val="nil" w:sz="6" w:space="0" w:color="auto"/>
              <w:right w:val="nil" w:sz="6" w:space="0" w:color="auto"/>
            </w:tcBorders>
          </w:tcPr>
          <w:p>
            <w:pPr>
              <w:pStyle w:val="TableParagraph"/>
              <w:spacing w:line="266" w:lineRule="exact"/>
              <w:ind w:left="148"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23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2"/>
              <w:jc w:val="right"/>
              <w:rPr>
                <w:rFonts w:ascii="Times New Roman" w:hAnsi="Times New Roman" w:cs="Times New Roman" w:eastAsia="Times New Roman" w:hint="default"/>
                <w:sz w:val="22"/>
                <w:szCs w:val="22"/>
              </w:rPr>
            </w:pPr>
            <w:r>
              <w:rPr>
                <w:rFonts w:ascii="Times New Roman"/>
                <w:spacing w:val="-1"/>
                <w:sz w:val="22"/>
              </w:rPr>
              <w:t>1,539,412.13</w:t>
            </w:r>
          </w:p>
        </w:tc>
        <w:tc>
          <w:tcPr>
            <w:tcW w:w="20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4"/>
              <w:jc w:val="right"/>
              <w:rPr>
                <w:rFonts w:ascii="Times New Roman" w:hAnsi="Times New Roman" w:cs="Times New Roman" w:eastAsia="Times New Roman" w:hint="default"/>
                <w:sz w:val="22"/>
                <w:szCs w:val="22"/>
              </w:rPr>
            </w:pPr>
            <w:r>
              <w:rPr>
                <w:rFonts w:ascii="Times New Roman"/>
                <w:spacing w:val="-1"/>
                <w:sz w:val="22"/>
              </w:rPr>
              <w:t>2,456,568.84</w:t>
            </w:r>
          </w:p>
        </w:tc>
      </w:tr>
      <w:tr>
        <w:trPr>
          <w:trHeight w:val="307" w:hRule="exact"/>
        </w:trPr>
        <w:tc>
          <w:tcPr>
            <w:tcW w:w="4026" w:type="dxa"/>
            <w:tcBorders>
              <w:top w:val="nil" w:sz="6" w:space="0" w:color="auto"/>
              <w:left w:val="nil" w:sz="6" w:space="0" w:color="auto"/>
              <w:bottom w:val="nil" w:sz="6" w:space="0" w:color="auto"/>
              <w:right w:val="nil" w:sz="6" w:space="0" w:color="auto"/>
            </w:tcBorders>
          </w:tcPr>
          <w:p>
            <w:pPr>
              <w:pStyle w:val="TableParagraph"/>
              <w:spacing w:line="266" w:lineRule="exact"/>
              <w:ind w:left="148" w:right="0"/>
              <w:jc w:val="left"/>
              <w:rPr>
                <w:rFonts w:ascii="宋体" w:hAnsi="宋体" w:cs="宋体" w:eastAsia="宋体" w:hint="default"/>
                <w:sz w:val="22"/>
                <w:szCs w:val="22"/>
              </w:rPr>
            </w:pPr>
            <w:r>
              <w:rPr>
                <w:rFonts w:ascii="宋体" w:hAnsi="宋体" w:cs="宋体" w:eastAsia="宋体" w:hint="default"/>
                <w:sz w:val="22"/>
                <w:szCs w:val="22"/>
              </w:rPr>
              <w:t>个人所得税</w:t>
            </w:r>
          </w:p>
        </w:tc>
        <w:tc>
          <w:tcPr>
            <w:tcW w:w="23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2"/>
              <w:jc w:val="right"/>
              <w:rPr>
                <w:rFonts w:ascii="Times New Roman" w:hAnsi="Times New Roman" w:cs="Times New Roman" w:eastAsia="Times New Roman" w:hint="default"/>
                <w:sz w:val="22"/>
                <w:szCs w:val="22"/>
              </w:rPr>
            </w:pPr>
            <w:r>
              <w:rPr>
                <w:rFonts w:ascii="Times New Roman"/>
                <w:spacing w:val="-1"/>
                <w:sz w:val="22"/>
              </w:rPr>
              <w:t>104,431.20</w:t>
            </w:r>
          </w:p>
        </w:tc>
        <w:tc>
          <w:tcPr>
            <w:tcW w:w="20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4"/>
              <w:jc w:val="right"/>
              <w:rPr>
                <w:rFonts w:ascii="Times New Roman" w:hAnsi="Times New Roman" w:cs="Times New Roman" w:eastAsia="Times New Roman" w:hint="default"/>
                <w:sz w:val="22"/>
                <w:szCs w:val="22"/>
              </w:rPr>
            </w:pPr>
            <w:r>
              <w:rPr>
                <w:rFonts w:ascii="Times New Roman"/>
                <w:spacing w:val="-1"/>
                <w:sz w:val="22"/>
              </w:rPr>
              <w:t>276,357.46</w:t>
            </w:r>
          </w:p>
        </w:tc>
      </w:tr>
      <w:tr>
        <w:trPr>
          <w:trHeight w:val="307" w:hRule="exact"/>
        </w:trPr>
        <w:tc>
          <w:tcPr>
            <w:tcW w:w="4026" w:type="dxa"/>
            <w:tcBorders>
              <w:top w:val="nil" w:sz="6" w:space="0" w:color="auto"/>
              <w:left w:val="nil" w:sz="6" w:space="0" w:color="auto"/>
              <w:bottom w:val="nil" w:sz="6" w:space="0" w:color="auto"/>
              <w:right w:val="nil" w:sz="6" w:space="0" w:color="auto"/>
            </w:tcBorders>
          </w:tcPr>
          <w:p>
            <w:pPr>
              <w:pStyle w:val="TableParagraph"/>
              <w:spacing w:line="266" w:lineRule="exact"/>
              <w:ind w:left="148" w:right="0"/>
              <w:jc w:val="left"/>
              <w:rPr>
                <w:rFonts w:ascii="宋体" w:hAnsi="宋体" w:cs="宋体" w:eastAsia="宋体" w:hint="default"/>
                <w:sz w:val="22"/>
                <w:szCs w:val="22"/>
              </w:rPr>
            </w:pPr>
            <w:r>
              <w:rPr>
                <w:rFonts w:ascii="宋体" w:hAnsi="宋体" w:cs="宋体" w:eastAsia="宋体" w:hint="default"/>
                <w:sz w:val="22"/>
                <w:szCs w:val="22"/>
              </w:rPr>
              <w:t>应缴委托代征营业税、城建税及附加</w:t>
            </w:r>
          </w:p>
        </w:tc>
        <w:tc>
          <w:tcPr>
            <w:tcW w:w="23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2"/>
              <w:jc w:val="right"/>
              <w:rPr>
                <w:rFonts w:ascii="Times New Roman" w:hAnsi="Times New Roman" w:cs="Times New Roman" w:eastAsia="Times New Roman" w:hint="default"/>
                <w:sz w:val="22"/>
                <w:szCs w:val="22"/>
              </w:rPr>
            </w:pPr>
            <w:r>
              <w:rPr>
                <w:rFonts w:ascii="Times New Roman"/>
                <w:sz w:val="22"/>
              </w:rPr>
              <w:t>0.01</w:t>
            </w:r>
          </w:p>
        </w:tc>
        <w:tc>
          <w:tcPr>
            <w:tcW w:w="20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4"/>
              <w:jc w:val="right"/>
              <w:rPr>
                <w:rFonts w:ascii="Times New Roman" w:hAnsi="Times New Roman" w:cs="Times New Roman" w:eastAsia="Times New Roman" w:hint="default"/>
                <w:sz w:val="22"/>
                <w:szCs w:val="22"/>
              </w:rPr>
            </w:pPr>
            <w:r>
              <w:rPr>
                <w:rFonts w:ascii="Times New Roman"/>
                <w:spacing w:val="-1"/>
                <w:sz w:val="22"/>
              </w:rPr>
              <w:t>53,521.70</w:t>
            </w:r>
          </w:p>
        </w:tc>
      </w:tr>
      <w:tr>
        <w:trPr>
          <w:trHeight w:val="307" w:hRule="exact"/>
        </w:trPr>
        <w:tc>
          <w:tcPr>
            <w:tcW w:w="4026" w:type="dxa"/>
            <w:tcBorders>
              <w:top w:val="nil" w:sz="6" w:space="0" w:color="auto"/>
              <w:left w:val="nil" w:sz="6" w:space="0" w:color="auto"/>
              <w:bottom w:val="nil" w:sz="6" w:space="0" w:color="auto"/>
              <w:right w:val="nil" w:sz="6" w:space="0" w:color="auto"/>
            </w:tcBorders>
          </w:tcPr>
          <w:p>
            <w:pPr>
              <w:pStyle w:val="TableParagraph"/>
              <w:spacing w:line="266" w:lineRule="exact"/>
              <w:ind w:left="148" w:right="0"/>
              <w:jc w:val="left"/>
              <w:rPr>
                <w:rFonts w:ascii="宋体" w:hAnsi="宋体" w:cs="宋体" w:eastAsia="宋体" w:hint="default"/>
                <w:sz w:val="22"/>
                <w:szCs w:val="22"/>
              </w:rPr>
            </w:pPr>
            <w:r>
              <w:rPr>
                <w:rFonts w:ascii="宋体" w:hAnsi="宋体" w:cs="宋体" w:eastAsia="宋体" w:hint="default"/>
                <w:sz w:val="22"/>
                <w:szCs w:val="22"/>
              </w:rPr>
              <w:t>河道维护费</w:t>
            </w:r>
          </w:p>
        </w:tc>
        <w:tc>
          <w:tcPr>
            <w:tcW w:w="23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2"/>
              <w:jc w:val="right"/>
              <w:rPr>
                <w:rFonts w:ascii="Times New Roman" w:hAnsi="Times New Roman" w:cs="Times New Roman" w:eastAsia="Times New Roman" w:hint="default"/>
                <w:sz w:val="22"/>
                <w:szCs w:val="22"/>
              </w:rPr>
            </w:pPr>
            <w:r>
              <w:rPr>
                <w:rFonts w:ascii="Times New Roman"/>
                <w:spacing w:val="-1"/>
                <w:sz w:val="22"/>
              </w:rPr>
              <w:t>763.57</w:t>
            </w:r>
          </w:p>
        </w:tc>
        <w:tc>
          <w:tcPr>
            <w:tcW w:w="20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09"/>
              <w:jc w:val="right"/>
              <w:rPr>
                <w:rFonts w:ascii="Times New Roman" w:hAnsi="Times New Roman" w:cs="Times New Roman" w:eastAsia="Times New Roman" w:hint="default"/>
                <w:sz w:val="22"/>
                <w:szCs w:val="22"/>
              </w:rPr>
            </w:pPr>
            <w:r>
              <w:rPr>
                <w:rFonts w:ascii="Times New Roman"/>
                <w:w w:val="100"/>
                <w:sz w:val="22"/>
              </w:rPr>
              <w:t>-</w:t>
            </w:r>
          </w:p>
        </w:tc>
      </w:tr>
      <w:tr>
        <w:trPr>
          <w:trHeight w:val="307" w:hRule="exact"/>
        </w:trPr>
        <w:tc>
          <w:tcPr>
            <w:tcW w:w="4026" w:type="dxa"/>
            <w:tcBorders>
              <w:top w:val="nil" w:sz="6" w:space="0" w:color="auto"/>
              <w:left w:val="nil" w:sz="6" w:space="0" w:color="auto"/>
              <w:bottom w:val="nil" w:sz="6" w:space="0" w:color="auto"/>
              <w:right w:val="nil" w:sz="6" w:space="0" w:color="auto"/>
            </w:tcBorders>
          </w:tcPr>
          <w:p>
            <w:pPr>
              <w:pStyle w:val="TableParagraph"/>
              <w:spacing w:line="266" w:lineRule="exact"/>
              <w:ind w:left="148"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3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 w:right="0"/>
              <w:jc w:val="center"/>
              <w:rPr>
                <w:rFonts w:ascii="Times New Roman" w:hAnsi="Times New Roman" w:cs="Times New Roman" w:eastAsia="Times New Roman" w:hint="default"/>
                <w:sz w:val="22"/>
                <w:szCs w:val="22"/>
              </w:rPr>
            </w:pPr>
            <w:r>
              <w:rPr>
                <w:rFonts w:ascii="Times New Roman"/>
                <w:sz w:val="22"/>
              </w:rPr>
              <w:t>3%</w:t>
            </w:r>
          </w:p>
        </w:tc>
        <w:tc>
          <w:tcPr>
            <w:tcW w:w="19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2"/>
              <w:jc w:val="right"/>
              <w:rPr>
                <w:rFonts w:ascii="Times New Roman" w:hAnsi="Times New Roman" w:cs="Times New Roman" w:eastAsia="Times New Roman" w:hint="default"/>
                <w:sz w:val="22"/>
                <w:szCs w:val="22"/>
              </w:rPr>
            </w:pPr>
            <w:r>
              <w:rPr>
                <w:rFonts w:ascii="Times New Roman"/>
                <w:spacing w:val="-1"/>
                <w:sz w:val="22"/>
              </w:rPr>
              <w:t>32,875.78</w:t>
            </w:r>
          </w:p>
        </w:tc>
        <w:tc>
          <w:tcPr>
            <w:tcW w:w="20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9"/>
              <w:jc w:val="right"/>
              <w:rPr>
                <w:rFonts w:ascii="Times New Roman" w:hAnsi="Times New Roman" w:cs="Times New Roman" w:eastAsia="Times New Roman" w:hint="default"/>
                <w:sz w:val="22"/>
                <w:szCs w:val="22"/>
              </w:rPr>
            </w:pPr>
            <w:r>
              <w:rPr>
                <w:rFonts w:ascii="Times New Roman"/>
                <w:w w:val="100"/>
                <w:sz w:val="22"/>
              </w:rPr>
              <w:t>-</w:t>
            </w:r>
          </w:p>
        </w:tc>
      </w:tr>
      <w:tr>
        <w:trPr>
          <w:trHeight w:val="294" w:hRule="exact"/>
        </w:trPr>
        <w:tc>
          <w:tcPr>
            <w:tcW w:w="4026" w:type="dxa"/>
            <w:tcBorders>
              <w:top w:val="nil" w:sz="6" w:space="0" w:color="auto"/>
              <w:left w:val="nil" w:sz="6" w:space="0" w:color="auto"/>
              <w:bottom w:val="nil" w:sz="6" w:space="0" w:color="auto"/>
              <w:right w:val="nil" w:sz="6" w:space="0" w:color="auto"/>
            </w:tcBorders>
          </w:tcPr>
          <w:p>
            <w:pPr>
              <w:pStyle w:val="TableParagraph"/>
              <w:spacing w:line="266" w:lineRule="exact"/>
              <w:ind w:left="148" w:right="0"/>
              <w:jc w:val="left"/>
              <w:rPr>
                <w:rFonts w:ascii="宋体" w:hAnsi="宋体" w:cs="宋体" w:eastAsia="宋体" w:hint="default"/>
                <w:sz w:val="22"/>
                <w:szCs w:val="22"/>
              </w:rPr>
            </w:pPr>
            <w:r>
              <w:rPr>
                <w:rFonts w:ascii="宋体" w:hAnsi="宋体" w:cs="宋体" w:eastAsia="宋体" w:hint="default"/>
                <w:sz w:val="22"/>
                <w:szCs w:val="22"/>
              </w:rPr>
              <w:t>土地使用税</w:t>
            </w:r>
          </w:p>
        </w:tc>
        <w:tc>
          <w:tcPr>
            <w:tcW w:w="23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92"/>
              <w:jc w:val="right"/>
              <w:rPr>
                <w:rFonts w:ascii="Times New Roman" w:hAnsi="Times New Roman" w:cs="Times New Roman" w:eastAsia="Times New Roman" w:hint="default"/>
                <w:sz w:val="22"/>
                <w:szCs w:val="22"/>
              </w:rPr>
            </w:pPr>
            <w:r>
              <w:rPr>
                <w:rFonts w:ascii="Times New Roman"/>
                <w:spacing w:val="-1"/>
                <w:sz w:val="22"/>
              </w:rPr>
              <w:t>13,797.40</w:t>
            </w:r>
          </w:p>
        </w:tc>
        <w:tc>
          <w:tcPr>
            <w:tcW w:w="208"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309"/>
              <w:jc w:val="right"/>
              <w:rPr>
                <w:rFonts w:ascii="Times New Roman" w:hAnsi="Times New Roman" w:cs="Times New Roman" w:eastAsia="Times New Roman" w:hint="default"/>
                <w:sz w:val="22"/>
                <w:szCs w:val="22"/>
              </w:rPr>
            </w:pPr>
            <w:r>
              <w:rPr>
                <w:rFonts w:ascii="Times New Roman"/>
                <w:w w:val="100"/>
                <w:sz w:val="22"/>
              </w:rPr>
              <w:t>-</w:t>
            </w:r>
          </w:p>
        </w:tc>
      </w:tr>
      <w:tr>
        <w:trPr>
          <w:trHeight w:val="326" w:hRule="exact"/>
        </w:trPr>
        <w:tc>
          <w:tcPr>
            <w:tcW w:w="4026" w:type="dxa"/>
            <w:tcBorders>
              <w:top w:val="nil" w:sz="6" w:space="0" w:color="auto"/>
              <w:left w:val="nil" w:sz="6" w:space="0" w:color="auto"/>
              <w:bottom w:val="nil" w:sz="6" w:space="0" w:color="auto"/>
              <w:right w:val="nil" w:sz="6" w:space="0" w:color="auto"/>
            </w:tcBorders>
          </w:tcPr>
          <w:p>
            <w:pPr>
              <w:pStyle w:val="TableParagraph"/>
              <w:spacing w:line="279" w:lineRule="exact"/>
              <w:ind w:left="15"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23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91" w:type="dxa"/>
            <w:tcBorders>
              <w:top w:val="nil" w:sz="6" w:space="0" w:color="auto"/>
              <w:left w:val="nil" w:sz="6" w:space="0" w:color="auto"/>
              <w:bottom w:val="nil" w:sz="6" w:space="0" w:color="auto"/>
              <w:right w:val="nil" w:sz="6" w:space="0" w:color="auto"/>
            </w:tcBorders>
          </w:tcPr>
          <w:p>
            <w:pPr/>
          </w:p>
        </w:tc>
        <w:tc>
          <w:tcPr>
            <w:tcW w:w="141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right="92"/>
              <w:jc w:val="right"/>
              <w:rPr>
                <w:rFonts w:ascii="Times New Roman" w:hAnsi="Times New Roman" w:cs="Times New Roman" w:eastAsia="Times New Roman" w:hint="default"/>
                <w:sz w:val="22"/>
                <w:szCs w:val="22"/>
              </w:rPr>
            </w:pPr>
            <w:r>
              <w:rPr>
                <w:rFonts w:ascii="Times New Roman"/>
                <w:spacing w:val="-1"/>
                <w:sz w:val="22"/>
              </w:rPr>
              <w:t>5,995,020.01</w:t>
            </w:r>
          </w:p>
        </w:tc>
        <w:tc>
          <w:tcPr>
            <w:tcW w:w="208" w:type="dxa"/>
            <w:tcBorders>
              <w:top w:val="nil" w:sz="6" w:space="0" w:color="auto"/>
              <w:left w:val="nil" w:sz="6" w:space="0" w:color="auto"/>
              <w:bottom w:val="nil" w:sz="6" w:space="0" w:color="auto"/>
              <w:right w:val="nil" w:sz="6" w:space="0" w:color="auto"/>
            </w:tcBorders>
          </w:tcPr>
          <w:p>
            <w:pPr/>
          </w:p>
        </w:tc>
        <w:tc>
          <w:tcPr>
            <w:tcW w:w="1411"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right="94"/>
              <w:jc w:val="right"/>
              <w:rPr>
                <w:rFonts w:ascii="Times New Roman" w:hAnsi="Times New Roman" w:cs="Times New Roman" w:eastAsia="Times New Roman" w:hint="default"/>
                <w:sz w:val="22"/>
                <w:szCs w:val="22"/>
              </w:rPr>
            </w:pPr>
            <w:r>
              <w:rPr>
                <w:rFonts w:ascii="Times New Roman"/>
                <w:spacing w:val="-1"/>
                <w:sz w:val="22"/>
              </w:rPr>
              <w:t>2,713,057.24</w:t>
            </w:r>
          </w:p>
        </w:tc>
      </w:tr>
    </w:tbl>
    <w:p>
      <w:pPr>
        <w:spacing w:line="240" w:lineRule="auto" w:before="10"/>
        <w:rPr>
          <w:rFonts w:ascii="Microsoft JhengHei" w:hAnsi="Microsoft JhengHei" w:cs="Microsoft JhengHei" w:eastAsia="Microsoft JhengHei" w:hint="default"/>
          <w:b/>
          <w:bCs/>
          <w:sz w:val="19"/>
          <w:szCs w:val="19"/>
        </w:rPr>
      </w:pPr>
    </w:p>
    <w:p>
      <w:pPr>
        <w:pStyle w:val="BodyText"/>
        <w:spacing w:line="310" w:lineRule="exact" w:before="59"/>
        <w:ind w:right="624" w:firstLine="480"/>
        <w:jc w:val="left"/>
      </w:pPr>
      <w:r>
        <w:rPr/>
        <w:pict>
          <v:group style="position:absolute;margin-left:379.73999pt;margin-top:-19.92959pt;width:70.5pt;height:.1pt;mso-position-horizontal-relative:page;mso-position-vertical-relative:paragraph;z-index:-590440" coordorigin="7595,-399" coordsize="1410,2">
            <v:shape style="position:absolute;left:7595;top:-399;width:1410;height:2" coordorigin="7595,-399" coordsize="1410,0" path="m7595,-399l9005,-399e" filled="false" stroked="true" strokeweight=".95999pt" strokecolor="#000000">
              <v:path arrowok="t"/>
            </v:shape>
            <w10:wrap type="none"/>
          </v:group>
        </w:pict>
      </w:r>
      <w:r>
        <w:rPr/>
        <w:pict>
          <v:group style="position:absolute;margin-left:460.679993pt;margin-top:-19.92959pt;width:70.5pt;height:.1pt;mso-position-horizontal-relative:page;mso-position-vertical-relative:paragraph;z-index:-590416" coordorigin="9214,-399" coordsize="1410,2">
            <v:shape style="position:absolute;left:9214;top:-399;width:1410;height:2" coordorigin="9214,-399" coordsize="1410,0" path="m9214,-399l10624,-399e" filled="false" stroked="true" strokeweight=".95999pt" strokecolor="#000000">
              <v:path arrowok="t"/>
            </v:shape>
            <w10:wrap type="none"/>
          </v:group>
        </w:pict>
      </w:r>
      <w:r>
        <w:rPr>
          <w:spacing w:val="-2"/>
        </w:rPr>
        <w:t>注：应交税金年末数比年初数增加</w:t>
      </w:r>
      <w:r>
        <w:rPr>
          <w:spacing w:val="-25"/>
        </w:rPr>
        <w:t> </w:t>
      </w:r>
      <w:r>
        <w:rPr>
          <w:spacing w:val="-2"/>
        </w:rPr>
        <w:t>120.97%，其主要原因是年末应交增值税</w:t>
      </w:r>
      <w:r>
        <w:rPr>
          <w:spacing w:val="-1"/>
          <w:w w:val="100"/>
        </w:rPr>
        <w:t> </w:t>
      </w:r>
      <w:r>
        <w:rPr/>
        <w:t>较多所致。</w:t>
      </w:r>
    </w:p>
    <w:p>
      <w:pPr>
        <w:pStyle w:val="Heading3"/>
        <w:spacing w:line="405" w:lineRule="exact"/>
        <w:ind w:left="681" w:right="624"/>
        <w:jc w:val="left"/>
        <w:rPr>
          <w:b w:val="0"/>
          <w:bCs w:val="0"/>
        </w:rPr>
      </w:pPr>
      <w:r>
        <w:rPr/>
        <w:t>u)  </w:t>
      </w:r>
      <w:r>
        <w:rPr>
          <w:spacing w:val="11"/>
        </w:rPr>
        <w:t> </w:t>
      </w:r>
      <w:r>
        <w:rPr/>
        <w:t>应付股利</w:t>
      </w:r>
      <w:r>
        <w:rPr>
          <w:b w:val="0"/>
          <w:bCs w:val="0"/>
        </w:rPr>
      </w:r>
    </w:p>
    <w:p>
      <w:pPr>
        <w:tabs>
          <w:tab w:pos="4213" w:val="left" w:leader="none"/>
          <w:tab w:pos="6304" w:val="left" w:leader="none"/>
          <w:tab w:pos="6901" w:val="left" w:leader="none"/>
          <w:tab w:pos="7759" w:val="left" w:leader="none"/>
          <w:tab w:pos="7845" w:val="left" w:leader="none"/>
        </w:tabs>
        <w:spacing w:line="321" w:lineRule="auto" w:before="179"/>
        <w:ind w:left="183" w:right="269" w:firstLine="1242"/>
        <w:jc w:val="left"/>
        <w:rPr>
          <w:rFonts w:ascii="Times New Roman" w:hAnsi="Times New Roman" w:cs="Times New Roman" w:eastAsia="Times New Roman" w:hint="default"/>
          <w:sz w:val="20"/>
          <w:szCs w:val="20"/>
        </w:rPr>
      </w:pPr>
      <w:r>
        <w:rPr/>
        <w:pict>
          <v:group style="position:absolute;margin-left:89.879997pt;margin-top:24.61998pt;width:178.35pt;height:1pt;mso-position-horizontal-relative:page;mso-position-vertical-relative:paragraph;z-index:-590392" coordorigin="1798,492" coordsize="3567,20">
            <v:group style="position:absolute;left:1807;top:493;width:3548;height:2" coordorigin="1807,493" coordsize="3548,2">
              <v:shape style="position:absolute;left:1807;top:493;width:3548;height:2" coordorigin="1807,493" coordsize="3548,0" path="m1807,493l5354,493e" filled="false" stroked="true" strokeweight=".06pt" strokecolor="#000000">
                <v:path arrowok="t"/>
              </v:shape>
            </v:group>
            <v:group style="position:absolute;left:1807;top:503;width:3548;height:2" coordorigin="1807,503" coordsize="3548,2">
              <v:shape style="position:absolute;left:1807;top:503;width:3548;height:2" coordorigin="1807,503" coordsize="3548,0" path="m1807,503l5354,503e" filled="false" stroked="true" strokeweight=".96001pt" strokecolor="#000000">
                <v:path arrowok="t"/>
              </v:shape>
            </v:group>
            <w10:wrap type="none"/>
          </v:group>
        </w:pict>
      </w:r>
      <w:r>
        <w:rPr/>
        <w:pict>
          <v:group style="position:absolute;margin-left:274.679993pt;margin-top:24.61998pt;width:97.6pt;height:1pt;mso-position-horizontal-relative:page;mso-position-vertical-relative:paragraph;z-index:-590368" coordorigin="5494,492" coordsize="1952,20">
            <v:group style="position:absolute;left:5503;top:493;width:1931;height:2" coordorigin="5503,493" coordsize="1931,2">
              <v:shape style="position:absolute;left:5503;top:493;width:1931;height:2" coordorigin="5503,493" coordsize="1931,0" path="m5503,493l7434,493e" filled="false" stroked="true" strokeweight=".06pt" strokecolor="#000000">
                <v:path arrowok="t"/>
              </v:shape>
            </v:group>
            <v:group style="position:absolute;left:5503;top:503;width:1932;height:2" coordorigin="5503,503" coordsize="1932,2">
              <v:shape style="position:absolute;left:5503;top:503;width:1932;height:2" coordorigin="5503,503" coordsize="1932,0" path="m5503,503l7435,503e" filled="false" stroked="true" strokeweight=".96001pt" strokecolor="#000000">
                <v:path arrowok="t"/>
              </v:shape>
            </v:group>
            <w10:wrap type="none"/>
          </v:group>
        </w:pict>
      </w:r>
      <w:r>
        <w:rPr/>
        <w:pict>
          <v:group style="position:absolute;margin-left:379.380005pt;margin-top:24.61998pt;width:67pt;height:1pt;mso-position-horizontal-relative:page;mso-position-vertical-relative:paragraph;z-index:-590344" coordorigin="7588,492" coordsize="1340,20">
            <v:group style="position:absolute;left:7597;top:493;width:1319;height:2" coordorigin="7597,493" coordsize="1319,2">
              <v:shape style="position:absolute;left:7597;top:493;width:1319;height:2" coordorigin="7597,493" coordsize="1319,0" path="m7597,493l8916,493e" filled="false" stroked="true" strokeweight=".06pt" strokecolor="#000000">
                <v:path arrowok="t"/>
              </v:shape>
            </v:group>
            <v:group style="position:absolute;left:7597;top:503;width:1320;height:2" coordorigin="7597,503" coordsize="1320,2">
              <v:shape style="position:absolute;left:7597;top:503;width:1320;height:2" coordorigin="7597,503" coordsize="1320,0" path="m7597,503l8917,503e" filled="false" stroked="true" strokeweight=".96001pt" strokecolor="#000000">
                <v:path arrowok="t"/>
              </v:shape>
            </v:group>
            <w10:wrap type="none"/>
          </v:group>
        </w:pict>
      </w:r>
      <w:r>
        <w:rPr/>
        <w:pict>
          <v:group style="position:absolute;margin-left:451.199982pt;margin-top:24.61998pt;width:77.5pt;height:1pt;mso-position-horizontal-relative:page;mso-position-vertical-relative:paragraph;z-index:-590320" coordorigin="9024,492" coordsize="1550,20">
            <v:group style="position:absolute;left:9034;top:493;width:1530;height:2" coordorigin="9034,493" coordsize="1530,2">
              <v:shape style="position:absolute;left:9034;top:493;width:1530;height:2" coordorigin="9034,493" coordsize="1530,0" path="m9034,493l10564,493e" filled="false" stroked="true" strokeweight=".06pt" strokecolor="#000000">
                <v:path arrowok="t"/>
              </v:shape>
            </v:group>
            <v:group style="position:absolute;left:9034;top:503;width:1530;height:2" coordorigin="9034,503" coordsize="1530,2">
              <v:shape style="position:absolute;left:9034;top:503;width:1530;height:2" coordorigin="9034,503" coordsize="1530,0" path="m9034,503l10564,503e" filled="false" stroked="true" strokeweight=".96001pt" strokecolor="#000000">
                <v:path arrowok="t"/>
              </v:shape>
            </v:group>
            <w10:wrap type="none"/>
          </v:group>
        </w:pict>
      </w:r>
      <w:r>
        <w:rPr>
          <w:rFonts w:ascii="宋体" w:hAnsi="宋体" w:cs="宋体" w:eastAsia="宋体" w:hint="default"/>
          <w:sz w:val="20"/>
          <w:szCs w:val="20"/>
        </w:rPr>
        <w:t>投资者名称</w:t>
        <w:tab/>
        <w:t>欠付股利原因</w:t>
        <w:tab/>
      </w:r>
      <w:r>
        <w:rPr>
          <w:rFonts w:ascii="宋体" w:hAnsi="宋体" w:cs="宋体" w:eastAsia="宋体" w:hint="default"/>
          <w:w w:val="95"/>
          <w:sz w:val="20"/>
          <w:szCs w:val="20"/>
        </w:rPr>
        <w:t>年末数</w:t>
        <w:tab/>
        <w:tab/>
        <w:tab/>
      </w:r>
      <w:r>
        <w:rPr>
          <w:rFonts w:ascii="宋体" w:hAnsi="宋体" w:cs="宋体" w:eastAsia="宋体" w:hint="default"/>
          <w:spacing w:val="2"/>
          <w:sz w:val="20"/>
          <w:szCs w:val="20"/>
        </w:rPr>
        <w:t>年初数</w:t>
      </w:r>
      <w:r>
        <w:rPr>
          <w:rFonts w:ascii="宋体" w:hAnsi="宋体" w:cs="宋体" w:eastAsia="宋体" w:hint="default"/>
          <w:spacing w:val="2"/>
          <w:w w:val="99"/>
          <w:sz w:val="20"/>
          <w:szCs w:val="20"/>
        </w:rPr>
        <w:t> </w:t>
      </w:r>
      <w:r>
        <w:rPr>
          <w:rFonts w:ascii="宋体" w:hAnsi="宋体" w:cs="宋体" w:eastAsia="宋体" w:hint="default"/>
          <w:sz w:val="20"/>
          <w:szCs w:val="20"/>
        </w:rPr>
        <w:t>浪潮电子信息产业股份有限公司</w:t>
        <w:tab/>
        <w:tab/>
        <w:tab/>
      </w:r>
      <w:r>
        <w:rPr>
          <w:rFonts w:ascii="Times New Roman" w:hAnsi="Times New Roman" w:cs="Times New Roman" w:eastAsia="Times New Roman" w:hint="default"/>
          <w:w w:val="95"/>
          <w:position w:val="2"/>
          <w:sz w:val="20"/>
          <w:szCs w:val="20"/>
        </w:rPr>
        <w:t>-</w:t>
        <w:tab/>
      </w:r>
      <w:r>
        <w:rPr>
          <w:rFonts w:ascii="Times New Roman" w:hAnsi="Times New Roman" w:cs="Times New Roman" w:eastAsia="Times New Roman" w:hint="default"/>
          <w:position w:val="2"/>
          <w:sz w:val="20"/>
          <w:szCs w:val="20"/>
        </w:rPr>
        <w:t>8,469,746.06</w:t>
      </w:r>
      <w:r>
        <w:rPr>
          <w:rFonts w:ascii="Times New Roman" w:hAnsi="Times New Roman" w:cs="Times New Roman" w:eastAsia="Times New Roman" w:hint="default"/>
          <w:sz w:val="20"/>
          <w:szCs w:val="20"/>
        </w:rPr>
      </w:r>
    </w:p>
    <w:p>
      <w:pPr>
        <w:tabs>
          <w:tab w:pos="4415" w:val="left" w:leader="none"/>
          <w:tab w:pos="6112" w:val="left" w:leader="none"/>
          <w:tab w:pos="7759" w:val="left" w:leader="none"/>
        </w:tabs>
        <w:spacing w:before="14"/>
        <w:ind w:left="183"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济南发展国有工业资产经营公司</w:t>
        <w:tab/>
      </w:r>
      <w:r>
        <w:rPr>
          <w:rFonts w:ascii="宋体" w:hAnsi="宋体" w:cs="宋体" w:eastAsia="宋体" w:hint="default"/>
          <w:w w:val="95"/>
          <w:sz w:val="20"/>
          <w:szCs w:val="20"/>
        </w:rPr>
        <w:t>尚未支付</w:t>
        <w:tab/>
      </w:r>
      <w:r>
        <w:rPr>
          <w:rFonts w:ascii="Times New Roman" w:hAnsi="Times New Roman" w:cs="Times New Roman" w:eastAsia="Times New Roman" w:hint="default"/>
          <w:position w:val="2"/>
          <w:sz w:val="20"/>
          <w:szCs w:val="20"/>
        </w:rPr>
        <w:t>3,099,600.00</w:t>
        <w:tab/>
        <w:t>4,871,914.00</w:t>
      </w:r>
      <w:r>
        <w:rPr>
          <w:rFonts w:ascii="Times New Roman" w:hAnsi="Times New Roman" w:cs="Times New Roman" w:eastAsia="Times New Roman" w:hint="default"/>
          <w:sz w:val="20"/>
          <w:szCs w:val="20"/>
        </w:rPr>
      </w:r>
    </w:p>
    <w:p>
      <w:pPr>
        <w:tabs>
          <w:tab w:pos="6901" w:val="left" w:leader="none"/>
          <w:tab w:pos="7759" w:val="left" w:leader="none"/>
        </w:tabs>
        <w:spacing w:before="90"/>
        <w:ind w:left="183"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北京中嘉华投资咨询有限公司</w:t>
        <w:tab/>
      </w:r>
      <w:r>
        <w:rPr>
          <w:rFonts w:ascii="Times New Roman" w:hAnsi="Times New Roman" w:cs="Times New Roman" w:eastAsia="Times New Roman" w:hint="default"/>
          <w:w w:val="95"/>
          <w:position w:val="2"/>
          <w:sz w:val="20"/>
          <w:szCs w:val="20"/>
        </w:rPr>
        <w:t>-</w:t>
        <w:tab/>
      </w:r>
      <w:r>
        <w:rPr>
          <w:rFonts w:ascii="Times New Roman" w:hAnsi="Times New Roman" w:cs="Times New Roman" w:eastAsia="Times New Roman" w:hint="default"/>
          <w:position w:val="2"/>
          <w:sz w:val="20"/>
          <w:szCs w:val="20"/>
        </w:rPr>
        <w:t>3,050,000.00</w:t>
      </w:r>
      <w:r>
        <w:rPr>
          <w:rFonts w:ascii="Times New Roman" w:hAnsi="Times New Roman" w:cs="Times New Roman" w:eastAsia="Times New Roman" w:hint="default"/>
          <w:sz w:val="20"/>
          <w:szCs w:val="20"/>
        </w:rPr>
      </w:r>
    </w:p>
    <w:p>
      <w:pPr>
        <w:spacing w:line="240" w:lineRule="auto" w:before="6"/>
        <w:rPr>
          <w:rFonts w:ascii="Times New Roman" w:hAnsi="Times New Roman" w:cs="Times New Roman" w:eastAsia="Times New Roman" w:hint="default"/>
          <w:sz w:val="4"/>
          <w:szCs w:val="4"/>
        </w:rPr>
      </w:pPr>
    </w:p>
    <w:p>
      <w:pPr>
        <w:spacing w:line="21" w:lineRule="exact"/>
        <w:ind w:left="5927" w:right="0" w:firstLine="0"/>
        <w:rPr>
          <w:rFonts w:ascii="Times New Roman" w:hAnsi="Times New Roman" w:cs="Times New Roman" w:eastAsia="Times New Roman" w:hint="default"/>
          <w:sz w:val="2"/>
          <w:szCs w:val="2"/>
        </w:rPr>
      </w:pPr>
      <w:r>
        <w:rPr>
          <w:rFonts w:ascii="Times New Roman"/>
          <w:sz w:val="2"/>
        </w:rPr>
        <w:pict>
          <v:group style="width:67pt;height:1.05pt;mso-position-horizontal-relative:char;mso-position-vertical-relative:line" coordorigin="0,0" coordsize="1340,21">
            <v:group style="position:absolute;left:10;top:1;width:1319;height:2" coordorigin="10,1" coordsize="1319,2">
              <v:shape style="position:absolute;left:10;top:1;width:1319;height:2" coordorigin="10,1" coordsize="1319,0" path="m10,1l1328,1e" filled="false" stroked="true" strokeweight=".06pt" strokecolor="#000000">
                <v:path arrowok="t"/>
              </v:shape>
            </v:group>
            <v:group style="position:absolute;left:10;top:11;width:1320;height:2" coordorigin="10,11" coordsize="1320,2">
              <v:shape style="position:absolute;left:10;top:11;width:1320;height:2" coordorigin="10,11" coordsize="1320,0" path="m10,11l1330,11e" filled="false" stroked="true" strokeweight=".95999pt" strokecolor="#000000">
                <v:path arrowok="t"/>
              </v:shape>
            </v:group>
          </v:group>
        </w:pict>
      </w:r>
      <w:r>
        <w:rPr>
          <w:rFonts w:ascii="Times New Roman"/>
          <w:sz w:val="2"/>
        </w:rPr>
      </w:r>
      <w:r>
        <w:rPr>
          <w:rFonts w:ascii="Times New Roman"/>
          <w:spacing w:val="91"/>
          <w:sz w:val="2"/>
        </w:rPr>
        <w:t> </w:t>
      </w:r>
      <w:r>
        <w:rPr>
          <w:rFonts w:ascii="Times New Roman"/>
          <w:spacing w:val="91"/>
          <w:sz w:val="2"/>
        </w:rPr>
        <w:pict>
          <v:group style="width:77.5pt;height:1.05pt;mso-position-horizontal-relative:char;mso-position-vertical-relative:line" coordorigin="0,0" coordsize="1550,21">
            <v:group style="position:absolute;left:10;top:1;width:1530;height:2" coordorigin="10,1" coordsize="1530,2">
              <v:shape style="position:absolute;left:10;top:1;width:1530;height:2" coordorigin="10,1" coordsize="1530,0" path="m10,1l1540,1e" filled="false" stroked="true" strokeweight=".06pt" strokecolor="#000000">
                <v:path arrowok="t"/>
              </v:shape>
            </v:group>
            <v:group style="position:absolute;left:10;top:11;width:1530;height:2" coordorigin="10,11" coordsize="1530,2">
              <v:shape style="position:absolute;left:10;top:11;width:1530;height:2" coordorigin="10,11" coordsize="1530,0" path="m10,11l1540,11e" filled="false" stroked="true" strokeweight=".95999pt" strokecolor="#000000">
                <v:path arrowok="t"/>
              </v:shape>
            </v:group>
          </v:group>
        </w:pict>
      </w:r>
      <w:r>
        <w:rPr>
          <w:rFonts w:ascii="Times New Roman"/>
          <w:spacing w:val="91"/>
          <w:sz w:val="2"/>
        </w:rPr>
      </w:r>
    </w:p>
    <w:p>
      <w:pPr>
        <w:tabs>
          <w:tab w:pos="6112" w:val="left" w:leader="none"/>
          <w:tab w:pos="7659" w:val="left" w:leader="none"/>
        </w:tabs>
        <w:spacing w:before="18"/>
        <w:ind w:left="1727" w:right="0"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合计</w:t>
        <w:tab/>
      </w:r>
      <w:r>
        <w:rPr>
          <w:rFonts w:ascii="Times New Roman" w:hAnsi="Times New Roman" w:cs="Times New Roman" w:eastAsia="Times New Roman" w:hint="default"/>
          <w:position w:val="2"/>
          <w:sz w:val="20"/>
          <w:szCs w:val="20"/>
        </w:rPr>
        <w:t>3,099,600.00</w:t>
        <w:tab/>
        <w:t>16,391,660.06</w:t>
      </w:r>
      <w:r>
        <w:rPr>
          <w:rFonts w:ascii="Times New Roman" w:hAnsi="Times New Roman" w:cs="Times New Roman" w:eastAsia="Times New Roman" w:hint="default"/>
          <w:sz w:val="20"/>
          <w:szCs w:val="20"/>
        </w:rPr>
      </w:r>
    </w:p>
    <w:p>
      <w:pPr>
        <w:spacing w:line="240" w:lineRule="auto" w:before="10"/>
        <w:rPr>
          <w:rFonts w:ascii="Times New Roman" w:hAnsi="Times New Roman" w:cs="Times New Roman" w:eastAsia="Times New Roman" w:hint="default"/>
          <w:sz w:val="2"/>
          <w:szCs w:val="2"/>
        </w:rPr>
      </w:pPr>
    </w:p>
    <w:p>
      <w:pPr>
        <w:spacing w:line="57" w:lineRule="exact"/>
        <w:ind w:left="5927" w:right="0" w:firstLine="0"/>
        <w:rPr>
          <w:rFonts w:ascii="Times New Roman" w:hAnsi="Times New Roman" w:cs="Times New Roman" w:eastAsia="Times New Roman" w:hint="default"/>
          <w:sz w:val="5"/>
          <w:szCs w:val="5"/>
        </w:rPr>
      </w:pPr>
      <w:r>
        <w:rPr>
          <w:rFonts w:ascii="Times New Roman"/>
          <w:position w:val="0"/>
          <w:sz w:val="5"/>
        </w:rPr>
        <w:pict>
          <v:group style="width:67pt;height:2.9pt;mso-position-horizontal-relative:char;mso-position-vertical-relative:line" coordorigin="0,0" coordsize="1340,58">
            <v:group style="position:absolute;left:10;top:10;width:1320;height:2" coordorigin="10,10" coordsize="1320,2">
              <v:shape style="position:absolute;left:10;top:10;width:1320;height:2" coordorigin="10,10" coordsize="1320,0" path="m10,10l1330,10e" filled="false" stroked="true" strokeweight=".96002pt" strokecolor="#000000">
                <v:path arrowok="t"/>
              </v:shape>
            </v:group>
            <v:group style="position:absolute;left:10;top:48;width:1320;height:2" coordorigin="10,48" coordsize="1320,2">
              <v:shape style="position:absolute;left:10;top:48;width:1320;height:2" coordorigin="10,48" coordsize="1320,0" path="m10,48l1330,48e" filled="false" stroked="true" strokeweight=".95999pt" strokecolor="#000000">
                <v:path arrowok="t"/>
              </v:shape>
            </v:group>
          </v:group>
        </w:pict>
      </w:r>
      <w:r>
        <w:rPr>
          <w:rFonts w:ascii="Times New Roman"/>
          <w:position w:val="0"/>
          <w:sz w:val="5"/>
        </w:rPr>
      </w:r>
      <w:r>
        <w:rPr>
          <w:rFonts w:ascii="Times New Roman"/>
          <w:spacing w:val="83"/>
          <w:position w:val="0"/>
          <w:sz w:val="5"/>
        </w:rPr>
        <w:t> </w:t>
      </w:r>
      <w:r>
        <w:rPr>
          <w:rFonts w:ascii="Times New Roman"/>
          <w:spacing w:val="83"/>
          <w:position w:val="0"/>
          <w:sz w:val="5"/>
        </w:rPr>
        <w:pict>
          <v:group style="width:77.5pt;height:2.9pt;mso-position-horizontal-relative:char;mso-position-vertical-relative:line" coordorigin="0,0" coordsize="1550,58">
            <v:group style="position:absolute;left:10;top:10;width:1530;height:2" coordorigin="10,10" coordsize="1530,2">
              <v:shape style="position:absolute;left:10;top:10;width:1530;height:2" coordorigin="10,10" coordsize="1530,0" path="m10,10l1540,10e" filled="false" stroked="true" strokeweight=".96002pt" strokecolor="#000000">
                <v:path arrowok="t"/>
              </v:shape>
            </v:group>
            <v:group style="position:absolute;left:10;top:48;width:1530;height:2" coordorigin="10,48" coordsize="1530,2">
              <v:shape style="position:absolute;left:10;top:48;width:1530;height:2" coordorigin="10,48" coordsize="1530,0" path="m10,48l1540,48e" filled="false" stroked="true" strokeweight=".95999pt" strokecolor="#000000">
                <v:path arrowok="t"/>
              </v:shape>
            </v:group>
          </v:group>
        </w:pict>
      </w:r>
      <w:r>
        <w:rPr>
          <w:rFonts w:ascii="Times New Roman"/>
          <w:spacing w:val="83"/>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pStyle w:val="BodyText"/>
        <w:spacing w:line="240" w:lineRule="auto" w:before="27"/>
        <w:ind w:left="735" w:right="269"/>
        <w:jc w:val="left"/>
      </w:pPr>
      <w:r>
        <w:rPr>
          <w:spacing w:val="-3"/>
        </w:rPr>
        <w:t>注：应付股利期末比期初减少</w:t>
      </w:r>
      <w:r>
        <w:rPr>
          <w:spacing w:val="-51"/>
        </w:rPr>
        <w:t> </w:t>
      </w:r>
      <w:r>
        <w:rPr/>
        <w:t>81.09%，其主要原因是本年支付了上年未支</w:t>
      </w:r>
    </w:p>
    <w:p>
      <w:pPr>
        <w:spacing w:after="0" w:line="240" w:lineRule="auto"/>
        <w:jc w:val="left"/>
        <w:sectPr>
          <w:headerReference w:type="default" r:id="rId51"/>
          <w:pgSz w:w="11910" w:h="16840"/>
          <w:pgMar w:header="840" w:footer="1712" w:top="1160" w:bottom="1900" w:left="1660" w:right="1160"/>
        </w:sectPr>
      </w:pPr>
    </w:p>
    <w:p>
      <w:pPr>
        <w:pStyle w:val="BodyText"/>
        <w:spacing w:line="240" w:lineRule="auto" w:before="13"/>
        <w:ind w:right="59"/>
        <w:jc w:val="left"/>
      </w:pPr>
      <w:r>
        <w:rPr/>
        <w:pict>
          <v:group style="position:absolute;margin-left:88.019981pt;margin-top:41.999668pt;width:419.35pt;height:16.4pt;mso-position-horizontal-relative:page;mso-position-vertical-relative:page;z-index:-59017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t>付的股利所致。</w:t>
      </w:r>
    </w:p>
    <w:p>
      <w:pPr>
        <w:pStyle w:val="Heading3"/>
        <w:spacing w:line="240" w:lineRule="auto" w:before="15"/>
        <w:ind w:left="681" w:right="59"/>
        <w:jc w:val="left"/>
        <w:rPr>
          <w:b w:val="0"/>
          <w:bCs w:val="0"/>
        </w:rPr>
      </w:pPr>
      <w:r>
        <w:rPr>
          <w:w w:val="105"/>
        </w:rPr>
        <w:t>v) </w:t>
      </w:r>
      <w:r>
        <w:rPr>
          <w:spacing w:val="11"/>
          <w:w w:val="105"/>
        </w:rPr>
        <w:t> </w:t>
      </w:r>
      <w:r>
        <w:rPr>
          <w:w w:val="105"/>
        </w:rPr>
        <w:t>其它应付款</w:t>
      </w:r>
      <w:r>
        <w:rPr>
          <w:b w:val="0"/>
          <w:bCs w:val="0"/>
          <w:w w:val="105"/>
        </w:rPr>
      </w:r>
    </w:p>
    <w:p>
      <w:pPr>
        <w:pStyle w:val="BodyText"/>
        <w:spacing w:line="336" w:lineRule="auto" w:before="94"/>
        <w:ind w:right="710" w:firstLine="480"/>
        <w:jc w:val="both"/>
      </w:pPr>
      <w:r>
        <w:rPr>
          <w:spacing w:val="-7"/>
        </w:rPr>
        <w:t>（1）截至</w:t>
      </w:r>
      <w:r>
        <w:rPr>
          <w:spacing w:val="-59"/>
        </w:rPr>
        <w:t> </w:t>
      </w:r>
      <w:r>
        <w:rPr/>
        <w:t>2007</w:t>
      </w:r>
      <w:r>
        <w:rPr>
          <w:spacing w:val="-58"/>
        </w:rPr>
        <w:t> </w:t>
      </w:r>
      <w:r>
        <w:rPr/>
        <w:t>年</w:t>
      </w:r>
      <w:r>
        <w:rPr>
          <w:spacing w:val="-59"/>
        </w:rPr>
        <w:t> </w:t>
      </w:r>
      <w:r>
        <w:rPr/>
        <w:t>12</w:t>
      </w:r>
      <w:r>
        <w:rPr>
          <w:spacing w:val="-58"/>
        </w:rPr>
        <w:t> </w:t>
      </w:r>
      <w:r>
        <w:rPr/>
        <w:t>月</w:t>
      </w:r>
      <w:r>
        <w:rPr>
          <w:spacing w:val="-59"/>
        </w:rPr>
        <w:t> </w:t>
      </w:r>
      <w:r>
        <w:rPr/>
        <w:t>31</w:t>
      </w:r>
      <w:r>
        <w:rPr>
          <w:spacing w:val="-58"/>
        </w:rPr>
        <w:t> </w:t>
      </w:r>
      <w:r>
        <w:rPr>
          <w:spacing w:val="-4"/>
        </w:rPr>
        <w:t>日，其它应付款年末数为</w:t>
      </w:r>
      <w:r>
        <w:rPr>
          <w:spacing w:val="-59"/>
        </w:rPr>
        <w:t> </w:t>
      </w:r>
      <w:r>
        <w:rPr/>
        <w:t>12,961,513.30</w:t>
      </w:r>
      <w:r>
        <w:rPr>
          <w:spacing w:val="-58"/>
        </w:rPr>
        <w:t> </w:t>
      </w:r>
      <w:r>
        <w:rPr>
          <w:spacing w:val="-11"/>
        </w:rPr>
        <w:t>元，比</w:t>
      </w:r>
      <w:r>
        <w:rPr>
          <w:w w:val="100"/>
        </w:rPr>
        <w:t> </w:t>
      </w:r>
      <w:r>
        <w:rPr/>
        <w:t>年初数</w:t>
      </w:r>
      <w:r>
        <w:rPr>
          <w:spacing w:val="-31"/>
        </w:rPr>
        <w:t> </w:t>
      </w:r>
      <w:r>
        <w:rPr/>
        <w:t>4,742,460.79</w:t>
      </w:r>
      <w:r>
        <w:rPr>
          <w:spacing w:val="-31"/>
        </w:rPr>
        <w:t> </w:t>
      </w:r>
      <w:r>
        <w:rPr/>
        <w:t>元增加</w:t>
      </w:r>
      <w:r>
        <w:rPr>
          <w:spacing w:val="-31"/>
        </w:rPr>
        <w:t> </w:t>
      </w:r>
      <w:r>
        <w:rPr/>
        <w:t>173.31%，其主要原因是期末尚未支付的设备款及</w:t>
      </w:r>
      <w:r>
        <w:rPr>
          <w:spacing w:val="-1"/>
          <w:w w:val="100"/>
        </w:rPr>
        <w:t> </w:t>
      </w:r>
      <w:r>
        <w:rPr/>
        <w:t>工程款增加较多。</w:t>
      </w:r>
    </w:p>
    <w:p>
      <w:pPr>
        <w:pStyle w:val="BodyText"/>
        <w:spacing w:line="336" w:lineRule="auto" w:before="29"/>
        <w:ind w:right="697" w:firstLine="480"/>
        <w:jc w:val="both"/>
      </w:pPr>
      <w:r>
        <w:rPr>
          <w:spacing w:val="-11"/>
        </w:rPr>
        <w:t>（2）其它应付款年末数中无应付持本公司 </w:t>
      </w:r>
      <w:r>
        <w:rPr>
          <w:spacing w:val="-9"/>
        </w:rPr>
        <w:t>5%（含</w:t>
      </w:r>
      <w:r>
        <w:rPr>
          <w:spacing w:val="-1"/>
        </w:rPr>
        <w:t> </w:t>
      </w:r>
      <w:r>
        <w:rPr>
          <w:spacing w:val="-15"/>
        </w:rPr>
        <w:t>5%）以上有表决权股份的股</w:t>
      </w:r>
      <w:r>
        <w:rPr>
          <w:w w:val="100"/>
        </w:rPr>
        <w:t> </w:t>
      </w:r>
      <w:r>
        <w:rPr>
          <w:spacing w:val="-18"/>
        </w:rPr>
        <w:t>东单位款项。</w:t>
      </w:r>
      <w:r>
        <w:rPr/>
      </w:r>
    </w:p>
    <w:p>
      <w:pPr>
        <w:pStyle w:val="BodyText"/>
        <w:spacing w:line="240" w:lineRule="auto"/>
        <w:ind w:left="585" w:right="59"/>
        <w:jc w:val="left"/>
      </w:pPr>
      <w:r>
        <w:rPr>
          <w:spacing w:val="-4"/>
        </w:rPr>
        <w:t>（3）其它应付款年末数中不包括应付其它关联方的款项。</w:t>
      </w:r>
      <w:r>
        <w:rPr/>
      </w:r>
    </w:p>
    <w:p>
      <w:pPr>
        <w:pStyle w:val="BodyText"/>
        <w:spacing w:line="240" w:lineRule="auto" w:before="125"/>
        <w:ind w:left="617" w:right="59"/>
        <w:jc w:val="left"/>
      </w:pPr>
      <w:r>
        <w:rPr/>
        <w:t>（4）截至</w:t>
      </w:r>
      <w:r>
        <w:rPr>
          <w:spacing w:val="-62"/>
        </w:rPr>
        <w:t> </w:t>
      </w:r>
      <w:r>
        <w:rPr/>
        <w:t>2007</w:t>
      </w:r>
      <w:r>
        <w:rPr>
          <w:spacing w:val="-61"/>
        </w:rPr>
        <w:t> </w:t>
      </w:r>
      <w:r>
        <w:rPr/>
        <w:t>年</w:t>
      </w:r>
      <w:r>
        <w:rPr>
          <w:spacing w:val="-62"/>
        </w:rPr>
        <w:t> </w:t>
      </w:r>
      <w:r>
        <w:rPr/>
        <w:t>12</w:t>
      </w:r>
      <w:r>
        <w:rPr>
          <w:spacing w:val="-61"/>
        </w:rPr>
        <w:t> </w:t>
      </w:r>
      <w:r>
        <w:rPr/>
        <w:t>月</w:t>
      </w:r>
      <w:r>
        <w:rPr>
          <w:spacing w:val="-62"/>
        </w:rPr>
        <w:t> </w:t>
      </w:r>
      <w:r>
        <w:rPr/>
        <w:t>31</w:t>
      </w:r>
      <w:r>
        <w:rPr>
          <w:spacing w:val="-61"/>
        </w:rPr>
        <w:t> </w:t>
      </w:r>
      <w:r>
        <w:rPr/>
        <w:t>日，无账龄超过</w:t>
      </w:r>
      <w:r>
        <w:rPr>
          <w:spacing w:val="-62"/>
        </w:rPr>
        <w:t> </w:t>
      </w:r>
      <w:r>
        <w:rPr/>
        <w:t>1</w:t>
      </w:r>
      <w:r>
        <w:rPr>
          <w:spacing w:val="-61"/>
        </w:rPr>
        <w:t> </w:t>
      </w:r>
      <w:r>
        <w:rPr/>
        <w:t>年的大额其它应付款。</w:t>
      </w:r>
    </w:p>
    <w:p>
      <w:pPr>
        <w:spacing w:line="240" w:lineRule="auto" w:before="10"/>
        <w:rPr>
          <w:rFonts w:ascii="宋体" w:hAnsi="宋体" w:cs="宋体" w:eastAsia="宋体" w:hint="default"/>
          <w:sz w:val="16"/>
          <w:szCs w:val="16"/>
        </w:rPr>
      </w:pPr>
    </w:p>
    <w:tbl>
      <w:tblPr>
        <w:tblW w:w="0" w:type="auto"/>
        <w:jc w:val="left"/>
        <w:tblInd w:w="147" w:type="dxa"/>
        <w:tblLayout w:type="fixed"/>
        <w:tblCellMar>
          <w:top w:w="0" w:type="dxa"/>
          <w:left w:w="0" w:type="dxa"/>
          <w:bottom w:w="0" w:type="dxa"/>
          <w:right w:w="0" w:type="dxa"/>
        </w:tblCellMar>
        <w:tblLook w:val="01E0"/>
      </w:tblPr>
      <w:tblGrid>
        <w:gridCol w:w="3428"/>
        <w:gridCol w:w="790"/>
        <w:gridCol w:w="1843"/>
        <w:gridCol w:w="790"/>
        <w:gridCol w:w="1992"/>
      </w:tblGrid>
      <w:tr>
        <w:trPr>
          <w:trHeight w:val="757" w:hRule="exact"/>
        </w:trPr>
        <w:tc>
          <w:tcPr>
            <w:tcW w:w="3428" w:type="dxa"/>
            <w:tcBorders>
              <w:top w:val="nil" w:sz="6" w:space="0" w:color="auto"/>
              <w:left w:val="nil" w:sz="6" w:space="0" w:color="auto"/>
              <w:bottom w:val="single" w:sz="8" w:space="0" w:color="000000"/>
              <w:right w:val="nil" w:sz="6" w:space="0" w:color="auto"/>
            </w:tcBorders>
          </w:tcPr>
          <w:p>
            <w:pPr>
              <w:pStyle w:val="TableParagraph"/>
              <w:spacing w:line="240" w:lineRule="auto" w:before="27"/>
              <w:ind w:left="32" w:right="0"/>
              <w:jc w:val="center"/>
              <w:rPr>
                <w:rFonts w:ascii="宋体" w:hAnsi="宋体" w:cs="宋体" w:eastAsia="宋体" w:hint="default"/>
                <w:sz w:val="24"/>
                <w:szCs w:val="24"/>
              </w:rPr>
            </w:pPr>
            <w:r>
              <w:rPr>
                <w:rFonts w:ascii="宋体" w:hAnsi="宋体" w:cs="宋体" w:eastAsia="宋体" w:hint="default"/>
                <w:sz w:val="24"/>
                <w:szCs w:val="24"/>
              </w:rPr>
              <w:t>（5）大额的其它应付款</w:t>
            </w:r>
          </w:p>
          <w:p>
            <w:pPr>
              <w:pStyle w:val="TableParagraph"/>
              <w:spacing w:line="240" w:lineRule="auto" w:before="92"/>
              <w:ind w:left="115" w:right="0"/>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790"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12"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790"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13" w:right="0"/>
              <w:jc w:val="center"/>
              <w:rPr>
                <w:rFonts w:ascii="宋体" w:hAnsi="宋体" w:cs="宋体" w:eastAsia="宋体" w:hint="default"/>
                <w:sz w:val="20"/>
                <w:szCs w:val="20"/>
              </w:rPr>
            </w:pPr>
            <w:r>
              <w:rPr>
                <w:rFonts w:ascii="宋体" w:hAnsi="宋体" w:cs="宋体" w:eastAsia="宋体" w:hint="default"/>
                <w:sz w:val="20"/>
                <w:szCs w:val="20"/>
              </w:rPr>
              <w:t>性质（或内容）</w:t>
            </w:r>
          </w:p>
        </w:tc>
      </w:tr>
      <w:tr>
        <w:trPr>
          <w:trHeight w:val="349" w:hRule="exact"/>
        </w:trPr>
        <w:tc>
          <w:tcPr>
            <w:tcW w:w="3428" w:type="dxa"/>
            <w:tcBorders>
              <w:top w:val="single" w:sz="8" w:space="0" w:color="000000"/>
              <w:left w:val="nil" w:sz="6" w:space="0" w:color="auto"/>
              <w:bottom w:val="nil" w:sz="6" w:space="0" w:color="auto"/>
              <w:right w:val="nil" w:sz="6" w:space="0" w:color="auto"/>
            </w:tcBorders>
          </w:tcPr>
          <w:p>
            <w:pPr>
              <w:pStyle w:val="TableParagraph"/>
              <w:spacing w:line="240" w:lineRule="auto" w:before="41"/>
              <w:ind w:left="136" w:right="0"/>
              <w:jc w:val="left"/>
              <w:rPr>
                <w:rFonts w:ascii="Times New Roman" w:hAnsi="Times New Roman" w:cs="Times New Roman" w:eastAsia="Times New Roman" w:hint="default"/>
                <w:sz w:val="20"/>
                <w:szCs w:val="20"/>
              </w:rPr>
            </w:pPr>
            <w:r>
              <w:rPr>
                <w:rFonts w:ascii="Times New Roman"/>
                <w:sz w:val="20"/>
              </w:rPr>
              <w:t>KERN</w:t>
            </w:r>
          </w:p>
        </w:tc>
        <w:tc>
          <w:tcPr>
            <w:tcW w:w="790" w:type="dxa"/>
            <w:tcBorders>
              <w:top w:val="nil" w:sz="6" w:space="0" w:color="auto"/>
              <w:left w:val="nil" w:sz="6" w:space="0" w:color="auto"/>
              <w:bottom w:val="nil" w:sz="6" w:space="0" w:color="auto"/>
              <w:right w:val="nil" w:sz="6" w:space="0" w:color="auto"/>
            </w:tcBorders>
          </w:tcPr>
          <w:p>
            <w:pPr/>
          </w:p>
        </w:tc>
        <w:tc>
          <w:tcPr>
            <w:tcW w:w="1843" w:type="dxa"/>
            <w:tcBorders>
              <w:top w:val="single" w:sz="8" w:space="0" w:color="000000"/>
              <w:left w:val="nil" w:sz="6" w:space="0" w:color="auto"/>
              <w:bottom w:val="nil" w:sz="6" w:space="0" w:color="auto"/>
              <w:right w:val="nil" w:sz="6" w:space="0" w:color="auto"/>
            </w:tcBorders>
          </w:tcPr>
          <w:p>
            <w:pPr>
              <w:pStyle w:val="TableParagraph"/>
              <w:spacing w:line="240" w:lineRule="auto" w:before="41"/>
              <w:ind w:right="86"/>
              <w:jc w:val="right"/>
              <w:rPr>
                <w:rFonts w:ascii="Times New Roman" w:hAnsi="Times New Roman" w:cs="Times New Roman" w:eastAsia="Times New Roman" w:hint="default"/>
                <w:sz w:val="20"/>
                <w:szCs w:val="20"/>
              </w:rPr>
            </w:pPr>
            <w:r>
              <w:rPr>
                <w:rFonts w:ascii="Times New Roman"/>
                <w:sz w:val="20"/>
              </w:rPr>
              <w:t>4,224,092.40</w:t>
            </w:r>
          </w:p>
        </w:tc>
        <w:tc>
          <w:tcPr>
            <w:tcW w:w="790" w:type="dxa"/>
            <w:tcBorders>
              <w:top w:val="nil" w:sz="6" w:space="0" w:color="auto"/>
              <w:left w:val="nil" w:sz="6" w:space="0" w:color="auto"/>
              <w:bottom w:val="nil" w:sz="6" w:space="0" w:color="auto"/>
              <w:right w:val="nil" w:sz="6" w:space="0" w:color="auto"/>
            </w:tcBorders>
          </w:tcPr>
          <w:p>
            <w:pPr/>
          </w:p>
        </w:tc>
        <w:tc>
          <w:tcPr>
            <w:tcW w:w="1992"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left="12" w:right="0"/>
              <w:jc w:val="center"/>
              <w:rPr>
                <w:rFonts w:ascii="宋体" w:hAnsi="宋体" w:cs="宋体" w:eastAsia="宋体" w:hint="default"/>
                <w:sz w:val="20"/>
                <w:szCs w:val="20"/>
              </w:rPr>
            </w:pPr>
            <w:r>
              <w:rPr>
                <w:rFonts w:ascii="宋体" w:hAnsi="宋体" w:cs="宋体" w:eastAsia="宋体" w:hint="default"/>
                <w:sz w:val="20"/>
                <w:szCs w:val="20"/>
              </w:rPr>
              <w:t>设备款</w:t>
            </w:r>
          </w:p>
        </w:tc>
      </w:tr>
      <w:tr>
        <w:trPr>
          <w:trHeight w:val="331"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6" w:right="0"/>
              <w:jc w:val="left"/>
              <w:rPr>
                <w:rFonts w:ascii="宋体" w:hAnsi="宋体" w:cs="宋体" w:eastAsia="宋体" w:hint="default"/>
                <w:sz w:val="20"/>
                <w:szCs w:val="20"/>
              </w:rPr>
            </w:pPr>
            <w:r>
              <w:rPr>
                <w:rFonts w:ascii="宋体" w:hAnsi="宋体" w:cs="宋体" w:eastAsia="宋体" w:hint="default"/>
                <w:sz w:val="20"/>
                <w:szCs w:val="20"/>
              </w:rPr>
              <w:t>经纶科技有限公司</w:t>
            </w:r>
          </w:p>
        </w:tc>
        <w:tc>
          <w:tcPr>
            <w:tcW w:w="790"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5"/>
              <w:jc w:val="right"/>
              <w:rPr>
                <w:rFonts w:ascii="Times New Roman" w:hAnsi="Times New Roman" w:cs="Times New Roman" w:eastAsia="Times New Roman" w:hint="default"/>
                <w:sz w:val="20"/>
                <w:szCs w:val="20"/>
              </w:rPr>
            </w:pPr>
            <w:r>
              <w:rPr>
                <w:rFonts w:ascii="Times New Roman"/>
                <w:sz w:val="20"/>
              </w:rPr>
              <w:t>2,688,092.80</w:t>
            </w:r>
          </w:p>
        </w:tc>
        <w:tc>
          <w:tcPr>
            <w:tcW w:w="790"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 w:right="0"/>
              <w:jc w:val="center"/>
              <w:rPr>
                <w:rFonts w:ascii="宋体" w:hAnsi="宋体" w:cs="宋体" w:eastAsia="宋体" w:hint="default"/>
                <w:sz w:val="20"/>
                <w:szCs w:val="20"/>
              </w:rPr>
            </w:pPr>
            <w:r>
              <w:rPr>
                <w:rFonts w:ascii="宋体" w:hAnsi="宋体" w:cs="宋体" w:eastAsia="宋体" w:hint="default"/>
                <w:sz w:val="20"/>
                <w:szCs w:val="20"/>
              </w:rPr>
              <w:t>设备款</w:t>
            </w:r>
          </w:p>
        </w:tc>
      </w:tr>
      <w:tr>
        <w:trPr>
          <w:trHeight w:val="302" w:hRule="exact"/>
        </w:trPr>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ind w:left="136" w:right="0"/>
              <w:jc w:val="left"/>
              <w:rPr>
                <w:rFonts w:ascii="宋体" w:hAnsi="宋体" w:cs="宋体" w:eastAsia="宋体" w:hint="default"/>
                <w:sz w:val="20"/>
                <w:szCs w:val="20"/>
              </w:rPr>
            </w:pPr>
            <w:r>
              <w:rPr>
                <w:rFonts w:ascii="宋体" w:hAnsi="宋体" w:cs="宋体" w:eastAsia="宋体" w:hint="default"/>
                <w:sz w:val="20"/>
                <w:szCs w:val="20"/>
              </w:rPr>
              <w:t>广东建鑫建筑有限公司</w:t>
            </w:r>
          </w:p>
        </w:tc>
        <w:tc>
          <w:tcPr>
            <w:tcW w:w="790"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right="85"/>
              <w:jc w:val="right"/>
              <w:rPr>
                <w:rFonts w:ascii="Times New Roman" w:hAnsi="Times New Roman" w:cs="Times New Roman" w:eastAsia="Times New Roman" w:hint="default"/>
                <w:sz w:val="20"/>
                <w:szCs w:val="20"/>
              </w:rPr>
            </w:pPr>
            <w:r>
              <w:rPr>
                <w:rFonts w:ascii="Times New Roman"/>
                <w:sz w:val="20"/>
              </w:rPr>
              <w:t>2,931,129.00</w:t>
            </w:r>
          </w:p>
        </w:tc>
        <w:tc>
          <w:tcPr>
            <w:tcW w:w="790"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ind w:left="12" w:right="0"/>
              <w:jc w:val="center"/>
              <w:rPr>
                <w:rFonts w:ascii="宋体" w:hAnsi="宋体" w:cs="宋体" w:eastAsia="宋体" w:hint="default"/>
                <w:sz w:val="20"/>
                <w:szCs w:val="20"/>
              </w:rPr>
            </w:pPr>
            <w:r>
              <w:rPr>
                <w:rFonts w:ascii="宋体" w:hAnsi="宋体" w:cs="宋体" w:eastAsia="宋体" w:hint="default"/>
                <w:sz w:val="20"/>
                <w:szCs w:val="20"/>
              </w:rPr>
              <w:t>工程款</w:t>
            </w:r>
          </w:p>
        </w:tc>
      </w:tr>
      <w:tr>
        <w:trPr>
          <w:trHeight w:val="353" w:hRule="exact"/>
        </w:trPr>
        <w:tc>
          <w:tcPr>
            <w:tcW w:w="3428" w:type="dxa"/>
            <w:tcBorders>
              <w:top w:val="nil" w:sz="6" w:space="0" w:color="auto"/>
              <w:left w:val="nil" w:sz="6" w:space="0" w:color="auto"/>
              <w:bottom w:val="nil" w:sz="6" w:space="0" w:color="auto"/>
              <w:right w:val="nil" w:sz="6" w:space="0" w:color="auto"/>
            </w:tcBorders>
          </w:tcPr>
          <w:p>
            <w:pPr>
              <w:pStyle w:val="TableParagraph"/>
              <w:tabs>
                <w:tab w:pos="715" w:val="left" w:leader="none"/>
              </w:tabs>
              <w:spacing w:line="240" w:lineRule="auto" w:before="29"/>
              <w:ind w:left="11"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790" w:type="dxa"/>
            <w:tcBorders>
              <w:top w:val="nil" w:sz="6" w:space="0" w:color="auto"/>
              <w:left w:val="nil" w:sz="6" w:space="0" w:color="auto"/>
              <w:bottom w:val="nil" w:sz="6" w:space="0" w:color="auto"/>
              <w:right w:val="nil" w:sz="6" w:space="0" w:color="auto"/>
            </w:tcBorders>
          </w:tcPr>
          <w:p>
            <w:pPr/>
          </w:p>
        </w:tc>
        <w:tc>
          <w:tcPr>
            <w:tcW w:w="1843" w:type="dxa"/>
            <w:tcBorders>
              <w:top w:val="single" w:sz="8" w:space="0" w:color="000000"/>
              <w:left w:val="nil" w:sz="6" w:space="0" w:color="auto"/>
              <w:bottom w:val="single" w:sz="23" w:space="0" w:color="000000"/>
              <w:right w:val="nil" w:sz="6" w:space="0" w:color="auto"/>
            </w:tcBorders>
          </w:tcPr>
          <w:p>
            <w:pPr>
              <w:pStyle w:val="TableParagraph"/>
              <w:spacing w:line="240" w:lineRule="auto" w:before="48"/>
              <w:ind w:right="85"/>
              <w:jc w:val="right"/>
              <w:rPr>
                <w:rFonts w:ascii="Times New Roman" w:hAnsi="Times New Roman" w:cs="Times New Roman" w:eastAsia="Times New Roman" w:hint="default"/>
                <w:sz w:val="20"/>
                <w:szCs w:val="20"/>
              </w:rPr>
            </w:pPr>
            <w:r>
              <w:rPr>
                <w:rFonts w:ascii="Times New Roman"/>
                <w:sz w:val="20"/>
              </w:rPr>
              <w:t>9,843,314.20</w:t>
            </w:r>
          </w:p>
        </w:tc>
        <w:tc>
          <w:tcPr>
            <w:tcW w:w="790"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3"/>
        <w:spacing w:line="368" w:lineRule="exact"/>
        <w:ind w:left="681" w:right="59"/>
        <w:jc w:val="left"/>
        <w:rPr>
          <w:b w:val="0"/>
          <w:bCs w:val="0"/>
        </w:rPr>
      </w:pPr>
      <w:r>
        <w:rPr/>
        <w:t>w) </w:t>
      </w:r>
      <w:r>
        <w:rPr>
          <w:spacing w:val="24"/>
        </w:rPr>
        <w:t> </w:t>
      </w:r>
      <w:r>
        <w:rPr/>
        <w:t>一年内到期的非流动负债</w:t>
      </w:r>
      <w:r>
        <w:rPr>
          <w:b w:val="0"/>
          <w:bCs w:val="0"/>
        </w:rPr>
      </w:r>
    </w:p>
    <w:p>
      <w:pPr>
        <w:pStyle w:val="BodyText"/>
        <w:spacing w:line="240" w:lineRule="auto" w:before="94"/>
        <w:ind w:left="617" w:right="59"/>
        <w:jc w:val="left"/>
      </w:pPr>
      <w:r>
        <w:rPr/>
        <w:t>（1）一年内到期的长期负债明细情况</w:t>
      </w:r>
    </w:p>
    <w:p>
      <w:pPr>
        <w:tabs>
          <w:tab w:pos="1990" w:val="left" w:leader="none"/>
          <w:tab w:pos="5082" w:val="left" w:leader="none"/>
          <w:tab w:pos="6035" w:val="left" w:leader="none"/>
          <w:tab w:pos="7799" w:val="left" w:leader="none"/>
          <w:tab w:pos="7900" w:val="left" w:leader="none"/>
        </w:tabs>
        <w:spacing w:line="338" w:lineRule="auto" w:before="200"/>
        <w:ind w:left="284" w:right="207" w:firstLine="1303"/>
        <w:jc w:val="left"/>
        <w:rPr>
          <w:rFonts w:ascii="Times New Roman" w:hAnsi="Times New Roman" w:cs="Times New Roman" w:eastAsia="Times New Roman" w:hint="default"/>
          <w:sz w:val="20"/>
          <w:szCs w:val="20"/>
        </w:rPr>
      </w:pPr>
      <w:r>
        <w:rPr/>
        <w:pict>
          <v:group style="position:absolute;margin-left:89.880005pt;margin-top:26.089973pt;width:174.4pt;height:1.05pt;mso-position-horizontal-relative:page;mso-position-vertical-relative:paragraph;z-index:-590152" coordorigin="1798,522" coordsize="3488,21">
            <v:group style="position:absolute;left:1807;top:522;width:3467;height:2" coordorigin="1807,522" coordsize="3467,2">
              <v:shape style="position:absolute;left:1807;top:522;width:3467;height:2" coordorigin="1807,522" coordsize="3467,0" path="m1807,522l5274,522e" filled="false" stroked="true" strokeweight=".06pt" strokecolor="#000000">
                <v:path arrowok="t"/>
              </v:shape>
            </v:group>
            <v:group style="position:absolute;left:1807;top:533;width:3468;height:2" coordorigin="1807,533" coordsize="3468,2">
              <v:shape style="position:absolute;left:1807;top:533;width:3468;height:2" coordorigin="1807,533" coordsize="3468,0" path="m1807,533l5275,533e" filled="false" stroked="true" strokeweight=".95999pt" strokecolor="#000000">
                <v:path arrowok="t"/>
              </v:shape>
            </v:group>
            <w10:wrap type="none"/>
          </v:group>
        </w:pict>
      </w:r>
      <w:r>
        <w:rPr/>
        <w:pict>
          <v:group style="position:absolute;margin-left:300.720001pt;margin-top:26.089973pt;width:102.3pt;height:1.05pt;mso-position-horizontal-relative:page;mso-position-vertical-relative:paragraph;z-index:-590128" coordorigin="6014,522" coordsize="2046,21">
            <v:group style="position:absolute;left:6023;top:522;width:2028;height:2" coordorigin="6023,522" coordsize="2028,2">
              <v:shape style="position:absolute;left:6023;top:522;width:2028;height:2" coordorigin="6023,522" coordsize="2028,0" path="m6023,522l8051,522e" filled="false" stroked="true" strokeweight=".06pt" strokecolor="#000000">
                <v:path arrowok="t"/>
              </v:shape>
            </v:group>
            <v:group style="position:absolute;left:6024;top:533;width:2027;height:2" coordorigin="6024,533" coordsize="2027,2">
              <v:shape style="position:absolute;left:6024;top:533;width:2027;height:2" coordorigin="6024,533" coordsize="2027,0" path="m6024,533l8051,533e" filled="false" stroked="true" strokeweight=".95999pt" strokecolor="#000000">
                <v:path arrowok="t"/>
              </v:shape>
            </v:group>
            <w10:wrap type="none"/>
          </v:group>
        </w:pict>
      </w:r>
      <w:r>
        <w:rPr/>
        <w:pict>
          <v:group style="position:absolute;margin-left:300.720001pt;margin-top:44.569973pt;width:102.3pt;height:1.05pt;mso-position-horizontal-relative:page;mso-position-vertical-relative:paragraph;z-index:-590104" coordorigin="6014,891" coordsize="2046,21">
            <v:group style="position:absolute;left:6023;top:892;width:2028;height:2" coordorigin="6023,892" coordsize="2028,2">
              <v:shape style="position:absolute;left:6023;top:892;width:2028;height:2" coordorigin="6023,892" coordsize="2028,0" path="m6023,892l8051,892e" filled="false" stroked="true" strokeweight=".06pt" strokecolor="#000000">
                <v:path arrowok="t"/>
              </v:shape>
            </v:group>
            <v:group style="position:absolute;left:6024;top:903;width:2027;height:2" coordorigin="6024,903" coordsize="2027,2">
              <v:shape style="position:absolute;left:6024;top:903;width:2027;height:2" coordorigin="6024,903" coordsize="2027,0" path="m6024,903l8051,903e" filled="false" stroked="true" strokeweight=".95999pt" strokecolor="#000000">
                <v:path arrowok="t"/>
              </v:shape>
            </v:group>
            <w10:wrap type="none"/>
          </v:group>
        </w:pict>
      </w:r>
      <w:r>
        <w:rPr/>
        <w:pict>
          <v:group style="position:absolute;margin-left:439.5pt;margin-top:26.089973pt;width:96.4pt;height:1.05pt;mso-position-horizontal-relative:page;mso-position-vertical-relative:paragraph;z-index:-590080" coordorigin="8790,522" coordsize="1928,21">
            <v:group style="position:absolute;left:8800;top:522;width:1907;height:2" coordorigin="8800,522" coordsize="1907,2">
              <v:shape style="position:absolute;left:8800;top:522;width:1907;height:2" coordorigin="8800,522" coordsize="1907,0" path="m8800,522l10706,522e" filled="false" stroked="true" strokeweight=".06pt" strokecolor="#000000">
                <v:path arrowok="t"/>
              </v:shape>
            </v:group>
            <v:group style="position:absolute;left:8800;top:533;width:1908;height:2" coordorigin="8800,533" coordsize="1908,2">
              <v:shape style="position:absolute;left:8800;top:533;width:1908;height:2" coordorigin="8800,533" coordsize="1908,0" path="m8800,533l10708,533e" filled="false" stroked="true" strokeweight=".95999pt" strokecolor="#000000">
                <v:path arrowok="t"/>
              </v:shape>
            </v:group>
            <w10:wrap type="none"/>
          </v:group>
        </w:pict>
      </w:r>
      <w:r>
        <w:rPr/>
        <w:pict>
          <v:group style="position:absolute;margin-left:439.5pt;margin-top:44.569973pt;width:96.4pt;height:1.05pt;mso-position-horizontal-relative:page;mso-position-vertical-relative:paragraph;z-index:-590056" coordorigin="8790,891" coordsize="1928,21">
            <v:group style="position:absolute;left:8800;top:892;width:1907;height:2" coordorigin="8800,892" coordsize="1907,2">
              <v:shape style="position:absolute;left:8800;top:892;width:1907;height:2" coordorigin="8800,892" coordsize="1907,0" path="m8800,892l10706,892e" filled="false" stroked="true" strokeweight=".06pt" strokecolor="#000000">
                <v:path arrowok="t"/>
              </v:shape>
            </v:group>
            <v:group style="position:absolute;left:8800;top:903;width:1908;height:2" coordorigin="8800,903" coordsize="1908,2">
              <v:shape style="position:absolute;left:8800;top:903;width:1908;height:2" coordorigin="8800,903" coordsize="1908,0" path="m8800,903l10708,903e" filled="false" stroked="true" strokeweight=".95999pt" strokecolor="#000000">
                <v:path arrowok="t"/>
              </v:shape>
            </v:group>
            <w10:wrap type="none"/>
          </v:group>
        </w:pict>
      </w:r>
      <w:r>
        <w:rPr>
          <w:rFonts w:ascii="宋体" w:hAnsi="宋体" w:cs="宋体" w:eastAsia="宋体" w:hint="default"/>
          <w:w w:val="95"/>
          <w:sz w:val="20"/>
          <w:szCs w:val="20"/>
        </w:rPr>
        <w:t>项</w:t>
        <w:tab/>
        <w:t>目</w:t>
        <w:tab/>
      </w:r>
      <w:r>
        <w:rPr>
          <w:rFonts w:ascii="宋体" w:hAnsi="宋体" w:cs="宋体" w:eastAsia="宋体" w:hint="default"/>
          <w:sz w:val="20"/>
          <w:szCs w:val="20"/>
        </w:rPr>
        <w:t>年末数</w:t>
        <w:tab/>
        <w:tab/>
      </w:r>
      <w:r>
        <w:rPr>
          <w:rFonts w:ascii="宋体" w:hAnsi="宋体" w:cs="宋体" w:eastAsia="宋体" w:hint="default"/>
          <w:spacing w:val="2"/>
          <w:sz w:val="20"/>
          <w:szCs w:val="20"/>
        </w:rPr>
        <w:t>年初数</w:t>
      </w:r>
      <w:r>
        <w:rPr>
          <w:rFonts w:ascii="宋体" w:hAnsi="宋体" w:cs="宋体" w:eastAsia="宋体" w:hint="default"/>
          <w:spacing w:val="2"/>
          <w:w w:val="99"/>
          <w:sz w:val="20"/>
          <w:szCs w:val="20"/>
        </w:rPr>
        <w:t> </w:t>
      </w:r>
      <w:r>
        <w:rPr>
          <w:rFonts w:ascii="宋体" w:hAnsi="宋体" w:cs="宋体" w:eastAsia="宋体" w:hint="default"/>
          <w:sz w:val="20"/>
          <w:szCs w:val="20"/>
        </w:rPr>
        <w:t>一年内到期的长期应付款</w:t>
        <w:tab/>
        <w:tab/>
      </w:r>
      <w:r>
        <w:rPr>
          <w:rFonts w:ascii="Times New Roman" w:hAnsi="Times New Roman" w:cs="Times New Roman" w:eastAsia="Times New Roman" w:hint="default"/>
          <w:w w:val="95"/>
          <w:position w:val="2"/>
          <w:sz w:val="20"/>
          <w:szCs w:val="20"/>
        </w:rPr>
        <w:t>-</w:t>
        <w:tab/>
        <w:tab/>
      </w:r>
      <w:r>
        <w:rPr>
          <w:rFonts w:ascii="Times New Roman" w:hAnsi="Times New Roman" w:cs="Times New Roman" w:eastAsia="Times New Roman" w:hint="default"/>
          <w:position w:val="2"/>
          <w:sz w:val="20"/>
          <w:szCs w:val="20"/>
        </w:rPr>
        <w:t>3,595,487.32</w:t>
      </w:r>
      <w:r>
        <w:rPr>
          <w:rFonts w:ascii="Times New Roman" w:hAnsi="Times New Roman" w:cs="Times New Roman" w:eastAsia="Times New Roman" w:hint="default"/>
          <w:sz w:val="20"/>
          <w:szCs w:val="20"/>
        </w:rPr>
      </w:r>
    </w:p>
    <w:p>
      <w:pPr>
        <w:tabs>
          <w:tab w:pos="1990" w:val="left" w:leader="none"/>
          <w:tab w:pos="6035" w:val="left" w:leader="none"/>
          <w:tab w:pos="7900" w:val="left" w:leader="none"/>
        </w:tabs>
        <w:spacing w:before="15"/>
        <w:ind w:left="1587" w:right="59" w:firstLine="0"/>
        <w:jc w:val="left"/>
        <w:rPr>
          <w:rFonts w:ascii="Times New Roman" w:hAnsi="Times New Roman" w:cs="Times New Roman" w:eastAsia="Times New Roman" w:hint="default"/>
          <w:sz w:val="20"/>
          <w:szCs w:val="20"/>
        </w:rPr>
      </w:pPr>
      <w:r>
        <w:rPr>
          <w:rFonts w:ascii="宋体" w:hAnsi="宋体" w:cs="宋体" w:eastAsia="宋体" w:hint="default"/>
          <w:w w:val="95"/>
          <w:sz w:val="20"/>
          <w:szCs w:val="20"/>
        </w:rPr>
        <w:t>合</w:t>
        <w:tab/>
        <w:t>计</w:t>
        <w:tab/>
      </w:r>
      <w:r>
        <w:rPr>
          <w:rFonts w:ascii="Times New Roman" w:hAnsi="Times New Roman" w:cs="Times New Roman" w:eastAsia="Times New Roman" w:hint="default"/>
          <w:w w:val="95"/>
          <w:position w:val="2"/>
          <w:sz w:val="20"/>
          <w:szCs w:val="20"/>
        </w:rPr>
        <w:t>-</w:t>
        <w:tab/>
      </w:r>
      <w:r>
        <w:rPr>
          <w:rFonts w:ascii="Times New Roman" w:hAnsi="Times New Roman" w:cs="Times New Roman" w:eastAsia="Times New Roman" w:hint="default"/>
          <w:position w:val="2"/>
          <w:sz w:val="20"/>
          <w:szCs w:val="20"/>
        </w:rPr>
        <w:t>3,595,487.32</w:t>
      </w:r>
      <w:r>
        <w:rPr>
          <w:rFonts w:ascii="Times New Roman" w:hAnsi="Times New Roman" w:cs="Times New Roman" w:eastAsia="Times New Roman" w:hint="default"/>
          <w:sz w:val="20"/>
          <w:szCs w:val="20"/>
        </w:rPr>
      </w:r>
    </w:p>
    <w:p>
      <w:pPr>
        <w:spacing w:line="240" w:lineRule="auto" w:before="8"/>
        <w:rPr>
          <w:rFonts w:ascii="Times New Roman" w:hAnsi="Times New Roman" w:cs="Times New Roman" w:eastAsia="Times New Roman" w:hint="default"/>
          <w:sz w:val="3"/>
          <w:szCs w:val="3"/>
        </w:rPr>
      </w:pPr>
    </w:p>
    <w:p>
      <w:pPr>
        <w:tabs>
          <w:tab w:pos="7130" w:val="left" w:leader="none"/>
        </w:tabs>
        <w:spacing w:line="57" w:lineRule="exact"/>
        <w:ind w:left="4354" w:right="0" w:firstLine="0"/>
        <w:rPr>
          <w:rFonts w:ascii="Times New Roman" w:hAnsi="Times New Roman" w:cs="Times New Roman" w:eastAsia="Times New Roman" w:hint="default"/>
          <w:sz w:val="5"/>
          <w:szCs w:val="5"/>
        </w:rPr>
      </w:pPr>
      <w:r>
        <w:rPr>
          <w:rFonts w:ascii="Times New Roman"/>
          <w:position w:val="0"/>
          <w:sz w:val="5"/>
        </w:rPr>
        <w:pict>
          <v:group style="width:102.3pt;height:2.9pt;mso-position-horizontal-relative:char;mso-position-vertical-relative:line" coordorigin="0,0" coordsize="2046,58">
            <v:group style="position:absolute;left:10;top:10;width:2027;height:2" coordorigin="10,10" coordsize="2027,2">
              <v:shape style="position:absolute;left:10;top:10;width:2027;height:2" coordorigin="10,10" coordsize="2027,0" path="m10,10l2036,10e" filled="false" stroked="true" strokeweight=".95999pt" strokecolor="#000000">
                <v:path arrowok="t"/>
              </v:shape>
            </v:group>
            <v:group style="position:absolute;left:10;top:48;width:2027;height:2" coordorigin="10,48" coordsize="2027,2">
              <v:shape style="position:absolute;left:10;top:48;width:2027;height:2" coordorigin="10,48" coordsize="2027,0" path="m10,48l2036,48e" filled="false" stroked="true" strokeweight=".96002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96.4pt;height:2.9pt;mso-position-horizontal-relative:char;mso-position-vertical-relative:line" coordorigin="0,0" coordsize="1928,58">
            <v:group style="position:absolute;left:10;top:10;width:1908;height:2" coordorigin="10,10" coordsize="1908,2">
              <v:shape style="position:absolute;left:10;top:10;width:1908;height:2" coordorigin="10,10" coordsize="1908,0" path="m10,10l1918,10e" filled="false" stroked="true" strokeweight=".95999pt" strokecolor="#000000">
                <v:path arrowok="t"/>
              </v:shape>
            </v:group>
            <v:group style="position:absolute;left:10;top:48;width:1908;height:2" coordorigin="10,48" coordsize="1908,2">
              <v:shape style="position:absolute;left:10;top:48;width:1908;height:2" coordorigin="10,48" coordsize="1908,0" path="m10,48l1918,48e" filled="false" stroked="true" strokeweight=".96002pt" strokecolor="#000000">
                <v:path arrowok="t"/>
              </v:shape>
            </v:group>
          </v:group>
        </w:pict>
      </w:r>
      <w:r>
        <w:rPr>
          <w:rFonts w:ascii="Times New Roman"/>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2"/>
          <w:szCs w:val="22"/>
        </w:rPr>
      </w:pPr>
    </w:p>
    <w:p>
      <w:pPr>
        <w:pStyle w:val="BodyText"/>
        <w:spacing w:line="310" w:lineRule="exact" w:before="59"/>
        <w:ind w:right="698" w:firstLine="480"/>
        <w:jc w:val="left"/>
      </w:pPr>
      <w:r>
        <w:rPr/>
        <w:t>应付股利期末比期初减少 3,595,487.32</w:t>
      </w:r>
      <w:r>
        <w:rPr>
          <w:spacing w:val="-91"/>
        </w:rPr>
        <w:t> </w:t>
      </w:r>
      <w:r>
        <w:rPr/>
        <w:t>元，其主要原因是本年偿还了长期</w:t>
      </w:r>
      <w:r>
        <w:rPr>
          <w:spacing w:val="-1"/>
          <w:w w:val="100"/>
        </w:rPr>
        <w:t> </w:t>
      </w:r>
      <w:r>
        <w:rPr>
          <w:spacing w:val="-2"/>
        </w:rPr>
        <w:t>应付款所致。</w:t>
      </w:r>
      <w:r>
        <w:rPr/>
      </w:r>
    </w:p>
    <w:p>
      <w:pPr>
        <w:pStyle w:val="BodyText"/>
        <w:spacing w:line="240" w:lineRule="auto" w:before="99"/>
        <w:ind w:left="617" w:right="59"/>
        <w:jc w:val="left"/>
      </w:pPr>
      <w:r>
        <w:rPr/>
        <w:t>（2）一年内到期的长期应付款</w:t>
      </w:r>
    </w:p>
    <w:p>
      <w:pPr>
        <w:spacing w:line="240" w:lineRule="auto" w:before="1"/>
        <w:rPr>
          <w:rFonts w:ascii="宋体" w:hAnsi="宋体" w:cs="宋体" w:eastAsia="宋体" w:hint="default"/>
          <w:sz w:val="18"/>
          <w:szCs w:val="18"/>
        </w:rPr>
      </w:pPr>
    </w:p>
    <w:p>
      <w:pPr>
        <w:tabs>
          <w:tab w:pos="1936" w:val="left" w:leader="none"/>
          <w:tab w:pos="3760" w:val="left" w:leader="none"/>
          <w:tab w:pos="3911" w:val="left" w:leader="none"/>
          <w:tab w:pos="4240" w:val="left" w:leader="none"/>
          <w:tab w:pos="5611" w:val="left" w:leader="none"/>
          <w:tab w:pos="6462" w:val="left" w:leader="none"/>
          <w:tab w:pos="7793" w:val="left" w:leader="none"/>
          <w:tab w:pos="7861" w:val="left" w:leader="none"/>
        </w:tabs>
        <w:spacing w:line="369" w:lineRule="auto" w:before="0"/>
        <w:ind w:left="275" w:right="267" w:firstLine="1070"/>
        <w:jc w:val="left"/>
        <w:rPr>
          <w:rFonts w:ascii="Times New Roman" w:hAnsi="Times New Roman" w:cs="Times New Roman" w:eastAsia="Times New Roman" w:hint="default"/>
          <w:sz w:val="20"/>
          <w:szCs w:val="20"/>
        </w:rPr>
      </w:pPr>
      <w:r>
        <w:rPr/>
        <w:pict>
          <v:group style="position:absolute;margin-left:89.879997pt;margin-top:17.409981pt;width:155.1pt;height:1.5pt;mso-position-horizontal-relative:page;mso-position-vertical-relative:paragraph;z-index:-590032" coordorigin="1798,348" coordsize="3102,30">
            <v:group style="position:absolute;left:1812;top:349;width:3074;height:2" coordorigin="1812,349" coordsize="3074,2">
              <v:shape style="position:absolute;left:1812;top:349;width:3074;height:2" coordorigin="1812,349" coordsize="3074,0" path="m1812,349l4885,349e" filled="false" stroked="true" strokeweight=".06pt" strokecolor="#000000">
                <v:path arrowok="t"/>
              </v:shape>
            </v:group>
            <v:group style="position:absolute;left:1812;top:363;width:3074;height:2" coordorigin="1812,363" coordsize="3074,2">
              <v:shape style="position:absolute;left:1812;top:363;width:3074;height:2" coordorigin="1812,363" coordsize="3074,0" path="m1812,363l4885,363e" filled="false" stroked="true" strokeweight="1.44pt" strokecolor="#000000">
                <v:path arrowok="t"/>
              </v:shape>
            </v:group>
            <w10:wrap type="none"/>
          </v:group>
        </w:pict>
      </w:r>
      <w:r>
        <w:rPr/>
        <w:pict>
          <v:group style="position:absolute;margin-left:259.320007pt;margin-top:17.409981pt;width:52.2pt;height:1.5pt;mso-position-horizontal-relative:page;mso-position-vertical-relative:paragraph;z-index:-590008" coordorigin="5186,348" coordsize="1044,30">
            <v:group style="position:absolute;left:5201;top:349;width:1016;height:2" coordorigin="5201,349" coordsize="1016,2">
              <v:shape style="position:absolute;left:5201;top:349;width:1016;height:2" coordorigin="5201,349" coordsize="1016,0" path="m5201,349l6216,349e" filled="false" stroked="true" strokeweight=".06pt" strokecolor="#000000">
                <v:path arrowok="t"/>
              </v:shape>
            </v:group>
            <v:group style="position:absolute;left:5201;top:363;width:1016;height:2" coordorigin="5201,363" coordsize="1016,2">
              <v:shape style="position:absolute;left:5201;top:363;width:1016;height:2" coordorigin="5201,363" coordsize="1016,0" path="m5201,363l6216,363e" filled="false" stroked="true" strokeweight="1.44pt" strokecolor="#000000">
                <v:path arrowok="t"/>
              </v:shape>
            </v:group>
            <w10:wrap type="none"/>
          </v:group>
        </w:pict>
      </w:r>
      <w:r>
        <w:rPr/>
        <w:pict>
          <v:group style="position:absolute;margin-left:326.519989pt;margin-top:17.409981pt;width:97.5pt;height:1.5pt;mso-position-horizontal-relative:page;mso-position-vertical-relative:paragraph;z-index:-589984" coordorigin="6530,348" coordsize="1950,30">
            <v:group style="position:absolute;left:6545;top:349;width:1922;height:2" coordorigin="6545,349" coordsize="1922,2">
              <v:shape style="position:absolute;left:6545;top:349;width:1922;height:2" coordorigin="6545,349" coordsize="1922,0" path="m6545,349l8466,349e" filled="false" stroked="true" strokeweight=".06pt" strokecolor="#000000">
                <v:path arrowok="t"/>
              </v:shape>
            </v:group>
            <v:group style="position:absolute;left:6545;top:363;width:1922;height:2" coordorigin="6545,363" coordsize="1922,2">
              <v:shape style="position:absolute;left:6545;top:363;width:1922;height:2" coordorigin="6545,363" coordsize="1922,0" path="m6545,363l8466,363e" filled="false" stroked="true" strokeweight="1.44pt" strokecolor="#000000">
                <v:path arrowok="t"/>
              </v:shape>
            </v:group>
            <w10:wrap type="none"/>
          </v:group>
        </w:pict>
      </w:r>
      <w:r>
        <w:rPr/>
        <w:pict>
          <v:group style="position:absolute;margin-left:326.519989pt;margin-top:36.069981pt;width:97.5pt;height:1.5pt;mso-position-horizontal-relative:page;mso-position-vertical-relative:paragraph;z-index:-589960" coordorigin="6530,721" coordsize="1950,30">
            <v:group style="position:absolute;left:6545;top:722;width:1922;height:2" coordorigin="6545,722" coordsize="1922,2">
              <v:shape style="position:absolute;left:6545;top:722;width:1922;height:2" coordorigin="6545,722" coordsize="1922,0" path="m6545,722l8466,722e" filled="false" stroked="true" strokeweight=".06pt" strokecolor="#000000">
                <v:path arrowok="t"/>
              </v:shape>
            </v:group>
            <v:group style="position:absolute;left:6545;top:736;width:1922;height:2" coordorigin="6545,736" coordsize="1922,2">
              <v:shape style="position:absolute;left:6545;top:736;width:1922;height:2" coordorigin="6545,736" coordsize="1922,0" path="m6545,736l8466,736e" filled="false" stroked="true" strokeweight="1.44pt" strokecolor="#000000">
                <v:path arrowok="t"/>
              </v:shape>
            </v:group>
            <w10:wrap type="none"/>
          </v:group>
        </w:pict>
      </w:r>
      <w:r>
        <w:rPr/>
        <w:pict>
          <v:group style="position:absolute;margin-left:437.640015pt;margin-top:17.409981pt;width:94.75pt;height:1.5pt;mso-position-horizontal-relative:page;mso-position-vertical-relative:paragraph;z-index:-589936" coordorigin="8753,348" coordsize="1895,30">
            <v:group style="position:absolute;left:8767;top:349;width:1866;height:2" coordorigin="8767,349" coordsize="1866,2">
              <v:shape style="position:absolute;left:8767;top:349;width:1866;height:2" coordorigin="8767,349" coordsize="1866,0" path="m8767,349l10633,349e" filled="false" stroked="true" strokeweight=".06pt" strokecolor="#000000">
                <v:path arrowok="t"/>
              </v:shape>
            </v:group>
            <v:group style="position:absolute;left:8767;top:363;width:1866;height:2" coordorigin="8767,363" coordsize="1866,2">
              <v:shape style="position:absolute;left:8767;top:363;width:1866;height:2" coordorigin="8767,363" coordsize="1866,0" path="m8767,363l10633,363e" filled="false" stroked="true" strokeweight="1.44pt" strokecolor="#000000">
                <v:path arrowok="t"/>
              </v:shape>
            </v:group>
            <w10:wrap type="none"/>
          </v:group>
        </w:pict>
      </w:r>
      <w:r>
        <w:rPr/>
        <w:pict>
          <v:group style="position:absolute;margin-left:437.640015pt;margin-top:36.069981pt;width:94.75pt;height:1.5pt;mso-position-horizontal-relative:page;mso-position-vertical-relative:paragraph;z-index:-589912" coordorigin="8753,721" coordsize="1895,30">
            <v:group style="position:absolute;left:8767;top:722;width:1866;height:2" coordorigin="8767,722" coordsize="1866,2">
              <v:shape style="position:absolute;left:8767;top:722;width:1866;height:2" coordorigin="8767,722" coordsize="1866,0" path="m8767,722l10633,722e" filled="false" stroked="true" strokeweight=".06pt" strokecolor="#000000">
                <v:path arrowok="t"/>
              </v:shape>
            </v:group>
            <v:group style="position:absolute;left:8767;top:736;width:1866;height:2" coordorigin="8767,736" coordsize="1866,2">
              <v:shape style="position:absolute;left:8767;top:736;width:1866;height:2" coordorigin="8767,736" coordsize="1866,0" path="m8767,736l10633,736e" filled="false" stroked="true" strokeweight="1.44pt" strokecolor="#000000">
                <v:path arrowok="t"/>
              </v:shape>
            </v:group>
            <w10:wrap type="none"/>
          </v:group>
        </w:pict>
      </w:r>
      <w:r>
        <w:rPr>
          <w:rFonts w:ascii="宋体" w:hAnsi="宋体" w:cs="宋体" w:eastAsia="宋体" w:hint="default"/>
          <w:sz w:val="20"/>
          <w:szCs w:val="20"/>
        </w:rPr>
        <w:t>种</w:t>
        <w:tab/>
        <w:t>类</w:t>
        <w:tab/>
        <w:t>期</w:t>
        <w:tab/>
        <w:t>限</w:t>
        <w:tab/>
      </w:r>
      <w:r>
        <w:rPr>
          <w:rFonts w:ascii="宋体" w:hAnsi="宋体" w:cs="宋体" w:eastAsia="宋体" w:hint="default"/>
          <w:spacing w:val="-7"/>
          <w:sz w:val="20"/>
          <w:szCs w:val="20"/>
        </w:rPr>
        <w:t>年末数</w:t>
        <w:tab/>
        <w:tab/>
      </w:r>
      <w:r>
        <w:rPr>
          <w:rFonts w:ascii="宋体" w:hAnsi="宋体" w:cs="宋体" w:eastAsia="宋体" w:hint="default"/>
          <w:spacing w:val="-3"/>
          <w:sz w:val="20"/>
          <w:szCs w:val="20"/>
        </w:rPr>
        <w:t>年初数</w:t>
      </w:r>
      <w:r>
        <w:rPr>
          <w:rFonts w:ascii="宋体" w:hAnsi="宋体" w:cs="宋体" w:eastAsia="宋体" w:hint="default"/>
          <w:w w:val="100"/>
          <w:sz w:val="20"/>
          <w:szCs w:val="20"/>
        </w:rPr>
        <w:t> </w:t>
      </w:r>
      <w:r>
        <w:rPr>
          <w:rFonts w:ascii="宋体" w:hAnsi="宋体" w:cs="宋体" w:eastAsia="宋体" w:hint="default"/>
          <w:spacing w:val="-7"/>
          <w:sz w:val="20"/>
          <w:szCs w:val="20"/>
        </w:rPr>
        <w:t>河南银鸽投资股份有限公司</w:t>
        <w:tab/>
        <w:tab/>
      </w:r>
      <w:r>
        <w:rPr>
          <w:rFonts w:ascii="宋体" w:hAnsi="宋体" w:cs="宋体" w:eastAsia="宋体" w:hint="default"/>
          <w:spacing w:val="-3"/>
          <w:sz w:val="20"/>
          <w:szCs w:val="20"/>
        </w:rPr>
        <w:t>6年</w:t>
        <w:tab/>
        <w:tab/>
        <w:tab/>
      </w:r>
      <w:r>
        <w:rPr>
          <w:rFonts w:ascii="Times New Roman" w:hAnsi="Times New Roman" w:cs="Times New Roman" w:eastAsia="Times New Roman" w:hint="default"/>
          <w:position w:val="2"/>
          <w:sz w:val="20"/>
          <w:szCs w:val="20"/>
        </w:rPr>
        <w:t>-</w:t>
        <w:tab/>
        <w:tab/>
      </w:r>
      <w:r>
        <w:rPr>
          <w:rFonts w:ascii="Times New Roman" w:hAnsi="Times New Roman" w:cs="Times New Roman" w:eastAsia="Times New Roman" w:hint="default"/>
          <w:spacing w:val="-3"/>
          <w:position w:val="2"/>
          <w:sz w:val="20"/>
          <w:szCs w:val="20"/>
        </w:rPr>
        <w:t>3,595,487.32</w:t>
      </w:r>
      <w:r>
        <w:rPr>
          <w:rFonts w:ascii="Times New Roman" w:hAnsi="Times New Roman" w:cs="Times New Roman" w:eastAsia="Times New Roman" w:hint="default"/>
          <w:spacing w:val="-3"/>
          <w:sz w:val="20"/>
          <w:szCs w:val="20"/>
        </w:rPr>
      </w:r>
    </w:p>
    <w:p>
      <w:pPr>
        <w:tabs>
          <w:tab w:pos="1840" w:val="left" w:leader="none"/>
          <w:tab w:pos="6462" w:val="left" w:leader="none"/>
          <w:tab w:pos="7861" w:val="left" w:leader="none"/>
        </w:tabs>
        <w:spacing w:line="249" w:lineRule="exact" w:before="0"/>
        <w:ind w:left="1346" w:right="59" w:firstLine="0"/>
        <w:jc w:val="left"/>
        <w:rPr>
          <w:rFonts w:ascii="Times New Roman" w:hAnsi="Times New Roman" w:cs="Times New Roman" w:eastAsia="Times New Roman" w:hint="default"/>
          <w:sz w:val="20"/>
          <w:szCs w:val="20"/>
        </w:rPr>
      </w:pPr>
      <w:r>
        <w:rPr>
          <w:rFonts w:ascii="宋体" w:hAnsi="宋体" w:cs="宋体" w:eastAsia="宋体" w:hint="default"/>
          <w:position w:val="-1"/>
          <w:sz w:val="20"/>
          <w:szCs w:val="20"/>
        </w:rPr>
        <w:t>合</w:t>
        <w:tab/>
        <w:t>计</w:t>
        <w:tab/>
      </w:r>
      <w:r>
        <w:rPr>
          <w:rFonts w:ascii="Times New Roman" w:hAnsi="Times New Roman" w:cs="Times New Roman" w:eastAsia="Times New Roman" w:hint="default"/>
          <w:sz w:val="20"/>
          <w:szCs w:val="20"/>
        </w:rPr>
        <w:t>-</w:t>
        <w:tab/>
      </w:r>
      <w:r>
        <w:rPr>
          <w:rFonts w:ascii="Times New Roman" w:hAnsi="Times New Roman" w:cs="Times New Roman" w:eastAsia="Times New Roman" w:hint="default"/>
          <w:spacing w:val="-3"/>
          <w:sz w:val="20"/>
          <w:szCs w:val="20"/>
        </w:rPr>
        <w:t>3,595,487.32</w:t>
      </w:r>
    </w:p>
    <w:p>
      <w:pPr>
        <w:spacing w:line="240" w:lineRule="auto" w:before="11"/>
        <w:rPr>
          <w:rFonts w:ascii="Times New Roman" w:hAnsi="Times New Roman" w:cs="Times New Roman" w:eastAsia="Times New Roman" w:hint="default"/>
          <w:sz w:val="3"/>
          <w:szCs w:val="3"/>
        </w:rPr>
      </w:pPr>
    </w:p>
    <w:p>
      <w:pPr>
        <w:tabs>
          <w:tab w:pos="7100" w:val="left" w:leader="none"/>
        </w:tabs>
        <w:spacing w:line="57" w:lineRule="exact"/>
        <w:ind w:left="4877" w:right="0" w:firstLine="0"/>
        <w:rPr>
          <w:rFonts w:ascii="Times New Roman" w:hAnsi="Times New Roman" w:cs="Times New Roman" w:eastAsia="Times New Roman" w:hint="default"/>
          <w:sz w:val="5"/>
          <w:szCs w:val="5"/>
        </w:rPr>
      </w:pPr>
      <w:r>
        <w:rPr>
          <w:rFonts w:ascii="Times New Roman"/>
          <w:position w:val="0"/>
          <w:sz w:val="5"/>
        </w:rPr>
        <w:pict>
          <v:group style="width:96.8pt;height:2.9pt;mso-position-horizontal-relative:char;mso-position-vertical-relative:line" coordorigin="0,0" coordsize="1936,58">
            <v:group style="position:absolute;left:7;top:7;width:1922;height:2" coordorigin="7,7" coordsize="1922,2">
              <v:shape style="position:absolute;left:7;top:7;width:1922;height:2" coordorigin="7,7" coordsize="1922,0" path="m7,7l1928,7e" filled="false" stroked="true" strokeweight=".72pt" strokecolor="#000000">
                <v:path arrowok="t"/>
              </v:shape>
            </v:group>
            <v:group style="position:absolute;left:7;top:50;width:1922;height:2" coordorigin="7,50" coordsize="1922,2">
              <v:shape style="position:absolute;left:7;top:50;width:1922;height:2" coordorigin="7,50" coordsize="1922,0" path="m7,50l1928,50e" filled="false" stroked="true" strokeweight=".72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94.05pt;height:2.9pt;mso-position-horizontal-relative:char;mso-position-vertical-relative:line" coordorigin="0,0" coordsize="1881,58">
            <v:group style="position:absolute;left:7;top:7;width:1866;height:2" coordorigin="7,7" coordsize="1866,2">
              <v:shape style="position:absolute;left:7;top:7;width:1866;height:2" coordorigin="7,7" coordsize="1866,0" path="m7,7l1873,7e" filled="false" stroked="true" strokeweight=".72pt" strokecolor="#000000">
                <v:path arrowok="t"/>
              </v:shape>
            </v:group>
            <v:group style="position:absolute;left:7;top:50;width:1866;height:2" coordorigin="7,50" coordsize="1866,2">
              <v:shape style="position:absolute;left:7;top:50;width:1866;height:2" coordorigin="7,50" coordsize="1866,0" path="m7,50l1873,50e" filled="false" stroked="true" strokeweight=".72pt" strokecolor="#000000">
                <v:path arrowok="t"/>
              </v:shape>
            </v:group>
          </v:group>
        </w:pict>
      </w:r>
      <w:r>
        <w:rPr>
          <w:rFonts w:ascii="Times New Roman"/>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pStyle w:val="Heading3"/>
        <w:spacing w:line="368" w:lineRule="exact"/>
        <w:ind w:left="681" w:right="59"/>
        <w:jc w:val="left"/>
        <w:rPr>
          <w:b w:val="0"/>
          <w:bCs w:val="0"/>
        </w:rPr>
      </w:pPr>
      <w:r>
        <w:rPr>
          <w:w w:val="105"/>
        </w:rPr>
        <w:t>x) </w:t>
      </w:r>
      <w:r>
        <w:rPr>
          <w:spacing w:val="29"/>
          <w:w w:val="105"/>
        </w:rPr>
        <w:t> </w:t>
      </w:r>
      <w:r>
        <w:rPr>
          <w:w w:val="105"/>
        </w:rPr>
        <w:t>长期借款</w:t>
      </w:r>
      <w:r>
        <w:rPr>
          <w:b w:val="0"/>
          <w:bCs w:val="0"/>
          <w:w w:val="105"/>
        </w:rPr>
      </w:r>
    </w:p>
    <w:p>
      <w:pPr>
        <w:spacing w:after="0" w:line="368" w:lineRule="exact"/>
        <w:jc w:val="left"/>
        <w:sectPr>
          <w:headerReference w:type="default" r:id="rId52"/>
          <w:pgSz w:w="11910" w:h="16840"/>
          <w:pgMar w:header="915" w:footer="1712" w:top="1100" w:bottom="1900" w:left="1660" w:right="1080"/>
        </w:sectPr>
      </w:pPr>
    </w:p>
    <w:p>
      <w:pPr>
        <w:tabs>
          <w:tab w:pos="2742" w:val="left" w:leader="none"/>
          <w:tab w:pos="3769" w:val="left" w:leader="none"/>
          <w:tab w:pos="5647" w:val="left" w:leader="none"/>
          <w:tab w:pos="7747" w:val="left" w:leader="none"/>
        </w:tabs>
        <w:spacing w:line="350" w:lineRule="atLeast" w:before="12"/>
        <w:ind w:left="181" w:right="1283" w:firstLine="670"/>
        <w:jc w:val="left"/>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58976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pict>
          <v:group style="position:absolute;margin-left:89.87999pt;margin-top:21.224075pt;width:109.7pt;height:1pt;mso-position-horizontal-relative:page;mso-position-vertical-relative:paragraph;z-index:-589744" coordorigin="1798,424" coordsize="2194,20">
            <v:group style="position:absolute;left:1807;top:425;width:2175;height:2" coordorigin="1807,425" coordsize="2175,2">
              <v:shape style="position:absolute;left:1807;top:425;width:2175;height:2" coordorigin="1807,425" coordsize="2175,0" path="m1807,425l3982,425e" filled="false" stroked="true" strokeweight=".06pt" strokecolor="#000000">
                <v:path arrowok="t"/>
              </v:shape>
            </v:group>
            <v:group style="position:absolute;left:1807;top:435;width:2175;height:2" coordorigin="1807,435" coordsize="2175,2">
              <v:shape style="position:absolute;left:1807;top:435;width:2175;height:2" coordorigin="1807,435" coordsize="2175,0" path="m1807,435l3982,435e" filled="false" stroked="true" strokeweight=".96002pt" strokecolor="#000000">
                <v:path arrowok="t"/>
              </v:shape>
            </v:group>
            <w10:wrap type="none"/>
          </v:group>
        </w:pict>
      </w:r>
      <w:r>
        <w:rPr/>
        <w:pict>
          <v:group style="position:absolute;margin-left:203.579987pt;margin-top:21.224075pt;width:51.8pt;height:1pt;mso-position-horizontal-relative:page;mso-position-vertical-relative:paragraph;z-index:-589720" coordorigin="4072,424" coordsize="1036,20">
            <v:group style="position:absolute;left:4081;top:425;width:1017;height:2" coordorigin="4081,425" coordsize="1017,2">
              <v:shape style="position:absolute;left:4081;top:425;width:1017;height:2" coordorigin="4081,425" coordsize="1017,0" path="m4081,425l5098,425e" filled="false" stroked="true" strokeweight=".06pt" strokecolor="#000000">
                <v:path arrowok="t"/>
              </v:shape>
            </v:group>
            <v:group style="position:absolute;left:4081;top:435;width:1017;height:2" coordorigin="4081,435" coordsize="1017,2">
              <v:shape style="position:absolute;left:4081;top:435;width:1017;height:2" coordorigin="4081,435" coordsize="1017,0" path="m4081,435l5098,435e" filled="false" stroked="true" strokeweight=".96002pt" strokecolor="#000000">
                <v:path arrowok="t"/>
              </v:shape>
            </v:group>
            <w10:wrap type="none"/>
          </v:group>
        </w:pict>
      </w:r>
      <w:r>
        <w:rPr/>
        <w:pict>
          <v:group style="position:absolute;margin-left:259.380005pt;margin-top:21.224075pt;width:62.55pt;height:1pt;mso-position-horizontal-relative:page;mso-position-vertical-relative:paragraph;z-index:-589696" coordorigin="5188,424" coordsize="1251,20">
            <v:group style="position:absolute;left:5197;top:425;width:1232;height:2" coordorigin="5197,425" coordsize="1232,2">
              <v:shape style="position:absolute;left:5197;top:425;width:1232;height:2" coordorigin="5197,425" coordsize="1232,0" path="m5197,425l6428,425e" filled="false" stroked="true" strokeweight=".06pt" strokecolor="#000000">
                <v:path arrowok="t"/>
              </v:shape>
            </v:group>
            <v:group style="position:absolute;left:5197;top:435;width:1232;height:2" coordorigin="5197,435" coordsize="1232,2">
              <v:shape style="position:absolute;left:5197;top:435;width:1232;height:2" coordorigin="5197,435" coordsize="1232,0" path="m5197,435l6428,435e" filled="false" stroked="true" strokeweight=".96002pt" strokecolor="#000000">
                <v:path arrowok="t"/>
              </v:shape>
            </v:group>
            <w10:wrap type="none"/>
          </v:group>
        </w:pict>
      </w:r>
      <w:r>
        <w:rPr/>
        <w:pict>
          <v:group style="position:absolute;margin-left:325.920013pt;margin-top:21.224075pt;width:107.5pt;height:1pt;mso-position-horizontal-relative:page;mso-position-vertical-relative:paragraph;z-index:-589672" coordorigin="6518,424" coordsize="2150,20">
            <v:group style="position:absolute;left:6528;top:425;width:2130;height:2" coordorigin="6528,425" coordsize="2130,2">
              <v:shape style="position:absolute;left:6528;top:425;width:2130;height:2" coordorigin="6528,425" coordsize="2130,0" path="m6528,425l8658,425e" filled="false" stroked="true" strokeweight=".06pt" strokecolor="#000000">
                <v:path arrowok="t"/>
              </v:shape>
            </v:group>
            <v:group style="position:absolute;left:6528;top:435;width:2130;height:2" coordorigin="6528,435" coordsize="2130,2">
              <v:shape style="position:absolute;left:6528;top:435;width:2130;height:2" coordorigin="6528,435" coordsize="2130,0" path="m6528,435l8658,435e" filled="false" stroked="true" strokeweight=".96pt" strokecolor="#000000">
                <v:path arrowok="t"/>
              </v:shape>
            </v:group>
            <w10:wrap type="none"/>
          </v:group>
        </w:pict>
      </w:r>
      <w:r>
        <w:rPr/>
        <w:pict>
          <v:group style="position:absolute;margin-left:437.399994pt;margin-top:21.224075pt;width:94.4pt;height:1pt;mso-position-horizontal-relative:page;mso-position-vertical-relative:paragraph;z-index:-589648" coordorigin="8748,424" coordsize="1888,20">
            <v:group style="position:absolute;left:8758;top:425;width:1869;height:2" coordorigin="8758,425" coordsize="1869,2">
              <v:shape style="position:absolute;left:8758;top:425;width:1869;height:2" coordorigin="8758,425" coordsize="1869,0" path="m8758,425l10626,425e" filled="false" stroked="true" strokeweight=".06pt" strokecolor="#000000">
                <v:path arrowok="t"/>
              </v:shape>
            </v:group>
            <v:group style="position:absolute;left:8758;top:435;width:1869;height:2" coordorigin="8758,435" coordsize="1869,2">
              <v:shape style="position:absolute;left:8758;top:435;width:1869;height:2" coordorigin="8758,435" coordsize="1869,0" path="m8758,435l10626,435e" filled="false" stroked="true" strokeweight=".96002pt" strokecolor="#000000">
                <v:path arrowok="t"/>
              </v:shape>
            </v:group>
            <w10:wrap type="none"/>
          </v:group>
        </w:pict>
      </w:r>
      <w:r>
        <w:rPr>
          <w:rFonts w:ascii="宋体" w:hAnsi="宋体" w:cs="宋体" w:eastAsia="宋体" w:hint="default"/>
          <w:spacing w:val="-5"/>
          <w:sz w:val="20"/>
          <w:szCs w:val="20"/>
        </w:rPr>
        <w:t>贷款单位</w:t>
        <w:tab/>
      </w:r>
      <w:r>
        <w:rPr>
          <w:rFonts w:ascii="宋体" w:hAnsi="宋体" w:cs="宋体" w:eastAsia="宋体" w:hint="default"/>
          <w:spacing w:val="-4"/>
          <w:sz w:val="20"/>
          <w:szCs w:val="20"/>
        </w:rPr>
        <w:t>币种</w:t>
        <w:tab/>
      </w:r>
      <w:r>
        <w:rPr>
          <w:rFonts w:ascii="宋体" w:hAnsi="宋体" w:cs="宋体" w:eastAsia="宋体" w:hint="default"/>
          <w:spacing w:val="-5"/>
          <w:sz w:val="20"/>
          <w:szCs w:val="20"/>
        </w:rPr>
        <w:t>借款条件</w:t>
        <w:tab/>
        <w:t>年末数</w:t>
        <w:tab/>
        <w:t>年初数</w:t>
      </w:r>
      <w:r>
        <w:rPr>
          <w:rFonts w:ascii="宋体" w:hAnsi="宋体" w:cs="宋体" w:eastAsia="宋体" w:hint="default"/>
          <w:w w:val="100"/>
          <w:sz w:val="20"/>
          <w:szCs w:val="20"/>
        </w:rPr>
        <w:t> </w:t>
      </w:r>
      <w:r>
        <w:rPr>
          <w:rFonts w:ascii="宋体" w:hAnsi="宋体" w:cs="宋体" w:eastAsia="宋体" w:hint="default"/>
          <w:spacing w:val="-7"/>
          <w:sz w:val="20"/>
          <w:szCs w:val="20"/>
        </w:rPr>
        <w:t>中国建设银行上海闵行</w:t>
      </w:r>
      <w:r>
        <w:rPr>
          <w:rFonts w:ascii="宋体" w:hAnsi="宋体" w:cs="宋体" w:eastAsia="宋体" w:hint="default"/>
          <w:sz w:val="20"/>
          <w:szCs w:val="20"/>
        </w:rPr>
      </w:r>
    </w:p>
    <w:p>
      <w:pPr>
        <w:tabs>
          <w:tab w:pos="2645" w:val="left" w:leader="none"/>
          <w:tab w:pos="3769" w:val="left" w:leader="none"/>
          <w:tab w:pos="5794" w:val="left" w:leader="none"/>
          <w:tab w:pos="7762" w:val="left" w:leader="none"/>
        </w:tabs>
        <w:spacing w:line="254" w:lineRule="exact" w:before="0"/>
        <w:ind w:left="181" w:right="0" w:firstLine="0"/>
        <w:jc w:val="left"/>
        <w:rPr>
          <w:rFonts w:ascii="Times New Roman" w:hAnsi="Times New Roman" w:cs="Times New Roman" w:eastAsia="Times New Roman" w:hint="default"/>
          <w:sz w:val="20"/>
          <w:szCs w:val="20"/>
        </w:rPr>
      </w:pPr>
      <w:r>
        <w:rPr>
          <w:rFonts w:ascii="宋体" w:hAnsi="宋体" w:cs="宋体" w:eastAsia="宋体" w:hint="default"/>
          <w:spacing w:val="-4"/>
          <w:position w:val="-12"/>
          <w:sz w:val="20"/>
          <w:szCs w:val="20"/>
        </w:rPr>
        <w:t>支行</w:t>
        <w:tab/>
      </w:r>
      <w:r>
        <w:rPr>
          <w:rFonts w:ascii="宋体" w:hAnsi="宋体" w:cs="宋体" w:eastAsia="宋体" w:hint="default"/>
          <w:spacing w:val="-5"/>
          <w:sz w:val="20"/>
          <w:szCs w:val="20"/>
        </w:rPr>
        <w:t>人民币</w:t>
        <w:tab/>
        <w:t>抵押借款</w:t>
        <w:tab/>
      </w:r>
      <w:r>
        <w:rPr>
          <w:rFonts w:ascii="Times New Roman" w:hAnsi="Times New Roman" w:cs="Times New Roman" w:eastAsia="Times New Roman" w:hint="default"/>
          <w:spacing w:val="-4"/>
          <w:position w:val="1"/>
          <w:sz w:val="20"/>
          <w:szCs w:val="20"/>
        </w:rPr>
        <w:t>23,000,000.00</w:t>
        <w:tab/>
      </w:r>
      <w:r>
        <w:rPr>
          <w:rFonts w:ascii="Times New Roman" w:hAnsi="Times New Roman" w:cs="Times New Roman" w:eastAsia="Times New Roman" w:hint="default"/>
          <w:spacing w:val="-3"/>
          <w:position w:val="1"/>
          <w:sz w:val="20"/>
          <w:szCs w:val="20"/>
        </w:rPr>
        <w:t>23,000,000.00</w:t>
      </w:r>
      <w:r>
        <w:rPr>
          <w:rFonts w:ascii="Times New Roman" w:hAnsi="Times New Roman" w:cs="Times New Roman" w:eastAsia="Times New Roman" w:hint="default"/>
          <w:sz w:val="20"/>
          <w:szCs w:val="20"/>
        </w:rPr>
      </w:r>
    </w:p>
    <w:p>
      <w:pPr>
        <w:spacing w:line="240" w:lineRule="auto" w:before="7"/>
        <w:rPr>
          <w:rFonts w:ascii="Times New Roman" w:hAnsi="Times New Roman" w:cs="Times New Roman" w:eastAsia="Times New Roman" w:hint="default"/>
          <w:sz w:val="3"/>
          <w:szCs w:val="3"/>
        </w:rPr>
      </w:pPr>
    </w:p>
    <w:p>
      <w:pPr>
        <w:spacing w:line="20" w:lineRule="exact"/>
        <w:ind w:left="4858" w:right="0" w:firstLine="0"/>
        <w:rPr>
          <w:rFonts w:ascii="Times New Roman" w:hAnsi="Times New Roman" w:cs="Times New Roman" w:eastAsia="Times New Roman" w:hint="default"/>
          <w:sz w:val="2"/>
          <w:szCs w:val="2"/>
        </w:rPr>
      </w:pPr>
      <w:r>
        <w:rPr>
          <w:rFonts w:ascii="Times New Roman"/>
          <w:sz w:val="2"/>
        </w:rPr>
        <w:pict>
          <v:group style="width:107.5pt;height:1pt;mso-position-horizontal-relative:char;mso-position-vertical-relative:line" coordorigin="0,0" coordsize="2150,20">
            <v:group style="position:absolute;left:10;top:1;width:2130;height:2" coordorigin="10,1" coordsize="2130,2">
              <v:shape style="position:absolute;left:10;top:1;width:2130;height:2" coordorigin="10,1" coordsize="2130,0" path="m10,1l2140,1e" filled="false" stroked="true" strokeweight=".06pt" strokecolor="#000000">
                <v:path arrowok="t"/>
              </v:shape>
            </v:group>
            <v:group style="position:absolute;left:10;top:10;width:2130;height:2" coordorigin="10,10" coordsize="2130,2">
              <v:shape style="position:absolute;left:10;top:10;width:2130;height:2" coordorigin="10,10" coordsize="2130,0" path="m10,10l2140,10e" filled="false" stroked="true" strokeweight=".96pt" strokecolor="#000000">
                <v:path arrowok="t"/>
              </v:shape>
            </v:group>
          </v:group>
        </w:pict>
      </w:r>
      <w:r>
        <w:rPr>
          <w:rFonts w:ascii="Times New Roman"/>
          <w:sz w:val="2"/>
        </w:rPr>
      </w:r>
      <w:r>
        <w:rPr>
          <w:rFonts w:ascii="Times New Roman"/>
          <w:spacing w:val="77"/>
          <w:sz w:val="2"/>
        </w:rPr>
        <w:t> </w:t>
      </w:r>
      <w:r>
        <w:rPr>
          <w:rFonts w:ascii="Times New Roman"/>
          <w:spacing w:val="77"/>
          <w:sz w:val="2"/>
        </w:rPr>
        <w:pict>
          <v:group style="width:94.4pt;height:1pt;mso-position-horizontal-relative:char;mso-position-vertical-relative:line" coordorigin="0,0" coordsize="1888,20">
            <v:group style="position:absolute;left:10;top:1;width:1869;height:2" coordorigin="10,1" coordsize="1869,2">
              <v:shape style="position:absolute;left:10;top:1;width:1869;height:2" coordorigin="10,1" coordsize="1869,0" path="m10,1l1878,1e" filled="false" stroked="true" strokeweight=".06pt" strokecolor="#000000">
                <v:path arrowok="t"/>
              </v:shape>
            </v:group>
            <v:group style="position:absolute;left:10;top:10;width:1869;height:2" coordorigin="10,10" coordsize="1869,2">
              <v:shape style="position:absolute;left:10;top:10;width:1869;height:2" coordorigin="10,10" coordsize="1869,0" path="m10,10l1878,10e" filled="false" stroked="true" strokeweight=".95996pt" strokecolor="#000000">
                <v:path arrowok="t"/>
              </v:shape>
            </v:group>
          </v:group>
        </w:pict>
      </w:r>
      <w:r>
        <w:rPr>
          <w:rFonts w:ascii="Times New Roman"/>
          <w:spacing w:val="77"/>
          <w:sz w:val="2"/>
        </w:rPr>
      </w:r>
    </w:p>
    <w:p>
      <w:pPr>
        <w:tabs>
          <w:tab w:pos="1437" w:val="left" w:leader="none"/>
          <w:tab w:pos="5794" w:val="left" w:leader="none"/>
          <w:tab w:pos="7762" w:val="left" w:leader="none"/>
        </w:tabs>
        <w:spacing w:before="27"/>
        <w:ind w:left="852"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合</w:t>
        <w:tab/>
        <w:t>计</w:t>
        <w:tab/>
      </w:r>
      <w:r>
        <w:rPr>
          <w:rFonts w:ascii="Times New Roman" w:hAnsi="Times New Roman" w:cs="Times New Roman" w:eastAsia="Times New Roman" w:hint="default"/>
          <w:spacing w:val="-4"/>
          <w:position w:val="1"/>
          <w:sz w:val="20"/>
          <w:szCs w:val="20"/>
        </w:rPr>
        <w:t>23,000,000.00</w:t>
        <w:tab/>
      </w:r>
      <w:r>
        <w:rPr>
          <w:rFonts w:ascii="Times New Roman" w:hAnsi="Times New Roman" w:cs="Times New Roman" w:eastAsia="Times New Roman" w:hint="default"/>
          <w:spacing w:val="-3"/>
          <w:position w:val="1"/>
          <w:sz w:val="20"/>
          <w:szCs w:val="20"/>
        </w:rPr>
        <w:t>23,000,000.00</w:t>
      </w:r>
      <w:r>
        <w:rPr>
          <w:rFonts w:ascii="Times New Roman" w:hAnsi="Times New Roman" w:cs="Times New Roman" w:eastAsia="Times New Roman" w:hint="default"/>
          <w:sz w:val="20"/>
          <w:szCs w:val="20"/>
        </w:rPr>
      </w:r>
    </w:p>
    <w:p>
      <w:pPr>
        <w:spacing w:line="240" w:lineRule="auto" w:before="4"/>
        <w:rPr>
          <w:rFonts w:ascii="Times New Roman" w:hAnsi="Times New Roman" w:cs="Times New Roman" w:eastAsia="Times New Roman" w:hint="default"/>
          <w:sz w:val="3"/>
          <w:szCs w:val="3"/>
        </w:rPr>
      </w:pPr>
    </w:p>
    <w:p>
      <w:pPr>
        <w:spacing w:line="57" w:lineRule="exact"/>
        <w:ind w:left="4858" w:right="0" w:firstLine="0"/>
        <w:rPr>
          <w:rFonts w:ascii="Times New Roman" w:hAnsi="Times New Roman" w:cs="Times New Roman" w:eastAsia="Times New Roman" w:hint="default"/>
          <w:sz w:val="5"/>
          <w:szCs w:val="5"/>
        </w:rPr>
      </w:pPr>
      <w:r>
        <w:rPr>
          <w:rFonts w:ascii="Times New Roman"/>
          <w:position w:val="0"/>
          <w:sz w:val="5"/>
        </w:rPr>
        <w:pict>
          <v:group style="width:107.5pt;height:2.9pt;mso-position-horizontal-relative:char;mso-position-vertical-relative:line" coordorigin="0,0" coordsize="2150,58">
            <v:group style="position:absolute;left:10;top:10;width:2130;height:2" coordorigin="10,10" coordsize="2130,2">
              <v:shape style="position:absolute;left:10;top:10;width:2130;height:2" coordorigin="10,10" coordsize="2130,0" path="m10,10l2140,10e" filled="false" stroked="true" strokeweight=".96pt" strokecolor="#000000">
                <v:path arrowok="t"/>
              </v:shape>
            </v:group>
            <v:group style="position:absolute;left:10;top:48;width:2130;height:2" coordorigin="10,48" coordsize="2130,2">
              <v:shape style="position:absolute;left:10;top:48;width:2130;height:2" coordorigin="10,48" coordsize="2130,0" path="m10,48l2140,48e" filled="false" stroked="true" strokeweight=".96pt" strokecolor="#000000">
                <v:path arrowok="t"/>
              </v:shape>
            </v:group>
          </v:group>
        </w:pict>
      </w:r>
      <w:r>
        <w:rPr>
          <w:rFonts w:ascii="Times New Roman"/>
          <w:position w:val="0"/>
          <w:sz w:val="5"/>
        </w:rPr>
      </w:r>
      <w:r>
        <w:rPr>
          <w:rFonts w:ascii="Times New Roman"/>
          <w:spacing w:val="67"/>
          <w:position w:val="0"/>
          <w:sz w:val="5"/>
        </w:rPr>
        <w:t> </w:t>
      </w:r>
      <w:r>
        <w:rPr>
          <w:rFonts w:ascii="Times New Roman"/>
          <w:spacing w:val="67"/>
          <w:position w:val="0"/>
          <w:sz w:val="5"/>
        </w:rPr>
        <w:pict>
          <v:group style="width:94.4pt;height:2.9pt;mso-position-horizontal-relative:char;mso-position-vertical-relative:line" coordorigin="0,0" coordsize="1888,58">
            <v:group style="position:absolute;left:10;top:10;width:1869;height:2" coordorigin="10,10" coordsize="1869,2">
              <v:shape style="position:absolute;left:10;top:10;width:1869;height:2" coordorigin="10,10" coordsize="1869,0" path="m10,10l1878,10e" filled="false" stroked="true" strokeweight=".95996pt" strokecolor="#000000">
                <v:path arrowok="t"/>
              </v:shape>
            </v:group>
            <v:group style="position:absolute;left:10;top:48;width:1869;height:2" coordorigin="10,48" coordsize="1869,2">
              <v:shape style="position:absolute;left:10;top:48;width:1869;height:2" coordorigin="10,48" coordsize="1869,0" path="m10,48l1878,48e" filled="false" stroked="true" strokeweight=".96002pt" strokecolor="#000000">
                <v:path arrowok="t"/>
              </v:shape>
            </v:group>
          </v:group>
        </w:pict>
      </w:r>
      <w:r>
        <w:rPr>
          <w:rFonts w:ascii="Times New Roman"/>
          <w:spacing w:val="67"/>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pStyle w:val="Heading3"/>
        <w:spacing w:line="368" w:lineRule="exact"/>
        <w:ind w:left="681" w:right="1283"/>
        <w:jc w:val="left"/>
        <w:rPr>
          <w:b w:val="0"/>
          <w:bCs w:val="0"/>
        </w:rPr>
      </w:pPr>
      <w:r>
        <w:rPr/>
        <w:pict>
          <v:shape style="position:absolute;margin-left:90.540001pt;margin-top:30.971321pt;width:449.1pt;height:219.7pt;mso-position-horizontal-relative:page;mso-position-vertical-relative:paragraph;z-index:7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9"/>
                    <w:gridCol w:w="96"/>
                    <w:gridCol w:w="1686"/>
                    <w:gridCol w:w="83"/>
                    <w:gridCol w:w="1321"/>
                    <w:gridCol w:w="2121"/>
                    <w:gridCol w:w="110"/>
                    <w:gridCol w:w="1261"/>
                    <w:gridCol w:w="425"/>
                  </w:tblGrid>
                  <w:tr>
                    <w:trPr>
                      <w:trHeight w:val="487" w:hRule="exact"/>
                    </w:trPr>
                    <w:tc>
                      <w:tcPr>
                        <w:tcW w:w="1879"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left="699" w:right="0"/>
                          <w:jc w:val="left"/>
                          <w:rPr>
                            <w:rFonts w:ascii="宋体" w:hAnsi="宋体" w:cs="宋体" w:eastAsia="宋体" w:hint="default"/>
                            <w:sz w:val="20"/>
                            <w:szCs w:val="20"/>
                          </w:rPr>
                        </w:pPr>
                        <w:r>
                          <w:rPr>
                            <w:rFonts w:ascii="宋体" w:hAnsi="宋体" w:cs="宋体" w:eastAsia="宋体" w:hint="default"/>
                            <w:sz w:val="20"/>
                            <w:szCs w:val="20"/>
                          </w:rPr>
                          <w:t>种</w:t>
                        </w:r>
                        <w:r>
                          <w:rPr>
                            <w:rFonts w:ascii="宋体" w:hAnsi="宋体" w:cs="宋体" w:eastAsia="宋体" w:hint="default"/>
                            <w:spacing w:val="98"/>
                            <w:sz w:val="20"/>
                            <w:szCs w:val="20"/>
                          </w:rPr>
                          <w:t> </w:t>
                        </w:r>
                        <w:r>
                          <w:rPr>
                            <w:rFonts w:ascii="宋体" w:hAnsi="宋体" w:cs="宋体" w:eastAsia="宋体" w:hint="default"/>
                            <w:sz w:val="20"/>
                            <w:szCs w:val="20"/>
                          </w:rPr>
                          <w:t>类</w:t>
                        </w:r>
                      </w:p>
                    </w:tc>
                    <w:tc>
                      <w:tcPr>
                        <w:tcW w:w="96"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left="616" w:right="0"/>
                          <w:jc w:val="left"/>
                          <w:rPr>
                            <w:rFonts w:ascii="宋体" w:hAnsi="宋体" w:cs="宋体" w:eastAsia="宋体" w:hint="default"/>
                            <w:sz w:val="20"/>
                            <w:szCs w:val="20"/>
                          </w:rPr>
                        </w:pPr>
                        <w:r>
                          <w:rPr>
                            <w:rFonts w:ascii="宋体" w:hAnsi="宋体" w:cs="宋体" w:eastAsia="宋体" w:hint="default"/>
                            <w:spacing w:val="-9"/>
                            <w:sz w:val="20"/>
                            <w:szCs w:val="20"/>
                          </w:rPr>
                          <w:t>年初数</w:t>
                        </w:r>
                        <w:r>
                          <w:rPr>
                            <w:rFonts w:ascii="宋体" w:hAnsi="宋体" w:cs="宋体" w:eastAsia="宋体" w:hint="default"/>
                            <w:sz w:val="20"/>
                            <w:szCs w:val="20"/>
                          </w:rPr>
                        </w:r>
                      </w:p>
                    </w:tc>
                    <w:tc>
                      <w:tcPr>
                        <w:tcW w:w="83"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left="507" w:right="0"/>
                          <w:jc w:val="left"/>
                          <w:rPr>
                            <w:rFonts w:ascii="宋体" w:hAnsi="宋体" w:cs="宋体" w:eastAsia="宋体" w:hint="default"/>
                            <w:sz w:val="20"/>
                            <w:szCs w:val="20"/>
                          </w:rPr>
                        </w:pPr>
                        <w:r>
                          <w:rPr>
                            <w:rFonts w:ascii="宋体" w:hAnsi="宋体" w:cs="宋体" w:eastAsia="宋体" w:hint="default"/>
                            <w:spacing w:val="-4"/>
                            <w:sz w:val="20"/>
                            <w:szCs w:val="20"/>
                          </w:rPr>
                          <w:t>本年增加</w:t>
                        </w:r>
                      </w:p>
                    </w:tc>
                    <w:tc>
                      <w:tcPr>
                        <w:tcW w:w="2121"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left="941" w:right="0"/>
                          <w:jc w:val="left"/>
                          <w:rPr>
                            <w:rFonts w:ascii="宋体" w:hAnsi="宋体" w:cs="宋体" w:eastAsia="宋体" w:hint="default"/>
                            <w:sz w:val="20"/>
                            <w:szCs w:val="20"/>
                          </w:rPr>
                        </w:pPr>
                        <w:r>
                          <w:rPr>
                            <w:rFonts w:ascii="宋体" w:hAnsi="宋体" w:cs="宋体" w:eastAsia="宋体" w:hint="default"/>
                            <w:spacing w:val="-3"/>
                            <w:sz w:val="20"/>
                            <w:szCs w:val="20"/>
                          </w:rPr>
                          <w:t>本年减少</w:t>
                        </w:r>
                      </w:p>
                    </w:tc>
                    <w:tc>
                      <w:tcPr>
                        <w:tcW w:w="110"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left="602" w:right="0"/>
                          <w:jc w:val="left"/>
                          <w:rPr>
                            <w:rFonts w:ascii="宋体" w:hAnsi="宋体" w:cs="宋体" w:eastAsia="宋体" w:hint="default"/>
                            <w:sz w:val="20"/>
                            <w:szCs w:val="20"/>
                          </w:rPr>
                        </w:pPr>
                        <w:r>
                          <w:rPr>
                            <w:rFonts w:ascii="宋体" w:hAnsi="宋体" w:cs="宋体" w:eastAsia="宋体" w:hint="default"/>
                            <w:spacing w:val="-9"/>
                            <w:sz w:val="20"/>
                            <w:szCs w:val="20"/>
                          </w:rPr>
                          <w:t>年末数</w:t>
                        </w:r>
                        <w:r>
                          <w:rPr>
                            <w:rFonts w:ascii="宋体" w:hAnsi="宋体" w:cs="宋体" w:eastAsia="宋体" w:hint="default"/>
                            <w:sz w:val="20"/>
                            <w:szCs w:val="20"/>
                          </w:rPr>
                        </w:r>
                      </w:p>
                    </w:tc>
                    <w:tc>
                      <w:tcPr>
                        <w:tcW w:w="425" w:type="dxa"/>
                        <w:tcBorders>
                          <w:top w:val="nil" w:sz="6" w:space="0" w:color="auto"/>
                          <w:left w:val="nil" w:sz="6" w:space="0" w:color="auto"/>
                          <w:bottom w:val="single" w:sz="12" w:space="0" w:color="000000"/>
                          <w:right w:val="nil" w:sz="6" w:space="0" w:color="auto"/>
                        </w:tcBorders>
                      </w:tcPr>
                      <w:p>
                        <w:pPr/>
                      </w:p>
                    </w:tc>
                  </w:tr>
                  <w:tr>
                    <w:trPr>
                      <w:trHeight w:val="381" w:hRule="exact"/>
                    </w:trPr>
                    <w:tc>
                      <w:tcPr>
                        <w:tcW w:w="1879" w:type="dxa"/>
                        <w:tcBorders>
                          <w:top w:val="single" w:sz="12" w:space="0" w:color="000000"/>
                          <w:left w:val="nil" w:sz="6" w:space="0" w:color="auto"/>
                          <w:bottom w:val="nil" w:sz="6" w:space="0" w:color="auto"/>
                          <w:right w:val="nil" w:sz="6" w:space="0" w:color="auto"/>
                        </w:tcBorders>
                      </w:tcPr>
                      <w:p>
                        <w:pPr>
                          <w:pStyle w:val="TableParagraph"/>
                          <w:spacing w:line="240" w:lineRule="auto" w:before="23"/>
                          <w:ind w:left="123" w:right="0"/>
                          <w:jc w:val="left"/>
                          <w:rPr>
                            <w:rFonts w:ascii="宋体" w:hAnsi="宋体" w:cs="宋体" w:eastAsia="宋体" w:hint="default"/>
                            <w:sz w:val="20"/>
                            <w:szCs w:val="20"/>
                          </w:rPr>
                        </w:pPr>
                        <w:r>
                          <w:rPr>
                            <w:rFonts w:ascii="宋体" w:hAnsi="宋体" w:cs="宋体" w:eastAsia="宋体" w:hint="default"/>
                            <w:spacing w:val="-6"/>
                            <w:sz w:val="20"/>
                            <w:szCs w:val="20"/>
                          </w:rPr>
                          <w:t>科技进步奖</w:t>
                        </w:r>
                        <w:r>
                          <w:rPr>
                            <w:rFonts w:ascii="宋体" w:hAnsi="宋体" w:cs="宋体" w:eastAsia="宋体" w:hint="default"/>
                            <w:sz w:val="20"/>
                            <w:szCs w:val="20"/>
                          </w:rPr>
                        </w:r>
                      </w:p>
                    </w:tc>
                    <w:tc>
                      <w:tcPr>
                        <w:tcW w:w="96" w:type="dxa"/>
                        <w:tcBorders>
                          <w:top w:val="nil" w:sz="6" w:space="0" w:color="auto"/>
                          <w:left w:val="nil" w:sz="6" w:space="0" w:color="auto"/>
                          <w:bottom w:val="nil" w:sz="6" w:space="0" w:color="auto"/>
                          <w:right w:val="nil" w:sz="6" w:space="0" w:color="auto"/>
                        </w:tcBorders>
                      </w:tcPr>
                      <w:p>
                        <w:pPr/>
                      </w:p>
                    </w:tc>
                    <w:tc>
                      <w:tcPr>
                        <w:tcW w:w="1686" w:type="dxa"/>
                        <w:tcBorders>
                          <w:top w:val="single" w:sz="12" w:space="0" w:color="000000"/>
                          <w:left w:val="nil" w:sz="6" w:space="0" w:color="auto"/>
                          <w:bottom w:val="nil" w:sz="6" w:space="0" w:color="auto"/>
                          <w:right w:val="nil" w:sz="6" w:space="0" w:color="auto"/>
                        </w:tcBorders>
                      </w:tcPr>
                      <w:p>
                        <w:pPr>
                          <w:pStyle w:val="TableParagraph"/>
                          <w:spacing w:line="240" w:lineRule="auto" w:before="51"/>
                          <w:ind w:right="79"/>
                          <w:jc w:val="right"/>
                          <w:rPr>
                            <w:rFonts w:ascii="Times New Roman" w:hAnsi="Times New Roman" w:cs="Times New Roman" w:eastAsia="Times New Roman" w:hint="default"/>
                            <w:sz w:val="20"/>
                            <w:szCs w:val="20"/>
                          </w:rPr>
                        </w:pPr>
                        <w:r>
                          <w:rPr>
                            <w:rFonts w:ascii="Times New Roman"/>
                            <w:spacing w:val="-3"/>
                            <w:sz w:val="20"/>
                          </w:rPr>
                          <w:t>6,000.00</w:t>
                        </w:r>
                        <w:r>
                          <w:rPr>
                            <w:rFonts w:ascii="Times New Roman"/>
                            <w:sz w:val="20"/>
                          </w:rPr>
                        </w:r>
                      </w:p>
                    </w:tc>
                    <w:tc>
                      <w:tcPr>
                        <w:tcW w:w="83" w:type="dxa"/>
                        <w:tcBorders>
                          <w:top w:val="nil" w:sz="6" w:space="0" w:color="auto"/>
                          <w:left w:val="nil" w:sz="6" w:space="0" w:color="auto"/>
                          <w:bottom w:val="nil" w:sz="6" w:space="0" w:color="auto"/>
                          <w:right w:val="nil" w:sz="6" w:space="0" w:color="auto"/>
                        </w:tcBorders>
                      </w:tcPr>
                      <w:p>
                        <w:pPr/>
                      </w:p>
                    </w:tc>
                    <w:tc>
                      <w:tcPr>
                        <w:tcW w:w="1321" w:type="dxa"/>
                        <w:tcBorders>
                          <w:top w:val="single" w:sz="12" w:space="0" w:color="000000"/>
                          <w:left w:val="nil" w:sz="6" w:space="0" w:color="auto"/>
                          <w:bottom w:val="nil" w:sz="6" w:space="0" w:color="auto"/>
                          <w:right w:val="nil" w:sz="6" w:space="0" w:color="auto"/>
                        </w:tcBorders>
                      </w:tcPr>
                      <w:p>
                        <w:pPr/>
                      </w:p>
                    </w:tc>
                    <w:tc>
                      <w:tcPr>
                        <w:tcW w:w="2121" w:type="dxa"/>
                        <w:tcBorders>
                          <w:top w:val="single" w:sz="12" w:space="0" w:color="000000"/>
                          <w:left w:val="nil" w:sz="6" w:space="0" w:color="auto"/>
                          <w:bottom w:val="nil" w:sz="6" w:space="0" w:color="auto"/>
                          <w:right w:val="nil" w:sz="6" w:space="0" w:color="auto"/>
                        </w:tcBorders>
                      </w:tcPr>
                      <w:p>
                        <w:pPr>
                          <w:pStyle w:val="TableParagraph"/>
                          <w:tabs>
                            <w:tab w:pos="1352" w:val="left" w:leader="none"/>
                          </w:tabs>
                          <w:spacing w:line="240" w:lineRule="auto" w:before="51"/>
                          <w:ind w:left="23" w:right="0"/>
                          <w:jc w:val="left"/>
                          <w:rPr>
                            <w:rFonts w:ascii="Times New Roman" w:hAnsi="Times New Roman" w:cs="Times New Roman" w:eastAsia="Times New Roman" w:hint="default"/>
                            <w:sz w:val="20"/>
                            <w:szCs w:val="20"/>
                          </w:rPr>
                        </w:pPr>
                        <w:r>
                          <w:rPr>
                            <w:rFonts w:ascii="Times New Roman"/>
                            <w:sz w:val="20"/>
                          </w:rPr>
                          <w:t>-</w:t>
                          <w:tab/>
                        </w:r>
                        <w:r>
                          <w:rPr>
                            <w:rFonts w:ascii="Times New Roman"/>
                            <w:spacing w:val="-4"/>
                            <w:sz w:val="20"/>
                          </w:rPr>
                          <w:t>6,000.00</w:t>
                        </w:r>
                      </w:p>
                    </w:tc>
                    <w:tc>
                      <w:tcPr>
                        <w:tcW w:w="110" w:type="dxa"/>
                        <w:tcBorders>
                          <w:top w:val="nil" w:sz="6" w:space="0" w:color="auto"/>
                          <w:left w:val="nil" w:sz="6" w:space="0" w:color="auto"/>
                          <w:bottom w:val="nil" w:sz="6" w:space="0" w:color="auto"/>
                          <w:right w:val="nil" w:sz="6" w:space="0" w:color="auto"/>
                        </w:tcBorders>
                      </w:tcPr>
                      <w:p>
                        <w:pPr/>
                      </w:p>
                    </w:tc>
                    <w:tc>
                      <w:tcPr>
                        <w:tcW w:w="1261" w:type="dxa"/>
                        <w:tcBorders>
                          <w:top w:val="single" w:sz="12" w:space="0" w:color="000000"/>
                          <w:left w:val="nil" w:sz="6" w:space="0" w:color="auto"/>
                          <w:bottom w:val="nil" w:sz="6" w:space="0" w:color="auto"/>
                          <w:right w:val="nil" w:sz="6" w:space="0" w:color="auto"/>
                        </w:tcBorders>
                      </w:tcPr>
                      <w:p>
                        <w:pPr/>
                      </w:p>
                    </w:tc>
                    <w:tc>
                      <w:tcPr>
                        <w:tcW w:w="425" w:type="dxa"/>
                        <w:tcBorders>
                          <w:top w:val="single" w:sz="12" w:space="0" w:color="000000"/>
                          <w:left w:val="nil" w:sz="6" w:space="0" w:color="auto"/>
                          <w:bottom w:val="nil" w:sz="6" w:space="0" w:color="auto"/>
                          <w:right w:val="nil" w:sz="6" w:space="0" w:color="auto"/>
                        </w:tcBorders>
                      </w:tcPr>
                      <w:p>
                        <w:pPr>
                          <w:pStyle w:val="TableParagraph"/>
                          <w:spacing w:line="240" w:lineRule="auto" w:before="51"/>
                          <w:ind w:left="82" w:right="0"/>
                          <w:jc w:val="left"/>
                          <w:rPr>
                            <w:rFonts w:ascii="Times New Roman" w:hAnsi="Times New Roman" w:cs="Times New Roman" w:eastAsia="Times New Roman" w:hint="default"/>
                            <w:sz w:val="20"/>
                            <w:szCs w:val="20"/>
                          </w:rPr>
                        </w:pPr>
                        <w:r>
                          <w:rPr>
                            <w:rFonts w:ascii="Times New Roman"/>
                            <w:w w:val="100"/>
                            <w:sz w:val="20"/>
                          </w:rPr>
                          <w:t>-</w:t>
                        </w:r>
                      </w:p>
                    </w:tc>
                  </w:tr>
                  <w:tr>
                    <w:trPr>
                      <w:trHeight w:val="372"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3" w:right="0"/>
                          <w:jc w:val="left"/>
                          <w:rPr>
                            <w:rFonts w:ascii="宋体" w:hAnsi="宋体" w:cs="宋体" w:eastAsia="宋体" w:hint="default"/>
                            <w:sz w:val="20"/>
                            <w:szCs w:val="20"/>
                          </w:rPr>
                        </w:pPr>
                        <w:r>
                          <w:rPr>
                            <w:rFonts w:ascii="宋体" w:hAnsi="宋体" w:cs="宋体" w:eastAsia="宋体" w:hint="default"/>
                            <w:spacing w:val="-6"/>
                            <w:sz w:val="20"/>
                            <w:szCs w:val="20"/>
                          </w:rPr>
                          <w:t>新产品财政扶持资金</w:t>
                        </w:r>
                        <w:r>
                          <w:rPr>
                            <w:rFonts w:ascii="宋体" w:hAnsi="宋体" w:cs="宋体" w:eastAsia="宋体" w:hint="default"/>
                            <w:sz w:val="20"/>
                            <w:szCs w:val="20"/>
                          </w:rPr>
                        </w:r>
                      </w:p>
                    </w:tc>
                    <w:tc>
                      <w:tcPr>
                        <w:tcW w:w="96"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9"/>
                          <w:jc w:val="right"/>
                          <w:rPr>
                            <w:rFonts w:ascii="Times New Roman" w:hAnsi="Times New Roman" w:cs="Times New Roman" w:eastAsia="Times New Roman" w:hint="default"/>
                            <w:sz w:val="20"/>
                            <w:szCs w:val="20"/>
                          </w:rPr>
                        </w:pPr>
                        <w:r>
                          <w:rPr>
                            <w:rFonts w:ascii="Times New Roman"/>
                            <w:spacing w:val="-3"/>
                            <w:sz w:val="20"/>
                          </w:rPr>
                          <w:t>19,045.00</w:t>
                        </w:r>
                        <w:r>
                          <w:rPr>
                            <w:rFonts w:ascii="Times New Roman"/>
                            <w:sz w:val="20"/>
                          </w:rPr>
                        </w:r>
                      </w:p>
                    </w:tc>
                    <w:tc>
                      <w:tcPr>
                        <w:tcW w:w="83"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2121" w:type="dxa"/>
                        <w:tcBorders>
                          <w:top w:val="nil" w:sz="6" w:space="0" w:color="auto"/>
                          <w:left w:val="nil" w:sz="6" w:space="0" w:color="auto"/>
                          <w:bottom w:val="nil" w:sz="6" w:space="0" w:color="auto"/>
                          <w:right w:val="nil" w:sz="6" w:space="0" w:color="auto"/>
                        </w:tcBorders>
                      </w:tcPr>
                      <w:p>
                        <w:pPr>
                          <w:pStyle w:val="TableParagraph"/>
                          <w:tabs>
                            <w:tab w:pos="1256" w:val="left" w:leader="none"/>
                          </w:tabs>
                          <w:spacing w:line="240" w:lineRule="auto" w:before="56"/>
                          <w:ind w:left="23" w:right="0"/>
                          <w:jc w:val="left"/>
                          <w:rPr>
                            <w:rFonts w:ascii="Times New Roman" w:hAnsi="Times New Roman" w:cs="Times New Roman" w:eastAsia="Times New Roman" w:hint="default"/>
                            <w:sz w:val="20"/>
                            <w:szCs w:val="20"/>
                          </w:rPr>
                        </w:pPr>
                        <w:r>
                          <w:rPr>
                            <w:rFonts w:ascii="Times New Roman"/>
                            <w:sz w:val="20"/>
                          </w:rPr>
                          <w:t>-</w:t>
                          <w:tab/>
                        </w:r>
                        <w:r>
                          <w:rPr>
                            <w:rFonts w:ascii="Times New Roman"/>
                            <w:spacing w:val="-4"/>
                            <w:sz w:val="20"/>
                          </w:rPr>
                          <w:t>19,045.00</w:t>
                        </w:r>
                      </w:p>
                    </w:tc>
                    <w:tc>
                      <w:tcPr>
                        <w:tcW w:w="110"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82" w:right="0"/>
                          <w:jc w:val="left"/>
                          <w:rPr>
                            <w:rFonts w:ascii="Times New Roman" w:hAnsi="Times New Roman" w:cs="Times New Roman" w:eastAsia="Times New Roman" w:hint="default"/>
                            <w:sz w:val="20"/>
                            <w:szCs w:val="20"/>
                          </w:rPr>
                        </w:pPr>
                        <w:r>
                          <w:rPr>
                            <w:rFonts w:ascii="Times New Roman"/>
                            <w:w w:val="100"/>
                            <w:sz w:val="20"/>
                          </w:rPr>
                          <w:t>-</w:t>
                        </w:r>
                      </w:p>
                    </w:tc>
                  </w:tr>
                  <w:tr>
                    <w:trPr>
                      <w:trHeight w:val="373"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3" w:right="0"/>
                          <w:jc w:val="left"/>
                          <w:rPr>
                            <w:rFonts w:ascii="宋体" w:hAnsi="宋体" w:cs="宋体" w:eastAsia="宋体" w:hint="default"/>
                            <w:sz w:val="20"/>
                            <w:szCs w:val="20"/>
                          </w:rPr>
                        </w:pPr>
                        <w:r>
                          <w:rPr>
                            <w:rFonts w:ascii="宋体" w:hAnsi="宋体" w:cs="宋体" w:eastAsia="宋体" w:hint="default"/>
                            <w:spacing w:val="-7"/>
                            <w:sz w:val="20"/>
                            <w:szCs w:val="20"/>
                          </w:rPr>
                          <w:t>科技三项费用</w:t>
                        </w:r>
                        <w:r>
                          <w:rPr>
                            <w:rFonts w:ascii="宋体" w:hAnsi="宋体" w:cs="宋体" w:eastAsia="宋体" w:hint="default"/>
                            <w:sz w:val="20"/>
                            <w:szCs w:val="20"/>
                          </w:rPr>
                        </w:r>
                      </w:p>
                    </w:tc>
                    <w:tc>
                      <w:tcPr>
                        <w:tcW w:w="96"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9"/>
                          <w:jc w:val="right"/>
                          <w:rPr>
                            <w:rFonts w:ascii="Times New Roman" w:hAnsi="Times New Roman" w:cs="Times New Roman" w:eastAsia="Times New Roman" w:hint="default"/>
                            <w:sz w:val="20"/>
                            <w:szCs w:val="20"/>
                          </w:rPr>
                        </w:pPr>
                        <w:r>
                          <w:rPr>
                            <w:rFonts w:ascii="Times New Roman"/>
                            <w:spacing w:val="-4"/>
                            <w:sz w:val="20"/>
                          </w:rPr>
                          <w:t>233,800.00</w:t>
                        </w:r>
                        <w:r>
                          <w:rPr>
                            <w:rFonts w:ascii="Times New Roman"/>
                            <w:sz w:val="20"/>
                          </w:rPr>
                        </w:r>
                      </w:p>
                    </w:tc>
                    <w:tc>
                      <w:tcPr>
                        <w:tcW w:w="83"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2121" w:type="dxa"/>
                        <w:tcBorders>
                          <w:top w:val="nil" w:sz="6" w:space="0" w:color="auto"/>
                          <w:left w:val="nil" w:sz="6" w:space="0" w:color="auto"/>
                          <w:bottom w:val="nil" w:sz="6" w:space="0" w:color="auto"/>
                          <w:right w:val="nil" w:sz="6" w:space="0" w:color="auto"/>
                        </w:tcBorders>
                      </w:tcPr>
                      <w:p>
                        <w:pPr>
                          <w:pStyle w:val="TableParagraph"/>
                          <w:tabs>
                            <w:tab w:pos="1160" w:val="left" w:leader="none"/>
                          </w:tabs>
                          <w:spacing w:line="240" w:lineRule="auto" w:before="56"/>
                          <w:ind w:left="23" w:right="0"/>
                          <w:jc w:val="left"/>
                          <w:rPr>
                            <w:rFonts w:ascii="Times New Roman" w:hAnsi="Times New Roman" w:cs="Times New Roman" w:eastAsia="Times New Roman" w:hint="default"/>
                            <w:sz w:val="20"/>
                            <w:szCs w:val="20"/>
                          </w:rPr>
                        </w:pPr>
                        <w:r>
                          <w:rPr>
                            <w:rFonts w:ascii="Times New Roman"/>
                            <w:sz w:val="20"/>
                          </w:rPr>
                          <w:t>-</w:t>
                          <w:tab/>
                        </w:r>
                        <w:r>
                          <w:rPr>
                            <w:rFonts w:ascii="Times New Roman"/>
                            <w:spacing w:val="-5"/>
                            <w:sz w:val="20"/>
                          </w:rPr>
                          <w:t>233,800.00</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82" w:right="0"/>
                          <w:jc w:val="left"/>
                          <w:rPr>
                            <w:rFonts w:ascii="Times New Roman" w:hAnsi="Times New Roman" w:cs="Times New Roman" w:eastAsia="Times New Roman" w:hint="default"/>
                            <w:sz w:val="20"/>
                            <w:szCs w:val="20"/>
                          </w:rPr>
                        </w:pPr>
                        <w:r>
                          <w:rPr>
                            <w:rFonts w:ascii="Times New Roman"/>
                            <w:w w:val="100"/>
                            <w:sz w:val="20"/>
                          </w:rPr>
                          <w:t>-</w:t>
                        </w:r>
                      </w:p>
                    </w:tc>
                  </w:tr>
                  <w:tr>
                    <w:trPr>
                      <w:trHeight w:val="372"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3" w:right="0"/>
                          <w:jc w:val="left"/>
                          <w:rPr>
                            <w:rFonts w:ascii="宋体" w:hAnsi="宋体" w:cs="宋体" w:eastAsia="宋体" w:hint="default"/>
                            <w:sz w:val="20"/>
                            <w:szCs w:val="20"/>
                          </w:rPr>
                        </w:pPr>
                        <w:r>
                          <w:rPr>
                            <w:rFonts w:ascii="宋体" w:hAnsi="宋体" w:cs="宋体" w:eastAsia="宋体" w:hint="default"/>
                            <w:spacing w:val="-5"/>
                            <w:sz w:val="20"/>
                            <w:szCs w:val="20"/>
                          </w:rPr>
                          <w:t>财政专项扶持资金</w:t>
                        </w:r>
                      </w:p>
                    </w:tc>
                    <w:tc>
                      <w:tcPr>
                        <w:tcW w:w="96"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9"/>
                          <w:jc w:val="right"/>
                          <w:rPr>
                            <w:rFonts w:ascii="Times New Roman" w:hAnsi="Times New Roman" w:cs="Times New Roman" w:eastAsia="Times New Roman" w:hint="default"/>
                            <w:sz w:val="20"/>
                            <w:szCs w:val="20"/>
                          </w:rPr>
                        </w:pPr>
                        <w:r>
                          <w:rPr>
                            <w:rFonts w:ascii="Times New Roman"/>
                            <w:spacing w:val="-4"/>
                            <w:sz w:val="20"/>
                          </w:rPr>
                          <w:t>233,000.00</w:t>
                        </w:r>
                        <w:r>
                          <w:rPr>
                            <w:rFonts w:ascii="Times New Roman"/>
                            <w:sz w:val="20"/>
                          </w:rPr>
                        </w:r>
                      </w:p>
                    </w:tc>
                    <w:tc>
                      <w:tcPr>
                        <w:tcW w:w="83"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2121" w:type="dxa"/>
                        <w:tcBorders>
                          <w:top w:val="nil" w:sz="6" w:space="0" w:color="auto"/>
                          <w:left w:val="nil" w:sz="6" w:space="0" w:color="auto"/>
                          <w:bottom w:val="nil" w:sz="6" w:space="0" w:color="auto"/>
                          <w:right w:val="nil" w:sz="6" w:space="0" w:color="auto"/>
                        </w:tcBorders>
                      </w:tcPr>
                      <w:p>
                        <w:pPr>
                          <w:pStyle w:val="TableParagraph"/>
                          <w:tabs>
                            <w:tab w:pos="1160" w:val="left" w:leader="none"/>
                          </w:tabs>
                          <w:spacing w:line="240" w:lineRule="auto" w:before="55"/>
                          <w:ind w:left="23" w:right="0"/>
                          <w:jc w:val="left"/>
                          <w:rPr>
                            <w:rFonts w:ascii="Times New Roman" w:hAnsi="Times New Roman" w:cs="Times New Roman" w:eastAsia="Times New Roman" w:hint="default"/>
                            <w:sz w:val="20"/>
                            <w:szCs w:val="20"/>
                          </w:rPr>
                        </w:pPr>
                        <w:r>
                          <w:rPr>
                            <w:rFonts w:ascii="Times New Roman"/>
                            <w:sz w:val="20"/>
                          </w:rPr>
                          <w:t>-</w:t>
                          <w:tab/>
                        </w:r>
                        <w:r>
                          <w:rPr>
                            <w:rFonts w:ascii="Times New Roman"/>
                            <w:spacing w:val="-5"/>
                            <w:sz w:val="20"/>
                          </w:rPr>
                          <w:t>233,000.00</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2" w:right="0"/>
                          <w:jc w:val="left"/>
                          <w:rPr>
                            <w:rFonts w:ascii="Times New Roman" w:hAnsi="Times New Roman" w:cs="Times New Roman" w:eastAsia="Times New Roman" w:hint="default"/>
                            <w:sz w:val="20"/>
                            <w:szCs w:val="20"/>
                          </w:rPr>
                        </w:pPr>
                        <w:r>
                          <w:rPr>
                            <w:rFonts w:ascii="Times New Roman"/>
                            <w:w w:val="100"/>
                            <w:sz w:val="20"/>
                          </w:rPr>
                          <w:t>-</w:t>
                        </w:r>
                      </w:p>
                    </w:tc>
                  </w:tr>
                  <w:tr>
                    <w:trPr>
                      <w:trHeight w:val="377"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3" w:right="0"/>
                          <w:jc w:val="left"/>
                          <w:rPr>
                            <w:rFonts w:ascii="宋体" w:hAnsi="宋体" w:cs="宋体" w:eastAsia="宋体" w:hint="default"/>
                            <w:sz w:val="20"/>
                            <w:szCs w:val="20"/>
                          </w:rPr>
                        </w:pPr>
                        <w:r>
                          <w:rPr>
                            <w:rFonts w:ascii="宋体" w:hAnsi="宋体" w:cs="宋体" w:eastAsia="宋体" w:hint="default"/>
                            <w:spacing w:val="-7"/>
                            <w:sz w:val="20"/>
                            <w:szCs w:val="20"/>
                          </w:rPr>
                          <w:t>专项补助基金</w:t>
                        </w:r>
                        <w:r>
                          <w:rPr>
                            <w:rFonts w:ascii="宋体" w:hAnsi="宋体" w:cs="宋体" w:eastAsia="宋体" w:hint="default"/>
                            <w:sz w:val="20"/>
                            <w:szCs w:val="20"/>
                          </w:rPr>
                        </w:r>
                      </w:p>
                    </w:tc>
                    <w:tc>
                      <w:tcPr>
                        <w:tcW w:w="96"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9"/>
                          <w:jc w:val="right"/>
                          <w:rPr>
                            <w:rFonts w:ascii="Times New Roman" w:hAnsi="Times New Roman" w:cs="Times New Roman" w:eastAsia="Times New Roman" w:hint="default"/>
                            <w:sz w:val="20"/>
                            <w:szCs w:val="20"/>
                          </w:rPr>
                        </w:pPr>
                        <w:r>
                          <w:rPr>
                            <w:rFonts w:ascii="Times New Roman"/>
                            <w:spacing w:val="-4"/>
                            <w:sz w:val="20"/>
                          </w:rPr>
                          <w:t>200,000.00</w:t>
                        </w:r>
                        <w:r>
                          <w:rPr>
                            <w:rFonts w:ascii="Times New Roman"/>
                            <w:sz w:val="20"/>
                          </w:rPr>
                        </w:r>
                      </w:p>
                    </w:tc>
                    <w:tc>
                      <w:tcPr>
                        <w:tcW w:w="83"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2121" w:type="dxa"/>
                        <w:tcBorders>
                          <w:top w:val="nil" w:sz="6" w:space="0" w:color="auto"/>
                          <w:left w:val="nil" w:sz="6" w:space="0" w:color="auto"/>
                          <w:bottom w:val="nil" w:sz="6" w:space="0" w:color="auto"/>
                          <w:right w:val="nil" w:sz="6" w:space="0" w:color="auto"/>
                        </w:tcBorders>
                      </w:tcPr>
                      <w:p>
                        <w:pPr>
                          <w:pStyle w:val="TableParagraph"/>
                          <w:tabs>
                            <w:tab w:pos="1160" w:val="left" w:leader="none"/>
                          </w:tabs>
                          <w:spacing w:line="240" w:lineRule="auto" w:before="55"/>
                          <w:ind w:left="23" w:right="0"/>
                          <w:jc w:val="left"/>
                          <w:rPr>
                            <w:rFonts w:ascii="Times New Roman" w:hAnsi="Times New Roman" w:cs="Times New Roman" w:eastAsia="Times New Roman" w:hint="default"/>
                            <w:sz w:val="20"/>
                            <w:szCs w:val="20"/>
                          </w:rPr>
                        </w:pPr>
                        <w:r>
                          <w:rPr>
                            <w:rFonts w:ascii="Times New Roman"/>
                            <w:sz w:val="20"/>
                          </w:rPr>
                          <w:t>-</w:t>
                          <w:tab/>
                        </w:r>
                        <w:r>
                          <w:rPr>
                            <w:rFonts w:ascii="Times New Roman"/>
                            <w:spacing w:val="-5"/>
                            <w:sz w:val="20"/>
                          </w:rPr>
                          <w:t>200,000.00</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82" w:right="0"/>
                          <w:jc w:val="left"/>
                          <w:rPr>
                            <w:rFonts w:ascii="Times New Roman" w:hAnsi="Times New Roman" w:cs="Times New Roman" w:eastAsia="Times New Roman" w:hint="default"/>
                            <w:sz w:val="20"/>
                            <w:szCs w:val="20"/>
                          </w:rPr>
                        </w:pPr>
                        <w:r>
                          <w:rPr>
                            <w:rFonts w:ascii="Times New Roman"/>
                            <w:w w:val="100"/>
                            <w:sz w:val="20"/>
                          </w:rPr>
                          <w:t>-</w:t>
                        </w:r>
                      </w:p>
                    </w:tc>
                  </w:tr>
                  <w:tr>
                    <w:trPr>
                      <w:trHeight w:val="374"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3" w:right="0"/>
                          <w:jc w:val="left"/>
                          <w:rPr>
                            <w:rFonts w:ascii="宋体" w:hAnsi="宋体" w:cs="宋体" w:eastAsia="宋体" w:hint="default"/>
                            <w:sz w:val="20"/>
                            <w:szCs w:val="20"/>
                          </w:rPr>
                        </w:pPr>
                        <w:r>
                          <w:rPr>
                            <w:rFonts w:ascii="宋体" w:hAnsi="宋体" w:cs="宋体" w:eastAsia="宋体" w:hint="default"/>
                            <w:spacing w:val="-7"/>
                            <w:sz w:val="20"/>
                            <w:szCs w:val="20"/>
                          </w:rPr>
                          <w:t>科技三项费用</w:t>
                        </w:r>
                        <w:r>
                          <w:rPr>
                            <w:rFonts w:ascii="宋体" w:hAnsi="宋体" w:cs="宋体" w:eastAsia="宋体" w:hint="default"/>
                            <w:sz w:val="20"/>
                            <w:szCs w:val="20"/>
                          </w:rPr>
                        </w:r>
                      </w:p>
                    </w:tc>
                    <w:tc>
                      <w:tcPr>
                        <w:tcW w:w="96"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9"/>
                          <w:jc w:val="right"/>
                          <w:rPr>
                            <w:rFonts w:ascii="Times New Roman" w:hAnsi="Times New Roman" w:cs="Times New Roman" w:eastAsia="Times New Roman" w:hint="default"/>
                            <w:sz w:val="20"/>
                            <w:szCs w:val="20"/>
                          </w:rPr>
                        </w:pPr>
                        <w:r>
                          <w:rPr>
                            <w:rFonts w:ascii="Times New Roman"/>
                            <w:spacing w:val="-3"/>
                            <w:sz w:val="20"/>
                          </w:rPr>
                          <w:t>32,000.00</w:t>
                        </w:r>
                        <w:r>
                          <w:rPr>
                            <w:rFonts w:ascii="Times New Roman"/>
                            <w:sz w:val="20"/>
                          </w:rPr>
                        </w:r>
                      </w:p>
                    </w:tc>
                    <w:tc>
                      <w:tcPr>
                        <w:tcW w:w="83"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2121" w:type="dxa"/>
                        <w:tcBorders>
                          <w:top w:val="nil" w:sz="6" w:space="0" w:color="auto"/>
                          <w:left w:val="nil" w:sz="6" w:space="0" w:color="auto"/>
                          <w:bottom w:val="nil" w:sz="6" w:space="0" w:color="auto"/>
                          <w:right w:val="nil" w:sz="6" w:space="0" w:color="auto"/>
                        </w:tcBorders>
                      </w:tcPr>
                      <w:p>
                        <w:pPr>
                          <w:pStyle w:val="TableParagraph"/>
                          <w:tabs>
                            <w:tab w:pos="1256" w:val="left" w:leader="none"/>
                          </w:tabs>
                          <w:spacing w:line="240" w:lineRule="auto" w:before="65"/>
                          <w:ind w:left="23" w:right="0"/>
                          <w:jc w:val="left"/>
                          <w:rPr>
                            <w:rFonts w:ascii="Times New Roman" w:hAnsi="Times New Roman" w:cs="Times New Roman" w:eastAsia="Times New Roman" w:hint="default"/>
                            <w:sz w:val="20"/>
                            <w:szCs w:val="20"/>
                          </w:rPr>
                        </w:pPr>
                        <w:r>
                          <w:rPr>
                            <w:rFonts w:ascii="Times New Roman"/>
                            <w:sz w:val="20"/>
                          </w:rPr>
                          <w:t>-</w:t>
                          <w:tab/>
                        </w:r>
                        <w:r>
                          <w:rPr>
                            <w:rFonts w:ascii="Times New Roman"/>
                            <w:spacing w:val="-4"/>
                            <w:sz w:val="20"/>
                          </w:rPr>
                          <w:t>32,000.00</w:t>
                        </w:r>
                      </w:p>
                    </w:tc>
                    <w:tc>
                      <w:tcPr>
                        <w:tcW w:w="110"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82" w:right="0"/>
                          <w:jc w:val="left"/>
                          <w:rPr>
                            <w:rFonts w:ascii="Times New Roman" w:hAnsi="Times New Roman" w:cs="Times New Roman" w:eastAsia="Times New Roman" w:hint="default"/>
                            <w:sz w:val="20"/>
                            <w:szCs w:val="20"/>
                          </w:rPr>
                        </w:pPr>
                        <w:r>
                          <w:rPr>
                            <w:rFonts w:ascii="Times New Roman"/>
                            <w:w w:val="100"/>
                            <w:sz w:val="20"/>
                          </w:rPr>
                          <w:t>-</w:t>
                        </w:r>
                      </w:p>
                    </w:tc>
                  </w:tr>
                  <w:tr>
                    <w:trPr>
                      <w:trHeight w:val="363"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3" w:right="0"/>
                          <w:jc w:val="left"/>
                          <w:rPr>
                            <w:rFonts w:ascii="宋体" w:hAnsi="宋体" w:cs="宋体" w:eastAsia="宋体" w:hint="default"/>
                            <w:sz w:val="20"/>
                            <w:szCs w:val="20"/>
                          </w:rPr>
                        </w:pPr>
                        <w:r>
                          <w:rPr>
                            <w:rFonts w:ascii="宋体" w:hAnsi="宋体" w:cs="宋体" w:eastAsia="宋体" w:hint="default"/>
                            <w:spacing w:val="-7"/>
                            <w:sz w:val="20"/>
                            <w:szCs w:val="20"/>
                          </w:rPr>
                          <w:t>科技创新基金</w:t>
                        </w:r>
                        <w:r>
                          <w:rPr>
                            <w:rFonts w:ascii="宋体" w:hAnsi="宋体" w:cs="宋体" w:eastAsia="宋体" w:hint="default"/>
                            <w:sz w:val="20"/>
                            <w:szCs w:val="20"/>
                          </w:rPr>
                        </w:r>
                      </w:p>
                    </w:tc>
                    <w:tc>
                      <w:tcPr>
                        <w:tcW w:w="96" w:type="dxa"/>
                        <w:tcBorders>
                          <w:top w:val="nil" w:sz="6" w:space="0" w:color="auto"/>
                          <w:left w:val="nil" w:sz="6" w:space="0" w:color="auto"/>
                          <w:bottom w:val="nil" w:sz="6" w:space="0" w:color="auto"/>
                          <w:right w:val="nil" w:sz="6" w:space="0" w:color="auto"/>
                        </w:tcBorders>
                      </w:tcPr>
                      <w:p>
                        <w:pPr/>
                      </w:p>
                    </w:tc>
                    <w:tc>
                      <w:tcPr>
                        <w:tcW w:w="1686" w:type="dxa"/>
                        <w:tcBorders>
                          <w:top w:val="nil" w:sz="6" w:space="0" w:color="auto"/>
                          <w:left w:val="nil" w:sz="6" w:space="0" w:color="auto"/>
                          <w:bottom w:val="single" w:sz="5" w:space="0" w:color="000000"/>
                          <w:right w:val="nil" w:sz="6" w:space="0" w:color="auto"/>
                        </w:tcBorders>
                      </w:tcPr>
                      <w:p>
                        <w:pPr>
                          <w:pStyle w:val="TableParagraph"/>
                          <w:spacing w:line="240" w:lineRule="auto" w:before="63"/>
                          <w:ind w:right="79"/>
                          <w:jc w:val="right"/>
                          <w:rPr>
                            <w:rFonts w:ascii="Times New Roman" w:hAnsi="Times New Roman" w:cs="Times New Roman" w:eastAsia="Times New Roman" w:hint="default"/>
                            <w:sz w:val="20"/>
                            <w:szCs w:val="20"/>
                          </w:rPr>
                        </w:pPr>
                        <w:r>
                          <w:rPr>
                            <w:rFonts w:ascii="Times New Roman"/>
                            <w:spacing w:val="-4"/>
                            <w:sz w:val="20"/>
                          </w:rPr>
                          <w:t>100,000.00</w:t>
                        </w:r>
                        <w:r>
                          <w:rPr>
                            <w:rFonts w:ascii="Times New Roman"/>
                            <w:sz w:val="20"/>
                          </w:rPr>
                        </w:r>
                      </w:p>
                    </w:tc>
                    <w:tc>
                      <w:tcPr>
                        <w:tcW w:w="83"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single" w:sz="5" w:space="0" w:color="000000"/>
                          <w:right w:val="nil" w:sz="6" w:space="0" w:color="auto"/>
                        </w:tcBorders>
                      </w:tcPr>
                      <w:p>
                        <w:pPr/>
                      </w:p>
                    </w:tc>
                    <w:tc>
                      <w:tcPr>
                        <w:tcW w:w="2121" w:type="dxa"/>
                        <w:tcBorders>
                          <w:top w:val="nil" w:sz="6" w:space="0" w:color="auto"/>
                          <w:left w:val="nil" w:sz="6" w:space="0" w:color="auto"/>
                          <w:bottom w:val="single" w:sz="5" w:space="0" w:color="000000"/>
                          <w:right w:val="nil" w:sz="6" w:space="0" w:color="auto"/>
                        </w:tcBorders>
                      </w:tcPr>
                      <w:p>
                        <w:pPr>
                          <w:pStyle w:val="TableParagraph"/>
                          <w:tabs>
                            <w:tab w:pos="1160" w:val="left" w:leader="none"/>
                          </w:tabs>
                          <w:spacing w:line="240" w:lineRule="auto" w:before="63"/>
                          <w:ind w:left="23" w:right="0"/>
                          <w:jc w:val="left"/>
                          <w:rPr>
                            <w:rFonts w:ascii="Times New Roman" w:hAnsi="Times New Roman" w:cs="Times New Roman" w:eastAsia="Times New Roman" w:hint="default"/>
                            <w:sz w:val="20"/>
                            <w:szCs w:val="20"/>
                          </w:rPr>
                        </w:pPr>
                        <w:r>
                          <w:rPr>
                            <w:rFonts w:ascii="Times New Roman"/>
                            <w:sz w:val="20"/>
                          </w:rPr>
                          <w:t>-</w:t>
                          <w:tab/>
                        </w:r>
                        <w:r>
                          <w:rPr>
                            <w:rFonts w:ascii="Times New Roman"/>
                            <w:spacing w:val="-5"/>
                            <w:sz w:val="20"/>
                          </w:rPr>
                          <w:t>100,000.00</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single" w:sz="5" w:space="0" w:color="000000"/>
                          <w:right w:val="nil" w:sz="6" w:space="0" w:color="auto"/>
                        </w:tcBorders>
                      </w:tcPr>
                      <w:p>
                        <w:pPr/>
                      </w:p>
                    </w:tc>
                    <w:tc>
                      <w:tcPr>
                        <w:tcW w:w="425" w:type="dxa"/>
                        <w:tcBorders>
                          <w:top w:val="nil" w:sz="6" w:space="0" w:color="auto"/>
                          <w:left w:val="nil" w:sz="6" w:space="0" w:color="auto"/>
                          <w:bottom w:val="single" w:sz="5" w:space="0" w:color="000000"/>
                          <w:right w:val="nil" w:sz="6" w:space="0" w:color="auto"/>
                        </w:tcBorders>
                      </w:tcPr>
                      <w:p>
                        <w:pPr>
                          <w:pStyle w:val="TableParagraph"/>
                          <w:spacing w:line="240" w:lineRule="auto" w:before="63"/>
                          <w:ind w:left="82" w:right="0"/>
                          <w:jc w:val="left"/>
                          <w:rPr>
                            <w:rFonts w:ascii="Times New Roman" w:hAnsi="Times New Roman" w:cs="Times New Roman" w:eastAsia="Times New Roman" w:hint="default"/>
                            <w:sz w:val="20"/>
                            <w:szCs w:val="20"/>
                          </w:rPr>
                        </w:pPr>
                        <w:r>
                          <w:rPr>
                            <w:rFonts w:ascii="Times New Roman"/>
                            <w:w w:val="100"/>
                            <w:sz w:val="20"/>
                          </w:rPr>
                          <w:t>-</w:t>
                        </w:r>
                      </w:p>
                    </w:tc>
                  </w:tr>
                  <w:tr>
                    <w:trPr>
                      <w:trHeight w:val="387"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2"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83"/>
                            <w:sz w:val="20"/>
                            <w:szCs w:val="20"/>
                          </w:rPr>
                          <w:t> </w:t>
                        </w:r>
                        <w:r>
                          <w:rPr>
                            <w:rFonts w:ascii="宋体" w:hAnsi="宋体" w:cs="宋体" w:eastAsia="宋体" w:hint="default"/>
                            <w:sz w:val="20"/>
                            <w:szCs w:val="20"/>
                          </w:rPr>
                          <w:t>计</w:t>
                        </w:r>
                      </w:p>
                    </w:tc>
                    <w:tc>
                      <w:tcPr>
                        <w:tcW w:w="96" w:type="dxa"/>
                        <w:tcBorders>
                          <w:top w:val="nil" w:sz="6" w:space="0" w:color="auto"/>
                          <w:left w:val="nil" w:sz="6" w:space="0" w:color="auto"/>
                          <w:bottom w:val="nil" w:sz="6" w:space="0" w:color="auto"/>
                          <w:right w:val="nil" w:sz="6" w:space="0" w:color="auto"/>
                        </w:tcBorders>
                      </w:tcPr>
                      <w:p>
                        <w:pPr/>
                      </w:p>
                    </w:tc>
                    <w:tc>
                      <w:tcPr>
                        <w:tcW w:w="1686" w:type="dxa"/>
                        <w:tcBorders>
                          <w:top w:val="single" w:sz="5" w:space="0" w:color="000000"/>
                          <w:left w:val="nil" w:sz="6" w:space="0" w:color="auto"/>
                          <w:bottom w:val="single" w:sz="6" w:space="0" w:color="000000"/>
                          <w:right w:val="nil" w:sz="6" w:space="0" w:color="auto"/>
                        </w:tcBorders>
                      </w:tcPr>
                      <w:p>
                        <w:pPr>
                          <w:pStyle w:val="TableParagraph"/>
                          <w:spacing w:line="240" w:lineRule="auto" w:before="65"/>
                          <w:ind w:right="79"/>
                          <w:jc w:val="right"/>
                          <w:rPr>
                            <w:rFonts w:ascii="Times New Roman" w:hAnsi="Times New Roman" w:cs="Times New Roman" w:eastAsia="Times New Roman" w:hint="default"/>
                            <w:sz w:val="20"/>
                            <w:szCs w:val="20"/>
                          </w:rPr>
                        </w:pPr>
                        <w:r>
                          <w:rPr>
                            <w:rFonts w:ascii="Times New Roman"/>
                            <w:spacing w:val="-4"/>
                            <w:sz w:val="20"/>
                          </w:rPr>
                          <w:t>823,845.00</w:t>
                        </w:r>
                        <w:r>
                          <w:rPr>
                            <w:rFonts w:ascii="Times New Roman"/>
                            <w:sz w:val="20"/>
                          </w:rPr>
                        </w:r>
                      </w:p>
                    </w:tc>
                    <w:tc>
                      <w:tcPr>
                        <w:tcW w:w="83" w:type="dxa"/>
                        <w:tcBorders>
                          <w:top w:val="nil" w:sz="6" w:space="0" w:color="auto"/>
                          <w:left w:val="nil" w:sz="6" w:space="0" w:color="auto"/>
                          <w:bottom w:val="nil" w:sz="6" w:space="0" w:color="auto"/>
                          <w:right w:val="nil" w:sz="6" w:space="0" w:color="auto"/>
                        </w:tcBorders>
                      </w:tcPr>
                      <w:p>
                        <w:pPr/>
                      </w:p>
                    </w:tc>
                    <w:tc>
                      <w:tcPr>
                        <w:tcW w:w="1321" w:type="dxa"/>
                        <w:tcBorders>
                          <w:top w:val="single" w:sz="5" w:space="0" w:color="000000"/>
                          <w:left w:val="nil" w:sz="6" w:space="0" w:color="auto"/>
                          <w:bottom w:val="single" w:sz="6" w:space="0" w:color="000000"/>
                          <w:right w:val="nil" w:sz="6" w:space="0" w:color="auto"/>
                        </w:tcBorders>
                      </w:tcPr>
                      <w:p>
                        <w:pPr/>
                      </w:p>
                    </w:tc>
                    <w:tc>
                      <w:tcPr>
                        <w:tcW w:w="2121" w:type="dxa"/>
                        <w:tcBorders>
                          <w:top w:val="single" w:sz="5" w:space="0" w:color="000000"/>
                          <w:left w:val="nil" w:sz="6" w:space="0" w:color="auto"/>
                          <w:bottom w:val="single" w:sz="6" w:space="0" w:color="000000"/>
                          <w:right w:val="nil" w:sz="6" w:space="0" w:color="auto"/>
                        </w:tcBorders>
                      </w:tcPr>
                      <w:p>
                        <w:pPr>
                          <w:pStyle w:val="TableParagraph"/>
                          <w:tabs>
                            <w:tab w:pos="1160" w:val="left" w:leader="none"/>
                          </w:tabs>
                          <w:spacing w:line="240" w:lineRule="auto" w:before="65"/>
                          <w:ind w:left="23" w:right="0"/>
                          <w:jc w:val="left"/>
                          <w:rPr>
                            <w:rFonts w:ascii="Times New Roman" w:hAnsi="Times New Roman" w:cs="Times New Roman" w:eastAsia="Times New Roman" w:hint="default"/>
                            <w:sz w:val="20"/>
                            <w:szCs w:val="20"/>
                          </w:rPr>
                        </w:pPr>
                        <w:r>
                          <w:rPr>
                            <w:rFonts w:ascii="Times New Roman"/>
                            <w:sz w:val="20"/>
                          </w:rPr>
                          <w:t>-</w:t>
                          <w:tab/>
                        </w:r>
                        <w:r>
                          <w:rPr>
                            <w:rFonts w:ascii="Times New Roman"/>
                            <w:spacing w:val="-5"/>
                            <w:sz w:val="20"/>
                          </w:rPr>
                          <w:t>823,845.00</w:t>
                        </w:r>
                        <w:r>
                          <w:rPr>
                            <w:rFonts w:ascii="Times New Roman"/>
                            <w:sz w:val="20"/>
                          </w:rPr>
                        </w:r>
                      </w:p>
                    </w:tc>
                    <w:tc>
                      <w:tcPr>
                        <w:tcW w:w="110" w:type="dxa"/>
                        <w:tcBorders>
                          <w:top w:val="nil" w:sz="6" w:space="0" w:color="auto"/>
                          <w:left w:val="nil" w:sz="6" w:space="0" w:color="auto"/>
                          <w:bottom w:val="nil" w:sz="6" w:space="0" w:color="auto"/>
                          <w:right w:val="nil" w:sz="6" w:space="0" w:color="auto"/>
                        </w:tcBorders>
                      </w:tcPr>
                      <w:p>
                        <w:pPr/>
                      </w:p>
                    </w:tc>
                    <w:tc>
                      <w:tcPr>
                        <w:tcW w:w="1261" w:type="dxa"/>
                        <w:tcBorders>
                          <w:top w:val="single" w:sz="5" w:space="0" w:color="000000"/>
                          <w:left w:val="nil" w:sz="6" w:space="0" w:color="auto"/>
                          <w:bottom w:val="single" w:sz="6" w:space="0" w:color="000000"/>
                          <w:right w:val="nil" w:sz="6" w:space="0" w:color="auto"/>
                        </w:tcBorders>
                      </w:tcPr>
                      <w:p>
                        <w:pPr/>
                      </w:p>
                    </w:tc>
                    <w:tc>
                      <w:tcPr>
                        <w:tcW w:w="425" w:type="dxa"/>
                        <w:tcBorders>
                          <w:top w:val="single" w:sz="5" w:space="0" w:color="000000"/>
                          <w:left w:val="nil" w:sz="6" w:space="0" w:color="auto"/>
                          <w:bottom w:val="single" w:sz="6" w:space="0" w:color="000000"/>
                          <w:right w:val="nil" w:sz="6" w:space="0" w:color="auto"/>
                        </w:tcBorders>
                      </w:tcPr>
                      <w:p>
                        <w:pPr>
                          <w:pStyle w:val="TableParagraph"/>
                          <w:spacing w:line="240" w:lineRule="auto" w:before="65"/>
                          <w:ind w:left="82" w:right="0"/>
                          <w:jc w:val="left"/>
                          <w:rPr>
                            <w:rFonts w:ascii="Times New Roman" w:hAnsi="Times New Roman" w:cs="Times New Roman" w:eastAsia="Times New Roman" w:hint="default"/>
                            <w:sz w:val="20"/>
                            <w:szCs w:val="20"/>
                          </w:rPr>
                        </w:pPr>
                        <w:r>
                          <w:rPr>
                            <w:rFonts w:ascii="Times New Roman"/>
                            <w:w w:val="100"/>
                            <w:sz w:val="20"/>
                          </w:rPr>
                          <w:t>-</w:t>
                        </w:r>
                      </w:p>
                    </w:tc>
                  </w:tr>
                  <w:tr>
                    <w:trPr>
                      <w:trHeight w:val="908" w:hRule="exact"/>
                    </w:trPr>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23"/>
                            <w:szCs w:val="23"/>
                          </w:rPr>
                        </w:pPr>
                      </w:p>
                      <w:p>
                        <w:pPr>
                          <w:pStyle w:val="TableParagraph"/>
                          <w:spacing w:line="240" w:lineRule="auto"/>
                          <w:ind w:left="53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w w:val="110"/>
                            <w:sz w:val="24"/>
                            <w:szCs w:val="24"/>
                          </w:rPr>
                          <w:t>z) </w:t>
                        </w:r>
                        <w:r>
                          <w:rPr>
                            <w:rFonts w:ascii="Microsoft JhengHei" w:hAnsi="Microsoft JhengHei" w:cs="Microsoft JhengHei" w:eastAsia="Microsoft JhengHei" w:hint="default"/>
                            <w:b/>
                            <w:bCs/>
                            <w:spacing w:val="19"/>
                            <w:w w:val="110"/>
                            <w:sz w:val="24"/>
                            <w:szCs w:val="24"/>
                          </w:rPr>
                          <w:t> </w:t>
                        </w:r>
                        <w:r>
                          <w:rPr>
                            <w:rFonts w:ascii="Microsoft JhengHei" w:hAnsi="Microsoft JhengHei" w:cs="Microsoft JhengHei" w:eastAsia="Microsoft JhengHei" w:hint="default"/>
                            <w:b/>
                            <w:bCs/>
                            <w:w w:val="110"/>
                            <w:sz w:val="24"/>
                            <w:szCs w:val="24"/>
                          </w:rPr>
                          <w:t>股本</w:t>
                        </w:r>
                        <w:r>
                          <w:rPr>
                            <w:rFonts w:ascii="Microsoft JhengHei" w:hAnsi="Microsoft JhengHei" w:cs="Microsoft JhengHei" w:eastAsia="Microsoft JhengHei" w:hint="default"/>
                            <w:w w:val="110"/>
                            <w:sz w:val="24"/>
                            <w:szCs w:val="24"/>
                          </w:rPr>
                        </w:r>
                      </w:p>
                    </w:tc>
                    <w:tc>
                      <w:tcPr>
                        <w:tcW w:w="96" w:type="dxa"/>
                        <w:tcBorders>
                          <w:top w:val="nil" w:sz="6" w:space="0" w:color="auto"/>
                          <w:left w:val="nil" w:sz="6" w:space="0" w:color="auto"/>
                          <w:bottom w:val="nil" w:sz="6" w:space="0" w:color="auto"/>
                          <w:right w:val="nil" w:sz="6" w:space="0" w:color="auto"/>
                        </w:tcBorders>
                      </w:tcPr>
                      <w:p>
                        <w:pPr/>
                      </w:p>
                    </w:tc>
                    <w:tc>
                      <w:tcPr>
                        <w:tcW w:w="1686" w:type="dxa"/>
                        <w:tcBorders>
                          <w:top w:val="single" w:sz="6" w:space="0" w:color="000000"/>
                          <w:left w:val="nil" w:sz="6" w:space="0" w:color="auto"/>
                          <w:bottom w:val="nil" w:sz="6" w:space="0" w:color="auto"/>
                          <w:right w:val="nil" w:sz="6" w:space="0" w:color="auto"/>
                        </w:tcBorders>
                      </w:tcPr>
                      <w:p>
                        <w:pPr/>
                      </w:p>
                    </w:tc>
                    <w:tc>
                      <w:tcPr>
                        <w:tcW w:w="83" w:type="dxa"/>
                        <w:tcBorders>
                          <w:top w:val="nil" w:sz="6" w:space="0" w:color="auto"/>
                          <w:left w:val="nil" w:sz="6" w:space="0" w:color="auto"/>
                          <w:bottom w:val="nil" w:sz="6" w:space="0" w:color="auto"/>
                          <w:right w:val="nil" w:sz="6" w:space="0" w:color="auto"/>
                        </w:tcBorders>
                      </w:tcPr>
                      <w:p>
                        <w:pPr/>
                      </w:p>
                    </w:tc>
                    <w:tc>
                      <w:tcPr>
                        <w:tcW w:w="1321" w:type="dxa"/>
                        <w:tcBorders>
                          <w:top w:val="single" w:sz="6" w:space="0" w:color="000000"/>
                          <w:left w:val="nil" w:sz="6" w:space="0" w:color="auto"/>
                          <w:bottom w:val="nil" w:sz="6" w:space="0" w:color="auto"/>
                          <w:right w:val="nil" w:sz="6" w:space="0" w:color="auto"/>
                        </w:tcBorders>
                      </w:tcPr>
                      <w:p>
                        <w:pPr/>
                      </w:p>
                    </w:tc>
                    <w:tc>
                      <w:tcPr>
                        <w:tcW w:w="2121" w:type="dxa"/>
                        <w:tcBorders>
                          <w:top w:val="single" w:sz="6" w:space="0" w:color="000000"/>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261" w:type="dxa"/>
                        <w:tcBorders>
                          <w:top w:val="single" w:sz="6" w:space="0" w:color="000000"/>
                          <w:left w:val="nil" w:sz="6" w:space="0" w:color="auto"/>
                          <w:bottom w:val="nil" w:sz="6" w:space="0" w:color="auto"/>
                          <w:right w:val="nil" w:sz="6" w:space="0" w:color="auto"/>
                        </w:tcBorders>
                      </w:tcPr>
                      <w:p>
                        <w:pPr/>
                      </w:p>
                    </w:tc>
                    <w:tc>
                      <w:tcPr>
                        <w:tcW w:w="425" w:type="dxa"/>
                        <w:tcBorders>
                          <w:top w:val="single" w:sz="6" w:space="0" w:color="000000"/>
                          <w:left w:val="nil" w:sz="6" w:space="0" w:color="auto"/>
                          <w:bottom w:val="nil" w:sz="6" w:space="0" w:color="auto"/>
                          <w:right w:val="nil" w:sz="6" w:space="0" w:color="auto"/>
                        </w:tcBorders>
                      </w:tcPr>
                      <w:p>
                        <w:pPr/>
                      </w:p>
                    </w:tc>
                  </w:tr>
                </w:tbl>
                <w:p>
                  <w:pPr/>
                </w:p>
              </w:txbxContent>
            </v:textbox>
            <w10:wrap type="none"/>
          </v:shape>
        </w:pict>
      </w:r>
      <w:r>
        <w:rPr>
          <w:w w:val="105"/>
        </w:rPr>
        <w:t>y) </w:t>
      </w:r>
      <w:r>
        <w:rPr>
          <w:spacing w:val="10"/>
          <w:w w:val="105"/>
        </w:rPr>
        <w:t> </w:t>
      </w:r>
      <w:r>
        <w:rPr>
          <w:w w:val="105"/>
        </w:rPr>
        <w:t>专项应付款</w:t>
      </w:r>
      <w:r>
        <w:rPr>
          <w:b w:val="0"/>
          <w:bCs w:val="0"/>
          <w:w w:val="105"/>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1"/>
          <w:szCs w:val="11"/>
        </w:rPr>
      </w:pPr>
    </w:p>
    <w:p>
      <w:pPr>
        <w:spacing w:line="28" w:lineRule="exact"/>
        <w:ind w:left="7432"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position w:val="0"/>
          <w:sz w:val="2"/>
          <w:szCs w:val="2"/>
        </w:rPr>
        <w:pict>
          <v:group style="width:85.75pt;height:1.45pt;mso-position-horizontal-relative:char;mso-position-vertical-relative:line" coordorigin="0,0" coordsize="1715,29">
            <v:group style="position:absolute;left:14;top:14;width:1686;height:2" coordorigin="14,14" coordsize="1686,2">
              <v:shape style="position:absolute;left:14;top:14;width:1686;height:2" coordorigin="14,14" coordsize="1686,0" path="m14,14l1700,14e" filled="false" stroked="true" strokeweight="1.44pt" strokecolor="#000000">
                <v:path arrowok="t"/>
              </v:shape>
            </v:group>
          </v:group>
        </w:pict>
      </w:r>
      <w:r>
        <w:rPr>
          <w:rFonts w:ascii="Microsoft JhengHei" w:hAnsi="Microsoft JhengHei" w:cs="Microsoft JhengHei" w:eastAsia="Microsoft JhengHei" w:hint="default"/>
          <w:position w:val="0"/>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0"/>
          <w:szCs w:val="10"/>
        </w:rPr>
      </w:pPr>
    </w:p>
    <w:tbl>
      <w:tblPr>
        <w:tblW w:w="0" w:type="auto"/>
        <w:jc w:val="left"/>
        <w:tblInd w:w="138" w:type="dxa"/>
        <w:tblLayout w:type="fixed"/>
        <w:tblCellMar>
          <w:top w:w="0" w:type="dxa"/>
          <w:left w:w="0" w:type="dxa"/>
          <w:bottom w:w="0" w:type="dxa"/>
          <w:right w:w="0" w:type="dxa"/>
        </w:tblCellMar>
        <w:tblLook w:val="01E0"/>
      </w:tblPr>
      <w:tblGrid>
        <w:gridCol w:w="1953"/>
        <w:gridCol w:w="1071"/>
        <w:gridCol w:w="688"/>
        <w:gridCol w:w="1070"/>
        <w:gridCol w:w="529"/>
        <w:gridCol w:w="577"/>
        <w:gridCol w:w="529"/>
        <w:gridCol w:w="1070"/>
        <w:gridCol w:w="1161"/>
        <w:gridCol w:w="688"/>
      </w:tblGrid>
      <w:tr>
        <w:trPr>
          <w:trHeight w:val="316" w:hRule="exact"/>
        </w:trPr>
        <w:tc>
          <w:tcPr>
            <w:tcW w:w="1953" w:type="dxa"/>
            <w:vMerge w:val="restart"/>
            <w:tcBorders>
              <w:top w:val="single" w:sz="6" w:space="0" w:color="000000"/>
              <w:left w:val="single" w:sz="6" w:space="0" w:color="000000"/>
              <w:right w:val="single" w:sz="11"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9"/>
                <w:szCs w:val="19"/>
              </w:rPr>
            </w:pPr>
          </w:p>
          <w:p>
            <w:pPr>
              <w:pStyle w:val="TableParagraph"/>
              <w:spacing w:line="240" w:lineRule="auto"/>
              <w:ind w:left="40" w:right="0"/>
              <w:jc w:val="center"/>
              <w:rPr>
                <w:rFonts w:ascii="宋体" w:hAnsi="宋体" w:cs="宋体" w:eastAsia="宋体" w:hint="default"/>
                <w:sz w:val="16"/>
                <w:szCs w:val="16"/>
              </w:rPr>
            </w:pPr>
            <w:r>
              <w:rPr>
                <w:rFonts w:ascii="宋体" w:hAnsi="宋体" w:cs="宋体" w:eastAsia="宋体" w:hint="default"/>
                <w:w w:val="105"/>
                <w:sz w:val="16"/>
                <w:szCs w:val="16"/>
              </w:rPr>
              <w:t>项 </w:t>
            </w:r>
            <w:r>
              <w:rPr>
                <w:rFonts w:ascii="宋体" w:hAnsi="宋体" w:cs="宋体" w:eastAsia="宋体" w:hint="default"/>
                <w:spacing w:val="22"/>
                <w:w w:val="105"/>
                <w:sz w:val="16"/>
                <w:szCs w:val="16"/>
              </w:rPr>
              <w:t> </w:t>
            </w:r>
            <w:r>
              <w:rPr>
                <w:rFonts w:ascii="宋体" w:hAnsi="宋体" w:cs="宋体" w:eastAsia="宋体" w:hint="default"/>
                <w:w w:val="105"/>
                <w:sz w:val="16"/>
                <w:szCs w:val="16"/>
              </w:rPr>
              <w:t>目</w:t>
            </w:r>
            <w:r>
              <w:rPr>
                <w:rFonts w:ascii="宋体" w:hAnsi="宋体" w:cs="宋体" w:eastAsia="宋体" w:hint="default"/>
                <w:sz w:val="16"/>
                <w:szCs w:val="16"/>
              </w:rPr>
            </w:r>
          </w:p>
        </w:tc>
        <w:tc>
          <w:tcPr>
            <w:tcW w:w="1759" w:type="dxa"/>
            <w:gridSpan w:val="2"/>
            <w:tcBorders>
              <w:top w:val="single" w:sz="6" w:space="0" w:color="000000"/>
              <w:left w:val="single" w:sz="11" w:space="0" w:color="000000"/>
              <w:bottom w:val="single" w:sz="6" w:space="0" w:color="000000"/>
              <w:right w:val="single" w:sz="5" w:space="0" w:color="000000"/>
            </w:tcBorders>
          </w:tcPr>
          <w:p>
            <w:pPr>
              <w:pStyle w:val="TableParagraph"/>
              <w:spacing w:line="240" w:lineRule="auto" w:before="16"/>
              <w:ind w:left="27" w:right="0"/>
              <w:jc w:val="center"/>
              <w:rPr>
                <w:rFonts w:ascii="宋体" w:hAnsi="宋体" w:cs="宋体" w:eastAsia="宋体" w:hint="default"/>
                <w:sz w:val="16"/>
                <w:szCs w:val="16"/>
              </w:rPr>
            </w:pPr>
            <w:r>
              <w:rPr>
                <w:rFonts w:ascii="宋体" w:hAnsi="宋体" w:cs="宋体" w:eastAsia="宋体" w:hint="default"/>
                <w:spacing w:val="-5"/>
                <w:w w:val="105"/>
                <w:sz w:val="16"/>
                <w:szCs w:val="16"/>
              </w:rPr>
              <w:t>年初数</w:t>
            </w:r>
            <w:r>
              <w:rPr>
                <w:rFonts w:ascii="宋体" w:hAnsi="宋体" w:cs="宋体" w:eastAsia="宋体" w:hint="default"/>
                <w:spacing w:val="-5"/>
                <w:sz w:val="16"/>
                <w:szCs w:val="16"/>
              </w:rPr>
            </w:r>
          </w:p>
        </w:tc>
        <w:tc>
          <w:tcPr>
            <w:tcW w:w="3775" w:type="dxa"/>
            <w:gridSpan w:val="5"/>
            <w:tcBorders>
              <w:top w:val="single" w:sz="6" w:space="0" w:color="000000"/>
              <w:left w:val="single" w:sz="5" w:space="0" w:color="000000"/>
              <w:bottom w:val="single" w:sz="6" w:space="0" w:color="000000"/>
              <w:right w:val="single" w:sz="11" w:space="0" w:color="000000"/>
            </w:tcBorders>
          </w:tcPr>
          <w:p>
            <w:pPr>
              <w:pStyle w:val="TableParagraph"/>
              <w:spacing w:line="240" w:lineRule="auto" w:before="16"/>
              <w:ind w:left="1169" w:right="0"/>
              <w:jc w:val="left"/>
              <w:rPr>
                <w:rFonts w:ascii="宋体" w:hAnsi="宋体" w:cs="宋体" w:eastAsia="宋体" w:hint="default"/>
                <w:sz w:val="16"/>
                <w:szCs w:val="16"/>
              </w:rPr>
            </w:pPr>
            <w:r>
              <w:rPr>
                <w:rFonts w:ascii="宋体" w:hAnsi="宋体" w:cs="宋体" w:eastAsia="宋体" w:hint="default"/>
                <w:spacing w:val="-6"/>
                <w:w w:val="105"/>
                <w:sz w:val="16"/>
                <w:szCs w:val="16"/>
              </w:rPr>
              <w:t>本年增减变动(+、-)</w:t>
            </w:r>
            <w:r>
              <w:rPr>
                <w:rFonts w:ascii="宋体" w:hAnsi="宋体" w:cs="宋体" w:eastAsia="宋体" w:hint="default"/>
                <w:spacing w:val="-6"/>
                <w:sz w:val="16"/>
                <w:szCs w:val="16"/>
              </w:rPr>
            </w:r>
          </w:p>
        </w:tc>
        <w:tc>
          <w:tcPr>
            <w:tcW w:w="1849" w:type="dxa"/>
            <w:gridSpan w:val="2"/>
            <w:tcBorders>
              <w:top w:val="single" w:sz="6" w:space="0" w:color="000000"/>
              <w:left w:val="single" w:sz="11" w:space="0" w:color="000000"/>
              <w:bottom w:val="single" w:sz="6" w:space="0" w:color="000000"/>
              <w:right w:val="single" w:sz="11" w:space="0" w:color="000000"/>
            </w:tcBorders>
          </w:tcPr>
          <w:p>
            <w:pPr>
              <w:pStyle w:val="TableParagraph"/>
              <w:spacing w:line="240" w:lineRule="auto" w:before="16"/>
              <w:ind w:left="27" w:right="0"/>
              <w:jc w:val="center"/>
              <w:rPr>
                <w:rFonts w:ascii="宋体" w:hAnsi="宋体" w:cs="宋体" w:eastAsia="宋体" w:hint="default"/>
                <w:sz w:val="16"/>
                <w:szCs w:val="16"/>
              </w:rPr>
            </w:pPr>
            <w:r>
              <w:rPr>
                <w:rFonts w:ascii="宋体" w:hAnsi="宋体" w:cs="宋体" w:eastAsia="宋体" w:hint="default"/>
                <w:spacing w:val="-5"/>
                <w:w w:val="105"/>
                <w:sz w:val="16"/>
                <w:szCs w:val="16"/>
              </w:rPr>
              <w:t>年末数</w:t>
            </w:r>
            <w:r>
              <w:rPr>
                <w:rFonts w:ascii="宋体" w:hAnsi="宋体" w:cs="宋体" w:eastAsia="宋体" w:hint="default"/>
                <w:spacing w:val="-5"/>
                <w:sz w:val="16"/>
                <w:szCs w:val="16"/>
              </w:rPr>
            </w:r>
          </w:p>
        </w:tc>
      </w:tr>
      <w:tr>
        <w:trPr>
          <w:trHeight w:val="634" w:hRule="exact"/>
        </w:trPr>
        <w:tc>
          <w:tcPr>
            <w:tcW w:w="1953" w:type="dxa"/>
            <w:vMerge/>
            <w:tcBorders>
              <w:left w:val="single" w:sz="6" w:space="0" w:color="000000"/>
              <w:bottom w:val="single" w:sz="6" w:space="0" w:color="000000"/>
              <w:right w:val="single" w:sz="11" w:space="0" w:color="000000"/>
            </w:tcBorders>
          </w:tcPr>
          <w:p>
            <w:pPr/>
          </w:p>
        </w:tc>
        <w:tc>
          <w:tcPr>
            <w:tcW w:w="1071" w:type="dxa"/>
            <w:tcBorders>
              <w:top w:val="single" w:sz="6" w:space="0" w:color="000000"/>
              <w:left w:val="single" w:sz="11" w:space="0" w:color="000000"/>
              <w:bottom w:val="single" w:sz="6" w:space="0" w:color="000000"/>
              <w:right w:val="single" w:sz="1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6" w:right="0"/>
              <w:jc w:val="center"/>
              <w:rPr>
                <w:rFonts w:ascii="宋体" w:hAnsi="宋体" w:cs="宋体" w:eastAsia="宋体" w:hint="default"/>
                <w:sz w:val="16"/>
                <w:szCs w:val="16"/>
              </w:rPr>
            </w:pPr>
            <w:r>
              <w:rPr>
                <w:rFonts w:ascii="宋体" w:hAnsi="宋体" w:cs="宋体" w:eastAsia="宋体" w:hint="default"/>
                <w:spacing w:val="-13"/>
                <w:w w:val="105"/>
                <w:sz w:val="16"/>
                <w:szCs w:val="16"/>
              </w:rPr>
              <w:t>金额</w:t>
            </w:r>
            <w:r>
              <w:rPr>
                <w:rFonts w:ascii="宋体" w:hAnsi="宋体" w:cs="宋体" w:eastAsia="宋体" w:hint="default"/>
                <w:sz w:val="16"/>
                <w:szCs w:val="16"/>
              </w:rPr>
            </w:r>
          </w:p>
        </w:tc>
        <w:tc>
          <w:tcPr>
            <w:tcW w:w="688" w:type="dxa"/>
            <w:tcBorders>
              <w:top w:val="single" w:sz="6" w:space="0" w:color="000000"/>
              <w:left w:val="single" w:sz="12" w:space="0" w:color="000000"/>
              <w:bottom w:val="single" w:sz="6" w:space="0" w:color="000000"/>
              <w:right w:val="single" w:sz="5"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80" w:right="0"/>
              <w:jc w:val="left"/>
              <w:rPr>
                <w:rFonts w:ascii="宋体" w:hAnsi="宋体" w:cs="宋体" w:eastAsia="宋体" w:hint="default"/>
                <w:sz w:val="16"/>
                <w:szCs w:val="16"/>
              </w:rPr>
            </w:pPr>
            <w:r>
              <w:rPr>
                <w:rFonts w:ascii="宋体" w:hAnsi="宋体" w:cs="宋体" w:eastAsia="宋体" w:hint="default"/>
                <w:w w:val="105"/>
                <w:sz w:val="16"/>
                <w:szCs w:val="16"/>
              </w:rPr>
              <w:t>比例</w:t>
            </w:r>
            <w:r>
              <w:rPr>
                <w:rFonts w:ascii="宋体" w:hAnsi="宋体" w:cs="宋体" w:eastAsia="宋体" w:hint="default"/>
                <w:sz w:val="16"/>
                <w:szCs w:val="16"/>
              </w:rPr>
            </w:r>
          </w:p>
        </w:tc>
        <w:tc>
          <w:tcPr>
            <w:tcW w:w="107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223" w:right="0"/>
              <w:jc w:val="left"/>
              <w:rPr>
                <w:rFonts w:ascii="宋体" w:hAnsi="宋体" w:cs="宋体" w:eastAsia="宋体" w:hint="default"/>
                <w:sz w:val="16"/>
                <w:szCs w:val="16"/>
              </w:rPr>
            </w:pPr>
            <w:r>
              <w:rPr>
                <w:rFonts w:ascii="宋体" w:hAnsi="宋体" w:cs="宋体" w:eastAsia="宋体" w:hint="default"/>
                <w:spacing w:val="-10"/>
                <w:w w:val="105"/>
                <w:sz w:val="16"/>
                <w:szCs w:val="16"/>
              </w:rPr>
              <w:t>发行新股</w:t>
            </w:r>
            <w:r>
              <w:rPr>
                <w:rFonts w:ascii="宋体" w:hAnsi="宋体" w:cs="宋体" w:eastAsia="宋体" w:hint="default"/>
                <w:sz w:val="16"/>
                <w:szCs w:val="16"/>
              </w:rPr>
            </w:r>
          </w:p>
        </w:tc>
        <w:tc>
          <w:tcPr>
            <w:tcW w:w="529"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11" w:right="0"/>
              <w:jc w:val="left"/>
              <w:rPr>
                <w:rFonts w:ascii="宋体" w:hAnsi="宋体" w:cs="宋体" w:eastAsia="宋体" w:hint="default"/>
                <w:sz w:val="16"/>
                <w:szCs w:val="16"/>
              </w:rPr>
            </w:pPr>
            <w:r>
              <w:rPr>
                <w:rFonts w:ascii="宋体" w:hAnsi="宋体" w:cs="宋体" w:eastAsia="宋体" w:hint="default"/>
                <w:spacing w:val="-13"/>
                <w:w w:val="105"/>
                <w:sz w:val="16"/>
                <w:szCs w:val="16"/>
              </w:rPr>
              <w:t>送股</w:t>
            </w:r>
            <w:r>
              <w:rPr>
                <w:rFonts w:ascii="宋体" w:hAnsi="宋体" w:cs="宋体" w:eastAsia="宋体" w:hint="default"/>
                <w:sz w:val="16"/>
                <w:szCs w:val="16"/>
              </w:rPr>
            </w:r>
          </w:p>
        </w:tc>
        <w:tc>
          <w:tcPr>
            <w:tcW w:w="577" w:type="dxa"/>
            <w:tcBorders>
              <w:top w:val="single" w:sz="6" w:space="0" w:color="000000"/>
              <w:left w:val="single" w:sz="6" w:space="0" w:color="000000"/>
              <w:bottom w:val="single" w:sz="6" w:space="0" w:color="000000"/>
              <w:right w:val="single" w:sz="11" w:space="0" w:color="000000"/>
            </w:tcBorders>
          </w:tcPr>
          <w:p>
            <w:pPr>
              <w:pStyle w:val="TableParagraph"/>
              <w:spacing w:line="259" w:lineRule="auto" w:before="77"/>
              <w:ind w:left="125" w:right="11" w:hanging="70"/>
              <w:jc w:val="left"/>
              <w:rPr>
                <w:rFonts w:ascii="宋体" w:hAnsi="宋体" w:cs="宋体" w:eastAsia="宋体" w:hint="default"/>
                <w:sz w:val="16"/>
                <w:szCs w:val="16"/>
              </w:rPr>
            </w:pPr>
            <w:r>
              <w:rPr>
                <w:rFonts w:ascii="宋体" w:hAnsi="宋体" w:cs="宋体" w:eastAsia="宋体" w:hint="default"/>
                <w:spacing w:val="-5"/>
                <w:w w:val="105"/>
                <w:sz w:val="16"/>
                <w:szCs w:val="16"/>
              </w:rPr>
              <w:t>公积金</w:t>
            </w:r>
            <w:r>
              <w:rPr>
                <w:rFonts w:ascii="宋体" w:hAnsi="宋体" w:cs="宋体" w:eastAsia="宋体" w:hint="default"/>
                <w:w w:val="103"/>
                <w:sz w:val="16"/>
                <w:szCs w:val="16"/>
              </w:rPr>
              <w:t> </w:t>
            </w:r>
            <w:r>
              <w:rPr>
                <w:rFonts w:ascii="宋体" w:hAnsi="宋体" w:cs="宋体" w:eastAsia="宋体" w:hint="default"/>
                <w:w w:val="105"/>
                <w:sz w:val="16"/>
                <w:szCs w:val="16"/>
              </w:rPr>
              <w:t>转股</w:t>
            </w:r>
            <w:r>
              <w:rPr>
                <w:rFonts w:ascii="宋体" w:hAnsi="宋体" w:cs="宋体" w:eastAsia="宋体" w:hint="default"/>
                <w:sz w:val="16"/>
                <w:szCs w:val="16"/>
              </w:rPr>
            </w:r>
          </w:p>
        </w:tc>
        <w:tc>
          <w:tcPr>
            <w:tcW w:w="529" w:type="dxa"/>
            <w:tcBorders>
              <w:top w:val="single" w:sz="6" w:space="0" w:color="000000"/>
              <w:left w:val="single" w:sz="11" w:space="0" w:color="000000"/>
              <w:bottom w:val="single" w:sz="6" w:space="0" w:color="000000"/>
              <w:right w:val="single" w:sz="11"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98" w:right="0"/>
              <w:jc w:val="left"/>
              <w:rPr>
                <w:rFonts w:ascii="宋体" w:hAnsi="宋体" w:cs="宋体" w:eastAsia="宋体" w:hint="default"/>
                <w:sz w:val="16"/>
                <w:szCs w:val="16"/>
              </w:rPr>
            </w:pPr>
            <w:r>
              <w:rPr>
                <w:rFonts w:ascii="宋体" w:hAnsi="宋体" w:cs="宋体" w:eastAsia="宋体" w:hint="default"/>
                <w:w w:val="105"/>
                <w:sz w:val="16"/>
                <w:szCs w:val="16"/>
              </w:rPr>
              <w:t>其他</w:t>
            </w:r>
            <w:r>
              <w:rPr>
                <w:rFonts w:ascii="宋体" w:hAnsi="宋体" w:cs="宋体" w:eastAsia="宋体" w:hint="default"/>
                <w:sz w:val="16"/>
                <w:szCs w:val="16"/>
              </w:rPr>
            </w:r>
          </w:p>
        </w:tc>
        <w:tc>
          <w:tcPr>
            <w:tcW w:w="1070" w:type="dxa"/>
            <w:tcBorders>
              <w:top w:val="single" w:sz="6" w:space="0" w:color="000000"/>
              <w:left w:val="single" w:sz="11" w:space="0" w:color="000000"/>
              <w:bottom w:val="single" w:sz="6" w:space="0" w:color="000000"/>
              <w:right w:val="single" w:sz="11"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3" w:right="0"/>
              <w:jc w:val="center"/>
              <w:rPr>
                <w:rFonts w:ascii="宋体" w:hAnsi="宋体" w:cs="宋体" w:eastAsia="宋体" w:hint="default"/>
                <w:sz w:val="16"/>
                <w:szCs w:val="16"/>
              </w:rPr>
            </w:pPr>
            <w:r>
              <w:rPr>
                <w:rFonts w:ascii="宋体" w:hAnsi="宋体" w:cs="宋体" w:eastAsia="宋体" w:hint="default"/>
                <w:w w:val="105"/>
                <w:sz w:val="16"/>
                <w:szCs w:val="16"/>
              </w:rPr>
              <w:t>小计</w:t>
            </w:r>
            <w:r>
              <w:rPr>
                <w:rFonts w:ascii="宋体" w:hAnsi="宋体" w:cs="宋体" w:eastAsia="宋体" w:hint="default"/>
                <w:sz w:val="16"/>
                <w:szCs w:val="16"/>
              </w:rPr>
            </w:r>
          </w:p>
        </w:tc>
        <w:tc>
          <w:tcPr>
            <w:tcW w:w="1161" w:type="dxa"/>
            <w:tcBorders>
              <w:top w:val="single" w:sz="6" w:space="0" w:color="000000"/>
              <w:left w:val="single" w:sz="11" w:space="0" w:color="000000"/>
              <w:bottom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3" w:right="0"/>
              <w:jc w:val="center"/>
              <w:rPr>
                <w:rFonts w:ascii="宋体" w:hAnsi="宋体" w:cs="宋体" w:eastAsia="宋体" w:hint="default"/>
                <w:sz w:val="16"/>
                <w:szCs w:val="16"/>
              </w:rPr>
            </w:pPr>
            <w:r>
              <w:rPr>
                <w:rFonts w:ascii="宋体" w:hAnsi="宋体" w:cs="宋体" w:eastAsia="宋体" w:hint="default"/>
                <w:spacing w:val="-7"/>
                <w:w w:val="105"/>
                <w:sz w:val="16"/>
                <w:szCs w:val="16"/>
              </w:rPr>
              <w:t>金额</w:t>
            </w:r>
            <w:r>
              <w:rPr>
                <w:rFonts w:ascii="宋体" w:hAnsi="宋体" w:cs="宋体" w:eastAsia="宋体" w:hint="default"/>
                <w:spacing w:val="-7"/>
                <w:sz w:val="16"/>
                <w:szCs w:val="16"/>
              </w:rPr>
            </w:r>
          </w:p>
        </w:tc>
        <w:tc>
          <w:tcPr>
            <w:tcW w:w="688" w:type="dxa"/>
            <w:tcBorders>
              <w:top w:val="single" w:sz="6" w:space="0" w:color="000000"/>
              <w:left w:val="single" w:sz="6" w:space="0" w:color="000000"/>
              <w:bottom w:val="single" w:sz="6" w:space="0" w:color="000000"/>
              <w:right w:val="single" w:sz="11"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1"/>
                <w:szCs w:val="11"/>
              </w:rPr>
            </w:pPr>
          </w:p>
          <w:p>
            <w:pPr>
              <w:pStyle w:val="TableParagraph"/>
              <w:spacing w:line="240" w:lineRule="auto"/>
              <w:ind w:left="180" w:right="0"/>
              <w:jc w:val="left"/>
              <w:rPr>
                <w:rFonts w:ascii="宋体" w:hAnsi="宋体" w:cs="宋体" w:eastAsia="宋体" w:hint="default"/>
                <w:sz w:val="16"/>
                <w:szCs w:val="16"/>
              </w:rPr>
            </w:pPr>
            <w:r>
              <w:rPr>
                <w:rFonts w:ascii="宋体" w:hAnsi="宋体" w:cs="宋体" w:eastAsia="宋体" w:hint="default"/>
                <w:w w:val="105"/>
                <w:sz w:val="16"/>
                <w:szCs w:val="16"/>
              </w:rPr>
              <w:t>比例</w:t>
            </w:r>
            <w:r>
              <w:rPr>
                <w:rFonts w:ascii="宋体" w:hAnsi="宋体" w:cs="宋体" w:eastAsia="宋体" w:hint="default"/>
                <w:sz w:val="16"/>
                <w:szCs w:val="16"/>
              </w:rPr>
            </w:r>
          </w:p>
        </w:tc>
      </w:tr>
      <w:tr>
        <w:trPr>
          <w:trHeight w:val="317" w:hRule="exact"/>
        </w:trPr>
        <w:tc>
          <w:tcPr>
            <w:tcW w:w="1953" w:type="dxa"/>
            <w:tcBorders>
              <w:top w:val="single" w:sz="6" w:space="0" w:color="000000"/>
              <w:left w:val="single" w:sz="6" w:space="0" w:color="000000"/>
              <w:bottom w:val="single" w:sz="6" w:space="0" w:color="000000"/>
              <w:right w:val="single" w:sz="11" w:space="0" w:color="000000"/>
            </w:tcBorders>
          </w:tcPr>
          <w:p>
            <w:pPr>
              <w:pStyle w:val="TableParagraph"/>
              <w:spacing w:line="240" w:lineRule="auto" w:before="32"/>
              <w:ind w:left="27" w:right="0"/>
              <w:jc w:val="left"/>
              <w:rPr>
                <w:rFonts w:ascii="宋体" w:hAnsi="宋体" w:cs="宋体" w:eastAsia="宋体" w:hint="default"/>
                <w:sz w:val="16"/>
                <w:szCs w:val="16"/>
              </w:rPr>
            </w:pPr>
            <w:r>
              <w:rPr>
                <w:rFonts w:ascii="宋体" w:hAnsi="宋体" w:cs="宋体" w:eastAsia="宋体" w:hint="default"/>
                <w:spacing w:val="-6"/>
                <w:w w:val="105"/>
                <w:sz w:val="16"/>
                <w:szCs w:val="16"/>
              </w:rPr>
              <w:t>一、有限售条件股份</w:t>
            </w:r>
            <w:r>
              <w:rPr>
                <w:rFonts w:ascii="宋体" w:hAnsi="宋体" w:cs="宋体" w:eastAsia="宋体" w:hint="default"/>
                <w:spacing w:val="-6"/>
                <w:sz w:val="16"/>
                <w:szCs w:val="16"/>
              </w:rPr>
            </w:r>
          </w:p>
        </w:tc>
        <w:tc>
          <w:tcPr>
            <w:tcW w:w="1071" w:type="dxa"/>
            <w:tcBorders>
              <w:top w:val="single" w:sz="6" w:space="0" w:color="000000"/>
              <w:left w:val="single" w:sz="11" w:space="0" w:color="000000"/>
              <w:bottom w:val="single" w:sz="6" w:space="0" w:color="000000"/>
              <w:right w:val="single" w:sz="12" w:space="0" w:color="000000"/>
            </w:tcBorders>
          </w:tcPr>
          <w:p>
            <w:pPr/>
          </w:p>
        </w:tc>
        <w:tc>
          <w:tcPr>
            <w:tcW w:w="688" w:type="dxa"/>
            <w:tcBorders>
              <w:top w:val="single" w:sz="6" w:space="0" w:color="000000"/>
              <w:left w:val="single" w:sz="12" w:space="0" w:color="000000"/>
              <w:bottom w:val="single" w:sz="6" w:space="0" w:color="000000"/>
              <w:right w:val="single" w:sz="5" w:space="0" w:color="000000"/>
            </w:tcBorders>
          </w:tcPr>
          <w:p>
            <w:pPr/>
          </w:p>
        </w:tc>
        <w:tc>
          <w:tcPr>
            <w:tcW w:w="1070" w:type="dxa"/>
            <w:tcBorders>
              <w:top w:val="single" w:sz="6" w:space="0" w:color="000000"/>
              <w:left w:val="single" w:sz="5" w:space="0" w:color="000000"/>
              <w:bottom w:val="single" w:sz="6" w:space="0" w:color="000000"/>
              <w:right w:val="single" w:sz="5" w:space="0" w:color="000000"/>
            </w:tcBorders>
          </w:tcPr>
          <w:p>
            <w:pPr/>
          </w:p>
        </w:tc>
        <w:tc>
          <w:tcPr>
            <w:tcW w:w="529" w:type="dxa"/>
            <w:tcBorders>
              <w:top w:val="single" w:sz="6" w:space="0" w:color="000000"/>
              <w:left w:val="single" w:sz="5" w:space="0" w:color="000000"/>
              <w:bottom w:val="single" w:sz="6" w:space="0" w:color="000000"/>
              <w:right w:val="single" w:sz="6" w:space="0" w:color="000000"/>
            </w:tcBorders>
          </w:tcPr>
          <w:p>
            <w:pPr/>
          </w:p>
        </w:tc>
        <w:tc>
          <w:tcPr>
            <w:tcW w:w="577" w:type="dxa"/>
            <w:tcBorders>
              <w:top w:val="single" w:sz="6" w:space="0" w:color="000000"/>
              <w:left w:val="single" w:sz="6" w:space="0" w:color="000000"/>
              <w:bottom w:val="single" w:sz="6" w:space="0" w:color="000000"/>
              <w:right w:val="single" w:sz="11" w:space="0" w:color="000000"/>
            </w:tcBorders>
          </w:tcPr>
          <w:p>
            <w:pPr/>
          </w:p>
        </w:tc>
        <w:tc>
          <w:tcPr>
            <w:tcW w:w="529" w:type="dxa"/>
            <w:tcBorders>
              <w:top w:val="single" w:sz="6" w:space="0" w:color="000000"/>
              <w:left w:val="single" w:sz="11" w:space="0" w:color="000000"/>
              <w:bottom w:val="single" w:sz="6" w:space="0" w:color="000000"/>
              <w:right w:val="single" w:sz="11" w:space="0" w:color="000000"/>
            </w:tcBorders>
          </w:tcPr>
          <w:p>
            <w:pPr/>
          </w:p>
        </w:tc>
        <w:tc>
          <w:tcPr>
            <w:tcW w:w="1070" w:type="dxa"/>
            <w:tcBorders>
              <w:top w:val="single" w:sz="6" w:space="0" w:color="000000"/>
              <w:left w:val="single" w:sz="11" w:space="0" w:color="000000"/>
              <w:bottom w:val="single" w:sz="6" w:space="0" w:color="000000"/>
              <w:right w:val="single" w:sz="11" w:space="0" w:color="000000"/>
            </w:tcBorders>
          </w:tcPr>
          <w:p>
            <w:pPr/>
          </w:p>
        </w:tc>
        <w:tc>
          <w:tcPr>
            <w:tcW w:w="1161" w:type="dxa"/>
            <w:tcBorders>
              <w:top w:val="single" w:sz="6" w:space="0" w:color="000000"/>
              <w:left w:val="single" w:sz="11"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11" w:space="0" w:color="000000"/>
            </w:tcBorders>
          </w:tcPr>
          <w:p>
            <w:pPr/>
          </w:p>
        </w:tc>
      </w:tr>
      <w:tr>
        <w:trPr>
          <w:trHeight w:val="301" w:hRule="exact"/>
        </w:trPr>
        <w:tc>
          <w:tcPr>
            <w:tcW w:w="1953" w:type="dxa"/>
            <w:tcBorders>
              <w:top w:val="single" w:sz="6" w:space="0" w:color="000000"/>
              <w:left w:val="single" w:sz="6" w:space="0" w:color="000000"/>
              <w:bottom w:val="single" w:sz="6" w:space="0" w:color="000000"/>
              <w:right w:val="single" w:sz="11" w:space="0" w:color="000000"/>
            </w:tcBorders>
          </w:tcPr>
          <w:p>
            <w:pPr>
              <w:pStyle w:val="TableParagraph"/>
              <w:spacing w:line="240" w:lineRule="auto" w:before="32"/>
              <w:ind w:left="27" w:right="0"/>
              <w:jc w:val="left"/>
              <w:rPr>
                <w:rFonts w:ascii="宋体" w:hAnsi="宋体" w:cs="宋体" w:eastAsia="宋体" w:hint="default"/>
                <w:sz w:val="16"/>
                <w:szCs w:val="16"/>
              </w:rPr>
            </w:pPr>
            <w:r>
              <w:rPr>
                <w:rFonts w:ascii="宋体" w:hAnsi="宋体" w:cs="宋体" w:eastAsia="宋体" w:hint="default"/>
                <w:spacing w:val="-5"/>
                <w:w w:val="105"/>
                <w:sz w:val="16"/>
                <w:szCs w:val="16"/>
              </w:rPr>
              <w:t>1.国家持股</w:t>
            </w:r>
            <w:r>
              <w:rPr>
                <w:rFonts w:ascii="宋体" w:hAnsi="宋体" w:cs="宋体" w:eastAsia="宋体" w:hint="default"/>
                <w:spacing w:val="-5"/>
                <w:sz w:val="16"/>
                <w:szCs w:val="16"/>
              </w:rPr>
            </w:r>
          </w:p>
        </w:tc>
        <w:tc>
          <w:tcPr>
            <w:tcW w:w="1071" w:type="dxa"/>
            <w:tcBorders>
              <w:top w:val="single" w:sz="6" w:space="0" w:color="000000"/>
              <w:left w:val="single" w:sz="11" w:space="0" w:color="000000"/>
              <w:bottom w:val="single" w:sz="6" w:space="0" w:color="000000"/>
              <w:right w:val="single" w:sz="12" w:space="0" w:color="000000"/>
            </w:tcBorders>
          </w:tcPr>
          <w:p>
            <w:pPr/>
          </w:p>
        </w:tc>
        <w:tc>
          <w:tcPr>
            <w:tcW w:w="688" w:type="dxa"/>
            <w:tcBorders>
              <w:top w:val="single" w:sz="6" w:space="0" w:color="000000"/>
              <w:left w:val="single" w:sz="12" w:space="0" w:color="000000"/>
              <w:bottom w:val="single" w:sz="6" w:space="0" w:color="000000"/>
              <w:right w:val="single" w:sz="5" w:space="0" w:color="000000"/>
            </w:tcBorders>
          </w:tcPr>
          <w:p>
            <w:pPr/>
          </w:p>
        </w:tc>
        <w:tc>
          <w:tcPr>
            <w:tcW w:w="1070" w:type="dxa"/>
            <w:tcBorders>
              <w:top w:val="single" w:sz="6" w:space="0" w:color="000000"/>
              <w:left w:val="single" w:sz="5" w:space="0" w:color="000000"/>
              <w:bottom w:val="single" w:sz="6" w:space="0" w:color="000000"/>
              <w:right w:val="single" w:sz="5" w:space="0" w:color="000000"/>
            </w:tcBorders>
          </w:tcPr>
          <w:p>
            <w:pPr/>
          </w:p>
        </w:tc>
        <w:tc>
          <w:tcPr>
            <w:tcW w:w="529" w:type="dxa"/>
            <w:tcBorders>
              <w:top w:val="single" w:sz="6" w:space="0" w:color="000000"/>
              <w:left w:val="single" w:sz="5" w:space="0" w:color="000000"/>
              <w:bottom w:val="single" w:sz="6" w:space="0" w:color="000000"/>
              <w:right w:val="single" w:sz="6" w:space="0" w:color="000000"/>
            </w:tcBorders>
          </w:tcPr>
          <w:p>
            <w:pPr/>
          </w:p>
        </w:tc>
        <w:tc>
          <w:tcPr>
            <w:tcW w:w="577" w:type="dxa"/>
            <w:tcBorders>
              <w:top w:val="single" w:sz="6" w:space="0" w:color="000000"/>
              <w:left w:val="single" w:sz="6" w:space="0" w:color="000000"/>
              <w:bottom w:val="single" w:sz="6" w:space="0" w:color="000000"/>
              <w:right w:val="single" w:sz="11" w:space="0" w:color="000000"/>
            </w:tcBorders>
          </w:tcPr>
          <w:p>
            <w:pPr/>
          </w:p>
        </w:tc>
        <w:tc>
          <w:tcPr>
            <w:tcW w:w="529" w:type="dxa"/>
            <w:tcBorders>
              <w:top w:val="single" w:sz="6" w:space="0" w:color="000000"/>
              <w:left w:val="single" w:sz="11" w:space="0" w:color="000000"/>
              <w:bottom w:val="single" w:sz="6" w:space="0" w:color="000000"/>
              <w:right w:val="single" w:sz="11" w:space="0" w:color="000000"/>
            </w:tcBorders>
          </w:tcPr>
          <w:p>
            <w:pPr/>
          </w:p>
        </w:tc>
        <w:tc>
          <w:tcPr>
            <w:tcW w:w="1070" w:type="dxa"/>
            <w:tcBorders>
              <w:top w:val="single" w:sz="6" w:space="0" w:color="000000"/>
              <w:left w:val="single" w:sz="11" w:space="0" w:color="000000"/>
              <w:bottom w:val="single" w:sz="6" w:space="0" w:color="000000"/>
              <w:right w:val="single" w:sz="11" w:space="0" w:color="000000"/>
            </w:tcBorders>
          </w:tcPr>
          <w:p>
            <w:pPr/>
          </w:p>
        </w:tc>
        <w:tc>
          <w:tcPr>
            <w:tcW w:w="1161" w:type="dxa"/>
            <w:tcBorders>
              <w:top w:val="single" w:sz="6" w:space="0" w:color="000000"/>
              <w:left w:val="single" w:sz="11"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11" w:space="0" w:color="000000"/>
            </w:tcBorders>
          </w:tcPr>
          <w:p>
            <w:pPr/>
          </w:p>
        </w:tc>
      </w:tr>
      <w:tr>
        <w:trPr>
          <w:trHeight w:val="317" w:hRule="exact"/>
        </w:trPr>
        <w:tc>
          <w:tcPr>
            <w:tcW w:w="1953" w:type="dxa"/>
            <w:tcBorders>
              <w:top w:val="single" w:sz="6" w:space="0" w:color="000000"/>
              <w:left w:val="single" w:sz="6" w:space="0" w:color="000000"/>
              <w:bottom w:val="single" w:sz="6" w:space="0" w:color="000000"/>
              <w:right w:val="single" w:sz="11" w:space="0" w:color="000000"/>
            </w:tcBorders>
          </w:tcPr>
          <w:p>
            <w:pPr>
              <w:pStyle w:val="TableParagraph"/>
              <w:spacing w:line="240" w:lineRule="auto" w:before="32"/>
              <w:ind w:left="27" w:right="0"/>
              <w:jc w:val="left"/>
              <w:rPr>
                <w:rFonts w:ascii="宋体" w:hAnsi="宋体" w:cs="宋体" w:eastAsia="宋体" w:hint="default"/>
                <w:sz w:val="16"/>
                <w:szCs w:val="16"/>
              </w:rPr>
            </w:pPr>
            <w:r>
              <w:rPr>
                <w:rFonts w:ascii="宋体" w:hAnsi="宋体" w:cs="宋体" w:eastAsia="宋体" w:hint="default"/>
                <w:spacing w:val="-6"/>
                <w:w w:val="105"/>
                <w:sz w:val="16"/>
                <w:szCs w:val="16"/>
              </w:rPr>
              <w:t>2.国有法人持股</w:t>
            </w:r>
            <w:r>
              <w:rPr>
                <w:rFonts w:ascii="宋体" w:hAnsi="宋体" w:cs="宋体" w:eastAsia="宋体" w:hint="default"/>
                <w:spacing w:val="-6"/>
                <w:sz w:val="16"/>
                <w:szCs w:val="16"/>
              </w:rPr>
            </w:r>
          </w:p>
        </w:tc>
        <w:tc>
          <w:tcPr>
            <w:tcW w:w="1071" w:type="dxa"/>
            <w:tcBorders>
              <w:top w:val="single" w:sz="6" w:space="0" w:color="000000"/>
              <w:left w:val="single" w:sz="11" w:space="0" w:color="000000"/>
              <w:bottom w:val="single" w:sz="6" w:space="0" w:color="000000"/>
              <w:right w:val="single" w:sz="12" w:space="0" w:color="000000"/>
            </w:tcBorders>
          </w:tcPr>
          <w:p>
            <w:pPr>
              <w:pStyle w:val="TableParagraph"/>
              <w:spacing w:line="240" w:lineRule="auto" w:before="71"/>
              <w:ind w:right="38"/>
              <w:jc w:val="right"/>
              <w:rPr>
                <w:rFonts w:ascii="Times New Roman" w:hAnsi="Times New Roman" w:cs="Times New Roman" w:eastAsia="Times New Roman" w:hint="default"/>
                <w:sz w:val="15"/>
                <w:szCs w:val="15"/>
              </w:rPr>
            </w:pPr>
            <w:r>
              <w:rPr>
                <w:rFonts w:ascii="Times New Roman"/>
                <w:spacing w:val="-7"/>
                <w:sz w:val="15"/>
              </w:rPr>
              <w:t>27,880,000.00</w:t>
            </w:r>
            <w:r>
              <w:rPr>
                <w:rFonts w:ascii="Times New Roman"/>
                <w:sz w:val="15"/>
              </w:rPr>
            </w:r>
          </w:p>
        </w:tc>
        <w:tc>
          <w:tcPr>
            <w:tcW w:w="688" w:type="dxa"/>
            <w:tcBorders>
              <w:top w:val="single" w:sz="6" w:space="0" w:color="000000"/>
              <w:left w:val="single" w:sz="12" w:space="0" w:color="000000"/>
              <w:bottom w:val="single" w:sz="6" w:space="0" w:color="000000"/>
              <w:right w:val="single" w:sz="5" w:space="0" w:color="000000"/>
            </w:tcBorders>
          </w:tcPr>
          <w:p>
            <w:pPr>
              <w:pStyle w:val="TableParagraph"/>
              <w:spacing w:line="240" w:lineRule="auto" w:before="71"/>
              <w:ind w:left="222" w:right="0"/>
              <w:jc w:val="left"/>
              <w:rPr>
                <w:rFonts w:ascii="Times New Roman" w:hAnsi="Times New Roman" w:cs="Times New Roman" w:eastAsia="Times New Roman" w:hint="default"/>
                <w:sz w:val="15"/>
                <w:szCs w:val="15"/>
              </w:rPr>
            </w:pPr>
            <w:r>
              <w:rPr>
                <w:rFonts w:ascii="Times New Roman"/>
                <w:spacing w:val="-4"/>
                <w:sz w:val="15"/>
              </w:rPr>
              <w:t>34.00%</w:t>
            </w:r>
          </w:p>
        </w:tc>
        <w:tc>
          <w:tcPr>
            <w:tcW w:w="1070" w:type="dxa"/>
            <w:tcBorders>
              <w:top w:val="single" w:sz="6" w:space="0" w:color="000000"/>
              <w:left w:val="single" w:sz="5" w:space="0" w:color="000000"/>
              <w:bottom w:val="single" w:sz="6" w:space="0" w:color="000000"/>
              <w:right w:val="single" w:sz="5" w:space="0" w:color="000000"/>
            </w:tcBorders>
          </w:tcPr>
          <w:p>
            <w:pPr/>
          </w:p>
        </w:tc>
        <w:tc>
          <w:tcPr>
            <w:tcW w:w="529" w:type="dxa"/>
            <w:tcBorders>
              <w:top w:val="single" w:sz="6" w:space="0" w:color="000000"/>
              <w:left w:val="single" w:sz="5" w:space="0" w:color="000000"/>
              <w:bottom w:val="single" w:sz="6" w:space="0" w:color="000000"/>
              <w:right w:val="single" w:sz="6" w:space="0" w:color="000000"/>
            </w:tcBorders>
          </w:tcPr>
          <w:p>
            <w:pPr/>
          </w:p>
        </w:tc>
        <w:tc>
          <w:tcPr>
            <w:tcW w:w="577" w:type="dxa"/>
            <w:tcBorders>
              <w:top w:val="single" w:sz="6" w:space="0" w:color="000000"/>
              <w:left w:val="single" w:sz="6" w:space="0" w:color="000000"/>
              <w:bottom w:val="single" w:sz="6" w:space="0" w:color="000000"/>
              <w:right w:val="single" w:sz="11" w:space="0" w:color="000000"/>
            </w:tcBorders>
          </w:tcPr>
          <w:p>
            <w:pPr/>
          </w:p>
        </w:tc>
        <w:tc>
          <w:tcPr>
            <w:tcW w:w="529" w:type="dxa"/>
            <w:tcBorders>
              <w:top w:val="single" w:sz="6" w:space="0" w:color="000000"/>
              <w:left w:val="single" w:sz="11" w:space="0" w:color="000000"/>
              <w:bottom w:val="single" w:sz="6" w:space="0" w:color="000000"/>
              <w:right w:val="single" w:sz="11" w:space="0" w:color="000000"/>
            </w:tcBorders>
          </w:tcPr>
          <w:p>
            <w:pPr/>
          </w:p>
        </w:tc>
        <w:tc>
          <w:tcPr>
            <w:tcW w:w="1070" w:type="dxa"/>
            <w:tcBorders>
              <w:top w:val="single" w:sz="6" w:space="0" w:color="000000"/>
              <w:left w:val="single" w:sz="11" w:space="0" w:color="000000"/>
              <w:bottom w:val="single" w:sz="6" w:space="0" w:color="000000"/>
              <w:right w:val="single" w:sz="11" w:space="0" w:color="000000"/>
            </w:tcBorders>
          </w:tcPr>
          <w:p>
            <w:pPr/>
          </w:p>
        </w:tc>
        <w:tc>
          <w:tcPr>
            <w:tcW w:w="1161" w:type="dxa"/>
            <w:tcBorders>
              <w:top w:val="single" w:sz="6" w:space="0" w:color="000000"/>
              <w:left w:val="single" w:sz="11" w:space="0" w:color="000000"/>
              <w:bottom w:val="single" w:sz="6" w:space="0" w:color="000000"/>
              <w:right w:val="single" w:sz="6" w:space="0" w:color="000000"/>
            </w:tcBorders>
          </w:tcPr>
          <w:p>
            <w:pPr>
              <w:pStyle w:val="TableParagraph"/>
              <w:spacing w:line="240" w:lineRule="auto" w:before="71"/>
              <w:ind w:right="52"/>
              <w:jc w:val="right"/>
              <w:rPr>
                <w:rFonts w:ascii="Times New Roman" w:hAnsi="Times New Roman" w:cs="Times New Roman" w:eastAsia="Times New Roman" w:hint="default"/>
                <w:sz w:val="15"/>
                <w:szCs w:val="15"/>
              </w:rPr>
            </w:pPr>
            <w:r>
              <w:rPr>
                <w:rFonts w:ascii="Times New Roman"/>
                <w:spacing w:val="-7"/>
                <w:sz w:val="15"/>
              </w:rPr>
              <w:t>27,880,000.00</w:t>
            </w:r>
            <w:r>
              <w:rPr>
                <w:rFonts w:ascii="Times New Roman"/>
                <w:sz w:val="15"/>
              </w:rPr>
            </w:r>
          </w:p>
        </w:tc>
        <w:tc>
          <w:tcPr>
            <w:tcW w:w="688" w:type="dxa"/>
            <w:tcBorders>
              <w:top w:val="single" w:sz="6" w:space="0" w:color="000000"/>
              <w:left w:val="single" w:sz="6" w:space="0" w:color="000000"/>
              <w:bottom w:val="single" w:sz="6" w:space="0" w:color="000000"/>
              <w:right w:val="single" w:sz="11" w:space="0" w:color="000000"/>
            </w:tcBorders>
          </w:tcPr>
          <w:p>
            <w:pPr>
              <w:pStyle w:val="TableParagraph"/>
              <w:spacing w:line="240" w:lineRule="auto" w:before="71"/>
              <w:ind w:left="236" w:right="0"/>
              <w:jc w:val="left"/>
              <w:rPr>
                <w:rFonts w:ascii="Times New Roman" w:hAnsi="Times New Roman" w:cs="Times New Roman" w:eastAsia="Times New Roman" w:hint="default"/>
                <w:sz w:val="15"/>
                <w:szCs w:val="15"/>
              </w:rPr>
            </w:pPr>
            <w:r>
              <w:rPr>
                <w:rFonts w:ascii="Times New Roman"/>
                <w:spacing w:val="-7"/>
                <w:sz w:val="15"/>
              </w:rPr>
              <w:t>25.35%</w:t>
            </w:r>
            <w:r>
              <w:rPr>
                <w:rFonts w:ascii="Times New Roman"/>
                <w:sz w:val="15"/>
              </w:rPr>
            </w:r>
          </w:p>
        </w:tc>
      </w:tr>
      <w:tr>
        <w:trPr>
          <w:trHeight w:val="309" w:hRule="exact"/>
        </w:trPr>
        <w:tc>
          <w:tcPr>
            <w:tcW w:w="1953" w:type="dxa"/>
            <w:tcBorders>
              <w:top w:val="single" w:sz="6" w:space="0" w:color="000000"/>
              <w:left w:val="single" w:sz="6" w:space="0" w:color="000000"/>
              <w:bottom w:val="single" w:sz="12" w:space="0" w:color="000000"/>
              <w:right w:val="single" w:sz="11" w:space="0" w:color="000000"/>
            </w:tcBorders>
          </w:tcPr>
          <w:p>
            <w:pPr>
              <w:pStyle w:val="TableParagraph"/>
              <w:spacing w:line="240" w:lineRule="auto" w:before="32"/>
              <w:ind w:left="27" w:right="0"/>
              <w:jc w:val="left"/>
              <w:rPr>
                <w:rFonts w:ascii="宋体" w:hAnsi="宋体" w:cs="宋体" w:eastAsia="宋体" w:hint="default"/>
                <w:sz w:val="16"/>
                <w:szCs w:val="16"/>
              </w:rPr>
            </w:pPr>
            <w:r>
              <w:rPr>
                <w:rFonts w:ascii="宋体" w:hAnsi="宋体" w:cs="宋体" w:eastAsia="宋体" w:hint="default"/>
                <w:spacing w:val="-6"/>
                <w:w w:val="105"/>
                <w:sz w:val="16"/>
                <w:szCs w:val="16"/>
              </w:rPr>
              <w:t>3.其他内资持股</w:t>
            </w:r>
            <w:r>
              <w:rPr>
                <w:rFonts w:ascii="宋体" w:hAnsi="宋体" w:cs="宋体" w:eastAsia="宋体" w:hint="default"/>
                <w:spacing w:val="-6"/>
                <w:sz w:val="16"/>
                <w:szCs w:val="16"/>
              </w:rPr>
            </w:r>
          </w:p>
        </w:tc>
        <w:tc>
          <w:tcPr>
            <w:tcW w:w="1071" w:type="dxa"/>
            <w:tcBorders>
              <w:top w:val="single" w:sz="6" w:space="0" w:color="000000"/>
              <w:left w:val="single" w:sz="11" w:space="0" w:color="000000"/>
              <w:bottom w:val="single" w:sz="12" w:space="0" w:color="000000"/>
              <w:right w:val="single" w:sz="12" w:space="0" w:color="000000"/>
            </w:tcBorders>
          </w:tcPr>
          <w:p>
            <w:pPr>
              <w:pStyle w:val="TableParagraph"/>
              <w:spacing w:line="240" w:lineRule="auto" w:before="57"/>
              <w:ind w:right="38"/>
              <w:jc w:val="right"/>
              <w:rPr>
                <w:rFonts w:ascii="Times New Roman" w:hAnsi="Times New Roman" w:cs="Times New Roman" w:eastAsia="Times New Roman" w:hint="default"/>
                <w:sz w:val="15"/>
                <w:szCs w:val="15"/>
              </w:rPr>
            </w:pPr>
            <w:r>
              <w:rPr>
                <w:rFonts w:ascii="Times New Roman"/>
                <w:spacing w:val="-7"/>
                <w:sz w:val="15"/>
              </w:rPr>
              <w:t>13,940,000.00</w:t>
            </w:r>
            <w:r>
              <w:rPr>
                <w:rFonts w:ascii="Times New Roman"/>
                <w:sz w:val="15"/>
              </w:rPr>
            </w:r>
          </w:p>
        </w:tc>
        <w:tc>
          <w:tcPr>
            <w:tcW w:w="688" w:type="dxa"/>
            <w:tcBorders>
              <w:top w:val="single" w:sz="6" w:space="0" w:color="000000"/>
              <w:left w:val="single" w:sz="12" w:space="0" w:color="000000"/>
              <w:bottom w:val="single" w:sz="12" w:space="0" w:color="000000"/>
              <w:right w:val="single" w:sz="5" w:space="0" w:color="000000"/>
            </w:tcBorders>
          </w:tcPr>
          <w:p>
            <w:pPr>
              <w:pStyle w:val="TableParagraph"/>
              <w:spacing w:line="240" w:lineRule="auto" w:before="57"/>
              <w:ind w:left="222" w:right="0"/>
              <w:jc w:val="left"/>
              <w:rPr>
                <w:rFonts w:ascii="Times New Roman" w:hAnsi="Times New Roman" w:cs="Times New Roman" w:eastAsia="Times New Roman" w:hint="default"/>
                <w:sz w:val="15"/>
                <w:szCs w:val="15"/>
              </w:rPr>
            </w:pPr>
            <w:r>
              <w:rPr>
                <w:rFonts w:ascii="Times New Roman"/>
                <w:spacing w:val="-4"/>
                <w:sz w:val="15"/>
              </w:rPr>
              <w:t>17.00%</w:t>
            </w:r>
          </w:p>
        </w:tc>
        <w:tc>
          <w:tcPr>
            <w:tcW w:w="1070" w:type="dxa"/>
            <w:tcBorders>
              <w:top w:val="single" w:sz="6" w:space="0" w:color="000000"/>
              <w:left w:val="single" w:sz="5" w:space="0" w:color="000000"/>
              <w:bottom w:val="single" w:sz="12" w:space="0" w:color="000000"/>
              <w:right w:val="single" w:sz="5" w:space="0" w:color="000000"/>
            </w:tcBorders>
          </w:tcPr>
          <w:p>
            <w:pPr/>
          </w:p>
        </w:tc>
        <w:tc>
          <w:tcPr>
            <w:tcW w:w="529" w:type="dxa"/>
            <w:tcBorders>
              <w:top w:val="single" w:sz="6" w:space="0" w:color="000000"/>
              <w:left w:val="single" w:sz="5" w:space="0" w:color="000000"/>
              <w:bottom w:val="single" w:sz="12" w:space="0" w:color="000000"/>
              <w:right w:val="single" w:sz="6" w:space="0" w:color="000000"/>
            </w:tcBorders>
          </w:tcPr>
          <w:p>
            <w:pPr/>
          </w:p>
        </w:tc>
        <w:tc>
          <w:tcPr>
            <w:tcW w:w="577" w:type="dxa"/>
            <w:tcBorders>
              <w:top w:val="single" w:sz="6" w:space="0" w:color="000000"/>
              <w:left w:val="single" w:sz="6" w:space="0" w:color="000000"/>
              <w:bottom w:val="single" w:sz="12" w:space="0" w:color="000000"/>
              <w:right w:val="single" w:sz="11" w:space="0" w:color="000000"/>
            </w:tcBorders>
          </w:tcPr>
          <w:p>
            <w:pPr/>
          </w:p>
        </w:tc>
        <w:tc>
          <w:tcPr>
            <w:tcW w:w="529" w:type="dxa"/>
            <w:tcBorders>
              <w:top w:val="single" w:sz="6" w:space="0" w:color="000000"/>
              <w:left w:val="single" w:sz="11" w:space="0" w:color="000000"/>
              <w:bottom w:val="single" w:sz="12" w:space="0" w:color="000000"/>
              <w:right w:val="single" w:sz="11" w:space="0" w:color="000000"/>
            </w:tcBorders>
          </w:tcPr>
          <w:p>
            <w:pPr/>
          </w:p>
        </w:tc>
        <w:tc>
          <w:tcPr>
            <w:tcW w:w="1070" w:type="dxa"/>
            <w:tcBorders>
              <w:top w:val="single" w:sz="6" w:space="0" w:color="000000"/>
              <w:left w:val="single" w:sz="11" w:space="0" w:color="000000"/>
              <w:bottom w:val="single" w:sz="12" w:space="0" w:color="000000"/>
              <w:right w:val="single" w:sz="11" w:space="0" w:color="000000"/>
            </w:tcBorders>
          </w:tcPr>
          <w:p>
            <w:pPr/>
          </w:p>
        </w:tc>
        <w:tc>
          <w:tcPr>
            <w:tcW w:w="1161" w:type="dxa"/>
            <w:tcBorders>
              <w:top w:val="single" w:sz="6" w:space="0" w:color="000000"/>
              <w:left w:val="single" w:sz="11" w:space="0" w:color="000000"/>
              <w:bottom w:val="single" w:sz="12" w:space="0" w:color="000000"/>
              <w:right w:val="single" w:sz="6" w:space="0" w:color="000000"/>
            </w:tcBorders>
          </w:tcPr>
          <w:p>
            <w:pPr>
              <w:pStyle w:val="TableParagraph"/>
              <w:spacing w:line="240" w:lineRule="auto" w:before="57"/>
              <w:ind w:right="52"/>
              <w:jc w:val="right"/>
              <w:rPr>
                <w:rFonts w:ascii="Times New Roman" w:hAnsi="Times New Roman" w:cs="Times New Roman" w:eastAsia="Times New Roman" w:hint="default"/>
                <w:sz w:val="15"/>
                <w:szCs w:val="15"/>
              </w:rPr>
            </w:pPr>
            <w:r>
              <w:rPr>
                <w:rFonts w:ascii="Times New Roman"/>
                <w:spacing w:val="-7"/>
                <w:sz w:val="15"/>
              </w:rPr>
              <w:t>13,940,000.00</w:t>
            </w:r>
            <w:r>
              <w:rPr>
                <w:rFonts w:ascii="Times New Roman"/>
                <w:sz w:val="15"/>
              </w:rPr>
            </w:r>
          </w:p>
        </w:tc>
        <w:tc>
          <w:tcPr>
            <w:tcW w:w="688" w:type="dxa"/>
            <w:tcBorders>
              <w:top w:val="single" w:sz="6" w:space="0" w:color="000000"/>
              <w:left w:val="single" w:sz="6" w:space="0" w:color="000000"/>
              <w:bottom w:val="single" w:sz="12" w:space="0" w:color="000000"/>
              <w:right w:val="single" w:sz="11" w:space="0" w:color="000000"/>
            </w:tcBorders>
          </w:tcPr>
          <w:p>
            <w:pPr>
              <w:pStyle w:val="TableParagraph"/>
              <w:spacing w:line="240" w:lineRule="auto" w:before="57"/>
              <w:ind w:left="236" w:right="0"/>
              <w:jc w:val="left"/>
              <w:rPr>
                <w:rFonts w:ascii="Times New Roman" w:hAnsi="Times New Roman" w:cs="Times New Roman" w:eastAsia="Times New Roman" w:hint="default"/>
                <w:sz w:val="15"/>
                <w:szCs w:val="15"/>
              </w:rPr>
            </w:pPr>
            <w:r>
              <w:rPr>
                <w:rFonts w:ascii="Times New Roman"/>
                <w:spacing w:val="-7"/>
                <w:sz w:val="15"/>
              </w:rPr>
              <w:t>12.67%</w:t>
            </w:r>
            <w:r>
              <w:rPr>
                <w:rFonts w:ascii="Times New Roman"/>
                <w:sz w:val="15"/>
              </w:rPr>
            </w:r>
          </w:p>
        </w:tc>
      </w:tr>
      <w:tr>
        <w:trPr>
          <w:trHeight w:val="309" w:hRule="exact"/>
        </w:trPr>
        <w:tc>
          <w:tcPr>
            <w:tcW w:w="1953" w:type="dxa"/>
            <w:tcBorders>
              <w:top w:val="single" w:sz="12" w:space="0" w:color="000000"/>
              <w:left w:val="single" w:sz="6" w:space="0" w:color="000000"/>
              <w:bottom w:val="single" w:sz="6" w:space="0" w:color="000000"/>
              <w:right w:val="single" w:sz="11" w:space="0" w:color="000000"/>
            </w:tcBorders>
          </w:tcPr>
          <w:p>
            <w:pPr>
              <w:pStyle w:val="TableParagraph"/>
              <w:spacing w:line="240" w:lineRule="auto" w:before="16"/>
              <w:ind w:left="27" w:right="0"/>
              <w:jc w:val="left"/>
              <w:rPr>
                <w:rFonts w:ascii="宋体" w:hAnsi="宋体" w:cs="宋体" w:eastAsia="宋体" w:hint="default"/>
                <w:sz w:val="16"/>
                <w:szCs w:val="16"/>
              </w:rPr>
            </w:pPr>
            <w:r>
              <w:rPr>
                <w:rFonts w:ascii="宋体" w:hAnsi="宋体" w:cs="宋体" w:eastAsia="宋体" w:hint="default"/>
                <w:spacing w:val="-6"/>
                <w:w w:val="105"/>
                <w:sz w:val="16"/>
                <w:szCs w:val="16"/>
              </w:rPr>
              <w:t>其中：境内法人持股</w:t>
            </w:r>
            <w:r>
              <w:rPr>
                <w:rFonts w:ascii="宋体" w:hAnsi="宋体" w:cs="宋体" w:eastAsia="宋体" w:hint="default"/>
                <w:spacing w:val="-6"/>
                <w:sz w:val="16"/>
                <w:szCs w:val="16"/>
              </w:rPr>
            </w:r>
          </w:p>
        </w:tc>
        <w:tc>
          <w:tcPr>
            <w:tcW w:w="1071" w:type="dxa"/>
            <w:tcBorders>
              <w:top w:val="single" w:sz="12" w:space="0" w:color="000000"/>
              <w:left w:val="single" w:sz="11" w:space="0" w:color="000000"/>
              <w:bottom w:val="single" w:sz="6" w:space="0" w:color="000000"/>
              <w:right w:val="single" w:sz="12" w:space="0" w:color="000000"/>
            </w:tcBorders>
          </w:tcPr>
          <w:p>
            <w:pPr>
              <w:pStyle w:val="TableParagraph"/>
              <w:spacing w:line="240" w:lineRule="auto" w:before="56"/>
              <w:ind w:right="38"/>
              <w:jc w:val="right"/>
              <w:rPr>
                <w:rFonts w:ascii="Times New Roman" w:hAnsi="Times New Roman" w:cs="Times New Roman" w:eastAsia="Times New Roman" w:hint="default"/>
                <w:sz w:val="15"/>
                <w:szCs w:val="15"/>
              </w:rPr>
            </w:pPr>
            <w:r>
              <w:rPr>
                <w:rFonts w:ascii="Times New Roman"/>
                <w:spacing w:val="-7"/>
                <w:sz w:val="15"/>
              </w:rPr>
              <w:t>13,940,000.00</w:t>
            </w:r>
            <w:r>
              <w:rPr>
                <w:rFonts w:ascii="Times New Roman"/>
                <w:sz w:val="15"/>
              </w:rPr>
            </w:r>
          </w:p>
        </w:tc>
        <w:tc>
          <w:tcPr>
            <w:tcW w:w="688" w:type="dxa"/>
            <w:tcBorders>
              <w:top w:val="single" w:sz="12" w:space="0" w:color="000000"/>
              <w:left w:val="single" w:sz="12" w:space="0" w:color="000000"/>
              <w:bottom w:val="single" w:sz="6" w:space="0" w:color="000000"/>
              <w:right w:val="single" w:sz="5" w:space="0" w:color="000000"/>
            </w:tcBorders>
          </w:tcPr>
          <w:p>
            <w:pPr>
              <w:pStyle w:val="TableParagraph"/>
              <w:spacing w:line="240" w:lineRule="auto" w:before="56"/>
              <w:ind w:left="222" w:right="0"/>
              <w:jc w:val="left"/>
              <w:rPr>
                <w:rFonts w:ascii="Times New Roman" w:hAnsi="Times New Roman" w:cs="Times New Roman" w:eastAsia="Times New Roman" w:hint="default"/>
                <w:sz w:val="15"/>
                <w:szCs w:val="15"/>
              </w:rPr>
            </w:pPr>
            <w:r>
              <w:rPr>
                <w:rFonts w:ascii="Times New Roman"/>
                <w:spacing w:val="-4"/>
                <w:sz w:val="15"/>
              </w:rPr>
              <w:t>17.00%</w:t>
            </w:r>
          </w:p>
        </w:tc>
        <w:tc>
          <w:tcPr>
            <w:tcW w:w="1070" w:type="dxa"/>
            <w:tcBorders>
              <w:top w:val="single" w:sz="12" w:space="0" w:color="000000"/>
              <w:left w:val="single" w:sz="5" w:space="0" w:color="000000"/>
              <w:bottom w:val="single" w:sz="6" w:space="0" w:color="000000"/>
              <w:right w:val="single" w:sz="5" w:space="0" w:color="000000"/>
            </w:tcBorders>
          </w:tcPr>
          <w:p>
            <w:pPr/>
          </w:p>
        </w:tc>
        <w:tc>
          <w:tcPr>
            <w:tcW w:w="529" w:type="dxa"/>
            <w:tcBorders>
              <w:top w:val="single" w:sz="12" w:space="0" w:color="000000"/>
              <w:left w:val="single" w:sz="5" w:space="0" w:color="000000"/>
              <w:bottom w:val="single" w:sz="6" w:space="0" w:color="000000"/>
              <w:right w:val="single" w:sz="6" w:space="0" w:color="000000"/>
            </w:tcBorders>
          </w:tcPr>
          <w:p>
            <w:pPr/>
          </w:p>
        </w:tc>
        <w:tc>
          <w:tcPr>
            <w:tcW w:w="577" w:type="dxa"/>
            <w:tcBorders>
              <w:top w:val="single" w:sz="12" w:space="0" w:color="000000"/>
              <w:left w:val="single" w:sz="6" w:space="0" w:color="000000"/>
              <w:bottom w:val="single" w:sz="6" w:space="0" w:color="000000"/>
              <w:right w:val="single" w:sz="11" w:space="0" w:color="000000"/>
            </w:tcBorders>
          </w:tcPr>
          <w:p>
            <w:pPr/>
          </w:p>
        </w:tc>
        <w:tc>
          <w:tcPr>
            <w:tcW w:w="529" w:type="dxa"/>
            <w:tcBorders>
              <w:top w:val="single" w:sz="12" w:space="0" w:color="000000"/>
              <w:left w:val="single" w:sz="11" w:space="0" w:color="000000"/>
              <w:bottom w:val="single" w:sz="6" w:space="0" w:color="000000"/>
              <w:right w:val="single" w:sz="11" w:space="0" w:color="000000"/>
            </w:tcBorders>
          </w:tcPr>
          <w:p>
            <w:pPr/>
          </w:p>
        </w:tc>
        <w:tc>
          <w:tcPr>
            <w:tcW w:w="1070" w:type="dxa"/>
            <w:tcBorders>
              <w:top w:val="single" w:sz="12" w:space="0" w:color="000000"/>
              <w:left w:val="single" w:sz="11" w:space="0" w:color="000000"/>
              <w:bottom w:val="single" w:sz="6" w:space="0" w:color="000000"/>
              <w:right w:val="single" w:sz="11" w:space="0" w:color="000000"/>
            </w:tcBorders>
          </w:tcPr>
          <w:p>
            <w:pPr/>
          </w:p>
        </w:tc>
        <w:tc>
          <w:tcPr>
            <w:tcW w:w="1161" w:type="dxa"/>
            <w:tcBorders>
              <w:top w:val="single" w:sz="12" w:space="0" w:color="000000"/>
              <w:left w:val="single" w:sz="11" w:space="0" w:color="000000"/>
              <w:bottom w:val="single" w:sz="6" w:space="0" w:color="000000"/>
              <w:right w:val="single" w:sz="6" w:space="0" w:color="000000"/>
            </w:tcBorders>
          </w:tcPr>
          <w:p>
            <w:pPr>
              <w:pStyle w:val="TableParagraph"/>
              <w:spacing w:line="240" w:lineRule="auto" w:before="56"/>
              <w:ind w:right="52"/>
              <w:jc w:val="right"/>
              <w:rPr>
                <w:rFonts w:ascii="Times New Roman" w:hAnsi="Times New Roman" w:cs="Times New Roman" w:eastAsia="Times New Roman" w:hint="default"/>
                <w:sz w:val="15"/>
                <w:szCs w:val="15"/>
              </w:rPr>
            </w:pPr>
            <w:r>
              <w:rPr>
                <w:rFonts w:ascii="Times New Roman"/>
                <w:spacing w:val="-7"/>
                <w:sz w:val="15"/>
              </w:rPr>
              <w:t>13,940,000.00</w:t>
            </w:r>
            <w:r>
              <w:rPr>
                <w:rFonts w:ascii="Times New Roman"/>
                <w:sz w:val="15"/>
              </w:rPr>
            </w:r>
          </w:p>
        </w:tc>
        <w:tc>
          <w:tcPr>
            <w:tcW w:w="688" w:type="dxa"/>
            <w:tcBorders>
              <w:top w:val="single" w:sz="12" w:space="0" w:color="000000"/>
              <w:left w:val="single" w:sz="6" w:space="0" w:color="000000"/>
              <w:bottom w:val="single" w:sz="6" w:space="0" w:color="000000"/>
              <w:right w:val="single" w:sz="11" w:space="0" w:color="000000"/>
            </w:tcBorders>
          </w:tcPr>
          <w:p>
            <w:pPr>
              <w:pStyle w:val="TableParagraph"/>
              <w:spacing w:line="240" w:lineRule="auto" w:before="56"/>
              <w:ind w:left="236" w:right="0"/>
              <w:jc w:val="left"/>
              <w:rPr>
                <w:rFonts w:ascii="Times New Roman" w:hAnsi="Times New Roman" w:cs="Times New Roman" w:eastAsia="Times New Roman" w:hint="default"/>
                <w:sz w:val="15"/>
                <w:szCs w:val="15"/>
              </w:rPr>
            </w:pPr>
            <w:r>
              <w:rPr>
                <w:rFonts w:ascii="Times New Roman"/>
                <w:spacing w:val="-7"/>
                <w:sz w:val="15"/>
              </w:rPr>
              <w:t>12.67%</w:t>
            </w:r>
            <w:r>
              <w:rPr>
                <w:rFonts w:ascii="Times New Roman"/>
                <w:sz w:val="15"/>
              </w:rPr>
            </w:r>
          </w:p>
        </w:tc>
      </w:tr>
      <w:tr>
        <w:trPr>
          <w:trHeight w:val="317" w:hRule="exact"/>
        </w:trPr>
        <w:tc>
          <w:tcPr>
            <w:tcW w:w="1953" w:type="dxa"/>
            <w:tcBorders>
              <w:top w:val="single" w:sz="6" w:space="0" w:color="000000"/>
              <w:left w:val="single" w:sz="6" w:space="0" w:color="000000"/>
              <w:bottom w:val="single" w:sz="6" w:space="0" w:color="000000"/>
              <w:right w:val="single" w:sz="11" w:space="0" w:color="000000"/>
            </w:tcBorders>
          </w:tcPr>
          <w:p>
            <w:pPr>
              <w:pStyle w:val="TableParagraph"/>
              <w:spacing w:line="240" w:lineRule="auto" w:before="17"/>
              <w:ind w:right="387"/>
              <w:jc w:val="right"/>
              <w:rPr>
                <w:rFonts w:ascii="宋体" w:hAnsi="宋体" w:cs="宋体" w:eastAsia="宋体" w:hint="default"/>
                <w:sz w:val="16"/>
                <w:szCs w:val="16"/>
              </w:rPr>
            </w:pPr>
            <w:r>
              <w:rPr>
                <w:rFonts w:ascii="宋体" w:hAnsi="宋体" w:cs="宋体" w:eastAsia="宋体" w:hint="default"/>
                <w:spacing w:val="-8"/>
                <w:sz w:val="16"/>
                <w:szCs w:val="16"/>
              </w:rPr>
              <w:t>境内自然人持股</w:t>
            </w:r>
          </w:p>
        </w:tc>
        <w:tc>
          <w:tcPr>
            <w:tcW w:w="1071" w:type="dxa"/>
            <w:tcBorders>
              <w:top w:val="single" w:sz="6" w:space="0" w:color="000000"/>
              <w:left w:val="single" w:sz="11" w:space="0" w:color="000000"/>
              <w:bottom w:val="single" w:sz="6" w:space="0" w:color="000000"/>
              <w:right w:val="single" w:sz="12" w:space="0" w:color="000000"/>
            </w:tcBorders>
          </w:tcPr>
          <w:p>
            <w:pPr/>
          </w:p>
        </w:tc>
        <w:tc>
          <w:tcPr>
            <w:tcW w:w="688" w:type="dxa"/>
            <w:tcBorders>
              <w:top w:val="single" w:sz="6" w:space="0" w:color="000000"/>
              <w:left w:val="single" w:sz="12" w:space="0" w:color="000000"/>
              <w:bottom w:val="single" w:sz="6" w:space="0" w:color="000000"/>
              <w:right w:val="single" w:sz="5" w:space="0" w:color="000000"/>
            </w:tcBorders>
          </w:tcPr>
          <w:p>
            <w:pPr/>
          </w:p>
        </w:tc>
        <w:tc>
          <w:tcPr>
            <w:tcW w:w="1070" w:type="dxa"/>
            <w:tcBorders>
              <w:top w:val="single" w:sz="6" w:space="0" w:color="000000"/>
              <w:left w:val="single" w:sz="5" w:space="0" w:color="000000"/>
              <w:bottom w:val="single" w:sz="6" w:space="0" w:color="000000"/>
              <w:right w:val="single" w:sz="5" w:space="0" w:color="000000"/>
            </w:tcBorders>
          </w:tcPr>
          <w:p>
            <w:pPr/>
          </w:p>
        </w:tc>
        <w:tc>
          <w:tcPr>
            <w:tcW w:w="529" w:type="dxa"/>
            <w:tcBorders>
              <w:top w:val="single" w:sz="6" w:space="0" w:color="000000"/>
              <w:left w:val="single" w:sz="5" w:space="0" w:color="000000"/>
              <w:bottom w:val="single" w:sz="6" w:space="0" w:color="000000"/>
              <w:right w:val="single" w:sz="6" w:space="0" w:color="000000"/>
            </w:tcBorders>
          </w:tcPr>
          <w:p>
            <w:pPr/>
          </w:p>
        </w:tc>
        <w:tc>
          <w:tcPr>
            <w:tcW w:w="577" w:type="dxa"/>
            <w:tcBorders>
              <w:top w:val="single" w:sz="6" w:space="0" w:color="000000"/>
              <w:left w:val="single" w:sz="6" w:space="0" w:color="000000"/>
              <w:bottom w:val="single" w:sz="6" w:space="0" w:color="000000"/>
              <w:right w:val="single" w:sz="11" w:space="0" w:color="000000"/>
            </w:tcBorders>
          </w:tcPr>
          <w:p>
            <w:pPr/>
          </w:p>
        </w:tc>
        <w:tc>
          <w:tcPr>
            <w:tcW w:w="529" w:type="dxa"/>
            <w:tcBorders>
              <w:top w:val="single" w:sz="6" w:space="0" w:color="000000"/>
              <w:left w:val="single" w:sz="11" w:space="0" w:color="000000"/>
              <w:bottom w:val="single" w:sz="6" w:space="0" w:color="000000"/>
              <w:right w:val="single" w:sz="11" w:space="0" w:color="000000"/>
            </w:tcBorders>
          </w:tcPr>
          <w:p>
            <w:pPr/>
          </w:p>
        </w:tc>
        <w:tc>
          <w:tcPr>
            <w:tcW w:w="1070" w:type="dxa"/>
            <w:tcBorders>
              <w:top w:val="single" w:sz="6" w:space="0" w:color="000000"/>
              <w:left w:val="single" w:sz="11" w:space="0" w:color="000000"/>
              <w:bottom w:val="single" w:sz="6" w:space="0" w:color="000000"/>
              <w:right w:val="single" w:sz="11" w:space="0" w:color="000000"/>
            </w:tcBorders>
          </w:tcPr>
          <w:p>
            <w:pPr/>
          </w:p>
        </w:tc>
        <w:tc>
          <w:tcPr>
            <w:tcW w:w="1161" w:type="dxa"/>
            <w:tcBorders>
              <w:top w:val="single" w:sz="6" w:space="0" w:color="000000"/>
              <w:left w:val="single" w:sz="11" w:space="0" w:color="000000"/>
              <w:bottom w:val="single" w:sz="6" w:space="0" w:color="000000"/>
              <w:right w:val="single" w:sz="6" w:space="0" w:color="000000"/>
            </w:tcBorders>
          </w:tcPr>
          <w:p>
            <w:pPr>
              <w:pStyle w:val="TableParagraph"/>
              <w:spacing w:line="240" w:lineRule="auto" w:before="57"/>
              <w:ind w:right="183"/>
              <w:jc w:val="right"/>
              <w:rPr>
                <w:rFonts w:ascii="Times New Roman" w:hAnsi="Times New Roman" w:cs="Times New Roman" w:eastAsia="Times New Roman" w:hint="default"/>
                <w:sz w:val="15"/>
                <w:szCs w:val="15"/>
              </w:rPr>
            </w:pPr>
            <w:r>
              <w:rPr>
                <w:rFonts w:ascii="Times New Roman"/>
                <w:w w:val="100"/>
                <w:sz w:val="15"/>
              </w:rPr>
              <w:t>-</w:t>
            </w:r>
          </w:p>
        </w:tc>
        <w:tc>
          <w:tcPr>
            <w:tcW w:w="688" w:type="dxa"/>
            <w:tcBorders>
              <w:top w:val="single" w:sz="6" w:space="0" w:color="000000"/>
              <w:left w:val="single" w:sz="6" w:space="0" w:color="000000"/>
              <w:bottom w:val="single" w:sz="6" w:space="0" w:color="000000"/>
              <w:right w:val="single" w:sz="11" w:space="0" w:color="000000"/>
            </w:tcBorders>
          </w:tcPr>
          <w:p>
            <w:pPr/>
          </w:p>
        </w:tc>
      </w:tr>
      <w:tr>
        <w:trPr>
          <w:trHeight w:val="309" w:hRule="exact"/>
        </w:trPr>
        <w:tc>
          <w:tcPr>
            <w:tcW w:w="1953" w:type="dxa"/>
            <w:tcBorders>
              <w:top w:val="single" w:sz="6" w:space="0" w:color="000000"/>
              <w:left w:val="single" w:sz="6" w:space="0" w:color="000000"/>
              <w:bottom w:val="single" w:sz="12" w:space="0" w:color="000000"/>
              <w:right w:val="single" w:sz="11" w:space="0" w:color="000000"/>
            </w:tcBorders>
          </w:tcPr>
          <w:p>
            <w:pPr>
              <w:pStyle w:val="TableParagraph"/>
              <w:spacing w:line="240" w:lineRule="auto" w:before="22"/>
              <w:ind w:left="27" w:right="0"/>
              <w:jc w:val="left"/>
              <w:rPr>
                <w:rFonts w:ascii="宋体" w:hAnsi="宋体" w:cs="宋体" w:eastAsia="宋体" w:hint="default"/>
                <w:sz w:val="16"/>
                <w:szCs w:val="16"/>
              </w:rPr>
            </w:pPr>
            <w:r>
              <w:rPr>
                <w:rFonts w:ascii="Times New Roman" w:hAnsi="Times New Roman" w:cs="Times New Roman" w:eastAsia="Times New Roman" w:hint="default"/>
                <w:spacing w:val="-5"/>
                <w:w w:val="105"/>
                <w:sz w:val="16"/>
                <w:szCs w:val="16"/>
              </w:rPr>
              <w:t>4</w:t>
            </w:r>
            <w:r>
              <w:rPr>
                <w:rFonts w:ascii="宋体" w:hAnsi="宋体" w:cs="宋体" w:eastAsia="宋体" w:hint="default"/>
                <w:spacing w:val="-5"/>
                <w:w w:val="105"/>
                <w:sz w:val="16"/>
                <w:szCs w:val="16"/>
              </w:rPr>
              <w:t>.外资持股</w:t>
            </w:r>
            <w:r>
              <w:rPr>
                <w:rFonts w:ascii="宋体" w:hAnsi="宋体" w:cs="宋体" w:eastAsia="宋体" w:hint="default"/>
                <w:spacing w:val="-5"/>
                <w:sz w:val="16"/>
                <w:szCs w:val="16"/>
              </w:rPr>
            </w:r>
          </w:p>
        </w:tc>
        <w:tc>
          <w:tcPr>
            <w:tcW w:w="1071" w:type="dxa"/>
            <w:tcBorders>
              <w:top w:val="single" w:sz="6" w:space="0" w:color="000000"/>
              <w:left w:val="single" w:sz="11" w:space="0" w:color="000000"/>
              <w:bottom w:val="single" w:sz="12" w:space="0" w:color="000000"/>
              <w:right w:val="single" w:sz="12" w:space="0" w:color="000000"/>
            </w:tcBorders>
          </w:tcPr>
          <w:p>
            <w:pPr>
              <w:pStyle w:val="TableParagraph"/>
              <w:spacing w:line="240" w:lineRule="auto" w:before="57"/>
              <w:ind w:right="38"/>
              <w:jc w:val="right"/>
              <w:rPr>
                <w:rFonts w:ascii="Times New Roman" w:hAnsi="Times New Roman" w:cs="Times New Roman" w:eastAsia="Times New Roman" w:hint="default"/>
                <w:sz w:val="15"/>
                <w:szCs w:val="15"/>
              </w:rPr>
            </w:pPr>
            <w:r>
              <w:rPr>
                <w:rFonts w:ascii="Times New Roman"/>
                <w:spacing w:val="-7"/>
                <w:sz w:val="15"/>
              </w:rPr>
              <w:t>40,180,000.00</w:t>
            </w:r>
            <w:r>
              <w:rPr>
                <w:rFonts w:ascii="Times New Roman"/>
                <w:sz w:val="15"/>
              </w:rPr>
            </w:r>
          </w:p>
        </w:tc>
        <w:tc>
          <w:tcPr>
            <w:tcW w:w="688" w:type="dxa"/>
            <w:tcBorders>
              <w:top w:val="single" w:sz="6" w:space="0" w:color="000000"/>
              <w:left w:val="single" w:sz="12" w:space="0" w:color="000000"/>
              <w:bottom w:val="single" w:sz="12" w:space="0" w:color="000000"/>
              <w:right w:val="single" w:sz="5" w:space="0" w:color="000000"/>
            </w:tcBorders>
          </w:tcPr>
          <w:p>
            <w:pPr>
              <w:pStyle w:val="TableParagraph"/>
              <w:spacing w:line="240" w:lineRule="auto" w:before="57"/>
              <w:ind w:left="222" w:right="0"/>
              <w:jc w:val="left"/>
              <w:rPr>
                <w:rFonts w:ascii="Times New Roman" w:hAnsi="Times New Roman" w:cs="Times New Roman" w:eastAsia="Times New Roman" w:hint="default"/>
                <w:sz w:val="15"/>
                <w:szCs w:val="15"/>
              </w:rPr>
            </w:pPr>
            <w:r>
              <w:rPr>
                <w:rFonts w:ascii="Times New Roman"/>
                <w:spacing w:val="-4"/>
                <w:sz w:val="15"/>
              </w:rPr>
              <w:t>49.00%</w:t>
            </w:r>
          </w:p>
        </w:tc>
        <w:tc>
          <w:tcPr>
            <w:tcW w:w="1070" w:type="dxa"/>
            <w:tcBorders>
              <w:top w:val="single" w:sz="6" w:space="0" w:color="000000"/>
              <w:left w:val="single" w:sz="5" w:space="0" w:color="000000"/>
              <w:bottom w:val="single" w:sz="12" w:space="0" w:color="000000"/>
              <w:right w:val="single" w:sz="5" w:space="0" w:color="000000"/>
            </w:tcBorders>
          </w:tcPr>
          <w:p>
            <w:pPr/>
          </w:p>
        </w:tc>
        <w:tc>
          <w:tcPr>
            <w:tcW w:w="529" w:type="dxa"/>
            <w:tcBorders>
              <w:top w:val="single" w:sz="6" w:space="0" w:color="000000"/>
              <w:left w:val="single" w:sz="5" w:space="0" w:color="000000"/>
              <w:bottom w:val="single" w:sz="12" w:space="0" w:color="000000"/>
              <w:right w:val="single" w:sz="6" w:space="0" w:color="000000"/>
            </w:tcBorders>
          </w:tcPr>
          <w:p>
            <w:pPr/>
          </w:p>
        </w:tc>
        <w:tc>
          <w:tcPr>
            <w:tcW w:w="577" w:type="dxa"/>
            <w:tcBorders>
              <w:top w:val="single" w:sz="6" w:space="0" w:color="000000"/>
              <w:left w:val="single" w:sz="6" w:space="0" w:color="000000"/>
              <w:bottom w:val="single" w:sz="12" w:space="0" w:color="000000"/>
              <w:right w:val="single" w:sz="11" w:space="0" w:color="000000"/>
            </w:tcBorders>
          </w:tcPr>
          <w:p>
            <w:pPr/>
          </w:p>
        </w:tc>
        <w:tc>
          <w:tcPr>
            <w:tcW w:w="529" w:type="dxa"/>
            <w:tcBorders>
              <w:top w:val="single" w:sz="6" w:space="0" w:color="000000"/>
              <w:left w:val="single" w:sz="11" w:space="0" w:color="000000"/>
              <w:bottom w:val="single" w:sz="12" w:space="0" w:color="000000"/>
              <w:right w:val="single" w:sz="11" w:space="0" w:color="000000"/>
            </w:tcBorders>
          </w:tcPr>
          <w:p>
            <w:pPr/>
          </w:p>
        </w:tc>
        <w:tc>
          <w:tcPr>
            <w:tcW w:w="1070" w:type="dxa"/>
            <w:tcBorders>
              <w:top w:val="single" w:sz="6" w:space="0" w:color="000000"/>
              <w:left w:val="single" w:sz="11" w:space="0" w:color="000000"/>
              <w:bottom w:val="single" w:sz="12" w:space="0" w:color="000000"/>
              <w:right w:val="single" w:sz="11" w:space="0" w:color="000000"/>
            </w:tcBorders>
          </w:tcPr>
          <w:p>
            <w:pPr/>
          </w:p>
        </w:tc>
        <w:tc>
          <w:tcPr>
            <w:tcW w:w="1161" w:type="dxa"/>
            <w:tcBorders>
              <w:top w:val="single" w:sz="6" w:space="0" w:color="000000"/>
              <w:left w:val="single" w:sz="11" w:space="0" w:color="000000"/>
              <w:bottom w:val="single" w:sz="12" w:space="0" w:color="000000"/>
              <w:right w:val="single" w:sz="6" w:space="0" w:color="000000"/>
            </w:tcBorders>
          </w:tcPr>
          <w:p>
            <w:pPr>
              <w:pStyle w:val="TableParagraph"/>
              <w:spacing w:line="240" w:lineRule="auto" w:before="57"/>
              <w:ind w:right="52"/>
              <w:jc w:val="right"/>
              <w:rPr>
                <w:rFonts w:ascii="Times New Roman" w:hAnsi="Times New Roman" w:cs="Times New Roman" w:eastAsia="Times New Roman" w:hint="default"/>
                <w:sz w:val="15"/>
                <w:szCs w:val="15"/>
              </w:rPr>
            </w:pPr>
            <w:r>
              <w:rPr>
                <w:rFonts w:ascii="Times New Roman"/>
                <w:spacing w:val="-7"/>
                <w:sz w:val="15"/>
              </w:rPr>
              <w:t>40,180,000.00</w:t>
            </w:r>
            <w:r>
              <w:rPr>
                <w:rFonts w:ascii="Times New Roman"/>
                <w:sz w:val="15"/>
              </w:rPr>
            </w:r>
          </w:p>
        </w:tc>
        <w:tc>
          <w:tcPr>
            <w:tcW w:w="688" w:type="dxa"/>
            <w:tcBorders>
              <w:top w:val="single" w:sz="6" w:space="0" w:color="000000"/>
              <w:left w:val="single" w:sz="6" w:space="0" w:color="000000"/>
              <w:bottom w:val="single" w:sz="12" w:space="0" w:color="000000"/>
              <w:right w:val="single" w:sz="11" w:space="0" w:color="000000"/>
            </w:tcBorders>
          </w:tcPr>
          <w:p>
            <w:pPr>
              <w:pStyle w:val="TableParagraph"/>
              <w:spacing w:line="240" w:lineRule="auto" w:before="57"/>
              <w:ind w:left="236" w:right="0"/>
              <w:jc w:val="left"/>
              <w:rPr>
                <w:rFonts w:ascii="Times New Roman" w:hAnsi="Times New Roman" w:cs="Times New Roman" w:eastAsia="Times New Roman" w:hint="default"/>
                <w:sz w:val="15"/>
                <w:szCs w:val="15"/>
              </w:rPr>
            </w:pPr>
            <w:r>
              <w:rPr>
                <w:rFonts w:ascii="Times New Roman"/>
                <w:spacing w:val="-7"/>
                <w:sz w:val="15"/>
              </w:rPr>
              <w:t>36.53%</w:t>
            </w:r>
            <w:r>
              <w:rPr>
                <w:rFonts w:ascii="Times New Roman"/>
                <w:sz w:val="15"/>
              </w:rPr>
            </w:r>
          </w:p>
        </w:tc>
      </w:tr>
      <w:tr>
        <w:trPr>
          <w:trHeight w:val="310" w:hRule="exact"/>
        </w:trPr>
        <w:tc>
          <w:tcPr>
            <w:tcW w:w="1953" w:type="dxa"/>
            <w:tcBorders>
              <w:top w:val="single" w:sz="12" w:space="0" w:color="000000"/>
              <w:left w:val="single" w:sz="6" w:space="0" w:color="000000"/>
              <w:bottom w:val="single" w:sz="6" w:space="0" w:color="000000"/>
              <w:right w:val="single" w:sz="11" w:space="0" w:color="000000"/>
            </w:tcBorders>
          </w:tcPr>
          <w:p>
            <w:pPr>
              <w:pStyle w:val="TableParagraph"/>
              <w:spacing w:line="240" w:lineRule="auto" w:before="17"/>
              <w:ind w:left="27" w:right="0"/>
              <w:jc w:val="left"/>
              <w:rPr>
                <w:rFonts w:ascii="宋体" w:hAnsi="宋体" w:cs="宋体" w:eastAsia="宋体" w:hint="default"/>
                <w:sz w:val="16"/>
                <w:szCs w:val="16"/>
              </w:rPr>
            </w:pPr>
            <w:r>
              <w:rPr>
                <w:rFonts w:ascii="宋体" w:hAnsi="宋体" w:cs="宋体" w:eastAsia="宋体" w:hint="default"/>
                <w:spacing w:val="-6"/>
                <w:w w:val="105"/>
                <w:sz w:val="16"/>
                <w:szCs w:val="16"/>
              </w:rPr>
              <w:t>其中：境外法人持股</w:t>
            </w:r>
            <w:r>
              <w:rPr>
                <w:rFonts w:ascii="宋体" w:hAnsi="宋体" w:cs="宋体" w:eastAsia="宋体" w:hint="default"/>
                <w:spacing w:val="-6"/>
                <w:sz w:val="16"/>
                <w:szCs w:val="16"/>
              </w:rPr>
            </w:r>
          </w:p>
        </w:tc>
        <w:tc>
          <w:tcPr>
            <w:tcW w:w="1071" w:type="dxa"/>
            <w:tcBorders>
              <w:top w:val="single" w:sz="12" w:space="0" w:color="000000"/>
              <w:left w:val="single" w:sz="11" w:space="0" w:color="000000"/>
              <w:bottom w:val="single" w:sz="6" w:space="0" w:color="000000"/>
              <w:right w:val="single" w:sz="12" w:space="0" w:color="000000"/>
            </w:tcBorders>
          </w:tcPr>
          <w:p>
            <w:pPr>
              <w:pStyle w:val="TableParagraph"/>
              <w:spacing w:line="240" w:lineRule="auto" w:before="57"/>
              <w:ind w:right="38"/>
              <w:jc w:val="right"/>
              <w:rPr>
                <w:rFonts w:ascii="Times New Roman" w:hAnsi="Times New Roman" w:cs="Times New Roman" w:eastAsia="Times New Roman" w:hint="default"/>
                <w:sz w:val="15"/>
                <w:szCs w:val="15"/>
              </w:rPr>
            </w:pPr>
            <w:r>
              <w:rPr>
                <w:rFonts w:ascii="Times New Roman"/>
                <w:spacing w:val="-7"/>
                <w:sz w:val="15"/>
              </w:rPr>
              <w:t>40,180,000.00</w:t>
            </w:r>
            <w:r>
              <w:rPr>
                <w:rFonts w:ascii="Times New Roman"/>
                <w:sz w:val="15"/>
              </w:rPr>
            </w:r>
          </w:p>
        </w:tc>
        <w:tc>
          <w:tcPr>
            <w:tcW w:w="688" w:type="dxa"/>
            <w:tcBorders>
              <w:top w:val="single" w:sz="12" w:space="0" w:color="000000"/>
              <w:left w:val="single" w:sz="12" w:space="0" w:color="000000"/>
              <w:bottom w:val="single" w:sz="6" w:space="0" w:color="000000"/>
              <w:right w:val="single" w:sz="5" w:space="0" w:color="000000"/>
            </w:tcBorders>
          </w:tcPr>
          <w:p>
            <w:pPr>
              <w:pStyle w:val="TableParagraph"/>
              <w:spacing w:line="240" w:lineRule="auto" w:before="57"/>
              <w:ind w:left="222" w:right="0"/>
              <w:jc w:val="left"/>
              <w:rPr>
                <w:rFonts w:ascii="Times New Roman" w:hAnsi="Times New Roman" w:cs="Times New Roman" w:eastAsia="Times New Roman" w:hint="default"/>
                <w:sz w:val="15"/>
                <w:szCs w:val="15"/>
              </w:rPr>
            </w:pPr>
            <w:r>
              <w:rPr>
                <w:rFonts w:ascii="Times New Roman"/>
                <w:spacing w:val="-4"/>
                <w:sz w:val="15"/>
              </w:rPr>
              <w:t>49.00%</w:t>
            </w:r>
          </w:p>
        </w:tc>
        <w:tc>
          <w:tcPr>
            <w:tcW w:w="1070" w:type="dxa"/>
            <w:tcBorders>
              <w:top w:val="single" w:sz="12" w:space="0" w:color="000000"/>
              <w:left w:val="single" w:sz="5" w:space="0" w:color="000000"/>
              <w:bottom w:val="single" w:sz="6" w:space="0" w:color="000000"/>
              <w:right w:val="single" w:sz="5" w:space="0" w:color="000000"/>
            </w:tcBorders>
          </w:tcPr>
          <w:p>
            <w:pPr/>
          </w:p>
        </w:tc>
        <w:tc>
          <w:tcPr>
            <w:tcW w:w="529" w:type="dxa"/>
            <w:tcBorders>
              <w:top w:val="single" w:sz="12" w:space="0" w:color="000000"/>
              <w:left w:val="single" w:sz="5" w:space="0" w:color="000000"/>
              <w:bottom w:val="single" w:sz="6" w:space="0" w:color="000000"/>
              <w:right w:val="single" w:sz="6" w:space="0" w:color="000000"/>
            </w:tcBorders>
          </w:tcPr>
          <w:p>
            <w:pPr/>
          </w:p>
        </w:tc>
        <w:tc>
          <w:tcPr>
            <w:tcW w:w="577" w:type="dxa"/>
            <w:tcBorders>
              <w:top w:val="single" w:sz="12" w:space="0" w:color="000000"/>
              <w:left w:val="single" w:sz="6" w:space="0" w:color="000000"/>
              <w:bottom w:val="single" w:sz="6" w:space="0" w:color="000000"/>
              <w:right w:val="single" w:sz="11" w:space="0" w:color="000000"/>
            </w:tcBorders>
          </w:tcPr>
          <w:p>
            <w:pPr/>
          </w:p>
        </w:tc>
        <w:tc>
          <w:tcPr>
            <w:tcW w:w="529" w:type="dxa"/>
            <w:tcBorders>
              <w:top w:val="single" w:sz="12" w:space="0" w:color="000000"/>
              <w:left w:val="single" w:sz="11" w:space="0" w:color="000000"/>
              <w:bottom w:val="single" w:sz="6" w:space="0" w:color="000000"/>
              <w:right w:val="single" w:sz="11" w:space="0" w:color="000000"/>
            </w:tcBorders>
          </w:tcPr>
          <w:p>
            <w:pPr/>
          </w:p>
        </w:tc>
        <w:tc>
          <w:tcPr>
            <w:tcW w:w="1070" w:type="dxa"/>
            <w:tcBorders>
              <w:top w:val="single" w:sz="12" w:space="0" w:color="000000"/>
              <w:left w:val="single" w:sz="11" w:space="0" w:color="000000"/>
              <w:bottom w:val="single" w:sz="6" w:space="0" w:color="000000"/>
              <w:right w:val="single" w:sz="11" w:space="0" w:color="000000"/>
            </w:tcBorders>
          </w:tcPr>
          <w:p>
            <w:pPr/>
          </w:p>
        </w:tc>
        <w:tc>
          <w:tcPr>
            <w:tcW w:w="1161" w:type="dxa"/>
            <w:tcBorders>
              <w:top w:val="single" w:sz="12" w:space="0" w:color="000000"/>
              <w:left w:val="single" w:sz="11" w:space="0" w:color="000000"/>
              <w:bottom w:val="single" w:sz="6" w:space="0" w:color="000000"/>
              <w:right w:val="single" w:sz="6" w:space="0" w:color="000000"/>
            </w:tcBorders>
          </w:tcPr>
          <w:p>
            <w:pPr>
              <w:pStyle w:val="TableParagraph"/>
              <w:spacing w:line="240" w:lineRule="auto" w:before="57"/>
              <w:ind w:right="52"/>
              <w:jc w:val="right"/>
              <w:rPr>
                <w:rFonts w:ascii="Times New Roman" w:hAnsi="Times New Roman" w:cs="Times New Roman" w:eastAsia="Times New Roman" w:hint="default"/>
                <w:sz w:val="15"/>
                <w:szCs w:val="15"/>
              </w:rPr>
            </w:pPr>
            <w:r>
              <w:rPr>
                <w:rFonts w:ascii="Times New Roman"/>
                <w:spacing w:val="-7"/>
                <w:sz w:val="15"/>
              </w:rPr>
              <w:t>40,180,000.00</w:t>
            </w:r>
            <w:r>
              <w:rPr>
                <w:rFonts w:ascii="Times New Roman"/>
                <w:sz w:val="15"/>
              </w:rPr>
            </w:r>
          </w:p>
        </w:tc>
        <w:tc>
          <w:tcPr>
            <w:tcW w:w="688" w:type="dxa"/>
            <w:tcBorders>
              <w:top w:val="single" w:sz="12" w:space="0" w:color="000000"/>
              <w:left w:val="single" w:sz="6" w:space="0" w:color="000000"/>
              <w:bottom w:val="single" w:sz="6" w:space="0" w:color="000000"/>
              <w:right w:val="single" w:sz="11" w:space="0" w:color="000000"/>
            </w:tcBorders>
          </w:tcPr>
          <w:p>
            <w:pPr>
              <w:pStyle w:val="TableParagraph"/>
              <w:spacing w:line="240" w:lineRule="auto" w:before="57"/>
              <w:ind w:left="236" w:right="0"/>
              <w:jc w:val="left"/>
              <w:rPr>
                <w:rFonts w:ascii="Times New Roman" w:hAnsi="Times New Roman" w:cs="Times New Roman" w:eastAsia="Times New Roman" w:hint="default"/>
                <w:sz w:val="15"/>
                <w:szCs w:val="15"/>
              </w:rPr>
            </w:pPr>
            <w:r>
              <w:rPr>
                <w:rFonts w:ascii="Times New Roman"/>
                <w:spacing w:val="-7"/>
                <w:sz w:val="15"/>
              </w:rPr>
              <w:t>36.53%</w:t>
            </w:r>
            <w:r>
              <w:rPr>
                <w:rFonts w:ascii="Times New Roman"/>
                <w:sz w:val="15"/>
              </w:rPr>
            </w:r>
          </w:p>
        </w:tc>
      </w:tr>
      <w:tr>
        <w:trPr>
          <w:trHeight w:val="316" w:hRule="exact"/>
        </w:trPr>
        <w:tc>
          <w:tcPr>
            <w:tcW w:w="1953" w:type="dxa"/>
            <w:tcBorders>
              <w:top w:val="single" w:sz="6" w:space="0" w:color="000000"/>
              <w:left w:val="single" w:sz="6" w:space="0" w:color="000000"/>
              <w:bottom w:val="single" w:sz="6" w:space="0" w:color="000000"/>
              <w:right w:val="single" w:sz="11" w:space="0" w:color="000000"/>
            </w:tcBorders>
          </w:tcPr>
          <w:p>
            <w:pPr>
              <w:pStyle w:val="TableParagraph"/>
              <w:spacing w:line="240" w:lineRule="auto" w:before="16"/>
              <w:ind w:right="387"/>
              <w:jc w:val="right"/>
              <w:rPr>
                <w:rFonts w:ascii="宋体" w:hAnsi="宋体" w:cs="宋体" w:eastAsia="宋体" w:hint="default"/>
                <w:sz w:val="16"/>
                <w:szCs w:val="16"/>
              </w:rPr>
            </w:pPr>
            <w:r>
              <w:rPr>
                <w:rFonts w:ascii="宋体" w:hAnsi="宋体" w:cs="宋体" w:eastAsia="宋体" w:hint="default"/>
                <w:spacing w:val="-8"/>
                <w:sz w:val="16"/>
                <w:szCs w:val="16"/>
              </w:rPr>
              <w:t>境外自然人持股</w:t>
            </w:r>
          </w:p>
        </w:tc>
        <w:tc>
          <w:tcPr>
            <w:tcW w:w="1071" w:type="dxa"/>
            <w:tcBorders>
              <w:top w:val="single" w:sz="6" w:space="0" w:color="000000"/>
              <w:left w:val="single" w:sz="11" w:space="0" w:color="000000"/>
              <w:bottom w:val="single" w:sz="6" w:space="0" w:color="000000"/>
              <w:right w:val="single" w:sz="12" w:space="0" w:color="000000"/>
            </w:tcBorders>
          </w:tcPr>
          <w:p>
            <w:pPr/>
          </w:p>
        </w:tc>
        <w:tc>
          <w:tcPr>
            <w:tcW w:w="688" w:type="dxa"/>
            <w:tcBorders>
              <w:top w:val="single" w:sz="6" w:space="0" w:color="000000"/>
              <w:left w:val="single" w:sz="12" w:space="0" w:color="000000"/>
              <w:bottom w:val="single" w:sz="6" w:space="0" w:color="000000"/>
              <w:right w:val="single" w:sz="5" w:space="0" w:color="000000"/>
            </w:tcBorders>
          </w:tcPr>
          <w:p>
            <w:pPr/>
          </w:p>
        </w:tc>
        <w:tc>
          <w:tcPr>
            <w:tcW w:w="1070" w:type="dxa"/>
            <w:tcBorders>
              <w:top w:val="single" w:sz="6" w:space="0" w:color="000000"/>
              <w:left w:val="single" w:sz="5" w:space="0" w:color="000000"/>
              <w:bottom w:val="single" w:sz="6" w:space="0" w:color="000000"/>
              <w:right w:val="single" w:sz="5" w:space="0" w:color="000000"/>
            </w:tcBorders>
          </w:tcPr>
          <w:p>
            <w:pPr/>
          </w:p>
        </w:tc>
        <w:tc>
          <w:tcPr>
            <w:tcW w:w="529" w:type="dxa"/>
            <w:tcBorders>
              <w:top w:val="single" w:sz="6" w:space="0" w:color="000000"/>
              <w:left w:val="single" w:sz="5" w:space="0" w:color="000000"/>
              <w:bottom w:val="single" w:sz="6" w:space="0" w:color="000000"/>
              <w:right w:val="single" w:sz="6" w:space="0" w:color="000000"/>
            </w:tcBorders>
          </w:tcPr>
          <w:p>
            <w:pPr/>
          </w:p>
        </w:tc>
        <w:tc>
          <w:tcPr>
            <w:tcW w:w="577" w:type="dxa"/>
            <w:tcBorders>
              <w:top w:val="single" w:sz="6" w:space="0" w:color="000000"/>
              <w:left w:val="single" w:sz="6" w:space="0" w:color="000000"/>
              <w:bottom w:val="single" w:sz="6" w:space="0" w:color="000000"/>
              <w:right w:val="single" w:sz="11" w:space="0" w:color="000000"/>
            </w:tcBorders>
          </w:tcPr>
          <w:p>
            <w:pPr/>
          </w:p>
        </w:tc>
        <w:tc>
          <w:tcPr>
            <w:tcW w:w="529" w:type="dxa"/>
            <w:tcBorders>
              <w:top w:val="single" w:sz="6" w:space="0" w:color="000000"/>
              <w:left w:val="single" w:sz="11" w:space="0" w:color="000000"/>
              <w:bottom w:val="single" w:sz="6" w:space="0" w:color="000000"/>
              <w:right w:val="single" w:sz="11" w:space="0" w:color="000000"/>
            </w:tcBorders>
          </w:tcPr>
          <w:p>
            <w:pPr/>
          </w:p>
        </w:tc>
        <w:tc>
          <w:tcPr>
            <w:tcW w:w="1070" w:type="dxa"/>
            <w:tcBorders>
              <w:top w:val="single" w:sz="6" w:space="0" w:color="000000"/>
              <w:left w:val="single" w:sz="11" w:space="0" w:color="000000"/>
              <w:bottom w:val="single" w:sz="6" w:space="0" w:color="000000"/>
              <w:right w:val="single" w:sz="11" w:space="0" w:color="000000"/>
            </w:tcBorders>
          </w:tcPr>
          <w:p>
            <w:pPr/>
          </w:p>
        </w:tc>
        <w:tc>
          <w:tcPr>
            <w:tcW w:w="1161" w:type="dxa"/>
            <w:tcBorders>
              <w:top w:val="single" w:sz="6" w:space="0" w:color="000000"/>
              <w:left w:val="single" w:sz="11" w:space="0" w:color="000000"/>
              <w:bottom w:val="single" w:sz="6" w:space="0" w:color="000000"/>
              <w:right w:val="single" w:sz="6" w:space="0" w:color="000000"/>
            </w:tcBorders>
          </w:tcPr>
          <w:p>
            <w:pPr/>
          </w:p>
        </w:tc>
        <w:tc>
          <w:tcPr>
            <w:tcW w:w="688" w:type="dxa"/>
            <w:tcBorders>
              <w:top w:val="single" w:sz="6" w:space="0" w:color="000000"/>
              <w:left w:val="single" w:sz="6" w:space="0" w:color="000000"/>
              <w:bottom w:val="single" w:sz="6" w:space="0" w:color="000000"/>
              <w:right w:val="single" w:sz="11" w:space="0" w:color="000000"/>
            </w:tcBorders>
          </w:tcPr>
          <w:p>
            <w:pPr/>
          </w:p>
        </w:tc>
      </w:tr>
      <w:tr>
        <w:trPr>
          <w:trHeight w:val="309" w:hRule="exact"/>
        </w:trPr>
        <w:tc>
          <w:tcPr>
            <w:tcW w:w="1953" w:type="dxa"/>
            <w:tcBorders>
              <w:top w:val="single" w:sz="6" w:space="0" w:color="000000"/>
              <w:left w:val="single" w:sz="6" w:space="0" w:color="000000"/>
              <w:bottom w:val="single" w:sz="12" w:space="0" w:color="000000"/>
              <w:right w:val="single" w:sz="11" w:space="0" w:color="000000"/>
            </w:tcBorders>
          </w:tcPr>
          <w:p>
            <w:pPr>
              <w:pStyle w:val="TableParagraph"/>
              <w:spacing w:line="240" w:lineRule="auto" w:before="32"/>
              <w:ind w:left="27" w:right="0"/>
              <w:jc w:val="left"/>
              <w:rPr>
                <w:rFonts w:ascii="宋体" w:hAnsi="宋体" w:cs="宋体" w:eastAsia="宋体" w:hint="default"/>
                <w:sz w:val="16"/>
                <w:szCs w:val="16"/>
              </w:rPr>
            </w:pPr>
            <w:r>
              <w:rPr>
                <w:rFonts w:ascii="宋体" w:hAnsi="宋体" w:cs="宋体" w:eastAsia="宋体" w:hint="default"/>
                <w:spacing w:val="-6"/>
                <w:w w:val="105"/>
                <w:sz w:val="16"/>
                <w:szCs w:val="16"/>
              </w:rPr>
              <w:t>有限售条件股份合计</w:t>
            </w:r>
            <w:r>
              <w:rPr>
                <w:rFonts w:ascii="宋体" w:hAnsi="宋体" w:cs="宋体" w:eastAsia="宋体" w:hint="default"/>
                <w:spacing w:val="-6"/>
                <w:sz w:val="16"/>
                <w:szCs w:val="16"/>
              </w:rPr>
            </w:r>
          </w:p>
        </w:tc>
        <w:tc>
          <w:tcPr>
            <w:tcW w:w="1071" w:type="dxa"/>
            <w:tcBorders>
              <w:top w:val="single" w:sz="6" w:space="0" w:color="000000"/>
              <w:left w:val="single" w:sz="11" w:space="0" w:color="000000"/>
              <w:bottom w:val="single" w:sz="12" w:space="0" w:color="000000"/>
              <w:right w:val="single" w:sz="12" w:space="0" w:color="000000"/>
            </w:tcBorders>
          </w:tcPr>
          <w:p>
            <w:pPr>
              <w:pStyle w:val="TableParagraph"/>
              <w:spacing w:line="240" w:lineRule="auto" w:before="57"/>
              <w:ind w:right="38"/>
              <w:jc w:val="right"/>
              <w:rPr>
                <w:rFonts w:ascii="Times New Roman" w:hAnsi="Times New Roman" w:cs="Times New Roman" w:eastAsia="Times New Roman" w:hint="default"/>
                <w:sz w:val="15"/>
                <w:szCs w:val="15"/>
              </w:rPr>
            </w:pPr>
            <w:r>
              <w:rPr>
                <w:rFonts w:ascii="Times New Roman"/>
                <w:spacing w:val="-7"/>
                <w:sz w:val="15"/>
              </w:rPr>
              <w:t>82,000,000.00</w:t>
            </w:r>
            <w:r>
              <w:rPr>
                <w:rFonts w:ascii="Times New Roman"/>
                <w:sz w:val="15"/>
              </w:rPr>
            </w:r>
          </w:p>
        </w:tc>
        <w:tc>
          <w:tcPr>
            <w:tcW w:w="688" w:type="dxa"/>
            <w:tcBorders>
              <w:top w:val="single" w:sz="6" w:space="0" w:color="000000"/>
              <w:left w:val="single" w:sz="12" w:space="0" w:color="000000"/>
              <w:bottom w:val="single" w:sz="12" w:space="0" w:color="000000"/>
              <w:right w:val="single" w:sz="5" w:space="0" w:color="000000"/>
            </w:tcBorders>
          </w:tcPr>
          <w:p>
            <w:pPr>
              <w:pStyle w:val="TableParagraph"/>
              <w:spacing w:line="240" w:lineRule="auto" w:before="57"/>
              <w:ind w:left="167" w:right="0"/>
              <w:jc w:val="left"/>
              <w:rPr>
                <w:rFonts w:ascii="Times New Roman" w:hAnsi="Times New Roman" w:cs="Times New Roman" w:eastAsia="Times New Roman" w:hint="default"/>
                <w:sz w:val="15"/>
                <w:szCs w:val="15"/>
              </w:rPr>
            </w:pPr>
            <w:r>
              <w:rPr>
                <w:rFonts w:ascii="Times New Roman"/>
                <w:spacing w:val="-7"/>
                <w:sz w:val="15"/>
              </w:rPr>
              <w:t>100.00%</w:t>
            </w:r>
          </w:p>
        </w:tc>
        <w:tc>
          <w:tcPr>
            <w:tcW w:w="1070" w:type="dxa"/>
            <w:tcBorders>
              <w:top w:val="single" w:sz="6" w:space="0" w:color="000000"/>
              <w:left w:val="single" w:sz="5" w:space="0" w:color="000000"/>
              <w:bottom w:val="single" w:sz="12" w:space="0" w:color="000000"/>
              <w:right w:val="single" w:sz="5" w:space="0" w:color="000000"/>
            </w:tcBorders>
          </w:tcPr>
          <w:p>
            <w:pPr/>
          </w:p>
        </w:tc>
        <w:tc>
          <w:tcPr>
            <w:tcW w:w="529" w:type="dxa"/>
            <w:tcBorders>
              <w:top w:val="single" w:sz="6" w:space="0" w:color="000000"/>
              <w:left w:val="single" w:sz="5" w:space="0" w:color="000000"/>
              <w:bottom w:val="single" w:sz="12" w:space="0" w:color="000000"/>
              <w:right w:val="single" w:sz="6" w:space="0" w:color="000000"/>
            </w:tcBorders>
          </w:tcPr>
          <w:p>
            <w:pPr/>
          </w:p>
        </w:tc>
        <w:tc>
          <w:tcPr>
            <w:tcW w:w="577" w:type="dxa"/>
            <w:tcBorders>
              <w:top w:val="single" w:sz="6" w:space="0" w:color="000000"/>
              <w:left w:val="single" w:sz="6" w:space="0" w:color="000000"/>
              <w:bottom w:val="single" w:sz="12" w:space="0" w:color="000000"/>
              <w:right w:val="single" w:sz="11" w:space="0" w:color="000000"/>
            </w:tcBorders>
          </w:tcPr>
          <w:p>
            <w:pPr/>
          </w:p>
        </w:tc>
        <w:tc>
          <w:tcPr>
            <w:tcW w:w="529" w:type="dxa"/>
            <w:tcBorders>
              <w:top w:val="single" w:sz="6" w:space="0" w:color="000000"/>
              <w:left w:val="single" w:sz="11" w:space="0" w:color="000000"/>
              <w:bottom w:val="single" w:sz="12" w:space="0" w:color="000000"/>
              <w:right w:val="single" w:sz="11" w:space="0" w:color="000000"/>
            </w:tcBorders>
          </w:tcPr>
          <w:p>
            <w:pPr/>
          </w:p>
        </w:tc>
        <w:tc>
          <w:tcPr>
            <w:tcW w:w="1070" w:type="dxa"/>
            <w:tcBorders>
              <w:top w:val="single" w:sz="6" w:space="0" w:color="000000"/>
              <w:left w:val="single" w:sz="11" w:space="0" w:color="000000"/>
              <w:bottom w:val="single" w:sz="12" w:space="0" w:color="000000"/>
              <w:right w:val="single" w:sz="11" w:space="0" w:color="000000"/>
            </w:tcBorders>
          </w:tcPr>
          <w:p>
            <w:pPr/>
          </w:p>
        </w:tc>
        <w:tc>
          <w:tcPr>
            <w:tcW w:w="1161" w:type="dxa"/>
            <w:tcBorders>
              <w:top w:val="single" w:sz="6" w:space="0" w:color="000000"/>
              <w:left w:val="single" w:sz="11" w:space="0" w:color="000000"/>
              <w:bottom w:val="single" w:sz="12" w:space="0" w:color="000000"/>
              <w:right w:val="single" w:sz="6" w:space="0" w:color="000000"/>
            </w:tcBorders>
          </w:tcPr>
          <w:p>
            <w:pPr>
              <w:pStyle w:val="TableParagraph"/>
              <w:spacing w:line="240" w:lineRule="auto" w:before="57"/>
              <w:ind w:right="52"/>
              <w:jc w:val="right"/>
              <w:rPr>
                <w:rFonts w:ascii="Times New Roman" w:hAnsi="Times New Roman" w:cs="Times New Roman" w:eastAsia="Times New Roman" w:hint="default"/>
                <w:sz w:val="15"/>
                <w:szCs w:val="15"/>
              </w:rPr>
            </w:pPr>
            <w:r>
              <w:rPr>
                <w:rFonts w:ascii="Times New Roman"/>
                <w:spacing w:val="-7"/>
                <w:sz w:val="15"/>
              </w:rPr>
              <w:t>82,000,000.00</w:t>
            </w:r>
            <w:r>
              <w:rPr>
                <w:rFonts w:ascii="Times New Roman"/>
                <w:sz w:val="15"/>
              </w:rPr>
            </w:r>
          </w:p>
        </w:tc>
        <w:tc>
          <w:tcPr>
            <w:tcW w:w="688" w:type="dxa"/>
            <w:tcBorders>
              <w:top w:val="single" w:sz="6" w:space="0" w:color="000000"/>
              <w:left w:val="single" w:sz="6" w:space="0" w:color="000000"/>
              <w:bottom w:val="single" w:sz="12" w:space="0" w:color="000000"/>
              <w:right w:val="single" w:sz="11" w:space="0" w:color="000000"/>
            </w:tcBorders>
          </w:tcPr>
          <w:p>
            <w:pPr>
              <w:pStyle w:val="TableParagraph"/>
              <w:spacing w:line="240" w:lineRule="auto" w:before="57"/>
              <w:ind w:left="236" w:right="0"/>
              <w:jc w:val="left"/>
              <w:rPr>
                <w:rFonts w:ascii="Times New Roman" w:hAnsi="Times New Roman" w:cs="Times New Roman" w:eastAsia="Times New Roman" w:hint="default"/>
                <w:sz w:val="15"/>
                <w:szCs w:val="15"/>
              </w:rPr>
            </w:pPr>
            <w:r>
              <w:rPr>
                <w:rFonts w:ascii="Times New Roman"/>
                <w:spacing w:val="-7"/>
                <w:sz w:val="15"/>
              </w:rPr>
              <w:t>74.55%</w:t>
            </w:r>
            <w:r>
              <w:rPr>
                <w:rFonts w:ascii="Times New Roman"/>
                <w:sz w:val="15"/>
              </w:rPr>
            </w:r>
          </w:p>
        </w:tc>
      </w:tr>
      <w:tr>
        <w:trPr>
          <w:trHeight w:val="310" w:hRule="exact"/>
        </w:trPr>
        <w:tc>
          <w:tcPr>
            <w:tcW w:w="1953" w:type="dxa"/>
            <w:tcBorders>
              <w:top w:val="single" w:sz="12" w:space="0" w:color="000000"/>
              <w:left w:val="single" w:sz="6" w:space="0" w:color="000000"/>
              <w:bottom w:val="single" w:sz="6" w:space="0" w:color="000000"/>
              <w:right w:val="single" w:sz="11" w:space="0" w:color="000000"/>
            </w:tcBorders>
          </w:tcPr>
          <w:p>
            <w:pPr>
              <w:pStyle w:val="TableParagraph"/>
              <w:spacing w:line="240" w:lineRule="auto" w:before="17"/>
              <w:ind w:left="27" w:right="0"/>
              <w:jc w:val="left"/>
              <w:rPr>
                <w:rFonts w:ascii="宋体" w:hAnsi="宋体" w:cs="宋体" w:eastAsia="宋体" w:hint="default"/>
                <w:sz w:val="16"/>
                <w:szCs w:val="16"/>
              </w:rPr>
            </w:pPr>
            <w:r>
              <w:rPr>
                <w:rFonts w:ascii="宋体" w:hAnsi="宋体" w:cs="宋体" w:eastAsia="宋体" w:hint="default"/>
                <w:spacing w:val="-6"/>
                <w:w w:val="105"/>
                <w:sz w:val="16"/>
                <w:szCs w:val="16"/>
              </w:rPr>
              <w:t>二、无限售条件股份</w:t>
            </w:r>
            <w:r>
              <w:rPr>
                <w:rFonts w:ascii="宋体" w:hAnsi="宋体" w:cs="宋体" w:eastAsia="宋体" w:hint="default"/>
                <w:spacing w:val="-6"/>
                <w:sz w:val="16"/>
                <w:szCs w:val="16"/>
              </w:rPr>
            </w:r>
          </w:p>
        </w:tc>
        <w:tc>
          <w:tcPr>
            <w:tcW w:w="1071" w:type="dxa"/>
            <w:tcBorders>
              <w:top w:val="single" w:sz="12" w:space="0" w:color="000000"/>
              <w:left w:val="single" w:sz="11" w:space="0" w:color="000000"/>
              <w:bottom w:val="single" w:sz="6" w:space="0" w:color="000000"/>
              <w:right w:val="single" w:sz="12" w:space="0" w:color="000000"/>
            </w:tcBorders>
          </w:tcPr>
          <w:p>
            <w:pPr/>
          </w:p>
        </w:tc>
        <w:tc>
          <w:tcPr>
            <w:tcW w:w="688" w:type="dxa"/>
            <w:tcBorders>
              <w:top w:val="single" w:sz="12" w:space="0" w:color="000000"/>
              <w:left w:val="single" w:sz="12" w:space="0" w:color="000000"/>
              <w:bottom w:val="single" w:sz="6" w:space="0" w:color="000000"/>
              <w:right w:val="single" w:sz="5" w:space="0" w:color="000000"/>
            </w:tcBorders>
          </w:tcPr>
          <w:p>
            <w:pPr/>
          </w:p>
        </w:tc>
        <w:tc>
          <w:tcPr>
            <w:tcW w:w="1070" w:type="dxa"/>
            <w:tcBorders>
              <w:top w:val="single" w:sz="12" w:space="0" w:color="000000"/>
              <w:left w:val="single" w:sz="5" w:space="0" w:color="000000"/>
              <w:bottom w:val="single" w:sz="6" w:space="0" w:color="000000"/>
              <w:right w:val="single" w:sz="5" w:space="0" w:color="000000"/>
            </w:tcBorders>
          </w:tcPr>
          <w:p>
            <w:pPr/>
          </w:p>
        </w:tc>
        <w:tc>
          <w:tcPr>
            <w:tcW w:w="529" w:type="dxa"/>
            <w:tcBorders>
              <w:top w:val="single" w:sz="12" w:space="0" w:color="000000"/>
              <w:left w:val="single" w:sz="5" w:space="0" w:color="000000"/>
              <w:bottom w:val="single" w:sz="6" w:space="0" w:color="000000"/>
              <w:right w:val="single" w:sz="6" w:space="0" w:color="000000"/>
            </w:tcBorders>
          </w:tcPr>
          <w:p>
            <w:pPr/>
          </w:p>
        </w:tc>
        <w:tc>
          <w:tcPr>
            <w:tcW w:w="577" w:type="dxa"/>
            <w:tcBorders>
              <w:top w:val="single" w:sz="12" w:space="0" w:color="000000"/>
              <w:left w:val="single" w:sz="6" w:space="0" w:color="000000"/>
              <w:bottom w:val="single" w:sz="6" w:space="0" w:color="000000"/>
              <w:right w:val="single" w:sz="11" w:space="0" w:color="000000"/>
            </w:tcBorders>
          </w:tcPr>
          <w:p>
            <w:pPr/>
          </w:p>
        </w:tc>
        <w:tc>
          <w:tcPr>
            <w:tcW w:w="529" w:type="dxa"/>
            <w:tcBorders>
              <w:top w:val="single" w:sz="12" w:space="0" w:color="000000"/>
              <w:left w:val="single" w:sz="11" w:space="0" w:color="000000"/>
              <w:bottom w:val="single" w:sz="6" w:space="0" w:color="000000"/>
              <w:right w:val="single" w:sz="11" w:space="0" w:color="000000"/>
            </w:tcBorders>
          </w:tcPr>
          <w:p>
            <w:pPr/>
          </w:p>
        </w:tc>
        <w:tc>
          <w:tcPr>
            <w:tcW w:w="1070" w:type="dxa"/>
            <w:tcBorders>
              <w:top w:val="single" w:sz="12" w:space="0" w:color="000000"/>
              <w:left w:val="single" w:sz="11" w:space="0" w:color="000000"/>
              <w:bottom w:val="single" w:sz="6" w:space="0" w:color="000000"/>
              <w:right w:val="single" w:sz="11" w:space="0" w:color="000000"/>
            </w:tcBorders>
          </w:tcPr>
          <w:p>
            <w:pPr/>
          </w:p>
        </w:tc>
        <w:tc>
          <w:tcPr>
            <w:tcW w:w="1161" w:type="dxa"/>
            <w:tcBorders>
              <w:top w:val="single" w:sz="12" w:space="0" w:color="000000"/>
              <w:left w:val="single" w:sz="11" w:space="0" w:color="000000"/>
              <w:bottom w:val="single" w:sz="6" w:space="0" w:color="000000"/>
              <w:right w:val="single" w:sz="6" w:space="0" w:color="000000"/>
            </w:tcBorders>
          </w:tcPr>
          <w:p>
            <w:pPr/>
          </w:p>
        </w:tc>
        <w:tc>
          <w:tcPr>
            <w:tcW w:w="688" w:type="dxa"/>
            <w:tcBorders>
              <w:top w:val="single" w:sz="12" w:space="0" w:color="000000"/>
              <w:left w:val="single" w:sz="6" w:space="0" w:color="000000"/>
              <w:bottom w:val="single" w:sz="6" w:space="0" w:color="000000"/>
              <w:right w:val="single" w:sz="11" w:space="0" w:color="000000"/>
            </w:tcBorders>
          </w:tcPr>
          <w:p>
            <w:pPr/>
          </w:p>
        </w:tc>
      </w:tr>
      <w:tr>
        <w:trPr>
          <w:trHeight w:val="308" w:hRule="exact"/>
        </w:trPr>
        <w:tc>
          <w:tcPr>
            <w:tcW w:w="1953" w:type="dxa"/>
            <w:tcBorders>
              <w:top w:val="single" w:sz="6" w:space="0" w:color="000000"/>
              <w:left w:val="single" w:sz="6" w:space="0" w:color="000000"/>
              <w:bottom w:val="single" w:sz="12" w:space="0" w:color="000000"/>
              <w:right w:val="single" w:sz="11" w:space="0" w:color="000000"/>
            </w:tcBorders>
          </w:tcPr>
          <w:p>
            <w:pPr>
              <w:pStyle w:val="TableParagraph"/>
              <w:spacing w:line="240" w:lineRule="auto" w:before="30"/>
              <w:ind w:left="27" w:right="0"/>
              <w:jc w:val="left"/>
              <w:rPr>
                <w:rFonts w:ascii="宋体" w:hAnsi="宋体" w:cs="宋体" w:eastAsia="宋体" w:hint="default"/>
                <w:sz w:val="16"/>
                <w:szCs w:val="16"/>
              </w:rPr>
            </w:pPr>
            <w:r>
              <w:rPr>
                <w:rFonts w:ascii="宋体" w:hAnsi="宋体" w:cs="宋体" w:eastAsia="宋体" w:hint="default"/>
                <w:spacing w:val="-6"/>
                <w:w w:val="105"/>
                <w:sz w:val="16"/>
                <w:szCs w:val="16"/>
              </w:rPr>
              <w:t>1.人民币普通股</w:t>
            </w:r>
            <w:r>
              <w:rPr>
                <w:rFonts w:ascii="宋体" w:hAnsi="宋体" w:cs="宋体" w:eastAsia="宋体" w:hint="default"/>
                <w:spacing w:val="-6"/>
                <w:sz w:val="16"/>
                <w:szCs w:val="16"/>
              </w:rPr>
            </w:r>
          </w:p>
        </w:tc>
        <w:tc>
          <w:tcPr>
            <w:tcW w:w="1071" w:type="dxa"/>
            <w:tcBorders>
              <w:top w:val="single" w:sz="6" w:space="0" w:color="000000"/>
              <w:left w:val="single" w:sz="11" w:space="0" w:color="000000"/>
              <w:bottom w:val="single" w:sz="12" w:space="0" w:color="000000"/>
              <w:right w:val="single" w:sz="12" w:space="0" w:color="000000"/>
            </w:tcBorders>
          </w:tcPr>
          <w:p>
            <w:pPr/>
          </w:p>
        </w:tc>
        <w:tc>
          <w:tcPr>
            <w:tcW w:w="688" w:type="dxa"/>
            <w:tcBorders>
              <w:top w:val="single" w:sz="6" w:space="0" w:color="000000"/>
              <w:left w:val="single" w:sz="12" w:space="0" w:color="000000"/>
              <w:bottom w:val="single" w:sz="12" w:space="0" w:color="000000"/>
              <w:right w:val="single" w:sz="5" w:space="0" w:color="000000"/>
            </w:tcBorders>
          </w:tcPr>
          <w:p>
            <w:pPr/>
          </w:p>
        </w:tc>
        <w:tc>
          <w:tcPr>
            <w:tcW w:w="1070" w:type="dxa"/>
            <w:tcBorders>
              <w:top w:val="single" w:sz="6" w:space="0" w:color="000000"/>
              <w:left w:val="single" w:sz="5" w:space="0" w:color="000000"/>
              <w:bottom w:val="single" w:sz="12" w:space="0" w:color="000000"/>
              <w:right w:val="single" w:sz="5" w:space="0" w:color="000000"/>
            </w:tcBorders>
          </w:tcPr>
          <w:p>
            <w:pPr>
              <w:pStyle w:val="TableParagraph"/>
              <w:spacing w:line="240" w:lineRule="auto" w:before="56"/>
              <w:ind w:left="223" w:right="0"/>
              <w:jc w:val="left"/>
              <w:rPr>
                <w:rFonts w:ascii="Times New Roman" w:hAnsi="Times New Roman" w:cs="Times New Roman" w:eastAsia="Times New Roman" w:hint="default"/>
                <w:sz w:val="15"/>
                <w:szCs w:val="15"/>
              </w:rPr>
            </w:pPr>
            <w:r>
              <w:rPr>
                <w:rFonts w:ascii="Times New Roman"/>
                <w:spacing w:val="-8"/>
                <w:sz w:val="15"/>
              </w:rPr>
              <w:t>28,000,000.00</w:t>
            </w:r>
            <w:r>
              <w:rPr>
                <w:rFonts w:ascii="Times New Roman"/>
                <w:sz w:val="15"/>
              </w:rPr>
            </w:r>
          </w:p>
        </w:tc>
        <w:tc>
          <w:tcPr>
            <w:tcW w:w="529" w:type="dxa"/>
            <w:tcBorders>
              <w:top w:val="single" w:sz="6" w:space="0" w:color="000000"/>
              <w:left w:val="single" w:sz="5" w:space="0" w:color="000000"/>
              <w:bottom w:val="single" w:sz="12" w:space="0" w:color="000000"/>
              <w:right w:val="single" w:sz="6" w:space="0" w:color="000000"/>
            </w:tcBorders>
          </w:tcPr>
          <w:p>
            <w:pPr/>
          </w:p>
        </w:tc>
        <w:tc>
          <w:tcPr>
            <w:tcW w:w="577" w:type="dxa"/>
            <w:tcBorders>
              <w:top w:val="single" w:sz="6" w:space="0" w:color="000000"/>
              <w:left w:val="single" w:sz="6" w:space="0" w:color="000000"/>
              <w:bottom w:val="single" w:sz="12" w:space="0" w:color="000000"/>
              <w:right w:val="single" w:sz="11" w:space="0" w:color="000000"/>
            </w:tcBorders>
          </w:tcPr>
          <w:p>
            <w:pPr/>
          </w:p>
        </w:tc>
        <w:tc>
          <w:tcPr>
            <w:tcW w:w="529" w:type="dxa"/>
            <w:tcBorders>
              <w:top w:val="single" w:sz="6" w:space="0" w:color="000000"/>
              <w:left w:val="single" w:sz="11" w:space="0" w:color="000000"/>
              <w:bottom w:val="single" w:sz="12" w:space="0" w:color="000000"/>
              <w:right w:val="single" w:sz="11" w:space="0" w:color="000000"/>
            </w:tcBorders>
          </w:tcPr>
          <w:p>
            <w:pPr/>
          </w:p>
        </w:tc>
        <w:tc>
          <w:tcPr>
            <w:tcW w:w="1070" w:type="dxa"/>
            <w:tcBorders>
              <w:top w:val="single" w:sz="6" w:space="0" w:color="000000"/>
              <w:left w:val="single" w:sz="11" w:space="0" w:color="000000"/>
              <w:bottom w:val="single" w:sz="12" w:space="0" w:color="000000"/>
              <w:right w:val="single" w:sz="11" w:space="0" w:color="000000"/>
            </w:tcBorders>
          </w:tcPr>
          <w:p>
            <w:pPr>
              <w:pStyle w:val="TableParagraph"/>
              <w:spacing w:line="240" w:lineRule="auto" w:before="56"/>
              <w:ind w:right="33"/>
              <w:jc w:val="right"/>
              <w:rPr>
                <w:rFonts w:ascii="Times New Roman" w:hAnsi="Times New Roman" w:cs="Times New Roman" w:eastAsia="Times New Roman" w:hint="default"/>
                <w:sz w:val="15"/>
                <w:szCs w:val="15"/>
              </w:rPr>
            </w:pPr>
            <w:r>
              <w:rPr>
                <w:rFonts w:ascii="Times New Roman"/>
                <w:spacing w:val="-6"/>
                <w:sz w:val="15"/>
              </w:rPr>
              <w:t>28,000,000.00</w:t>
            </w:r>
          </w:p>
        </w:tc>
        <w:tc>
          <w:tcPr>
            <w:tcW w:w="1161" w:type="dxa"/>
            <w:tcBorders>
              <w:top w:val="single" w:sz="6" w:space="0" w:color="000000"/>
              <w:left w:val="single" w:sz="11" w:space="0" w:color="000000"/>
              <w:bottom w:val="single" w:sz="12" w:space="0" w:color="000000"/>
              <w:right w:val="single" w:sz="6" w:space="0" w:color="000000"/>
            </w:tcBorders>
          </w:tcPr>
          <w:p>
            <w:pPr>
              <w:pStyle w:val="TableParagraph"/>
              <w:spacing w:line="240" w:lineRule="auto" w:before="56"/>
              <w:ind w:right="52"/>
              <w:jc w:val="right"/>
              <w:rPr>
                <w:rFonts w:ascii="Times New Roman" w:hAnsi="Times New Roman" w:cs="Times New Roman" w:eastAsia="Times New Roman" w:hint="default"/>
                <w:sz w:val="15"/>
                <w:szCs w:val="15"/>
              </w:rPr>
            </w:pPr>
            <w:r>
              <w:rPr>
                <w:rFonts w:ascii="Times New Roman"/>
                <w:spacing w:val="-7"/>
                <w:sz w:val="15"/>
              </w:rPr>
              <w:t>28,000,000.00</w:t>
            </w:r>
            <w:r>
              <w:rPr>
                <w:rFonts w:ascii="Times New Roman"/>
                <w:sz w:val="15"/>
              </w:rPr>
            </w:r>
          </w:p>
        </w:tc>
        <w:tc>
          <w:tcPr>
            <w:tcW w:w="688" w:type="dxa"/>
            <w:tcBorders>
              <w:top w:val="single" w:sz="6" w:space="0" w:color="000000"/>
              <w:left w:val="single" w:sz="6" w:space="0" w:color="000000"/>
              <w:bottom w:val="single" w:sz="12" w:space="0" w:color="000000"/>
              <w:right w:val="single" w:sz="11" w:space="0" w:color="000000"/>
            </w:tcBorders>
          </w:tcPr>
          <w:p>
            <w:pPr>
              <w:pStyle w:val="TableParagraph"/>
              <w:spacing w:line="240" w:lineRule="auto" w:before="56"/>
              <w:ind w:left="236" w:right="0"/>
              <w:jc w:val="left"/>
              <w:rPr>
                <w:rFonts w:ascii="Times New Roman" w:hAnsi="Times New Roman" w:cs="Times New Roman" w:eastAsia="Times New Roman" w:hint="default"/>
                <w:sz w:val="15"/>
                <w:szCs w:val="15"/>
              </w:rPr>
            </w:pPr>
            <w:r>
              <w:rPr>
                <w:rFonts w:ascii="Times New Roman"/>
                <w:spacing w:val="-7"/>
                <w:sz w:val="15"/>
              </w:rPr>
              <w:t>25.45%</w:t>
            </w:r>
            <w:r>
              <w:rPr>
                <w:rFonts w:ascii="Times New Roman"/>
                <w:sz w:val="15"/>
              </w:rPr>
            </w:r>
          </w:p>
        </w:tc>
      </w:tr>
      <w:tr>
        <w:trPr>
          <w:trHeight w:val="310" w:hRule="exact"/>
        </w:trPr>
        <w:tc>
          <w:tcPr>
            <w:tcW w:w="1953" w:type="dxa"/>
            <w:tcBorders>
              <w:top w:val="single" w:sz="12" w:space="0" w:color="000000"/>
              <w:left w:val="single" w:sz="6" w:space="0" w:color="000000"/>
              <w:bottom w:val="single" w:sz="6" w:space="0" w:color="000000"/>
              <w:right w:val="single" w:sz="11" w:space="0" w:color="000000"/>
            </w:tcBorders>
          </w:tcPr>
          <w:p>
            <w:pPr>
              <w:pStyle w:val="TableParagraph"/>
              <w:spacing w:line="240" w:lineRule="auto" w:before="17"/>
              <w:ind w:left="27" w:right="0"/>
              <w:jc w:val="left"/>
              <w:rPr>
                <w:rFonts w:ascii="宋体" w:hAnsi="宋体" w:cs="宋体" w:eastAsia="宋体" w:hint="default"/>
                <w:sz w:val="16"/>
                <w:szCs w:val="16"/>
              </w:rPr>
            </w:pPr>
            <w:r>
              <w:rPr>
                <w:rFonts w:ascii="宋体" w:hAnsi="宋体" w:cs="宋体" w:eastAsia="宋体" w:hint="default"/>
                <w:spacing w:val="-6"/>
                <w:w w:val="105"/>
                <w:sz w:val="16"/>
                <w:szCs w:val="16"/>
              </w:rPr>
              <w:t>2.境内上市的外资股</w:t>
            </w:r>
            <w:r>
              <w:rPr>
                <w:rFonts w:ascii="宋体" w:hAnsi="宋体" w:cs="宋体" w:eastAsia="宋体" w:hint="default"/>
                <w:spacing w:val="-6"/>
                <w:sz w:val="16"/>
                <w:szCs w:val="16"/>
              </w:rPr>
            </w:r>
          </w:p>
        </w:tc>
        <w:tc>
          <w:tcPr>
            <w:tcW w:w="1071" w:type="dxa"/>
            <w:tcBorders>
              <w:top w:val="single" w:sz="12" w:space="0" w:color="000000"/>
              <w:left w:val="single" w:sz="11" w:space="0" w:color="000000"/>
              <w:bottom w:val="single" w:sz="6" w:space="0" w:color="000000"/>
              <w:right w:val="single" w:sz="12" w:space="0" w:color="000000"/>
            </w:tcBorders>
          </w:tcPr>
          <w:p>
            <w:pPr/>
          </w:p>
        </w:tc>
        <w:tc>
          <w:tcPr>
            <w:tcW w:w="688" w:type="dxa"/>
            <w:tcBorders>
              <w:top w:val="single" w:sz="12" w:space="0" w:color="000000"/>
              <w:left w:val="single" w:sz="12" w:space="0" w:color="000000"/>
              <w:bottom w:val="single" w:sz="6" w:space="0" w:color="000000"/>
              <w:right w:val="single" w:sz="5" w:space="0" w:color="000000"/>
            </w:tcBorders>
          </w:tcPr>
          <w:p>
            <w:pPr/>
          </w:p>
        </w:tc>
        <w:tc>
          <w:tcPr>
            <w:tcW w:w="1070" w:type="dxa"/>
            <w:tcBorders>
              <w:top w:val="single" w:sz="12" w:space="0" w:color="000000"/>
              <w:left w:val="single" w:sz="5" w:space="0" w:color="000000"/>
              <w:bottom w:val="single" w:sz="6" w:space="0" w:color="000000"/>
              <w:right w:val="single" w:sz="5" w:space="0" w:color="000000"/>
            </w:tcBorders>
          </w:tcPr>
          <w:p>
            <w:pPr/>
          </w:p>
        </w:tc>
        <w:tc>
          <w:tcPr>
            <w:tcW w:w="529" w:type="dxa"/>
            <w:tcBorders>
              <w:top w:val="single" w:sz="12" w:space="0" w:color="000000"/>
              <w:left w:val="single" w:sz="5" w:space="0" w:color="000000"/>
              <w:bottom w:val="single" w:sz="6" w:space="0" w:color="000000"/>
              <w:right w:val="single" w:sz="6" w:space="0" w:color="000000"/>
            </w:tcBorders>
          </w:tcPr>
          <w:p>
            <w:pPr/>
          </w:p>
        </w:tc>
        <w:tc>
          <w:tcPr>
            <w:tcW w:w="577" w:type="dxa"/>
            <w:tcBorders>
              <w:top w:val="single" w:sz="12" w:space="0" w:color="000000"/>
              <w:left w:val="single" w:sz="6" w:space="0" w:color="000000"/>
              <w:bottom w:val="single" w:sz="6" w:space="0" w:color="000000"/>
              <w:right w:val="single" w:sz="11" w:space="0" w:color="000000"/>
            </w:tcBorders>
          </w:tcPr>
          <w:p>
            <w:pPr/>
          </w:p>
        </w:tc>
        <w:tc>
          <w:tcPr>
            <w:tcW w:w="529" w:type="dxa"/>
            <w:tcBorders>
              <w:top w:val="single" w:sz="12" w:space="0" w:color="000000"/>
              <w:left w:val="single" w:sz="11" w:space="0" w:color="000000"/>
              <w:bottom w:val="single" w:sz="6" w:space="0" w:color="000000"/>
              <w:right w:val="single" w:sz="11" w:space="0" w:color="000000"/>
            </w:tcBorders>
          </w:tcPr>
          <w:p>
            <w:pPr/>
          </w:p>
        </w:tc>
        <w:tc>
          <w:tcPr>
            <w:tcW w:w="1070" w:type="dxa"/>
            <w:tcBorders>
              <w:top w:val="single" w:sz="12" w:space="0" w:color="000000"/>
              <w:left w:val="single" w:sz="11" w:space="0" w:color="000000"/>
              <w:bottom w:val="single" w:sz="6" w:space="0" w:color="000000"/>
              <w:right w:val="single" w:sz="11" w:space="0" w:color="000000"/>
            </w:tcBorders>
          </w:tcPr>
          <w:p>
            <w:pPr/>
          </w:p>
        </w:tc>
        <w:tc>
          <w:tcPr>
            <w:tcW w:w="1161" w:type="dxa"/>
            <w:tcBorders>
              <w:top w:val="single" w:sz="12" w:space="0" w:color="000000"/>
              <w:left w:val="single" w:sz="11" w:space="0" w:color="000000"/>
              <w:bottom w:val="single" w:sz="6" w:space="0" w:color="000000"/>
              <w:right w:val="single" w:sz="6" w:space="0" w:color="000000"/>
            </w:tcBorders>
          </w:tcPr>
          <w:p>
            <w:pPr>
              <w:pStyle w:val="TableParagraph"/>
              <w:spacing w:line="240" w:lineRule="auto" w:before="57"/>
              <w:ind w:right="183"/>
              <w:jc w:val="right"/>
              <w:rPr>
                <w:rFonts w:ascii="Times New Roman" w:hAnsi="Times New Roman" w:cs="Times New Roman" w:eastAsia="Times New Roman" w:hint="default"/>
                <w:sz w:val="15"/>
                <w:szCs w:val="15"/>
              </w:rPr>
            </w:pPr>
            <w:r>
              <w:rPr>
                <w:rFonts w:ascii="Times New Roman"/>
                <w:w w:val="100"/>
                <w:sz w:val="15"/>
              </w:rPr>
              <w:t>-</w:t>
            </w:r>
          </w:p>
        </w:tc>
        <w:tc>
          <w:tcPr>
            <w:tcW w:w="688" w:type="dxa"/>
            <w:tcBorders>
              <w:top w:val="single" w:sz="12" w:space="0" w:color="000000"/>
              <w:left w:val="single" w:sz="6" w:space="0" w:color="000000"/>
              <w:bottom w:val="single" w:sz="6" w:space="0" w:color="000000"/>
              <w:right w:val="single" w:sz="11" w:space="0" w:color="000000"/>
            </w:tcBorders>
          </w:tcPr>
          <w:p>
            <w:pPr/>
          </w:p>
        </w:tc>
      </w:tr>
      <w:tr>
        <w:trPr>
          <w:trHeight w:val="317" w:hRule="exact"/>
        </w:trPr>
        <w:tc>
          <w:tcPr>
            <w:tcW w:w="1953" w:type="dxa"/>
            <w:tcBorders>
              <w:top w:val="single" w:sz="6" w:space="0" w:color="000000"/>
              <w:left w:val="single" w:sz="6" w:space="0" w:color="000000"/>
              <w:bottom w:val="single" w:sz="6" w:space="0" w:color="000000"/>
              <w:right w:val="single" w:sz="11" w:space="0" w:color="000000"/>
            </w:tcBorders>
          </w:tcPr>
          <w:p>
            <w:pPr>
              <w:pStyle w:val="TableParagraph"/>
              <w:spacing w:line="240" w:lineRule="auto" w:before="32"/>
              <w:ind w:left="27" w:right="0"/>
              <w:jc w:val="left"/>
              <w:rPr>
                <w:rFonts w:ascii="宋体" w:hAnsi="宋体" w:cs="宋体" w:eastAsia="宋体" w:hint="default"/>
                <w:sz w:val="16"/>
                <w:szCs w:val="16"/>
              </w:rPr>
            </w:pPr>
            <w:r>
              <w:rPr>
                <w:rFonts w:ascii="宋体" w:hAnsi="宋体" w:cs="宋体" w:eastAsia="宋体" w:hint="default"/>
                <w:spacing w:val="-6"/>
                <w:w w:val="105"/>
                <w:sz w:val="16"/>
                <w:szCs w:val="16"/>
              </w:rPr>
              <w:t>3.境外上市的外资股</w:t>
            </w:r>
            <w:r>
              <w:rPr>
                <w:rFonts w:ascii="宋体" w:hAnsi="宋体" w:cs="宋体" w:eastAsia="宋体" w:hint="default"/>
                <w:spacing w:val="-6"/>
                <w:sz w:val="16"/>
                <w:szCs w:val="16"/>
              </w:rPr>
            </w:r>
          </w:p>
        </w:tc>
        <w:tc>
          <w:tcPr>
            <w:tcW w:w="1071" w:type="dxa"/>
            <w:tcBorders>
              <w:top w:val="single" w:sz="6" w:space="0" w:color="000000"/>
              <w:left w:val="single" w:sz="11" w:space="0" w:color="000000"/>
              <w:bottom w:val="single" w:sz="6" w:space="0" w:color="000000"/>
              <w:right w:val="single" w:sz="12" w:space="0" w:color="000000"/>
            </w:tcBorders>
          </w:tcPr>
          <w:p>
            <w:pPr/>
          </w:p>
        </w:tc>
        <w:tc>
          <w:tcPr>
            <w:tcW w:w="688" w:type="dxa"/>
            <w:tcBorders>
              <w:top w:val="single" w:sz="6" w:space="0" w:color="000000"/>
              <w:left w:val="single" w:sz="12" w:space="0" w:color="000000"/>
              <w:bottom w:val="single" w:sz="6" w:space="0" w:color="000000"/>
              <w:right w:val="single" w:sz="5" w:space="0" w:color="000000"/>
            </w:tcBorders>
          </w:tcPr>
          <w:p>
            <w:pPr/>
          </w:p>
        </w:tc>
        <w:tc>
          <w:tcPr>
            <w:tcW w:w="1070" w:type="dxa"/>
            <w:tcBorders>
              <w:top w:val="single" w:sz="6" w:space="0" w:color="000000"/>
              <w:left w:val="single" w:sz="5" w:space="0" w:color="000000"/>
              <w:bottom w:val="single" w:sz="6" w:space="0" w:color="000000"/>
              <w:right w:val="single" w:sz="5" w:space="0" w:color="000000"/>
            </w:tcBorders>
          </w:tcPr>
          <w:p>
            <w:pPr/>
          </w:p>
        </w:tc>
        <w:tc>
          <w:tcPr>
            <w:tcW w:w="529" w:type="dxa"/>
            <w:tcBorders>
              <w:top w:val="single" w:sz="6" w:space="0" w:color="000000"/>
              <w:left w:val="single" w:sz="5" w:space="0" w:color="000000"/>
              <w:bottom w:val="single" w:sz="6" w:space="0" w:color="000000"/>
              <w:right w:val="single" w:sz="6" w:space="0" w:color="000000"/>
            </w:tcBorders>
          </w:tcPr>
          <w:p>
            <w:pPr/>
          </w:p>
        </w:tc>
        <w:tc>
          <w:tcPr>
            <w:tcW w:w="577" w:type="dxa"/>
            <w:tcBorders>
              <w:top w:val="single" w:sz="6" w:space="0" w:color="000000"/>
              <w:left w:val="single" w:sz="6" w:space="0" w:color="000000"/>
              <w:bottom w:val="single" w:sz="6" w:space="0" w:color="000000"/>
              <w:right w:val="single" w:sz="11" w:space="0" w:color="000000"/>
            </w:tcBorders>
          </w:tcPr>
          <w:p>
            <w:pPr/>
          </w:p>
        </w:tc>
        <w:tc>
          <w:tcPr>
            <w:tcW w:w="529" w:type="dxa"/>
            <w:tcBorders>
              <w:top w:val="single" w:sz="6" w:space="0" w:color="000000"/>
              <w:left w:val="single" w:sz="11" w:space="0" w:color="000000"/>
              <w:bottom w:val="single" w:sz="6" w:space="0" w:color="000000"/>
              <w:right w:val="single" w:sz="11" w:space="0" w:color="000000"/>
            </w:tcBorders>
          </w:tcPr>
          <w:p>
            <w:pPr/>
          </w:p>
        </w:tc>
        <w:tc>
          <w:tcPr>
            <w:tcW w:w="1070" w:type="dxa"/>
            <w:tcBorders>
              <w:top w:val="single" w:sz="6" w:space="0" w:color="000000"/>
              <w:left w:val="single" w:sz="11" w:space="0" w:color="000000"/>
              <w:bottom w:val="single" w:sz="6" w:space="0" w:color="000000"/>
              <w:right w:val="single" w:sz="11" w:space="0" w:color="000000"/>
            </w:tcBorders>
          </w:tcPr>
          <w:p>
            <w:pPr/>
          </w:p>
        </w:tc>
        <w:tc>
          <w:tcPr>
            <w:tcW w:w="1161" w:type="dxa"/>
            <w:tcBorders>
              <w:top w:val="single" w:sz="6" w:space="0" w:color="000000"/>
              <w:left w:val="single" w:sz="11" w:space="0" w:color="000000"/>
              <w:bottom w:val="single" w:sz="6" w:space="0" w:color="000000"/>
              <w:right w:val="single" w:sz="6" w:space="0" w:color="000000"/>
            </w:tcBorders>
          </w:tcPr>
          <w:p>
            <w:pPr>
              <w:pStyle w:val="TableParagraph"/>
              <w:spacing w:line="240" w:lineRule="auto" w:before="56"/>
              <w:ind w:right="183"/>
              <w:jc w:val="right"/>
              <w:rPr>
                <w:rFonts w:ascii="Times New Roman" w:hAnsi="Times New Roman" w:cs="Times New Roman" w:eastAsia="Times New Roman" w:hint="default"/>
                <w:sz w:val="15"/>
                <w:szCs w:val="15"/>
              </w:rPr>
            </w:pPr>
            <w:r>
              <w:rPr>
                <w:rFonts w:ascii="Times New Roman"/>
                <w:w w:val="100"/>
                <w:sz w:val="15"/>
              </w:rPr>
              <w:t>-</w:t>
            </w:r>
          </w:p>
        </w:tc>
        <w:tc>
          <w:tcPr>
            <w:tcW w:w="688" w:type="dxa"/>
            <w:tcBorders>
              <w:top w:val="single" w:sz="6" w:space="0" w:color="000000"/>
              <w:left w:val="single" w:sz="6" w:space="0" w:color="000000"/>
              <w:bottom w:val="single" w:sz="6" w:space="0" w:color="000000"/>
              <w:right w:val="single" w:sz="11" w:space="0" w:color="000000"/>
            </w:tcBorders>
          </w:tcPr>
          <w:p>
            <w:pPr/>
          </w:p>
        </w:tc>
      </w:tr>
      <w:tr>
        <w:trPr>
          <w:trHeight w:val="309" w:hRule="exact"/>
        </w:trPr>
        <w:tc>
          <w:tcPr>
            <w:tcW w:w="1953" w:type="dxa"/>
            <w:tcBorders>
              <w:top w:val="single" w:sz="6" w:space="0" w:color="000000"/>
              <w:left w:val="single" w:sz="6" w:space="0" w:color="000000"/>
              <w:bottom w:val="single" w:sz="12" w:space="0" w:color="000000"/>
              <w:right w:val="single" w:sz="11" w:space="0" w:color="000000"/>
            </w:tcBorders>
          </w:tcPr>
          <w:p>
            <w:pPr>
              <w:pStyle w:val="TableParagraph"/>
              <w:spacing w:line="240" w:lineRule="auto" w:before="32"/>
              <w:ind w:left="27" w:right="0"/>
              <w:jc w:val="left"/>
              <w:rPr>
                <w:rFonts w:ascii="宋体" w:hAnsi="宋体" w:cs="宋体" w:eastAsia="宋体" w:hint="default"/>
                <w:sz w:val="16"/>
                <w:szCs w:val="16"/>
              </w:rPr>
            </w:pPr>
            <w:r>
              <w:rPr>
                <w:rFonts w:ascii="宋体" w:hAnsi="宋体" w:cs="宋体" w:eastAsia="宋体" w:hint="default"/>
                <w:spacing w:val="-4"/>
                <w:w w:val="105"/>
                <w:sz w:val="16"/>
                <w:szCs w:val="16"/>
              </w:rPr>
              <w:t>4.其他</w:t>
            </w:r>
            <w:r>
              <w:rPr>
                <w:rFonts w:ascii="宋体" w:hAnsi="宋体" w:cs="宋体" w:eastAsia="宋体" w:hint="default"/>
                <w:spacing w:val="-4"/>
                <w:sz w:val="16"/>
                <w:szCs w:val="16"/>
              </w:rPr>
            </w:r>
          </w:p>
        </w:tc>
        <w:tc>
          <w:tcPr>
            <w:tcW w:w="1071" w:type="dxa"/>
            <w:tcBorders>
              <w:top w:val="single" w:sz="6" w:space="0" w:color="000000"/>
              <w:left w:val="single" w:sz="11" w:space="0" w:color="000000"/>
              <w:bottom w:val="single" w:sz="12" w:space="0" w:color="000000"/>
              <w:right w:val="single" w:sz="12" w:space="0" w:color="000000"/>
            </w:tcBorders>
          </w:tcPr>
          <w:p>
            <w:pPr/>
          </w:p>
        </w:tc>
        <w:tc>
          <w:tcPr>
            <w:tcW w:w="688" w:type="dxa"/>
            <w:tcBorders>
              <w:top w:val="single" w:sz="6" w:space="0" w:color="000000"/>
              <w:left w:val="single" w:sz="12" w:space="0" w:color="000000"/>
              <w:bottom w:val="single" w:sz="12" w:space="0" w:color="000000"/>
              <w:right w:val="single" w:sz="5" w:space="0" w:color="000000"/>
            </w:tcBorders>
          </w:tcPr>
          <w:p>
            <w:pPr/>
          </w:p>
        </w:tc>
        <w:tc>
          <w:tcPr>
            <w:tcW w:w="1070" w:type="dxa"/>
            <w:tcBorders>
              <w:top w:val="single" w:sz="6" w:space="0" w:color="000000"/>
              <w:left w:val="single" w:sz="5" w:space="0" w:color="000000"/>
              <w:bottom w:val="single" w:sz="12" w:space="0" w:color="000000"/>
              <w:right w:val="single" w:sz="5" w:space="0" w:color="000000"/>
            </w:tcBorders>
          </w:tcPr>
          <w:p>
            <w:pPr/>
          </w:p>
        </w:tc>
        <w:tc>
          <w:tcPr>
            <w:tcW w:w="529" w:type="dxa"/>
            <w:tcBorders>
              <w:top w:val="single" w:sz="6" w:space="0" w:color="000000"/>
              <w:left w:val="single" w:sz="5" w:space="0" w:color="000000"/>
              <w:bottom w:val="single" w:sz="12" w:space="0" w:color="000000"/>
              <w:right w:val="single" w:sz="6" w:space="0" w:color="000000"/>
            </w:tcBorders>
          </w:tcPr>
          <w:p>
            <w:pPr/>
          </w:p>
        </w:tc>
        <w:tc>
          <w:tcPr>
            <w:tcW w:w="577" w:type="dxa"/>
            <w:tcBorders>
              <w:top w:val="single" w:sz="6" w:space="0" w:color="000000"/>
              <w:left w:val="single" w:sz="6" w:space="0" w:color="000000"/>
              <w:bottom w:val="single" w:sz="12" w:space="0" w:color="000000"/>
              <w:right w:val="single" w:sz="11" w:space="0" w:color="000000"/>
            </w:tcBorders>
          </w:tcPr>
          <w:p>
            <w:pPr/>
          </w:p>
        </w:tc>
        <w:tc>
          <w:tcPr>
            <w:tcW w:w="529" w:type="dxa"/>
            <w:tcBorders>
              <w:top w:val="single" w:sz="6" w:space="0" w:color="000000"/>
              <w:left w:val="single" w:sz="11" w:space="0" w:color="000000"/>
              <w:bottom w:val="single" w:sz="12" w:space="0" w:color="000000"/>
              <w:right w:val="single" w:sz="11" w:space="0" w:color="000000"/>
            </w:tcBorders>
          </w:tcPr>
          <w:p>
            <w:pPr/>
          </w:p>
        </w:tc>
        <w:tc>
          <w:tcPr>
            <w:tcW w:w="1070" w:type="dxa"/>
            <w:tcBorders>
              <w:top w:val="single" w:sz="6" w:space="0" w:color="000000"/>
              <w:left w:val="single" w:sz="11" w:space="0" w:color="000000"/>
              <w:bottom w:val="single" w:sz="12" w:space="0" w:color="000000"/>
              <w:right w:val="single" w:sz="11" w:space="0" w:color="000000"/>
            </w:tcBorders>
          </w:tcPr>
          <w:p>
            <w:pPr/>
          </w:p>
        </w:tc>
        <w:tc>
          <w:tcPr>
            <w:tcW w:w="1161" w:type="dxa"/>
            <w:tcBorders>
              <w:top w:val="single" w:sz="6" w:space="0" w:color="000000"/>
              <w:left w:val="single" w:sz="11" w:space="0" w:color="000000"/>
              <w:bottom w:val="single" w:sz="12" w:space="0" w:color="000000"/>
              <w:right w:val="single" w:sz="6" w:space="0" w:color="000000"/>
            </w:tcBorders>
          </w:tcPr>
          <w:p>
            <w:pPr>
              <w:pStyle w:val="TableParagraph"/>
              <w:spacing w:line="240" w:lineRule="auto" w:before="56"/>
              <w:ind w:right="183"/>
              <w:jc w:val="right"/>
              <w:rPr>
                <w:rFonts w:ascii="Times New Roman" w:hAnsi="Times New Roman" w:cs="Times New Roman" w:eastAsia="Times New Roman" w:hint="default"/>
                <w:sz w:val="15"/>
                <w:szCs w:val="15"/>
              </w:rPr>
            </w:pPr>
            <w:r>
              <w:rPr>
                <w:rFonts w:ascii="Times New Roman"/>
                <w:w w:val="100"/>
                <w:sz w:val="15"/>
              </w:rPr>
              <w:t>-</w:t>
            </w:r>
          </w:p>
        </w:tc>
        <w:tc>
          <w:tcPr>
            <w:tcW w:w="688" w:type="dxa"/>
            <w:tcBorders>
              <w:top w:val="single" w:sz="6" w:space="0" w:color="000000"/>
              <w:left w:val="single" w:sz="6" w:space="0" w:color="000000"/>
              <w:bottom w:val="single" w:sz="12" w:space="0" w:color="000000"/>
              <w:right w:val="single" w:sz="11" w:space="0" w:color="000000"/>
            </w:tcBorders>
          </w:tcPr>
          <w:p>
            <w:pPr/>
          </w:p>
        </w:tc>
      </w:tr>
      <w:tr>
        <w:trPr>
          <w:trHeight w:val="309" w:hRule="exact"/>
        </w:trPr>
        <w:tc>
          <w:tcPr>
            <w:tcW w:w="1953" w:type="dxa"/>
            <w:tcBorders>
              <w:top w:val="single" w:sz="12" w:space="0" w:color="000000"/>
              <w:left w:val="single" w:sz="6" w:space="0" w:color="000000"/>
              <w:bottom w:val="single" w:sz="6" w:space="0" w:color="000000"/>
              <w:right w:val="single" w:sz="11" w:space="0" w:color="000000"/>
            </w:tcBorders>
          </w:tcPr>
          <w:p>
            <w:pPr>
              <w:pStyle w:val="TableParagraph"/>
              <w:spacing w:line="240" w:lineRule="auto" w:before="16"/>
              <w:ind w:left="27" w:right="0"/>
              <w:jc w:val="left"/>
              <w:rPr>
                <w:rFonts w:ascii="宋体" w:hAnsi="宋体" w:cs="宋体" w:eastAsia="宋体" w:hint="default"/>
                <w:sz w:val="16"/>
                <w:szCs w:val="16"/>
              </w:rPr>
            </w:pPr>
            <w:r>
              <w:rPr>
                <w:rFonts w:ascii="宋体" w:hAnsi="宋体" w:cs="宋体" w:eastAsia="宋体" w:hint="default"/>
                <w:spacing w:val="-6"/>
                <w:w w:val="105"/>
                <w:sz w:val="16"/>
                <w:szCs w:val="16"/>
              </w:rPr>
              <w:t>无限售条件股份合计</w:t>
            </w:r>
            <w:r>
              <w:rPr>
                <w:rFonts w:ascii="宋体" w:hAnsi="宋体" w:cs="宋体" w:eastAsia="宋体" w:hint="default"/>
                <w:spacing w:val="-6"/>
                <w:sz w:val="16"/>
                <w:szCs w:val="16"/>
              </w:rPr>
            </w:r>
          </w:p>
        </w:tc>
        <w:tc>
          <w:tcPr>
            <w:tcW w:w="1071" w:type="dxa"/>
            <w:tcBorders>
              <w:top w:val="single" w:sz="12" w:space="0" w:color="000000"/>
              <w:left w:val="single" w:sz="11" w:space="0" w:color="000000"/>
              <w:bottom w:val="single" w:sz="6" w:space="0" w:color="000000"/>
              <w:right w:val="single" w:sz="12" w:space="0" w:color="000000"/>
            </w:tcBorders>
          </w:tcPr>
          <w:p>
            <w:pPr/>
          </w:p>
        </w:tc>
        <w:tc>
          <w:tcPr>
            <w:tcW w:w="688" w:type="dxa"/>
            <w:tcBorders>
              <w:top w:val="single" w:sz="12" w:space="0" w:color="000000"/>
              <w:left w:val="single" w:sz="12" w:space="0" w:color="000000"/>
              <w:bottom w:val="single" w:sz="6" w:space="0" w:color="000000"/>
              <w:right w:val="single" w:sz="5" w:space="0" w:color="000000"/>
            </w:tcBorders>
          </w:tcPr>
          <w:p>
            <w:pPr/>
          </w:p>
        </w:tc>
        <w:tc>
          <w:tcPr>
            <w:tcW w:w="1070" w:type="dxa"/>
            <w:tcBorders>
              <w:top w:val="single" w:sz="12" w:space="0" w:color="000000"/>
              <w:left w:val="single" w:sz="5" w:space="0" w:color="000000"/>
              <w:bottom w:val="single" w:sz="6" w:space="0" w:color="000000"/>
              <w:right w:val="single" w:sz="5" w:space="0" w:color="000000"/>
            </w:tcBorders>
          </w:tcPr>
          <w:p>
            <w:pPr/>
          </w:p>
        </w:tc>
        <w:tc>
          <w:tcPr>
            <w:tcW w:w="529" w:type="dxa"/>
            <w:tcBorders>
              <w:top w:val="single" w:sz="12" w:space="0" w:color="000000"/>
              <w:left w:val="single" w:sz="5" w:space="0" w:color="000000"/>
              <w:bottom w:val="single" w:sz="6" w:space="0" w:color="000000"/>
              <w:right w:val="single" w:sz="6" w:space="0" w:color="000000"/>
            </w:tcBorders>
          </w:tcPr>
          <w:p>
            <w:pPr/>
          </w:p>
        </w:tc>
        <w:tc>
          <w:tcPr>
            <w:tcW w:w="577" w:type="dxa"/>
            <w:tcBorders>
              <w:top w:val="single" w:sz="12" w:space="0" w:color="000000"/>
              <w:left w:val="single" w:sz="6" w:space="0" w:color="000000"/>
              <w:bottom w:val="single" w:sz="6" w:space="0" w:color="000000"/>
              <w:right w:val="single" w:sz="11" w:space="0" w:color="000000"/>
            </w:tcBorders>
          </w:tcPr>
          <w:p>
            <w:pPr/>
          </w:p>
        </w:tc>
        <w:tc>
          <w:tcPr>
            <w:tcW w:w="529" w:type="dxa"/>
            <w:tcBorders>
              <w:top w:val="single" w:sz="12" w:space="0" w:color="000000"/>
              <w:left w:val="single" w:sz="11" w:space="0" w:color="000000"/>
              <w:bottom w:val="single" w:sz="6" w:space="0" w:color="000000"/>
              <w:right w:val="single" w:sz="11" w:space="0" w:color="000000"/>
            </w:tcBorders>
          </w:tcPr>
          <w:p>
            <w:pPr/>
          </w:p>
        </w:tc>
        <w:tc>
          <w:tcPr>
            <w:tcW w:w="1070" w:type="dxa"/>
            <w:tcBorders>
              <w:top w:val="single" w:sz="12" w:space="0" w:color="000000"/>
              <w:left w:val="single" w:sz="11" w:space="0" w:color="000000"/>
              <w:bottom w:val="single" w:sz="6" w:space="0" w:color="000000"/>
              <w:right w:val="single" w:sz="11" w:space="0" w:color="000000"/>
            </w:tcBorders>
          </w:tcPr>
          <w:p>
            <w:pPr>
              <w:pStyle w:val="TableParagraph"/>
              <w:spacing w:line="240" w:lineRule="auto" w:before="56"/>
              <w:ind w:right="33"/>
              <w:jc w:val="right"/>
              <w:rPr>
                <w:rFonts w:ascii="Times New Roman" w:hAnsi="Times New Roman" w:cs="Times New Roman" w:eastAsia="Times New Roman" w:hint="default"/>
                <w:sz w:val="15"/>
                <w:szCs w:val="15"/>
              </w:rPr>
            </w:pPr>
            <w:r>
              <w:rPr>
                <w:rFonts w:ascii="Times New Roman"/>
                <w:spacing w:val="-6"/>
                <w:sz w:val="15"/>
              </w:rPr>
              <w:t>28,000,000.00</w:t>
            </w:r>
          </w:p>
        </w:tc>
        <w:tc>
          <w:tcPr>
            <w:tcW w:w="1161" w:type="dxa"/>
            <w:tcBorders>
              <w:top w:val="single" w:sz="12" w:space="0" w:color="000000"/>
              <w:left w:val="single" w:sz="11" w:space="0" w:color="000000"/>
              <w:bottom w:val="single" w:sz="6" w:space="0" w:color="000000"/>
              <w:right w:val="single" w:sz="6" w:space="0" w:color="000000"/>
            </w:tcBorders>
          </w:tcPr>
          <w:p>
            <w:pPr>
              <w:pStyle w:val="TableParagraph"/>
              <w:spacing w:line="240" w:lineRule="auto" w:before="56"/>
              <w:ind w:right="52"/>
              <w:jc w:val="right"/>
              <w:rPr>
                <w:rFonts w:ascii="Times New Roman" w:hAnsi="Times New Roman" w:cs="Times New Roman" w:eastAsia="Times New Roman" w:hint="default"/>
                <w:sz w:val="15"/>
                <w:szCs w:val="15"/>
              </w:rPr>
            </w:pPr>
            <w:r>
              <w:rPr>
                <w:rFonts w:ascii="Times New Roman"/>
                <w:spacing w:val="-7"/>
                <w:sz w:val="15"/>
              </w:rPr>
              <w:t>28,000,000.00</w:t>
            </w:r>
            <w:r>
              <w:rPr>
                <w:rFonts w:ascii="Times New Roman"/>
                <w:sz w:val="15"/>
              </w:rPr>
            </w:r>
          </w:p>
        </w:tc>
        <w:tc>
          <w:tcPr>
            <w:tcW w:w="688" w:type="dxa"/>
            <w:tcBorders>
              <w:top w:val="single" w:sz="12" w:space="0" w:color="000000"/>
              <w:left w:val="single" w:sz="6" w:space="0" w:color="000000"/>
              <w:bottom w:val="single" w:sz="6" w:space="0" w:color="000000"/>
              <w:right w:val="single" w:sz="11" w:space="0" w:color="000000"/>
            </w:tcBorders>
          </w:tcPr>
          <w:p>
            <w:pPr>
              <w:pStyle w:val="TableParagraph"/>
              <w:spacing w:line="240" w:lineRule="auto" w:before="56"/>
              <w:ind w:left="236" w:right="0"/>
              <w:jc w:val="left"/>
              <w:rPr>
                <w:rFonts w:ascii="Times New Roman" w:hAnsi="Times New Roman" w:cs="Times New Roman" w:eastAsia="Times New Roman" w:hint="default"/>
                <w:sz w:val="15"/>
                <w:szCs w:val="15"/>
              </w:rPr>
            </w:pPr>
            <w:r>
              <w:rPr>
                <w:rFonts w:ascii="Times New Roman"/>
                <w:spacing w:val="-7"/>
                <w:sz w:val="15"/>
              </w:rPr>
              <w:t>25.45%</w:t>
            </w:r>
            <w:r>
              <w:rPr>
                <w:rFonts w:ascii="Times New Roman"/>
                <w:sz w:val="15"/>
              </w:rPr>
            </w:r>
          </w:p>
        </w:tc>
      </w:tr>
      <w:tr>
        <w:trPr>
          <w:trHeight w:val="317" w:hRule="exact"/>
        </w:trPr>
        <w:tc>
          <w:tcPr>
            <w:tcW w:w="1953" w:type="dxa"/>
            <w:tcBorders>
              <w:top w:val="single" w:sz="6" w:space="0" w:color="000000"/>
              <w:left w:val="single" w:sz="6" w:space="0" w:color="000000"/>
              <w:bottom w:val="single" w:sz="6" w:space="0" w:color="000000"/>
              <w:right w:val="single" w:sz="11" w:space="0" w:color="000000"/>
            </w:tcBorders>
          </w:tcPr>
          <w:p>
            <w:pPr>
              <w:pStyle w:val="TableParagraph"/>
              <w:spacing w:line="240" w:lineRule="auto" w:before="32"/>
              <w:ind w:left="27" w:right="0"/>
              <w:jc w:val="left"/>
              <w:rPr>
                <w:rFonts w:ascii="宋体" w:hAnsi="宋体" w:cs="宋体" w:eastAsia="宋体" w:hint="default"/>
                <w:sz w:val="16"/>
                <w:szCs w:val="16"/>
              </w:rPr>
            </w:pPr>
            <w:r>
              <w:rPr>
                <w:rFonts w:ascii="宋体" w:hAnsi="宋体" w:cs="宋体" w:eastAsia="宋体" w:hint="default"/>
                <w:spacing w:val="-10"/>
                <w:w w:val="105"/>
                <w:sz w:val="16"/>
                <w:szCs w:val="16"/>
              </w:rPr>
              <w:t>三、股份总数</w:t>
            </w:r>
            <w:r>
              <w:rPr>
                <w:rFonts w:ascii="宋体" w:hAnsi="宋体" w:cs="宋体" w:eastAsia="宋体" w:hint="default"/>
                <w:sz w:val="16"/>
                <w:szCs w:val="16"/>
              </w:rPr>
            </w:r>
          </w:p>
        </w:tc>
        <w:tc>
          <w:tcPr>
            <w:tcW w:w="1071" w:type="dxa"/>
            <w:tcBorders>
              <w:top w:val="single" w:sz="6" w:space="0" w:color="000000"/>
              <w:left w:val="single" w:sz="11" w:space="0" w:color="000000"/>
              <w:bottom w:val="single" w:sz="6" w:space="0" w:color="000000"/>
              <w:right w:val="single" w:sz="12" w:space="0" w:color="000000"/>
            </w:tcBorders>
          </w:tcPr>
          <w:p>
            <w:pPr>
              <w:pStyle w:val="TableParagraph"/>
              <w:spacing w:line="240" w:lineRule="auto" w:before="56"/>
              <w:ind w:right="38"/>
              <w:jc w:val="right"/>
              <w:rPr>
                <w:rFonts w:ascii="Times New Roman" w:hAnsi="Times New Roman" w:cs="Times New Roman" w:eastAsia="Times New Roman" w:hint="default"/>
                <w:sz w:val="15"/>
                <w:szCs w:val="15"/>
              </w:rPr>
            </w:pPr>
            <w:r>
              <w:rPr>
                <w:rFonts w:ascii="Times New Roman"/>
                <w:spacing w:val="-7"/>
                <w:sz w:val="15"/>
              </w:rPr>
              <w:t>82,000,000.00</w:t>
            </w:r>
            <w:r>
              <w:rPr>
                <w:rFonts w:ascii="Times New Roman"/>
                <w:sz w:val="15"/>
              </w:rPr>
            </w:r>
          </w:p>
        </w:tc>
        <w:tc>
          <w:tcPr>
            <w:tcW w:w="688" w:type="dxa"/>
            <w:tcBorders>
              <w:top w:val="single" w:sz="6" w:space="0" w:color="000000"/>
              <w:left w:val="single" w:sz="12" w:space="0" w:color="000000"/>
              <w:bottom w:val="single" w:sz="6" w:space="0" w:color="000000"/>
              <w:right w:val="single" w:sz="5" w:space="0" w:color="000000"/>
            </w:tcBorders>
          </w:tcPr>
          <w:p>
            <w:pPr>
              <w:pStyle w:val="TableParagraph"/>
              <w:spacing w:line="240" w:lineRule="auto" w:before="56"/>
              <w:ind w:left="167" w:right="0"/>
              <w:jc w:val="left"/>
              <w:rPr>
                <w:rFonts w:ascii="Times New Roman" w:hAnsi="Times New Roman" w:cs="Times New Roman" w:eastAsia="Times New Roman" w:hint="default"/>
                <w:sz w:val="15"/>
                <w:szCs w:val="15"/>
              </w:rPr>
            </w:pPr>
            <w:r>
              <w:rPr>
                <w:rFonts w:ascii="Times New Roman"/>
                <w:spacing w:val="-7"/>
                <w:sz w:val="15"/>
              </w:rPr>
              <w:t>100.00%</w:t>
            </w:r>
          </w:p>
        </w:tc>
        <w:tc>
          <w:tcPr>
            <w:tcW w:w="1070" w:type="dxa"/>
            <w:tcBorders>
              <w:top w:val="single" w:sz="6" w:space="0" w:color="000000"/>
              <w:left w:val="single" w:sz="5" w:space="0" w:color="000000"/>
              <w:bottom w:val="single" w:sz="6" w:space="0" w:color="000000"/>
              <w:right w:val="single" w:sz="5" w:space="0" w:color="000000"/>
            </w:tcBorders>
          </w:tcPr>
          <w:p>
            <w:pPr/>
          </w:p>
        </w:tc>
        <w:tc>
          <w:tcPr>
            <w:tcW w:w="529" w:type="dxa"/>
            <w:tcBorders>
              <w:top w:val="single" w:sz="6" w:space="0" w:color="000000"/>
              <w:left w:val="single" w:sz="5" w:space="0" w:color="000000"/>
              <w:bottom w:val="single" w:sz="6" w:space="0" w:color="000000"/>
              <w:right w:val="single" w:sz="6" w:space="0" w:color="000000"/>
            </w:tcBorders>
          </w:tcPr>
          <w:p>
            <w:pPr/>
          </w:p>
        </w:tc>
        <w:tc>
          <w:tcPr>
            <w:tcW w:w="577" w:type="dxa"/>
            <w:tcBorders>
              <w:top w:val="single" w:sz="6" w:space="0" w:color="000000"/>
              <w:left w:val="single" w:sz="6" w:space="0" w:color="000000"/>
              <w:bottom w:val="single" w:sz="6" w:space="0" w:color="000000"/>
              <w:right w:val="single" w:sz="11" w:space="0" w:color="000000"/>
            </w:tcBorders>
          </w:tcPr>
          <w:p>
            <w:pPr/>
          </w:p>
        </w:tc>
        <w:tc>
          <w:tcPr>
            <w:tcW w:w="529" w:type="dxa"/>
            <w:tcBorders>
              <w:top w:val="single" w:sz="6" w:space="0" w:color="000000"/>
              <w:left w:val="single" w:sz="11" w:space="0" w:color="000000"/>
              <w:bottom w:val="single" w:sz="6" w:space="0" w:color="000000"/>
              <w:right w:val="single" w:sz="11" w:space="0" w:color="000000"/>
            </w:tcBorders>
          </w:tcPr>
          <w:p>
            <w:pPr/>
          </w:p>
        </w:tc>
        <w:tc>
          <w:tcPr>
            <w:tcW w:w="1070" w:type="dxa"/>
            <w:tcBorders>
              <w:top w:val="single" w:sz="6" w:space="0" w:color="000000"/>
              <w:left w:val="single" w:sz="11" w:space="0" w:color="000000"/>
              <w:bottom w:val="single" w:sz="6" w:space="0" w:color="000000"/>
              <w:right w:val="single" w:sz="11" w:space="0" w:color="000000"/>
            </w:tcBorders>
          </w:tcPr>
          <w:p>
            <w:pPr>
              <w:pStyle w:val="TableParagraph"/>
              <w:spacing w:line="240" w:lineRule="auto" w:before="56"/>
              <w:ind w:right="33"/>
              <w:jc w:val="right"/>
              <w:rPr>
                <w:rFonts w:ascii="Times New Roman" w:hAnsi="Times New Roman" w:cs="Times New Roman" w:eastAsia="Times New Roman" w:hint="default"/>
                <w:sz w:val="15"/>
                <w:szCs w:val="15"/>
              </w:rPr>
            </w:pPr>
            <w:r>
              <w:rPr>
                <w:rFonts w:ascii="Times New Roman"/>
                <w:spacing w:val="-6"/>
                <w:sz w:val="15"/>
              </w:rPr>
              <w:t>28,000,000.00</w:t>
            </w:r>
          </w:p>
        </w:tc>
        <w:tc>
          <w:tcPr>
            <w:tcW w:w="1161" w:type="dxa"/>
            <w:tcBorders>
              <w:top w:val="single" w:sz="6" w:space="0" w:color="000000"/>
              <w:left w:val="single" w:sz="11" w:space="0" w:color="000000"/>
              <w:bottom w:val="single" w:sz="6" w:space="0" w:color="000000"/>
              <w:right w:val="single" w:sz="6" w:space="0" w:color="000000"/>
            </w:tcBorders>
          </w:tcPr>
          <w:p>
            <w:pPr>
              <w:pStyle w:val="TableParagraph"/>
              <w:spacing w:line="240" w:lineRule="auto" w:before="56"/>
              <w:ind w:right="52"/>
              <w:jc w:val="right"/>
              <w:rPr>
                <w:rFonts w:ascii="Times New Roman" w:hAnsi="Times New Roman" w:cs="Times New Roman" w:eastAsia="Times New Roman" w:hint="default"/>
                <w:sz w:val="15"/>
                <w:szCs w:val="15"/>
              </w:rPr>
            </w:pPr>
            <w:r>
              <w:rPr>
                <w:rFonts w:ascii="Times New Roman"/>
                <w:spacing w:val="-7"/>
                <w:sz w:val="15"/>
              </w:rPr>
              <w:t>110,000,000.00</w:t>
            </w:r>
            <w:r>
              <w:rPr>
                <w:rFonts w:ascii="Times New Roman"/>
                <w:sz w:val="15"/>
              </w:rPr>
            </w:r>
          </w:p>
        </w:tc>
        <w:tc>
          <w:tcPr>
            <w:tcW w:w="688" w:type="dxa"/>
            <w:tcBorders>
              <w:top w:val="single" w:sz="6" w:space="0" w:color="000000"/>
              <w:left w:val="single" w:sz="6" w:space="0" w:color="000000"/>
              <w:bottom w:val="single" w:sz="6" w:space="0" w:color="000000"/>
              <w:right w:val="single" w:sz="11" w:space="0" w:color="000000"/>
            </w:tcBorders>
          </w:tcPr>
          <w:p>
            <w:pPr>
              <w:pStyle w:val="TableParagraph"/>
              <w:spacing w:line="240" w:lineRule="auto" w:before="56"/>
              <w:ind w:left="167" w:right="0"/>
              <w:jc w:val="left"/>
              <w:rPr>
                <w:rFonts w:ascii="Times New Roman" w:hAnsi="Times New Roman" w:cs="Times New Roman" w:eastAsia="Times New Roman" w:hint="default"/>
                <w:sz w:val="15"/>
                <w:szCs w:val="15"/>
              </w:rPr>
            </w:pPr>
            <w:r>
              <w:rPr>
                <w:rFonts w:ascii="Times New Roman"/>
                <w:spacing w:val="-7"/>
                <w:sz w:val="15"/>
              </w:rPr>
              <w:t>100.00%</w:t>
            </w:r>
            <w:r>
              <w:rPr>
                <w:rFonts w:ascii="Times New Roman"/>
                <w:sz w:val="15"/>
              </w:rPr>
            </w:r>
          </w:p>
        </w:tc>
      </w:tr>
    </w:tbl>
    <w:p>
      <w:pPr>
        <w:spacing w:after="0" w:line="240" w:lineRule="auto"/>
        <w:jc w:val="left"/>
        <w:rPr>
          <w:rFonts w:ascii="Times New Roman" w:hAnsi="Times New Roman" w:cs="Times New Roman" w:eastAsia="Times New Roman" w:hint="default"/>
          <w:sz w:val="15"/>
          <w:szCs w:val="15"/>
        </w:rPr>
        <w:sectPr>
          <w:pgSz w:w="11910" w:h="16840"/>
          <w:pgMar w:header="915" w:footer="1712" w:top="1100" w:bottom="1900" w:left="1660" w:right="620"/>
        </w:sectPr>
      </w:pPr>
    </w:p>
    <w:p>
      <w:pPr>
        <w:pStyle w:val="BodyText"/>
        <w:spacing w:line="240" w:lineRule="auto" w:before="71"/>
        <w:ind w:left="617" w:right="388"/>
        <w:jc w:val="left"/>
      </w:pPr>
      <w:r>
        <w:rPr/>
        <w:t>2007 年 1 月 30 日经中国证券监督管理委员会证监发行字[2007]24</w:t>
      </w:r>
      <w:r>
        <w:rPr>
          <w:spacing w:val="4"/>
        </w:rPr>
        <w:t> </w:t>
      </w:r>
      <w:r>
        <w:rPr/>
        <w:t>号文</w:t>
      </w:r>
    </w:p>
    <w:p>
      <w:pPr>
        <w:pStyle w:val="BodyText"/>
        <w:spacing w:line="240" w:lineRule="auto" w:before="126"/>
        <w:ind w:right="388"/>
        <w:jc w:val="left"/>
      </w:pPr>
      <w:r>
        <w:rPr/>
        <w:t>核准，本公司于</w:t>
      </w:r>
      <w:r>
        <w:rPr>
          <w:spacing w:val="-53"/>
        </w:rPr>
        <w:t> </w:t>
      </w:r>
      <w:r>
        <w:rPr/>
        <w:t>2007</w:t>
      </w:r>
      <w:r>
        <w:rPr>
          <w:spacing w:val="-1"/>
        </w:rPr>
        <w:t> </w:t>
      </w:r>
      <w:r>
        <w:rPr/>
        <w:t>年</w:t>
      </w:r>
      <w:r>
        <w:rPr>
          <w:spacing w:val="-53"/>
        </w:rPr>
        <w:t> </w:t>
      </w:r>
      <w:r>
        <w:rPr/>
        <w:t>2</w:t>
      </w:r>
      <w:r>
        <w:rPr>
          <w:spacing w:val="-1"/>
        </w:rPr>
        <w:t> </w:t>
      </w:r>
      <w:r>
        <w:rPr/>
        <w:t>月</w:t>
      </w:r>
      <w:r>
        <w:rPr>
          <w:spacing w:val="-53"/>
        </w:rPr>
        <w:t> </w:t>
      </w:r>
      <w:r>
        <w:rPr/>
        <w:t>8</w:t>
      </w:r>
      <w:r>
        <w:rPr>
          <w:spacing w:val="-1"/>
        </w:rPr>
        <w:t> </w:t>
      </w:r>
      <w:r>
        <w:rPr/>
        <w:t>日向社会发行人民币普通股股票</w:t>
      </w:r>
      <w:r>
        <w:rPr>
          <w:spacing w:val="-53"/>
        </w:rPr>
        <w:t> </w:t>
      </w:r>
      <w:r>
        <w:rPr/>
        <w:t>2,800</w:t>
      </w:r>
      <w:r>
        <w:rPr>
          <w:spacing w:val="-1"/>
        </w:rPr>
        <w:t> </w:t>
      </w:r>
      <w:r>
        <w:rPr/>
        <w:t>万股。</w:t>
      </w:r>
    </w:p>
    <w:p>
      <w:pPr>
        <w:pStyle w:val="BodyText"/>
        <w:spacing w:line="240" w:lineRule="auto" w:before="125"/>
        <w:ind w:right="388"/>
        <w:jc w:val="left"/>
      </w:pPr>
      <w:r>
        <w:rPr/>
        <w:t>中瑞华恒信会计师事务所有限公司出具了中瑞华恒信验字（2007）第</w:t>
      </w:r>
      <w:r>
        <w:rPr>
          <w:spacing w:val="-71"/>
        </w:rPr>
        <w:t> </w:t>
      </w:r>
      <w:r>
        <w:rPr/>
        <w:t>2011</w:t>
      </w:r>
      <w:r>
        <w:rPr>
          <w:spacing w:val="-20"/>
        </w:rPr>
        <w:t> </w:t>
      </w:r>
      <w:r>
        <w:rPr/>
        <w:t>号的</w:t>
      </w:r>
    </w:p>
    <w:p>
      <w:pPr>
        <w:pStyle w:val="BodyText"/>
        <w:spacing w:line="240" w:lineRule="auto" w:before="126"/>
        <w:ind w:right="388"/>
        <w:jc w:val="left"/>
      </w:pPr>
      <w:r>
        <w:rPr/>
        <w:t>验资报告，确认已收到社会公众认缴的投入资金为</w:t>
      </w:r>
      <w:r>
        <w:rPr>
          <w:spacing w:val="-57"/>
        </w:rPr>
        <w:t> </w:t>
      </w:r>
      <w:r>
        <w:rPr/>
        <w:t>276,524,800.00</w:t>
      </w:r>
      <w:r>
        <w:rPr>
          <w:spacing w:val="-56"/>
        </w:rPr>
        <w:t> </w:t>
      </w:r>
      <w:r>
        <w:rPr/>
        <w:t>元，社会公</w:t>
      </w:r>
    </w:p>
    <w:p>
      <w:pPr>
        <w:pStyle w:val="BodyText"/>
        <w:spacing w:line="240" w:lineRule="auto" w:before="126"/>
        <w:ind w:right="388"/>
        <w:jc w:val="left"/>
      </w:pPr>
      <w:r>
        <w:rPr>
          <w:spacing w:val="-3"/>
        </w:rPr>
        <w:t>众股均以货币资金出资。截至</w:t>
      </w:r>
      <w:r>
        <w:rPr>
          <w:spacing w:val="-56"/>
        </w:rPr>
        <w:t> </w:t>
      </w:r>
      <w:r>
        <w:rPr/>
        <w:t>2007</w:t>
      </w:r>
      <w:r>
        <w:rPr>
          <w:spacing w:val="10"/>
        </w:rPr>
        <w:t> </w:t>
      </w:r>
      <w:r>
        <w:rPr/>
        <w:t>年</w:t>
      </w:r>
      <w:r>
        <w:rPr>
          <w:spacing w:val="-56"/>
        </w:rPr>
        <w:t> </w:t>
      </w:r>
      <w:r>
        <w:rPr/>
        <w:t>2</w:t>
      </w:r>
      <w:r>
        <w:rPr>
          <w:spacing w:val="10"/>
        </w:rPr>
        <w:t> </w:t>
      </w:r>
      <w:r>
        <w:rPr/>
        <w:t>月</w:t>
      </w:r>
      <w:r>
        <w:rPr>
          <w:spacing w:val="-56"/>
        </w:rPr>
        <w:t> </w:t>
      </w:r>
      <w:r>
        <w:rPr/>
        <w:t>14</w:t>
      </w:r>
      <w:r>
        <w:rPr>
          <w:spacing w:val="10"/>
        </w:rPr>
        <w:t> </w:t>
      </w:r>
      <w:r>
        <w:rPr>
          <w:spacing w:val="-3"/>
        </w:rPr>
        <w:t>日止，变更后的累计注册资本金</w:t>
      </w:r>
      <w:r>
        <w:rPr/>
      </w:r>
    </w:p>
    <w:p>
      <w:pPr>
        <w:pStyle w:val="BodyText"/>
        <w:spacing w:line="278" w:lineRule="auto" w:before="125"/>
        <w:ind w:left="620" w:right="1822" w:hanging="483"/>
        <w:jc w:val="left"/>
        <w:rPr>
          <w:rFonts w:ascii="Microsoft JhengHei" w:hAnsi="Microsoft JhengHei" w:cs="Microsoft JhengHei" w:eastAsia="Microsoft JhengHei" w:hint="default"/>
        </w:rPr>
      </w:pPr>
      <w:r>
        <w:rPr/>
        <w:pict>
          <v:shape style="position:absolute;margin-left:90.360001pt;margin-top:46.328434pt;width:447.8pt;height:70.25pt;mso-position-horizontal-relative:page;mso-position-vertical-relative:paragraph;z-index:7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16"/>
                    <w:gridCol w:w="1246"/>
                    <w:gridCol w:w="148"/>
                    <w:gridCol w:w="6246"/>
                  </w:tblGrid>
                  <w:tr>
                    <w:trPr>
                      <w:trHeight w:val="353" w:hRule="exact"/>
                    </w:trPr>
                    <w:tc>
                      <w:tcPr>
                        <w:tcW w:w="1316"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128"/>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246"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72"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148" w:type="dxa"/>
                        <w:tcBorders>
                          <w:top w:val="nil" w:sz="6" w:space="0" w:color="auto"/>
                          <w:left w:val="nil" w:sz="6" w:space="0" w:color="auto"/>
                          <w:bottom w:val="nil" w:sz="6" w:space="0" w:color="auto"/>
                          <w:right w:val="nil" w:sz="6" w:space="0" w:color="auto"/>
                        </w:tcBorders>
                      </w:tcPr>
                      <w:p>
                        <w:pPr/>
                      </w:p>
                    </w:tc>
                    <w:tc>
                      <w:tcPr>
                        <w:tcW w:w="6246" w:type="dxa"/>
                        <w:tcBorders>
                          <w:top w:val="nil" w:sz="6" w:space="0" w:color="auto"/>
                          <w:left w:val="nil" w:sz="6" w:space="0" w:color="auto"/>
                          <w:bottom w:val="single" w:sz="8" w:space="0" w:color="000000"/>
                          <w:right w:val="nil" w:sz="6" w:space="0" w:color="auto"/>
                        </w:tcBorders>
                      </w:tcPr>
                      <w:p>
                        <w:pPr>
                          <w:pStyle w:val="TableParagraph"/>
                          <w:tabs>
                            <w:tab w:pos="1934" w:val="left" w:leader="none"/>
                            <w:tab w:pos="3522" w:val="left" w:leader="none"/>
                            <w:tab w:pos="5209" w:val="left" w:leader="none"/>
                          </w:tabs>
                          <w:spacing w:line="240" w:lineRule="auto" w:before="37"/>
                          <w:ind w:left="447" w:right="0"/>
                          <w:jc w:val="left"/>
                          <w:rPr>
                            <w:rFonts w:ascii="宋体" w:hAnsi="宋体" w:cs="宋体" w:eastAsia="宋体" w:hint="default"/>
                            <w:sz w:val="20"/>
                            <w:szCs w:val="20"/>
                          </w:rPr>
                        </w:pPr>
                        <w:r>
                          <w:rPr>
                            <w:rFonts w:ascii="宋体" w:hAnsi="宋体" w:cs="宋体" w:eastAsia="宋体" w:hint="default"/>
                            <w:w w:val="95"/>
                            <w:sz w:val="20"/>
                            <w:szCs w:val="20"/>
                          </w:rPr>
                          <w:t>年初数</w:t>
                          <w:tab/>
                        </w:r>
                        <w:r>
                          <w:rPr>
                            <w:rFonts w:ascii="宋体" w:hAnsi="宋体" w:cs="宋体" w:eastAsia="宋体" w:hint="default"/>
                            <w:sz w:val="20"/>
                            <w:szCs w:val="20"/>
                          </w:rPr>
                          <w:t>本年增加</w:t>
                          <w:tab/>
                        </w:r>
                        <w:r>
                          <w:rPr>
                            <w:rFonts w:ascii="宋体" w:hAnsi="宋体" w:cs="宋体" w:eastAsia="宋体" w:hint="default"/>
                            <w:w w:val="95"/>
                            <w:sz w:val="20"/>
                            <w:szCs w:val="20"/>
                          </w:rPr>
                          <w:t>本年减少</w:t>
                          <w:tab/>
                        </w:r>
                        <w:r>
                          <w:rPr>
                            <w:rFonts w:ascii="宋体" w:hAnsi="宋体" w:cs="宋体" w:eastAsia="宋体" w:hint="default"/>
                            <w:sz w:val="20"/>
                            <w:szCs w:val="20"/>
                          </w:rPr>
                          <w:t>年末数</w:t>
                        </w:r>
                      </w:p>
                    </w:tc>
                  </w:tr>
                  <w:tr>
                    <w:trPr>
                      <w:trHeight w:val="349" w:hRule="exact"/>
                    </w:trPr>
                    <w:tc>
                      <w:tcPr>
                        <w:tcW w:w="1316"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0"/>
                            <w:szCs w:val="20"/>
                          </w:rPr>
                        </w:pPr>
                        <w:r>
                          <w:rPr>
                            <w:rFonts w:ascii="宋体" w:hAnsi="宋体" w:cs="宋体" w:eastAsia="宋体" w:hint="default"/>
                            <w:sz w:val="20"/>
                            <w:szCs w:val="20"/>
                          </w:rPr>
                          <w:t>资本溢价</w:t>
                        </w:r>
                      </w:p>
                    </w:tc>
                    <w:tc>
                      <w:tcPr>
                        <w:tcW w:w="1246" w:type="dxa"/>
                        <w:tcBorders>
                          <w:top w:val="single" w:sz="8" w:space="0" w:color="000000"/>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6246" w:type="dxa"/>
                        <w:tcBorders>
                          <w:top w:val="single" w:sz="8" w:space="0" w:color="000000"/>
                          <w:left w:val="nil" w:sz="6" w:space="0" w:color="auto"/>
                          <w:bottom w:val="nil" w:sz="6" w:space="0" w:color="auto"/>
                          <w:right w:val="nil" w:sz="6" w:space="0" w:color="auto"/>
                        </w:tcBorders>
                      </w:tcPr>
                      <w:p>
                        <w:pPr>
                          <w:pStyle w:val="TableParagraph"/>
                          <w:tabs>
                            <w:tab w:pos="596" w:val="left" w:leader="none"/>
                            <w:tab w:pos="3173" w:val="left" w:leader="none"/>
                            <w:tab w:pos="3770" w:val="left" w:leader="none"/>
                          </w:tabs>
                          <w:spacing w:line="240" w:lineRule="auto" w:before="41"/>
                          <w:ind w:right="89"/>
                          <w:jc w:val="right"/>
                          <w:rPr>
                            <w:rFonts w:ascii="Times New Roman" w:hAnsi="Times New Roman" w:cs="Times New Roman" w:eastAsia="Times New Roman" w:hint="default"/>
                            <w:sz w:val="20"/>
                            <w:szCs w:val="20"/>
                          </w:rPr>
                        </w:pPr>
                        <w:r>
                          <w:rPr>
                            <w:rFonts w:ascii="Times New Roman"/>
                            <w:w w:val="95"/>
                            <w:sz w:val="20"/>
                          </w:rPr>
                          <w:t>-</w:t>
                          <w:tab/>
                          <w:t>246,480,855.55</w:t>
                          <w:tab/>
                          <w:t>-</w:t>
                          <w:tab/>
                          <w:t>246,480,855.55</w:t>
                        </w:r>
                        <w:r>
                          <w:rPr>
                            <w:rFonts w:ascii="Times New Roman"/>
                            <w:sz w:val="20"/>
                          </w:rPr>
                        </w:r>
                      </w:p>
                    </w:tc>
                  </w:tr>
                  <w:tr>
                    <w:trPr>
                      <w:trHeight w:val="326"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
                          <w:ind w:left="36" w:right="0"/>
                          <w:jc w:val="left"/>
                          <w:rPr>
                            <w:rFonts w:ascii="宋体" w:hAnsi="宋体" w:cs="宋体" w:eastAsia="宋体" w:hint="default"/>
                            <w:sz w:val="20"/>
                            <w:szCs w:val="20"/>
                          </w:rPr>
                        </w:pPr>
                        <w:r>
                          <w:rPr>
                            <w:rFonts w:ascii="宋体" w:hAnsi="宋体" w:cs="宋体" w:eastAsia="宋体" w:hint="default"/>
                            <w:sz w:val="20"/>
                            <w:szCs w:val="20"/>
                          </w:rPr>
                          <w:t>其他资本公积</w:t>
                        </w:r>
                      </w:p>
                    </w:tc>
                    <w:tc>
                      <w:tcPr>
                        <w:tcW w:w="1246" w:type="dxa"/>
                        <w:tcBorders>
                          <w:top w:val="nil" w:sz="6" w:space="0" w:color="auto"/>
                          <w:left w:val="nil" w:sz="6" w:space="0" w:color="auto"/>
                          <w:bottom w:val="nil" w:sz="6" w:space="0" w:color="auto"/>
                          <w:right w:val="nil" w:sz="6" w:space="0" w:color="auto"/>
                        </w:tcBorders>
                      </w:tcPr>
                      <w:p>
                        <w:pPr/>
                      </w:p>
                    </w:tc>
                    <w:tc>
                      <w:tcPr>
                        <w:tcW w:w="148" w:type="dxa"/>
                        <w:tcBorders>
                          <w:top w:val="nil" w:sz="6" w:space="0" w:color="auto"/>
                          <w:left w:val="nil" w:sz="6" w:space="0" w:color="auto"/>
                          <w:bottom w:val="nil" w:sz="6" w:space="0" w:color="auto"/>
                          <w:right w:val="nil" w:sz="6" w:space="0" w:color="auto"/>
                        </w:tcBorders>
                      </w:tcPr>
                      <w:p>
                        <w:pPr/>
                      </w:p>
                    </w:tc>
                    <w:tc>
                      <w:tcPr>
                        <w:tcW w:w="6246" w:type="dxa"/>
                        <w:tcBorders>
                          <w:top w:val="nil" w:sz="6" w:space="0" w:color="auto"/>
                          <w:left w:val="nil" w:sz="6" w:space="0" w:color="auto"/>
                          <w:bottom w:val="single" w:sz="8" w:space="0" w:color="000000"/>
                          <w:right w:val="nil" w:sz="6" w:space="0" w:color="auto"/>
                        </w:tcBorders>
                      </w:tcPr>
                      <w:p>
                        <w:pPr>
                          <w:pStyle w:val="TableParagraph"/>
                          <w:tabs>
                            <w:tab w:pos="2375" w:val="left" w:leader="none"/>
                            <w:tab w:pos="3963" w:val="left" w:leader="none"/>
                            <w:tab w:pos="4760" w:val="left" w:leader="none"/>
                          </w:tabs>
                          <w:spacing w:line="240" w:lineRule="auto" w:before="39"/>
                          <w:ind w:right="89"/>
                          <w:jc w:val="right"/>
                          <w:rPr>
                            <w:rFonts w:ascii="Times New Roman" w:hAnsi="Times New Roman" w:cs="Times New Roman" w:eastAsia="Times New Roman" w:hint="default"/>
                            <w:sz w:val="20"/>
                            <w:szCs w:val="20"/>
                          </w:rPr>
                        </w:pPr>
                        <w:r>
                          <w:rPr>
                            <w:rFonts w:ascii="Times New Roman"/>
                            <w:sz w:val="20"/>
                          </w:rPr>
                          <w:t>1,970,902.74</w:t>
                          <w:tab/>
                        </w:r>
                        <w:r>
                          <w:rPr>
                            <w:rFonts w:ascii="Times New Roman"/>
                            <w:w w:val="95"/>
                            <w:sz w:val="20"/>
                          </w:rPr>
                          <w:t>-</w:t>
                          <w:tab/>
                          <w:t>-</w:t>
                          <w:tab/>
                          <w:t>1,970,902.74</w:t>
                        </w:r>
                        <w:r>
                          <w:rPr>
                            <w:rFonts w:ascii="Times New Roman"/>
                            <w:sz w:val="20"/>
                          </w:rPr>
                        </w:r>
                      </w:p>
                    </w:tc>
                  </w:tr>
                  <w:tr>
                    <w:trPr>
                      <w:trHeight w:val="357"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8"/>
                          <w:jc w:val="right"/>
                          <w:rPr>
                            <w:rFonts w:ascii="宋体" w:hAnsi="宋体" w:cs="宋体" w:eastAsia="宋体" w:hint="default"/>
                            <w:sz w:val="20"/>
                            <w:szCs w:val="20"/>
                          </w:rPr>
                        </w:pPr>
                        <w:r>
                          <w:rPr>
                            <w:rFonts w:ascii="宋体" w:hAnsi="宋体" w:cs="宋体" w:eastAsia="宋体" w:hint="default"/>
                            <w:w w:val="99"/>
                            <w:sz w:val="20"/>
                            <w:szCs w:val="20"/>
                          </w:rPr>
                          <w:t>合</w:t>
                        </w:r>
                        <w:r>
                          <w:rPr>
                            <w:rFonts w:ascii="宋体" w:hAnsi="宋体" w:cs="宋体" w:eastAsia="宋体" w:hint="default"/>
                            <w:sz w:val="20"/>
                            <w:szCs w:val="20"/>
                          </w:rPr>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2" w:right="0"/>
                          <w:jc w:val="left"/>
                          <w:rPr>
                            <w:rFonts w:ascii="宋体" w:hAnsi="宋体" w:cs="宋体" w:eastAsia="宋体" w:hint="default"/>
                            <w:sz w:val="20"/>
                            <w:szCs w:val="20"/>
                          </w:rPr>
                        </w:pPr>
                        <w:r>
                          <w:rPr>
                            <w:rFonts w:ascii="宋体" w:hAnsi="宋体" w:cs="宋体" w:eastAsia="宋体" w:hint="default"/>
                            <w:w w:val="99"/>
                            <w:sz w:val="20"/>
                            <w:szCs w:val="20"/>
                          </w:rPr>
                          <w:t>计</w:t>
                        </w:r>
                        <w:r>
                          <w:rPr>
                            <w:rFonts w:ascii="宋体" w:hAnsi="宋体" w:cs="宋体" w:eastAsia="宋体" w:hint="default"/>
                            <w:sz w:val="20"/>
                            <w:szCs w:val="20"/>
                          </w:rPr>
                        </w:r>
                      </w:p>
                    </w:tc>
                    <w:tc>
                      <w:tcPr>
                        <w:tcW w:w="148" w:type="dxa"/>
                        <w:tcBorders>
                          <w:top w:val="nil" w:sz="6" w:space="0" w:color="auto"/>
                          <w:left w:val="nil" w:sz="6" w:space="0" w:color="auto"/>
                          <w:bottom w:val="nil" w:sz="6" w:space="0" w:color="auto"/>
                          <w:right w:val="nil" w:sz="6" w:space="0" w:color="auto"/>
                        </w:tcBorders>
                      </w:tcPr>
                      <w:p>
                        <w:pPr/>
                      </w:p>
                    </w:tc>
                    <w:tc>
                      <w:tcPr>
                        <w:tcW w:w="6246" w:type="dxa"/>
                        <w:tcBorders>
                          <w:top w:val="single" w:sz="8" w:space="0" w:color="000000"/>
                          <w:left w:val="nil" w:sz="6" w:space="0" w:color="auto"/>
                          <w:bottom w:val="single" w:sz="8" w:space="0" w:color="000000"/>
                          <w:right w:val="nil" w:sz="6" w:space="0" w:color="auto"/>
                        </w:tcBorders>
                      </w:tcPr>
                      <w:p>
                        <w:pPr>
                          <w:pStyle w:val="TableParagraph"/>
                          <w:tabs>
                            <w:tab w:pos="1385" w:val="left" w:leader="none"/>
                            <w:tab w:pos="3963" w:val="left" w:leader="none"/>
                            <w:tab w:pos="4559" w:val="left" w:leader="none"/>
                          </w:tabs>
                          <w:spacing w:line="240" w:lineRule="auto" w:before="42"/>
                          <w:ind w:right="89"/>
                          <w:jc w:val="right"/>
                          <w:rPr>
                            <w:rFonts w:ascii="Times New Roman" w:hAnsi="Times New Roman" w:cs="Times New Roman" w:eastAsia="Times New Roman" w:hint="default"/>
                            <w:sz w:val="20"/>
                            <w:szCs w:val="20"/>
                          </w:rPr>
                        </w:pPr>
                        <w:r>
                          <w:rPr>
                            <w:rFonts w:ascii="Times New Roman"/>
                            <w:sz w:val="20"/>
                          </w:rPr>
                          <w:t>1,970,902.74</w:t>
                          <w:tab/>
                          <w:t>246,480,855.55</w:t>
                          <w:tab/>
                        </w:r>
                        <w:r>
                          <w:rPr>
                            <w:rFonts w:ascii="Times New Roman"/>
                            <w:w w:val="95"/>
                            <w:sz w:val="20"/>
                          </w:rPr>
                          <w:t>-</w:t>
                          <w:tab/>
                          <w:t>248,451,758.29</w:t>
                        </w:r>
                        <w:r>
                          <w:rPr>
                            <w:rFonts w:ascii="Times New Roman"/>
                            <w:sz w:val="20"/>
                          </w:rPr>
                        </w:r>
                      </w:p>
                    </w:tc>
                  </w:tr>
                </w:tbl>
                <w:p>
                  <w:pPr/>
                </w:p>
              </w:txbxContent>
            </v:textbox>
            <w10:wrap type="none"/>
          </v:shape>
        </w:pict>
      </w:r>
      <w:r>
        <w:rPr/>
        <w:t>额为人民币</w:t>
      </w:r>
      <w:r>
        <w:rPr>
          <w:spacing w:val="-64"/>
        </w:rPr>
        <w:t> </w:t>
      </w:r>
      <w:r>
        <w:rPr/>
        <w:t>110,000,000.00</w:t>
      </w:r>
      <w:r>
        <w:rPr>
          <w:spacing w:val="-63"/>
        </w:rPr>
        <w:t> </w:t>
      </w:r>
      <w:r>
        <w:rPr/>
        <w:t>元，股本为人民币</w:t>
      </w:r>
      <w:r>
        <w:rPr>
          <w:spacing w:val="-64"/>
        </w:rPr>
        <w:t> </w:t>
      </w:r>
      <w:r>
        <w:rPr/>
        <w:t>110,000,000.00</w:t>
      </w:r>
      <w:r>
        <w:rPr>
          <w:spacing w:val="-4"/>
        </w:rPr>
        <w:t> </w:t>
      </w:r>
      <w:r>
        <w:rPr/>
        <w:t>元。</w:t>
      </w:r>
      <w:r>
        <w:rPr>
          <w:spacing w:val="-1"/>
          <w:w w:val="100"/>
        </w:rPr>
        <w:t> </w:t>
      </w:r>
      <w:r>
        <w:rPr>
          <w:rFonts w:ascii="Microsoft JhengHei" w:hAnsi="Microsoft JhengHei" w:cs="Microsoft JhengHei" w:eastAsia="Microsoft JhengHei" w:hint="default"/>
          <w:b/>
          <w:bCs/>
        </w:rPr>
        <w:t>27、资本公积</w:t>
      </w:r>
      <w:r>
        <w:rPr>
          <w:rFonts w:ascii="Microsoft JhengHei" w:hAnsi="Microsoft JhengHei" w:cs="Microsoft JhengHei" w:eastAsia="Microsoft JhengHei" w:hint="default"/>
        </w:rPr>
      </w:r>
    </w:p>
    <w:p>
      <w:pPr>
        <w:spacing w:line="240" w:lineRule="auto" w:before="16"/>
        <w:rPr>
          <w:rFonts w:ascii="Microsoft JhengHei" w:hAnsi="Microsoft JhengHei" w:cs="Microsoft JhengHei" w:eastAsia="Microsoft JhengHei" w:hint="default"/>
          <w:b/>
          <w:bCs/>
          <w:sz w:val="17"/>
          <w:szCs w:val="17"/>
        </w:rPr>
      </w:pPr>
    </w:p>
    <w:p>
      <w:pPr>
        <w:spacing w:line="20" w:lineRule="exact"/>
        <w:ind w:left="2847" w:right="0" w:firstLine="0"/>
        <w:rPr>
          <w:rFonts w:ascii="Microsoft JhengHei" w:hAnsi="Microsoft JhengHei" w:cs="Microsoft JhengHei" w:eastAsia="Microsoft JhengHei" w:hint="default"/>
          <w:sz w:val="2"/>
          <w:szCs w:val="2"/>
        </w:rPr>
      </w:pPr>
      <w:r>
        <w:rPr>
          <w:rFonts w:ascii="Microsoft JhengHei"/>
          <w:sz w:val="2"/>
        </w:rPr>
        <w:pict>
          <v:group style="width:75.2pt;height:1pt;mso-position-horizontal-relative:char;mso-position-vertical-relative:line" coordorigin="0,0" coordsize="1504,20">
            <v:group style="position:absolute;left:10;top:1;width:1485;height:2" coordorigin="10,1" coordsize="1485,2">
              <v:shape style="position:absolute;left:10;top:1;width:1485;height:2" coordorigin="10,1" coordsize="1485,0" path="m10,1l1494,1e" filled="false" stroked="true" strokeweight=".06pt" strokecolor="#000000">
                <v:path arrowok="t"/>
              </v:shape>
            </v:group>
            <v:group style="position:absolute;left:10;top:10;width:1485;height:2" coordorigin="10,10" coordsize="1485,2">
              <v:shape style="position:absolute;left:10;top:10;width:1485;height:2" coordorigin="10,10" coordsize="1485,0" path="m10,10l1494,10e" filled="false" stroked="true" strokeweight=".95996pt" strokecolor="#000000">
                <v:path arrowok="t"/>
              </v:shape>
            </v:group>
          </v:group>
        </w:pict>
      </w:r>
      <w:r>
        <w:rPr>
          <w:rFonts w:ascii="Microsoft JhengHei"/>
          <w:sz w:val="2"/>
        </w:rPr>
      </w:r>
      <w:r>
        <w:rPr>
          <w:rFonts w:ascii="Times New Roman"/>
          <w:spacing w:val="81"/>
          <w:sz w:val="2"/>
        </w:rPr>
        <w:t> </w:t>
      </w:r>
      <w:r>
        <w:rPr>
          <w:rFonts w:ascii="Microsoft JhengHei"/>
          <w:spacing w:val="81"/>
          <w:sz w:val="2"/>
        </w:rPr>
        <w:pict>
          <v:group style="width:75.2pt;height:1pt;mso-position-horizontal-relative:char;mso-position-vertical-relative:line" coordorigin="0,0" coordsize="1504,20">
            <v:group style="position:absolute;left:8;top:1;width:1485;height:2" coordorigin="8,1" coordsize="1485,2">
              <v:shape style="position:absolute;left:8;top:1;width:1485;height:2" coordorigin="8,1" coordsize="1485,0" path="m8,1l1493,1e" filled="false" stroked="true" strokeweight=".06pt" strokecolor="#000000">
                <v:path arrowok="t"/>
              </v:shape>
            </v:group>
            <v:group style="position:absolute;left:10;top:10;width:1485;height:2" coordorigin="10,10" coordsize="1485,2">
              <v:shape style="position:absolute;left:10;top:10;width:1485;height:2" coordorigin="10,10" coordsize="1485,0" path="m10,10l1494,10e" filled="false" stroked="true" strokeweight=".95996pt" strokecolor="#000000">
                <v:path arrowok="t"/>
              </v:shape>
            </v:group>
          </v:group>
        </w:pict>
      </w:r>
      <w:r>
        <w:rPr>
          <w:rFonts w:ascii="Microsoft JhengHei"/>
          <w:spacing w:val="81"/>
          <w:sz w:val="2"/>
        </w:rPr>
      </w:r>
      <w:r>
        <w:rPr>
          <w:rFonts w:ascii="Times New Roman"/>
          <w:spacing w:val="79"/>
          <w:sz w:val="2"/>
        </w:rPr>
        <w:t> </w:t>
      </w:r>
      <w:r>
        <w:rPr>
          <w:rFonts w:ascii="Microsoft JhengHei"/>
          <w:spacing w:val="79"/>
          <w:sz w:val="2"/>
        </w:rPr>
        <w:pict>
          <v:group style="width:75.2pt;height:1pt;mso-position-horizontal-relative:char;mso-position-vertical-relative:line" coordorigin="0,0" coordsize="1504,20">
            <v:group style="position:absolute;left:10;top:1;width:1485;height:2" coordorigin="10,1" coordsize="1485,2">
              <v:shape style="position:absolute;left:10;top:1;width:1485;height:2" coordorigin="10,1" coordsize="1485,0" path="m10,1l1494,1e" filled="false" stroked="true" strokeweight=".06pt" strokecolor="#000000">
                <v:path arrowok="t"/>
              </v:shape>
            </v:group>
            <v:group style="position:absolute;left:10;top:10;width:1485;height:2" coordorigin="10,10" coordsize="1485,2">
              <v:shape style="position:absolute;left:10;top:10;width:1485;height:2" coordorigin="10,10" coordsize="1485,0" path="m10,10l1494,10e" filled="false" stroked="true" strokeweight=".95996pt" strokecolor="#000000">
                <v:path arrowok="t"/>
              </v:shape>
            </v:group>
          </v:group>
        </w:pict>
      </w:r>
      <w:r>
        <w:rPr>
          <w:rFonts w:ascii="Microsoft JhengHei"/>
          <w:spacing w:val="79"/>
          <w:sz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7"/>
          <w:szCs w:val="17"/>
        </w:rPr>
      </w:pPr>
    </w:p>
    <w:p>
      <w:pPr>
        <w:spacing w:line="21" w:lineRule="exact"/>
        <w:ind w:left="2847" w:right="0" w:firstLine="0"/>
        <w:rPr>
          <w:rFonts w:ascii="Microsoft JhengHei" w:hAnsi="Microsoft JhengHei" w:cs="Microsoft JhengHei" w:eastAsia="Microsoft JhengHei" w:hint="default"/>
          <w:sz w:val="2"/>
          <w:szCs w:val="2"/>
        </w:rPr>
      </w:pPr>
      <w:r>
        <w:rPr>
          <w:rFonts w:ascii="Microsoft JhengHei"/>
          <w:sz w:val="2"/>
        </w:rPr>
        <w:pict>
          <v:group style="width:75.2pt;height:1.05pt;mso-position-horizontal-relative:char;mso-position-vertical-relative:line" coordorigin="0,0" coordsize="1504,21">
            <v:group style="position:absolute;left:10;top:1;width:1485;height:2" coordorigin="10,1" coordsize="1485,2">
              <v:shape style="position:absolute;left:10;top:1;width:1485;height:2" coordorigin="10,1" coordsize="1485,0" path="m10,1l1494,1e" filled="false" stroked="true" strokeweight=".06pt" strokecolor="#000000">
                <v:path arrowok="t"/>
              </v:shape>
            </v:group>
            <v:group style="position:absolute;left:10;top:11;width:1485;height:2" coordorigin="10,11" coordsize="1485,2">
              <v:shape style="position:absolute;left:10;top:11;width:1485;height:2" coordorigin="10,11" coordsize="1485,0" path="m10,11l1494,11e" filled="false" stroked="true" strokeweight=".96002pt" strokecolor="#000000">
                <v:path arrowok="t"/>
              </v:shape>
            </v:group>
          </v:group>
        </w:pict>
      </w:r>
      <w:r>
        <w:rPr>
          <w:rFonts w:ascii="Microsoft JhengHei"/>
          <w:sz w:val="2"/>
        </w:rPr>
      </w:r>
      <w:r>
        <w:rPr>
          <w:rFonts w:ascii="Times New Roman"/>
          <w:spacing w:val="78"/>
          <w:sz w:val="2"/>
        </w:rPr>
        <w:t> </w:t>
      </w:r>
      <w:r>
        <w:rPr>
          <w:rFonts w:ascii="Microsoft JhengHei"/>
          <w:spacing w:val="78"/>
          <w:sz w:val="2"/>
        </w:rPr>
        <w:pict>
          <v:group style="width:75.2pt;height:1.05pt;mso-position-horizontal-relative:char;mso-position-vertical-relative:line" coordorigin="0,0" coordsize="1504,21">
            <v:group style="position:absolute;left:8;top:1;width:1485;height:2" coordorigin="8,1" coordsize="1485,2">
              <v:shape style="position:absolute;left:8;top:1;width:1485;height:2" coordorigin="8,1" coordsize="1485,0" path="m8,1l1493,1e" filled="false" stroked="true" strokeweight=".06pt" strokecolor="#000000">
                <v:path arrowok="t"/>
              </v:shape>
            </v:group>
            <v:group style="position:absolute;left:10;top:11;width:1485;height:2" coordorigin="10,11" coordsize="1485,2">
              <v:shape style="position:absolute;left:10;top:11;width:1485;height:2" coordorigin="10,11" coordsize="1485,0" path="m10,11l1494,11e" filled="false" stroked="true" strokeweight=".96002pt" strokecolor="#000000">
                <v:path arrowok="t"/>
              </v:shape>
            </v:group>
          </v:group>
        </w:pict>
      </w:r>
      <w:r>
        <w:rPr>
          <w:rFonts w:ascii="Microsoft JhengHei"/>
          <w:spacing w:val="78"/>
          <w:sz w:val="2"/>
        </w:rPr>
      </w:r>
      <w:r>
        <w:rPr>
          <w:rFonts w:ascii="Times New Roman"/>
          <w:spacing w:val="77"/>
          <w:sz w:val="2"/>
        </w:rPr>
        <w:t> </w:t>
      </w:r>
      <w:r>
        <w:rPr>
          <w:rFonts w:ascii="Microsoft JhengHei"/>
          <w:spacing w:val="77"/>
          <w:sz w:val="2"/>
        </w:rPr>
        <w:pict>
          <v:group style="width:75.2pt;height:1.05pt;mso-position-horizontal-relative:char;mso-position-vertical-relative:line" coordorigin="0,0" coordsize="1504,21">
            <v:group style="position:absolute;left:10;top:1;width:1485;height:2" coordorigin="10,1" coordsize="1485,2">
              <v:shape style="position:absolute;left:10;top:1;width:1485;height:2" coordorigin="10,1" coordsize="1485,0" path="m10,1l1494,1e" filled="false" stroked="true" strokeweight=".06pt" strokecolor="#000000">
                <v:path arrowok="t"/>
              </v:shape>
            </v:group>
            <v:group style="position:absolute;left:10;top:11;width:1485;height:2" coordorigin="10,11" coordsize="1485,2">
              <v:shape style="position:absolute;left:10;top:11;width:1485;height:2" coordorigin="10,11" coordsize="1485,0" path="m10,11l1494,11e" filled="false" stroked="true" strokeweight=".96002pt" strokecolor="#000000">
                <v:path arrowok="t"/>
              </v:shape>
            </v:group>
          </v:group>
        </w:pict>
      </w:r>
      <w:r>
        <w:rPr>
          <w:rFonts w:ascii="Microsoft JhengHei"/>
          <w:spacing w:val="77"/>
          <w:sz w:val="2"/>
        </w:rPr>
      </w:r>
    </w:p>
    <w:p>
      <w:pPr>
        <w:spacing w:line="240" w:lineRule="auto" w:before="3"/>
        <w:rPr>
          <w:rFonts w:ascii="Microsoft JhengHei" w:hAnsi="Microsoft JhengHei" w:cs="Microsoft JhengHei" w:eastAsia="Microsoft JhengHei" w:hint="default"/>
          <w:b/>
          <w:bCs/>
          <w:sz w:val="17"/>
          <w:szCs w:val="17"/>
        </w:rPr>
      </w:pPr>
    </w:p>
    <w:p>
      <w:pPr>
        <w:spacing w:line="57" w:lineRule="exact"/>
        <w:ind w:left="2847" w:right="0" w:firstLine="0"/>
        <w:rPr>
          <w:rFonts w:ascii="Microsoft JhengHei" w:hAnsi="Microsoft JhengHei" w:cs="Microsoft JhengHei" w:eastAsia="Microsoft JhengHei" w:hint="default"/>
          <w:sz w:val="2"/>
          <w:szCs w:val="2"/>
        </w:rPr>
      </w:pPr>
      <w:r>
        <w:rPr>
          <w:rFonts w:ascii="Microsoft JhengHei"/>
          <w:position w:val="0"/>
          <w:sz w:val="5"/>
        </w:rPr>
        <w:pict>
          <v:group style="width:75.2pt;height:2.9pt;mso-position-horizontal-relative:char;mso-position-vertical-relative:line" coordorigin="0,0" coordsize="1504,58">
            <v:group style="position:absolute;left:10;top:10;width:1485;height:2" coordorigin="10,10" coordsize="1485,2">
              <v:shape style="position:absolute;left:10;top:10;width:1485;height:2" coordorigin="10,10" coordsize="1485,0" path="m10,10l1494,10e" filled="false" stroked="true" strokeweight=".96002pt" strokecolor="#000000">
                <v:path arrowok="t"/>
              </v:shape>
            </v:group>
            <v:group style="position:absolute;left:10;top:48;width:1485;height:2" coordorigin="10,48" coordsize="1485,2">
              <v:shape style="position:absolute;left:10;top:48;width:1485;height:2" coordorigin="10,48" coordsize="1485,0" path="m10,48l1494,48e" filled="false" stroked="true" strokeweight=".95996pt" strokecolor="#000000">
                <v:path arrowok="t"/>
              </v:shape>
            </v:group>
          </v:group>
        </w:pict>
      </w:r>
      <w:r>
        <w:rPr>
          <w:rFonts w:ascii="Microsoft JhengHei"/>
          <w:position w:val="0"/>
          <w:sz w:val="5"/>
        </w:rPr>
      </w:r>
      <w:r>
        <w:rPr>
          <w:rFonts w:ascii="Times New Roman"/>
          <w:spacing w:val="71"/>
          <w:position w:val="0"/>
          <w:sz w:val="5"/>
        </w:rPr>
        <w:t> </w:t>
      </w:r>
      <w:r>
        <w:rPr>
          <w:rFonts w:ascii="Microsoft JhengHei"/>
          <w:spacing w:val="71"/>
          <w:position w:val="0"/>
          <w:sz w:val="5"/>
        </w:rPr>
        <w:pict>
          <v:group style="width:75.2pt;height:2.9pt;mso-position-horizontal-relative:char;mso-position-vertical-relative:line" coordorigin="0,0" coordsize="1504,58">
            <v:group style="position:absolute;left:10;top:10;width:1485;height:2" coordorigin="10,10" coordsize="1485,2">
              <v:shape style="position:absolute;left:10;top:10;width:1485;height:2" coordorigin="10,10" coordsize="1485,0" path="m10,10l1494,10e" filled="false" stroked="true" strokeweight=".96002pt" strokecolor="#000000">
                <v:path arrowok="t"/>
              </v:shape>
            </v:group>
            <v:group style="position:absolute;left:10;top:48;width:1485;height:2" coordorigin="10,48" coordsize="1485,2">
              <v:shape style="position:absolute;left:10;top:48;width:1485;height:2" coordorigin="10,48" coordsize="1485,0" path="m10,48l1494,48e" filled="false" stroked="true" strokeweight=".95996pt" strokecolor="#000000">
                <v:path arrowok="t"/>
              </v:shape>
            </v:group>
          </v:group>
        </w:pict>
      </w:r>
      <w:r>
        <w:rPr>
          <w:rFonts w:ascii="Microsoft JhengHei"/>
          <w:spacing w:val="71"/>
          <w:position w:val="0"/>
          <w:sz w:val="5"/>
        </w:rPr>
      </w:r>
      <w:r>
        <w:rPr>
          <w:rFonts w:ascii="Times New Roman"/>
          <w:spacing w:val="69"/>
          <w:position w:val="0"/>
          <w:sz w:val="5"/>
        </w:rPr>
        <w:t> </w:t>
      </w:r>
      <w:r>
        <w:rPr>
          <w:rFonts w:ascii="Microsoft JhengHei"/>
          <w:spacing w:val="69"/>
          <w:position w:val="0"/>
          <w:sz w:val="5"/>
        </w:rPr>
        <w:pict>
          <v:group style="width:75.2pt;height:2.9pt;mso-position-horizontal-relative:char;mso-position-vertical-relative:line" coordorigin="0,0" coordsize="1504,58">
            <v:group style="position:absolute;left:10;top:10;width:1485;height:2" coordorigin="10,10" coordsize="1485,2">
              <v:shape style="position:absolute;left:10;top:10;width:1485;height:2" coordorigin="10,10" coordsize="1485,0" path="m10,10l1494,10e" filled="false" stroked="true" strokeweight=".96002pt" strokecolor="#000000">
                <v:path arrowok="t"/>
              </v:shape>
            </v:group>
            <v:group style="position:absolute;left:10;top:48;width:1485;height:2" coordorigin="10,48" coordsize="1485,2">
              <v:shape style="position:absolute;left:10;top:48;width:1485;height:2" coordorigin="10,48" coordsize="1485,0" path="m10,48l1494,48e" filled="false" stroked="true" strokeweight=".95996pt" strokecolor="#000000">
                <v:path arrowok="t"/>
              </v:shape>
            </v:group>
          </v:group>
        </w:pict>
      </w:r>
      <w:r>
        <w:rPr>
          <w:rFonts w:ascii="Microsoft JhengHei"/>
          <w:spacing w:val="69"/>
          <w:position w:val="0"/>
          <w:sz w:val="5"/>
        </w:rPr>
      </w:r>
      <w:r>
        <w:rPr>
          <w:rFonts w:ascii="Times New Roman"/>
          <w:spacing w:val="81"/>
          <w:position w:val="0"/>
          <w:sz w:val="2"/>
        </w:rPr>
        <w:t> </w:t>
      </w:r>
      <w:r>
        <w:rPr>
          <w:rFonts w:ascii="Microsoft JhengHei"/>
          <w:spacing w:val="81"/>
          <w:position w:val="3"/>
          <w:sz w:val="2"/>
        </w:rPr>
        <w:pict>
          <v:group style="width:75.2pt;height:1pt;mso-position-horizontal-relative:char;mso-position-vertical-relative:line" coordorigin="0,0" coordsize="1504,20">
            <v:group style="position:absolute;left:10;top:10;width:1485;height:2" coordorigin="10,10" coordsize="1485,2">
              <v:shape style="position:absolute;left:10;top:10;width:1485;height:2" coordorigin="10,10" coordsize="1485,0" path="m10,10l1494,10e" filled="false" stroked="true" strokeweight=".96002pt" strokecolor="#000000">
                <v:path arrowok="t"/>
              </v:shape>
            </v:group>
          </v:group>
        </w:pict>
      </w:r>
      <w:r>
        <w:rPr>
          <w:rFonts w:ascii="Microsoft JhengHei"/>
          <w:spacing w:val="81"/>
          <w:position w:val="3"/>
          <w:sz w:val="2"/>
        </w:rPr>
      </w:r>
    </w:p>
    <w:p>
      <w:pPr>
        <w:spacing w:line="240" w:lineRule="auto" w:before="12"/>
        <w:rPr>
          <w:rFonts w:ascii="Microsoft JhengHei" w:hAnsi="Microsoft JhengHei" w:cs="Microsoft JhengHei" w:eastAsia="Microsoft JhengHei" w:hint="default"/>
          <w:b/>
          <w:bCs/>
          <w:sz w:val="25"/>
          <w:szCs w:val="25"/>
        </w:rPr>
      </w:pPr>
    </w:p>
    <w:p>
      <w:pPr>
        <w:pStyle w:val="BodyText"/>
        <w:spacing w:line="240" w:lineRule="auto" w:before="27"/>
        <w:ind w:left="617" w:right="388"/>
        <w:jc w:val="left"/>
      </w:pPr>
      <w:r>
        <w:rPr/>
        <w:t>2007 年 1 月 30 日经中国证券监督管理委员会证监发行字[2007]24</w:t>
      </w:r>
      <w:r>
        <w:rPr>
          <w:spacing w:val="4"/>
        </w:rPr>
        <w:t> </w:t>
      </w:r>
      <w:r>
        <w:rPr/>
        <w:t>号文</w:t>
      </w:r>
    </w:p>
    <w:p>
      <w:pPr>
        <w:pStyle w:val="BodyText"/>
        <w:spacing w:line="240" w:lineRule="auto" w:before="126"/>
        <w:ind w:right="388"/>
        <w:jc w:val="left"/>
      </w:pPr>
      <w:r>
        <w:rPr/>
        <w:t>核准，本公司于</w:t>
      </w:r>
      <w:r>
        <w:rPr>
          <w:spacing w:val="-53"/>
        </w:rPr>
        <w:t> </w:t>
      </w:r>
      <w:r>
        <w:rPr/>
        <w:t>2007</w:t>
      </w:r>
      <w:r>
        <w:rPr>
          <w:spacing w:val="-1"/>
        </w:rPr>
        <w:t> </w:t>
      </w:r>
      <w:r>
        <w:rPr/>
        <w:t>年</w:t>
      </w:r>
      <w:r>
        <w:rPr>
          <w:spacing w:val="-53"/>
        </w:rPr>
        <w:t> </w:t>
      </w:r>
      <w:r>
        <w:rPr/>
        <w:t>2</w:t>
      </w:r>
      <w:r>
        <w:rPr>
          <w:spacing w:val="-1"/>
        </w:rPr>
        <w:t> </w:t>
      </w:r>
      <w:r>
        <w:rPr/>
        <w:t>月</w:t>
      </w:r>
      <w:r>
        <w:rPr>
          <w:spacing w:val="-53"/>
        </w:rPr>
        <w:t> </w:t>
      </w:r>
      <w:r>
        <w:rPr/>
        <w:t>8</w:t>
      </w:r>
      <w:r>
        <w:rPr>
          <w:spacing w:val="-1"/>
        </w:rPr>
        <w:t> </w:t>
      </w:r>
      <w:r>
        <w:rPr/>
        <w:t>日向社会发行人民币普通股股票</w:t>
      </w:r>
      <w:r>
        <w:rPr>
          <w:spacing w:val="-53"/>
        </w:rPr>
        <w:t> </w:t>
      </w:r>
      <w:r>
        <w:rPr/>
        <w:t>2,800</w:t>
      </w:r>
      <w:r>
        <w:rPr>
          <w:spacing w:val="-1"/>
        </w:rPr>
        <w:t> </w:t>
      </w:r>
      <w:r>
        <w:rPr/>
        <w:t>万股。</w:t>
      </w:r>
    </w:p>
    <w:p>
      <w:pPr>
        <w:pStyle w:val="BodyText"/>
        <w:spacing w:line="240" w:lineRule="auto" w:before="126"/>
        <w:ind w:right="388"/>
        <w:jc w:val="left"/>
      </w:pPr>
      <w:r>
        <w:rPr/>
        <w:t>中瑞华恒信会计师事务所有限公司出具了中瑞华恒信验字（2007）第</w:t>
      </w:r>
      <w:r>
        <w:rPr>
          <w:spacing w:val="-71"/>
        </w:rPr>
        <w:t> </w:t>
      </w:r>
      <w:r>
        <w:rPr/>
        <w:t>2011</w:t>
      </w:r>
      <w:r>
        <w:rPr>
          <w:spacing w:val="-20"/>
        </w:rPr>
        <w:t> </w:t>
      </w:r>
      <w:r>
        <w:rPr/>
        <w:t>号的</w:t>
      </w:r>
    </w:p>
    <w:p>
      <w:pPr>
        <w:pStyle w:val="BodyText"/>
        <w:spacing w:line="240" w:lineRule="auto" w:before="125"/>
        <w:ind w:right="388"/>
        <w:jc w:val="left"/>
      </w:pPr>
      <w:r>
        <w:rPr/>
        <w:t>验资报告，确认已收到社会公众认缴的投入资金为</w:t>
      </w:r>
      <w:r>
        <w:rPr>
          <w:spacing w:val="-57"/>
        </w:rPr>
        <w:t> </w:t>
      </w:r>
      <w:r>
        <w:rPr/>
        <w:t>276,524,800.00</w:t>
      </w:r>
      <w:r>
        <w:rPr>
          <w:spacing w:val="-56"/>
        </w:rPr>
        <w:t> </w:t>
      </w:r>
      <w:r>
        <w:rPr/>
        <w:t>元，形成资</w:t>
      </w:r>
    </w:p>
    <w:p>
      <w:pPr>
        <w:pStyle w:val="BodyText"/>
        <w:spacing w:line="240" w:lineRule="auto" w:before="126"/>
        <w:ind w:right="388"/>
        <w:jc w:val="left"/>
      </w:pPr>
      <w:r>
        <w:rPr/>
        <w:t>本溢价</w:t>
      </w:r>
      <w:r>
        <w:rPr>
          <w:spacing w:val="-64"/>
        </w:rPr>
        <w:t> </w:t>
      </w:r>
      <w:r>
        <w:rPr/>
        <w:t>246,480,855.55</w:t>
      </w:r>
      <w:r>
        <w:rPr>
          <w:spacing w:val="-63"/>
        </w:rPr>
        <w:t> </w:t>
      </w:r>
      <w:r>
        <w:rPr/>
        <w:t>元。</w:t>
      </w:r>
    </w:p>
    <w:p>
      <w:pPr>
        <w:pStyle w:val="Heading3"/>
        <w:spacing w:line="240" w:lineRule="auto" w:before="50"/>
        <w:ind w:right="388"/>
        <w:jc w:val="left"/>
        <w:rPr>
          <w:b w:val="0"/>
          <w:bCs w:val="0"/>
        </w:rPr>
      </w:pPr>
      <w:r>
        <w:rPr/>
        <w:t>28、盈余公积</w:t>
      </w:r>
      <w:r>
        <w:rPr>
          <w:b w:val="0"/>
          <w:bCs w:val="0"/>
        </w:rPr>
      </w:r>
    </w:p>
    <w:p>
      <w:pPr>
        <w:spacing w:line="240" w:lineRule="auto" w:before="16"/>
        <w:rPr>
          <w:rFonts w:ascii="Microsoft JhengHei" w:hAnsi="Microsoft JhengHei" w:cs="Microsoft JhengHei" w:eastAsia="Microsoft JhengHei"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802"/>
        <w:gridCol w:w="283"/>
        <w:gridCol w:w="1756"/>
        <w:gridCol w:w="209"/>
        <w:gridCol w:w="1457"/>
        <w:gridCol w:w="237"/>
        <w:gridCol w:w="3062"/>
      </w:tblGrid>
      <w:tr>
        <w:trPr>
          <w:trHeight w:val="371" w:hRule="exact"/>
        </w:trPr>
        <w:tc>
          <w:tcPr>
            <w:tcW w:w="1802" w:type="dxa"/>
            <w:tcBorders>
              <w:top w:val="nil" w:sz="6" w:space="0" w:color="auto"/>
              <w:left w:val="nil" w:sz="6" w:space="0" w:color="auto"/>
              <w:bottom w:val="single" w:sz="8" w:space="0" w:color="000000"/>
              <w:right w:val="nil" w:sz="6" w:space="0" w:color="auto"/>
            </w:tcBorders>
          </w:tcPr>
          <w:p>
            <w:pPr>
              <w:pStyle w:val="TableParagraph"/>
              <w:tabs>
                <w:tab w:pos="1130" w:val="left" w:leader="none"/>
              </w:tabs>
              <w:spacing w:line="240" w:lineRule="auto" w:before="33"/>
              <w:ind w:left="467" w:right="0"/>
              <w:jc w:val="left"/>
              <w:rPr>
                <w:rFonts w:ascii="宋体" w:hAnsi="宋体" w:cs="宋体" w:eastAsia="宋体" w:hint="default"/>
                <w:sz w:val="22"/>
                <w:szCs w:val="22"/>
              </w:rPr>
            </w:pPr>
            <w:r>
              <w:rPr>
                <w:rFonts w:ascii="宋体" w:hAnsi="宋体" w:cs="宋体" w:eastAsia="宋体" w:hint="default"/>
                <w:sz w:val="22"/>
                <w:szCs w:val="22"/>
              </w:rPr>
              <w:t>项</w:t>
              <w:tab/>
              <w:t>目</w:t>
            </w:r>
          </w:p>
        </w:tc>
        <w:tc>
          <w:tcPr>
            <w:tcW w:w="28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left="553" w:right="0"/>
              <w:jc w:val="left"/>
              <w:rPr>
                <w:rFonts w:ascii="宋体" w:hAnsi="宋体" w:cs="宋体" w:eastAsia="宋体" w:hint="default"/>
                <w:sz w:val="22"/>
                <w:szCs w:val="22"/>
              </w:rPr>
            </w:pPr>
            <w:r>
              <w:rPr>
                <w:rFonts w:ascii="宋体" w:hAnsi="宋体" w:cs="宋体" w:eastAsia="宋体" w:hint="default"/>
                <w:sz w:val="22"/>
                <w:szCs w:val="22"/>
              </w:rPr>
              <w:t>年初数</w:t>
            </w:r>
          </w:p>
        </w:tc>
        <w:tc>
          <w:tcPr>
            <w:tcW w:w="209"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left="16" w:right="0"/>
              <w:jc w:val="center"/>
              <w:rPr>
                <w:rFonts w:ascii="宋体" w:hAnsi="宋体" w:cs="宋体" w:eastAsia="宋体" w:hint="default"/>
                <w:sz w:val="22"/>
                <w:szCs w:val="22"/>
              </w:rPr>
            </w:pPr>
            <w:r>
              <w:rPr>
                <w:rFonts w:ascii="宋体" w:hAnsi="宋体" w:cs="宋体" w:eastAsia="宋体" w:hint="default"/>
                <w:sz w:val="22"/>
                <w:szCs w:val="22"/>
              </w:rPr>
              <w:t>本年增加</w:t>
            </w:r>
          </w:p>
        </w:tc>
        <w:tc>
          <w:tcPr>
            <w:tcW w:w="237" w:type="dxa"/>
            <w:tcBorders>
              <w:top w:val="nil" w:sz="6" w:space="0" w:color="auto"/>
              <w:left w:val="nil" w:sz="6" w:space="0" w:color="auto"/>
              <w:bottom w:val="nil" w:sz="6" w:space="0" w:color="auto"/>
              <w:right w:val="nil" w:sz="6" w:space="0" w:color="auto"/>
            </w:tcBorders>
          </w:tcPr>
          <w:p>
            <w:pPr/>
          </w:p>
        </w:tc>
        <w:tc>
          <w:tcPr>
            <w:tcW w:w="3062" w:type="dxa"/>
            <w:tcBorders>
              <w:top w:val="nil" w:sz="6" w:space="0" w:color="auto"/>
              <w:left w:val="nil" w:sz="6" w:space="0" w:color="auto"/>
              <w:bottom w:val="single" w:sz="8" w:space="0" w:color="000000"/>
              <w:right w:val="nil" w:sz="6" w:space="0" w:color="auto"/>
            </w:tcBorders>
          </w:tcPr>
          <w:p>
            <w:pPr>
              <w:pStyle w:val="TableParagraph"/>
              <w:tabs>
                <w:tab w:pos="1919" w:val="left" w:leader="none"/>
              </w:tabs>
              <w:spacing w:line="240" w:lineRule="auto" w:before="33"/>
              <w:ind w:left="204" w:right="0"/>
              <w:jc w:val="left"/>
              <w:rPr>
                <w:rFonts w:ascii="宋体" w:hAnsi="宋体" w:cs="宋体" w:eastAsia="宋体" w:hint="default"/>
                <w:sz w:val="22"/>
                <w:szCs w:val="22"/>
              </w:rPr>
            </w:pPr>
            <w:r>
              <w:rPr>
                <w:rFonts w:ascii="宋体" w:hAnsi="宋体" w:cs="宋体" w:eastAsia="宋体" w:hint="default"/>
                <w:spacing w:val="-1"/>
                <w:sz w:val="22"/>
                <w:szCs w:val="22"/>
              </w:rPr>
              <w:t>本年减少</w:t>
              <w:tab/>
              <w:t>年末数</w:t>
            </w:r>
            <w:r>
              <w:rPr>
                <w:rFonts w:ascii="宋体" w:hAnsi="宋体" w:cs="宋体" w:eastAsia="宋体" w:hint="default"/>
                <w:sz w:val="22"/>
                <w:szCs w:val="22"/>
              </w:rPr>
            </w:r>
          </w:p>
        </w:tc>
      </w:tr>
      <w:tr>
        <w:trPr>
          <w:trHeight w:val="365" w:hRule="exact"/>
        </w:trPr>
        <w:tc>
          <w:tcPr>
            <w:tcW w:w="1802" w:type="dxa"/>
            <w:tcBorders>
              <w:top w:val="single" w:sz="8" w:space="0" w:color="000000"/>
              <w:left w:val="nil" w:sz="6" w:space="0" w:color="auto"/>
              <w:bottom w:val="nil" w:sz="6" w:space="0" w:color="auto"/>
              <w:right w:val="nil" w:sz="6" w:space="0" w:color="auto"/>
            </w:tcBorders>
          </w:tcPr>
          <w:p>
            <w:pPr>
              <w:pStyle w:val="TableParagraph"/>
              <w:spacing w:line="240" w:lineRule="auto" w:before="5"/>
              <w:ind w:left="148"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283" w:type="dxa"/>
            <w:tcBorders>
              <w:top w:val="nil" w:sz="6" w:space="0" w:color="auto"/>
              <w:left w:val="nil" w:sz="6" w:space="0" w:color="auto"/>
              <w:bottom w:val="nil" w:sz="6" w:space="0" w:color="auto"/>
              <w:right w:val="nil" w:sz="6" w:space="0" w:color="auto"/>
            </w:tcBorders>
          </w:tcPr>
          <w:p>
            <w:pPr/>
          </w:p>
        </w:tc>
        <w:tc>
          <w:tcPr>
            <w:tcW w:w="1756" w:type="dxa"/>
            <w:tcBorders>
              <w:top w:val="single" w:sz="8" w:space="0" w:color="000000"/>
              <w:left w:val="nil" w:sz="6" w:space="0" w:color="auto"/>
              <w:bottom w:val="nil" w:sz="6" w:space="0" w:color="auto"/>
              <w:right w:val="nil" w:sz="6" w:space="0" w:color="auto"/>
            </w:tcBorders>
          </w:tcPr>
          <w:p>
            <w:pPr>
              <w:pStyle w:val="TableParagraph"/>
              <w:spacing w:line="240" w:lineRule="auto" w:before="37"/>
              <w:ind w:right="94"/>
              <w:jc w:val="right"/>
              <w:rPr>
                <w:rFonts w:ascii="Times New Roman" w:hAnsi="Times New Roman" w:cs="Times New Roman" w:eastAsia="Times New Roman" w:hint="default"/>
                <w:sz w:val="22"/>
                <w:szCs w:val="22"/>
              </w:rPr>
            </w:pPr>
            <w:r>
              <w:rPr>
                <w:rFonts w:ascii="Times New Roman"/>
                <w:spacing w:val="-1"/>
                <w:sz w:val="22"/>
              </w:rPr>
              <w:t>18,536,970.75</w:t>
            </w:r>
            <w:r>
              <w:rPr>
                <w:rFonts w:ascii="Times New Roman"/>
                <w:sz w:val="22"/>
              </w:rPr>
            </w:r>
          </w:p>
        </w:tc>
        <w:tc>
          <w:tcPr>
            <w:tcW w:w="209" w:type="dxa"/>
            <w:tcBorders>
              <w:top w:val="nil" w:sz="6" w:space="0" w:color="auto"/>
              <w:left w:val="nil" w:sz="6" w:space="0" w:color="auto"/>
              <w:bottom w:val="nil" w:sz="6" w:space="0" w:color="auto"/>
              <w:right w:val="nil" w:sz="6" w:space="0" w:color="auto"/>
            </w:tcBorders>
          </w:tcPr>
          <w:p>
            <w:pPr/>
          </w:p>
        </w:tc>
        <w:tc>
          <w:tcPr>
            <w:tcW w:w="1457" w:type="dxa"/>
            <w:tcBorders>
              <w:top w:val="single" w:sz="8" w:space="0" w:color="000000"/>
              <w:left w:val="nil" w:sz="6" w:space="0" w:color="auto"/>
              <w:bottom w:val="nil" w:sz="6" w:space="0" w:color="auto"/>
              <w:right w:val="nil" w:sz="6" w:space="0" w:color="auto"/>
            </w:tcBorders>
          </w:tcPr>
          <w:p>
            <w:pPr>
              <w:pStyle w:val="TableParagraph"/>
              <w:spacing w:line="240" w:lineRule="auto" w:before="37"/>
              <w:ind w:left="105" w:right="0"/>
              <w:jc w:val="center"/>
              <w:rPr>
                <w:rFonts w:ascii="Times New Roman" w:hAnsi="Times New Roman" w:cs="Times New Roman" w:eastAsia="Times New Roman" w:hint="default"/>
                <w:sz w:val="22"/>
                <w:szCs w:val="22"/>
              </w:rPr>
            </w:pPr>
            <w:r>
              <w:rPr>
                <w:rFonts w:ascii="Times New Roman"/>
                <w:sz w:val="22"/>
              </w:rPr>
              <w:t>4,678,997.27</w:t>
            </w:r>
          </w:p>
        </w:tc>
        <w:tc>
          <w:tcPr>
            <w:tcW w:w="237" w:type="dxa"/>
            <w:tcBorders>
              <w:top w:val="nil" w:sz="6" w:space="0" w:color="auto"/>
              <w:left w:val="nil" w:sz="6" w:space="0" w:color="auto"/>
              <w:bottom w:val="nil" w:sz="6" w:space="0" w:color="auto"/>
              <w:right w:val="nil" w:sz="6" w:space="0" w:color="auto"/>
            </w:tcBorders>
          </w:tcPr>
          <w:p>
            <w:pPr/>
          </w:p>
        </w:tc>
        <w:tc>
          <w:tcPr>
            <w:tcW w:w="3062" w:type="dxa"/>
            <w:tcBorders>
              <w:top w:val="single" w:sz="8" w:space="0" w:color="000000"/>
              <w:left w:val="nil" w:sz="6" w:space="0" w:color="auto"/>
              <w:bottom w:val="nil" w:sz="6" w:space="0" w:color="auto"/>
              <w:right w:val="nil" w:sz="6" w:space="0" w:color="auto"/>
            </w:tcBorders>
          </w:tcPr>
          <w:p>
            <w:pPr>
              <w:pStyle w:val="TableParagraph"/>
              <w:tabs>
                <w:tab w:pos="806" w:val="left" w:leader="none"/>
              </w:tabs>
              <w:spacing w:line="240" w:lineRule="auto" w:before="37"/>
              <w:ind w:right="93"/>
              <w:jc w:val="right"/>
              <w:rPr>
                <w:rFonts w:ascii="Times New Roman" w:hAnsi="Times New Roman" w:cs="Times New Roman" w:eastAsia="Times New Roman" w:hint="default"/>
                <w:sz w:val="22"/>
                <w:szCs w:val="22"/>
              </w:rPr>
            </w:pPr>
            <w:r>
              <w:rPr>
                <w:rFonts w:ascii="Times New Roman"/>
                <w:sz w:val="22"/>
              </w:rPr>
              <w:t>-</w:t>
              <w:tab/>
              <w:t>23,215,968.02</w:t>
            </w:r>
          </w:p>
        </w:tc>
      </w:tr>
      <w:tr>
        <w:trPr>
          <w:trHeight w:val="341" w:hRule="exact"/>
        </w:trPr>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8" w:right="0"/>
              <w:jc w:val="left"/>
              <w:rPr>
                <w:rFonts w:ascii="宋体" w:hAnsi="宋体" w:cs="宋体" w:eastAsia="宋体" w:hint="default"/>
                <w:sz w:val="22"/>
                <w:szCs w:val="22"/>
              </w:rPr>
            </w:pPr>
            <w:r>
              <w:rPr>
                <w:rFonts w:ascii="宋体" w:hAnsi="宋体" w:cs="宋体" w:eastAsia="宋体" w:hint="default"/>
                <w:sz w:val="22"/>
                <w:szCs w:val="22"/>
              </w:rPr>
              <w:t>任意盈余公积</w:t>
            </w:r>
          </w:p>
        </w:tc>
        <w:tc>
          <w:tcPr>
            <w:tcW w:w="28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right="94"/>
              <w:jc w:val="right"/>
              <w:rPr>
                <w:rFonts w:ascii="Times New Roman" w:hAnsi="Times New Roman" w:cs="Times New Roman" w:eastAsia="Times New Roman" w:hint="default"/>
                <w:sz w:val="22"/>
                <w:szCs w:val="22"/>
              </w:rPr>
            </w:pPr>
            <w:r>
              <w:rPr>
                <w:rFonts w:ascii="Times New Roman"/>
                <w:spacing w:val="-1"/>
                <w:sz w:val="22"/>
              </w:rPr>
              <w:t>9,268,485.37</w:t>
            </w:r>
            <w:r>
              <w:rPr>
                <w:rFonts w:ascii="Times New Roman"/>
                <w:sz w:val="22"/>
              </w:rPr>
            </w:r>
          </w:p>
        </w:tc>
        <w:tc>
          <w:tcPr>
            <w:tcW w:w="209"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left="105" w:right="0"/>
              <w:jc w:val="center"/>
              <w:rPr>
                <w:rFonts w:ascii="Times New Roman" w:hAnsi="Times New Roman" w:cs="Times New Roman" w:eastAsia="Times New Roman" w:hint="default"/>
                <w:sz w:val="22"/>
                <w:szCs w:val="22"/>
              </w:rPr>
            </w:pPr>
            <w:r>
              <w:rPr>
                <w:rFonts w:ascii="Times New Roman"/>
                <w:sz w:val="22"/>
              </w:rPr>
              <w:t>2,339,498.63</w:t>
            </w:r>
          </w:p>
        </w:tc>
        <w:tc>
          <w:tcPr>
            <w:tcW w:w="237" w:type="dxa"/>
            <w:tcBorders>
              <w:top w:val="nil" w:sz="6" w:space="0" w:color="auto"/>
              <w:left w:val="nil" w:sz="6" w:space="0" w:color="auto"/>
              <w:bottom w:val="nil" w:sz="6" w:space="0" w:color="auto"/>
              <w:right w:val="nil" w:sz="6" w:space="0" w:color="auto"/>
            </w:tcBorders>
          </w:tcPr>
          <w:p>
            <w:pPr/>
          </w:p>
        </w:tc>
        <w:tc>
          <w:tcPr>
            <w:tcW w:w="3062" w:type="dxa"/>
            <w:tcBorders>
              <w:top w:val="nil" w:sz="6" w:space="0" w:color="auto"/>
              <w:left w:val="nil" w:sz="6" w:space="0" w:color="auto"/>
              <w:bottom w:val="single" w:sz="8" w:space="0" w:color="000000"/>
              <w:right w:val="nil" w:sz="6" w:space="0" w:color="auto"/>
            </w:tcBorders>
          </w:tcPr>
          <w:p>
            <w:pPr>
              <w:pStyle w:val="TableParagraph"/>
              <w:tabs>
                <w:tab w:pos="806" w:val="left" w:leader="none"/>
              </w:tabs>
              <w:spacing w:line="240" w:lineRule="auto" w:before="34"/>
              <w:ind w:right="93"/>
              <w:jc w:val="right"/>
              <w:rPr>
                <w:rFonts w:ascii="Times New Roman" w:hAnsi="Times New Roman" w:cs="Times New Roman" w:eastAsia="Times New Roman" w:hint="default"/>
                <w:sz w:val="22"/>
                <w:szCs w:val="22"/>
              </w:rPr>
            </w:pPr>
            <w:r>
              <w:rPr>
                <w:rFonts w:ascii="Times New Roman"/>
                <w:sz w:val="22"/>
              </w:rPr>
              <w:t>-</w:t>
              <w:tab/>
              <w:t>11,607,984.00</w:t>
            </w:r>
          </w:p>
        </w:tc>
      </w:tr>
      <w:tr>
        <w:trPr>
          <w:trHeight w:val="372" w:hRule="exact"/>
        </w:trPr>
        <w:tc>
          <w:tcPr>
            <w:tcW w:w="1802" w:type="dxa"/>
            <w:tcBorders>
              <w:top w:val="nil" w:sz="6" w:space="0" w:color="auto"/>
              <w:left w:val="nil" w:sz="6" w:space="0" w:color="auto"/>
              <w:bottom w:val="nil" w:sz="6" w:space="0" w:color="auto"/>
              <w:right w:val="nil" w:sz="6" w:space="0" w:color="auto"/>
            </w:tcBorders>
          </w:tcPr>
          <w:p>
            <w:pPr>
              <w:pStyle w:val="TableParagraph"/>
              <w:tabs>
                <w:tab w:pos="1130" w:val="left" w:leader="none"/>
              </w:tabs>
              <w:spacing w:line="240" w:lineRule="auto" w:before="14"/>
              <w:ind w:left="467" w:right="0"/>
              <w:jc w:val="left"/>
              <w:rPr>
                <w:rFonts w:ascii="宋体" w:hAnsi="宋体" w:cs="宋体" w:eastAsia="宋体" w:hint="default"/>
                <w:sz w:val="22"/>
                <w:szCs w:val="22"/>
              </w:rPr>
            </w:pPr>
            <w:r>
              <w:rPr>
                <w:rFonts w:ascii="宋体" w:hAnsi="宋体" w:cs="宋体" w:eastAsia="宋体" w:hint="default"/>
                <w:sz w:val="22"/>
                <w:szCs w:val="22"/>
              </w:rPr>
              <w:t>合</w:t>
              <w:tab/>
              <w:t>计</w:t>
            </w:r>
          </w:p>
        </w:tc>
        <w:tc>
          <w:tcPr>
            <w:tcW w:w="283" w:type="dxa"/>
            <w:tcBorders>
              <w:top w:val="nil" w:sz="6" w:space="0" w:color="auto"/>
              <w:left w:val="nil" w:sz="6" w:space="0" w:color="auto"/>
              <w:bottom w:val="nil" w:sz="6" w:space="0" w:color="auto"/>
              <w:right w:val="nil" w:sz="6" w:space="0" w:color="auto"/>
            </w:tcBorders>
          </w:tcPr>
          <w:p>
            <w:pPr/>
          </w:p>
        </w:tc>
        <w:tc>
          <w:tcPr>
            <w:tcW w:w="1756"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right="94"/>
              <w:jc w:val="right"/>
              <w:rPr>
                <w:rFonts w:ascii="Times New Roman" w:hAnsi="Times New Roman" w:cs="Times New Roman" w:eastAsia="Times New Roman" w:hint="default"/>
                <w:sz w:val="22"/>
                <w:szCs w:val="22"/>
              </w:rPr>
            </w:pPr>
            <w:r>
              <w:rPr>
                <w:rFonts w:ascii="Times New Roman"/>
                <w:spacing w:val="-1"/>
                <w:sz w:val="22"/>
              </w:rPr>
              <w:t>27,805,456.12</w:t>
            </w:r>
            <w:r>
              <w:rPr>
                <w:rFonts w:ascii="Times New Roman"/>
                <w:sz w:val="22"/>
              </w:rPr>
            </w:r>
          </w:p>
        </w:tc>
        <w:tc>
          <w:tcPr>
            <w:tcW w:w="209" w:type="dxa"/>
            <w:tcBorders>
              <w:top w:val="nil" w:sz="6" w:space="0" w:color="auto"/>
              <w:left w:val="nil" w:sz="6" w:space="0" w:color="auto"/>
              <w:bottom w:val="nil" w:sz="6" w:space="0" w:color="auto"/>
              <w:right w:val="nil" w:sz="6" w:space="0" w:color="auto"/>
            </w:tcBorders>
          </w:tcPr>
          <w:p>
            <w:pPr/>
          </w:p>
        </w:tc>
        <w:tc>
          <w:tcPr>
            <w:tcW w:w="1457" w:type="dxa"/>
            <w:tcBorders>
              <w:top w:val="single" w:sz="8" w:space="0" w:color="000000"/>
              <w:left w:val="nil" w:sz="6" w:space="0" w:color="auto"/>
              <w:bottom w:val="single" w:sz="8" w:space="0" w:color="000000"/>
              <w:right w:val="nil" w:sz="6" w:space="0" w:color="auto"/>
            </w:tcBorders>
          </w:tcPr>
          <w:p>
            <w:pPr>
              <w:pStyle w:val="TableParagraph"/>
              <w:spacing w:line="240" w:lineRule="auto" w:before="37"/>
              <w:ind w:left="105" w:right="0"/>
              <w:jc w:val="center"/>
              <w:rPr>
                <w:rFonts w:ascii="Times New Roman" w:hAnsi="Times New Roman" w:cs="Times New Roman" w:eastAsia="Times New Roman" w:hint="default"/>
                <w:sz w:val="22"/>
                <w:szCs w:val="22"/>
              </w:rPr>
            </w:pPr>
            <w:r>
              <w:rPr>
                <w:rFonts w:ascii="Times New Roman"/>
                <w:sz w:val="22"/>
              </w:rPr>
              <w:t>7,018,495.90</w:t>
            </w:r>
          </w:p>
        </w:tc>
        <w:tc>
          <w:tcPr>
            <w:tcW w:w="237" w:type="dxa"/>
            <w:tcBorders>
              <w:top w:val="nil" w:sz="6" w:space="0" w:color="auto"/>
              <w:left w:val="nil" w:sz="6" w:space="0" w:color="auto"/>
              <w:bottom w:val="nil" w:sz="6" w:space="0" w:color="auto"/>
              <w:right w:val="nil" w:sz="6" w:space="0" w:color="auto"/>
            </w:tcBorders>
          </w:tcPr>
          <w:p>
            <w:pPr/>
          </w:p>
        </w:tc>
        <w:tc>
          <w:tcPr>
            <w:tcW w:w="3062" w:type="dxa"/>
            <w:tcBorders>
              <w:top w:val="single" w:sz="8" w:space="0" w:color="000000"/>
              <w:left w:val="nil" w:sz="6" w:space="0" w:color="auto"/>
              <w:bottom w:val="single" w:sz="8" w:space="0" w:color="000000"/>
              <w:right w:val="nil" w:sz="6" w:space="0" w:color="auto"/>
            </w:tcBorders>
          </w:tcPr>
          <w:p>
            <w:pPr>
              <w:pStyle w:val="TableParagraph"/>
              <w:tabs>
                <w:tab w:pos="806" w:val="left" w:leader="none"/>
              </w:tabs>
              <w:spacing w:line="240" w:lineRule="auto" w:before="37"/>
              <w:ind w:right="93"/>
              <w:jc w:val="right"/>
              <w:rPr>
                <w:rFonts w:ascii="Times New Roman" w:hAnsi="Times New Roman" w:cs="Times New Roman" w:eastAsia="Times New Roman" w:hint="default"/>
                <w:sz w:val="22"/>
                <w:szCs w:val="22"/>
              </w:rPr>
            </w:pPr>
            <w:r>
              <w:rPr>
                <w:rFonts w:ascii="Times New Roman"/>
                <w:sz w:val="22"/>
              </w:rPr>
              <w:t>-</w:t>
              <w:tab/>
              <w:t>34,823,952.02</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4"/>
        <w:rPr>
          <w:rFonts w:ascii="Microsoft JhengHei" w:hAnsi="Microsoft JhengHei" w:cs="Microsoft JhengHei" w:eastAsia="Microsoft JhengHei" w:hint="default"/>
          <w:b/>
          <w:bCs/>
          <w:sz w:val="12"/>
          <w:szCs w:val="12"/>
        </w:rPr>
      </w:pPr>
    </w:p>
    <w:p>
      <w:pPr>
        <w:pStyle w:val="BodyText"/>
        <w:spacing w:line="336" w:lineRule="auto" w:before="27"/>
        <w:ind w:right="388" w:firstLine="480"/>
        <w:jc w:val="left"/>
      </w:pPr>
      <w:r>
        <w:rPr/>
        <w:pict>
          <v:group style="position:absolute;margin-left:194.699997pt;margin-top:-31.433964pt;width:87.8pt;height:.1pt;mso-position-horizontal-relative:page;mso-position-vertical-relative:paragraph;z-index:-589360" coordorigin="3894,-629" coordsize="1756,2">
            <v:shape style="position:absolute;left:3894;top:-629;width:1756;height:2" coordorigin="3894,-629" coordsize="1756,0" path="m3894,-629l5650,-629e" filled="false" stroked="true" strokeweight=".95999pt" strokecolor="#000000">
              <v:path arrowok="t"/>
            </v:shape>
            <w10:wrap type="none"/>
          </v:group>
        </w:pict>
      </w:r>
      <w:r>
        <w:rPr/>
        <w:pict>
          <v:group style="position:absolute;margin-left:292.920013pt;margin-top:-31.433964pt;width:72.850pt;height:.1pt;mso-position-horizontal-relative:page;mso-position-vertical-relative:paragraph;z-index:-589336" coordorigin="5858,-629" coordsize="1457,2">
            <v:shape style="position:absolute;left:5858;top:-629;width:1457;height:2" coordorigin="5858,-629" coordsize="1457,0" path="m5858,-629l7315,-629e" filled="false" stroked="true" strokeweight=".95999pt" strokecolor="#000000">
              <v:path arrowok="t"/>
            </v:shape>
            <w10:wrap type="none"/>
          </v:group>
        </w:pict>
      </w:r>
      <w:r>
        <w:rPr/>
        <w:pict>
          <v:group style="position:absolute;margin-left:377.160004pt;margin-top:-31.913958pt;width:64.75pt;height:2.9pt;mso-position-horizontal-relative:page;mso-position-vertical-relative:paragraph;z-index:-589312" coordorigin="7543,-638" coordsize="1295,58">
            <v:group style="position:absolute;left:7553;top:-629;width:1276;height:2" coordorigin="7553,-629" coordsize="1276,2">
              <v:shape style="position:absolute;left:7553;top:-629;width:1276;height:2" coordorigin="7553,-629" coordsize="1276,0" path="m7553,-629l8828,-629e" filled="false" stroked="true" strokeweight=".95999pt" strokecolor="#000000">
                <v:path arrowok="t"/>
              </v:shape>
            </v:group>
            <v:group style="position:absolute;left:7553;top:-590;width:1276;height:2" coordorigin="7553,-590" coordsize="1276,2">
              <v:shape style="position:absolute;left:7553;top:-590;width:1276;height:2" coordorigin="7553,-590" coordsize="1276,0" path="m7553,-590l8828,-590e" filled="false" stroked="true" strokeweight=".96002pt" strokecolor="#000000">
                <v:path arrowok="t"/>
              </v:shape>
            </v:group>
            <w10:wrap type="none"/>
          </v:group>
        </w:pict>
      </w:r>
      <w:r>
        <w:rPr/>
        <w:pict>
          <v:group style="position:absolute;margin-left:448.859985pt;margin-top:-31.433964pt;width:81.850pt;height:.1pt;mso-position-horizontal-relative:page;mso-position-vertical-relative:paragraph;z-index:-589288" coordorigin="8977,-629" coordsize="1637,2">
            <v:shape style="position:absolute;left:8977;top:-629;width:1637;height:2" coordorigin="8977,-629" coordsize="1637,0" path="m8977,-629l10614,-629e" filled="false" stroked="true" strokeweight=".95999pt" strokecolor="#000000">
              <v:path arrowok="t"/>
            </v:shape>
            <w10:wrap type="none"/>
          </v:group>
        </w:pict>
      </w:r>
      <w:r>
        <w:rPr>
          <w:spacing w:val="-9"/>
        </w:rPr>
        <w:t>注：2007 </w:t>
      </w:r>
      <w:r>
        <w:rPr/>
        <w:t>年本公司按照税后利润的</w:t>
      </w:r>
      <w:r>
        <w:rPr>
          <w:spacing w:val="-92"/>
        </w:rPr>
        <w:t> </w:t>
      </w:r>
      <w:r>
        <w:rPr>
          <w:spacing w:val="-5"/>
        </w:rPr>
        <w:t>10％、5％提取法定盈余公积和任意盈余</w:t>
      </w:r>
      <w:r>
        <w:rPr>
          <w:spacing w:val="-2"/>
          <w:w w:val="100"/>
        </w:rPr>
        <w:t> </w:t>
      </w:r>
      <w:r>
        <w:rPr>
          <w:spacing w:val="-2"/>
        </w:rPr>
        <w:t>公积。</w:t>
      </w:r>
      <w:r>
        <w:rPr/>
      </w:r>
    </w:p>
    <w:p>
      <w:pPr>
        <w:pStyle w:val="Heading3"/>
        <w:spacing w:line="372" w:lineRule="exact"/>
        <w:ind w:right="388"/>
        <w:jc w:val="left"/>
        <w:rPr>
          <w:b w:val="0"/>
          <w:bCs w:val="0"/>
        </w:rPr>
      </w:pPr>
      <w:r>
        <w:rPr/>
        <w:t>29、未分配利润</w:t>
      </w:r>
      <w:r>
        <w:rPr>
          <w:b w:val="0"/>
          <w:bCs w:val="0"/>
        </w:rPr>
      </w:r>
    </w:p>
    <w:p>
      <w:pPr>
        <w:spacing w:after="0" w:line="372" w:lineRule="exact"/>
        <w:jc w:val="left"/>
        <w:sectPr>
          <w:headerReference w:type="default" r:id="rId53"/>
          <w:pgSz w:w="11910" w:h="16840"/>
          <w:pgMar w:header="840" w:footer="1712" w:top="1160" w:bottom="1900" w:left="1660" w:right="1020"/>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151" w:type="dxa"/>
        <w:tblLayout w:type="fixed"/>
        <w:tblCellMar>
          <w:top w:w="0" w:type="dxa"/>
          <w:left w:w="0" w:type="dxa"/>
          <w:bottom w:w="0" w:type="dxa"/>
          <w:right w:w="0" w:type="dxa"/>
        </w:tblCellMar>
        <w:tblLook w:val="01E0"/>
      </w:tblPr>
      <w:tblGrid>
        <w:gridCol w:w="2833"/>
        <w:gridCol w:w="516"/>
        <w:gridCol w:w="2508"/>
        <w:gridCol w:w="532"/>
        <w:gridCol w:w="2508"/>
      </w:tblGrid>
      <w:tr>
        <w:trPr>
          <w:trHeight w:val="330" w:hRule="exact"/>
        </w:trPr>
        <w:tc>
          <w:tcPr>
            <w:tcW w:w="2833" w:type="dxa"/>
            <w:tcBorders>
              <w:top w:val="nil" w:sz="6" w:space="0" w:color="auto"/>
              <w:left w:val="nil" w:sz="6" w:space="0" w:color="auto"/>
              <w:bottom w:val="single" w:sz="5" w:space="0" w:color="000000"/>
              <w:right w:val="nil" w:sz="6" w:space="0" w:color="auto"/>
            </w:tcBorders>
          </w:tcPr>
          <w:p>
            <w:pPr>
              <w:pStyle w:val="TableParagraph"/>
              <w:tabs>
                <w:tab w:pos="520" w:val="left" w:leader="none"/>
              </w:tabs>
              <w:spacing w:line="240" w:lineRule="auto" w:before="17"/>
              <w:ind w:left="4" w:right="0"/>
              <w:jc w:val="center"/>
              <w:rPr>
                <w:rFonts w:ascii="宋体" w:hAnsi="宋体" w:cs="宋体" w:eastAsia="宋体" w:hint="default"/>
                <w:sz w:val="19"/>
                <w:szCs w:val="19"/>
              </w:rPr>
            </w:pP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tc>
        <w:tc>
          <w:tcPr>
            <w:tcW w:w="516"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single" w:sz="5" w:space="0" w:color="000000"/>
              <w:right w:val="nil" w:sz="6" w:space="0" w:color="auto"/>
            </w:tcBorders>
          </w:tcPr>
          <w:p>
            <w:pPr>
              <w:pStyle w:val="TableParagraph"/>
              <w:spacing w:line="240" w:lineRule="auto" w:before="17"/>
              <w:ind w:right="9"/>
              <w:jc w:val="center"/>
              <w:rPr>
                <w:rFonts w:ascii="宋体" w:hAnsi="宋体" w:cs="宋体" w:eastAsia="宋体" w:hint="default"/>
                <w:sz w:val="19"/>
                <w:szCs w:val="19"/>
              </w:rPr>
            </w:pPr>
            <w:r>
              <w:rPr>
                <w:rFonts w:ascii="宋体" w:hAnsi="宋体" w:cs="宋体" w:eastAsia="宋体" w:hint="default"/>
                <w:spacing w:val="6"/>
                <w:w w:val="105"/>
                <w:sz w:val="19"/>
                <w:szCs w:val="19"/>
              </w:rPr>
              <w:t>本年数</w:t>
            </w:r>
            <w:r>
              <w:rPr>
                <w:rFonts w:ascii="宋体" w:hAnsi="宋体" w:cs="宋体" w:eastAsia="宋体" w:hint="default"/>
                <w:spacing w:val="6"/>
                <w:sz w:val="19"/>
                <w:szCs w:val="19"/>
              </w:rPr>
            </w:r>
          </w:p>
        </w:tc>
        <w:tc>
          <w:tcPr>
            <w:tcW w:w="532"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single" w:sz="5" w:space="0" w:color="000000"/>
              <w:right w:val="nil" w:sz="6" w:space="0" w:color="auto"/>
            </w:tcBorders>
          </w:tcPr>
          <w:p>
            <w:pPr>
              <w:pStyle w:val="TableParagraph"/>
              <w:spacing w:line="240" w:lineRule="auto" w:before="17"/>
              <w:ind w:right="9"/>
              <w:jc w:val="center"/>
              <w:rPr>
                <w:rFonts w:ascii="宋体" w:hAnsi="宋体" w:cs="宋体" w:eastAsia="宋体" w:hint="default"/>
                <w:sz w:val="19"/>
                <w:szCs w:val="19"/>
              </w:rPr>
            </w:pPr>
            <w:r>
              <w:rPr>
                <w:rFonts w:ascii="宋体" w:hAnsi="宋体" w:cs="宋体" w:eastAsia="宋体" w:hint="default"/>
                <w:spacing w:val="6"/>
                <w:w w:val="105"/>
                <w:sz w:val="19"/>
                <w:szCs w:val="19"/>
              </w:rPr>
              <w:t>上年数</w:t>
            </w:r>
            <w:r>
              <w:rPr>
                <w:rFonts w:ascii="宋体" w:hAnsi="宋体" w:cs="宋体" w:eastAsia="宋体" w:hint="default"/>
                <w:spacing w:val="6"/>
                <w:sz w:val="19"/>
                <w:szCs w:val="19"/>
              </w:rPr>
            </w:r>
          </w:p>
        </w:tc>
      </w:tr>
      <w:tr>
        <w:trPr>
          <w:trHeight w:val="358" w:hRule="exact"/>
        </w:trPr>
        <w:tc>
          <w:tcPr>
            <w:tcW w:w="2833" w:type="dxa"/>
            <w:tcBorders>
              <w:top w:val="single" w:sz="5" w:space="0" w:color="000000"/>
              <w:left w:val="nil" w:sz="6" w:space="0" w:color="auto"/>
              <w:bottom w:val="nil" w:sz="6" w:space="0" w:color="auto"/>
              <w:right w:val="nil" w:sz="6" w:space="0" w:color="auto"/>
            </w:tcBorders>
          </w:tcPr>
          <w:p>
            <w:pPr>
              <w:pStyle w:val="TableParagraph"/>
              <w:spacing w:line="301" w:lineRule="exact"/>
              <w:ind w:left="133" w:right="0"/>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pacing w:val="13"/>
                <w:w w:val="105"/>
                <w:sz w:val="19"/>
                <w:szCs w:val="19"/>
              </w:rPr>
              <w:t>上年年末余额</w:t>
            </w:r>
            <w:r>
              <w:rPr>
                <w:rFonts w:ascii="Microsoft JhengHei" w:hAnsi="Microsoft JhengHei" w:cs="Microsoft JhengHei" w:eastAsia="Microsoft JhengHei" w:hint="default"/>
                <w:spacing w:val="13"/>
                <w:sz w:val="19"/>
                <w:szCs w:val="19"/>
              </w:rPr>
            </w:r>
          </w:p>
        </w:tc>
        <w:tc>
          <w:tcPr>
            <w:tcW w:w="516" w:type="dxa"/>
            <w:tcBorders>
              <w:top w:val="nil" w:sz="6" w:space="0" w:color="auto"/>
              <w:left w:val="nil" w:sz="6" w:space="0" w:color="auto"/>
              <w:bottom w:val="nil" w:sz="6" w:space="0" w:color="auto"/>
              <w:right w:val="nil" w:sz="6" w:space="0" w:color="auto"/>
            </w:tcBorders>
          </w:tcPr>
          <w:p>
            <w:pPr/>
          </w:p>
        </w:tc>
        <w:tc>
          <w:tcPr>
            <w:tcW w:w="2508" w:type="dxa"/>
            <w:tcBorders>
              <w:top w:val="single" w:sz="5" w:space="0" w:color="000000"/>
              <w:left w:val="nil" w:sz="6" w:space="0" w:color="auto"/>
              <w:bottom w:val="nil" w:sz="6" w:space="0" w:color="auto"/>
              <w:right w:val="nil" w:sz="6" w:space="0" w:color="auto"/>
            </w:tcBorders>
          </w:tcPr>
          <w:p>
            <w:pPr>
              <w:pStyle w:val="TableParagraph"/>
              <w:spacing w:line="240" w:lineRule="auto" w:before="54"/>
              <w:ind w:right="101"/>
              <w:jc w:val="right"/>
              <w:rPr>
                <w:rFonts w:ascii="Times New Roman" w:hAnsi="Times New Roman" w:cs="Times New Roman" w:eastAsia="Times New Roman" w:hint="default"/>
                <w:sz w:val="19"/>
                <w:szCs w:val="19"/>
              </w:rPr>
            </w:pPr>
            <w:r>
              <w:rPr>
                <w:rFonts w:ascii="Times New Roman"/>
                <w:spacing w:val="4"/>
                <w:sz w:val="19"/>
              </w:rPr>
              <w:t>74,456,975.23</w:t>
            </w:r>
            <w:r>
              <w:rPr>
                <w:rFonts w:ascii="Times New Roman"/>
                <w:sz w:val="19"/>
              </w:rPr>
            </w:r>
          </w:p>
        </w:tc>
        <w:tc>
          <w:tcPr>
            <w:tcW w:w="532" w:type="dxa"/>
            <w:tcBorders>
              <w:top w:val="nil" w:sz="6" w:space="0" w:color="auto"/>
              <w:left w:val="nil" w:sz="6" w:space="0" w:color="auto"/>
              <w:bottom w:val="nil" w:sz="6" w:space="0" w:color="auto"/>
              <w:right w:val="nil" w:sz="6" w:space="0" w:color="auto"/>
            </w:tcBorders>
          </w:tcPr>
          <w:p>
            <w:pPr/>
          </w:p>
        </w:tc>
        <w:tc>
          <w:tcPr>
            <w:tcW w:w="2508" w:type="dxa"/>
            <w:tcBorders>
              <w:top w:val="single" w:sz="5" w:space="0" w:color="000000"/>
              <w:left w:val="nil" w:sz="6" w:space="0" w:color="auto"/>
              <w:bottom w:val="nil" w:sz="6" w:space="0" w:color="auto"/>
              <w:right w:val="nil" w:sz="6" w:space="0" w:color="auto"/>
            </w:tcBorders>
          </w:tcPr>
          <w:p>
            <w:pPr>
              <w:pStyle w:val="TableParagraph"/>
              <w:spacing w:line="240" w:lineRule="auto" w:before="54"/>
              <w:ind w:right="101"/>
              <w:jc w:val="right"/>
              <w:rPr>
                <w:rFonts w:ascii="Times New Roman" w:hAnsi="Times New Roman" w:cs="Times New Roman" w:eastAsia="Times New Roman" w:hint="default"/>
                <w:sz w:val="19"/>
                <w:szCs w:val="19"/>
              </w:rPr>
            </w:pPr>
            <w:r>
              <w:rPr>
                <w:rFonts w:ascii="Times New Roman"/>
                <w:spacing w:val="4"/>
                <w:sz w:val="19"/>
              </w:rPr>
              <w:t>62,994,837.39</w:t>
            </w:r>
            <w:r>
              <w:rPr>
                <w:rFonts w:ascii="Times New Roman"/>
                <w:sz w:val="19"/>
              </w:rPr>
            </w:r>
          </w:p>
        </w:tc>
      </w:tr>
      <w:tr>
        <w:trPr>
          <w:trHeight w:val="1045"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336" w:lineRule="auto" w:before="28"/>
              <w:ind w:left="457" w:right="1131" w:hanging="324"/>
              <w:jc w:val="left"/>
              <w:rPr>
                <w:rFonts w:ascii="宋体" w:hAnsi="宋体" w:cs="宋体" w:eastAsia="宋体" w:hint="default"/>
                <w:sz w:val="19"/>
                <w:szCs w:val="19"/>
              </w:rPr>
            </w:pPr>
            <w:r>
              <w:rPr>
                <w:rFonts w:ascii="宋体" w:hAnsi="宋体" w:cs="宋体" w:eastAsia="宋体" w:hint="default"/>
                <w:spacing w:val="5"/>
                <w:w w:val="105"/>
                <w:sz w:val="19"/>
                <w:szCs w:val="19"/>
              </w:rPr>
              <w:t>加:</w:t>
            </w:r>
            <w:r>
              <w:rPr>
                <w:rFonts w:ascii="宋体" w:hAnsi="宋体" w:cs="宋体" w:eastAsia="宋体" w:hint="default"/>
                <w:spacing w:val="-91"/>
                <w:w w:val="105"/>
                <w:sz w:val="19"/>
                <w:szCs w:val="19"/>
              </w:rPr>
              <w:t> </w:t>
            </w:r>
            <w:r>
              <w:rPr>
                <w:rFonts w:ascii="宋体" w:hAnsi="宋体" w:cs="宋体" w:eastAsia="宋体" w:hint="default"/>
                <w:spacing w:val="8"/>
                <w:w w:val="105"/>
                <w:sz w:val="19"/>
                <w:szCs w:val="19"/>
              </w:rPr>
              <w:t>会计政策变</w:t>
            </w:r>
            <w:r>
              <w:rPr>
                <w:rFonts w:ascii="宋体" w:hAnsi="宋体" w:cs="宋体" w:eastAsia="宋体" w:hint="default"/>
                <w:spacing w:val="-88"/>
                <w:w w:val="105"/>
                <w:sz w:val="19"/>
                <w:szCs w:val="19"/>
              </w:rPr>
              <w:t> </w:t>
            </w:r>
            <w:r>
              <w:rPr>
                <w:rFonts w:ascii="宋体" w:hAnsi="宋体" w:cs="宋体" w:eastAsia="宋体" w:hint="default"/>
                <w:w w:val="105"/>
                <w:sz w:val="19"/>
                <w:szCs w:val="19"/>
              </w:rPr>
              <w:t>更</w:t>
            </w:r>
            <w:r>
              <w:rPr>
                <w:rFonts w:ascii="宋体" w:hAnsi="宋体" w:cs="宋体" w:eastAsia="宋体" w:hint="default"/>
                <w:w w:val="102"/>
                <w:sz w:val="19"/>
                <w:szCs w:val="19"/>
              </w:rPr>
              <w:t> </w:t>
            </w:r>
            <w:r>
              <w:rPr>
                <w:rFonts w:ascii="宋体" w:hAnsi="宋体" w:cs="宋体" w:eastAsia="宋体" w:hint="default"/>
                <w:spacing w:val="8"/>
                <w:sz w:val="19"/>
                <w:szCs w:val="19"/>
              </w:rPr>
              <w:t>前期差错更</w:t>
            </w:r>
            <w:r>
              <w:rPr>
                <w:rFonts w:ascii="宋体" w:hAnsi="宋体" w:cs="宋体" w:eastAsia="宋体" w:hint="default"/>
                <w:spacing w:val="-34"/>
                <w:sz w:val="19"/>
                <w:szCs w:val="19"/>
              </w:rPr>
              <w:t> </w:t>
            </w:r>
            <w:r>
              <w:rPr>
                <w:rFonts w:ascii="宋体" w:hAnsi="宋体" w:cs="宋体" w:eastAsia="宋体" w:hint="default"/>
                <w:sz w:val="19"/>
                <w:szCs w:val="19"/>
              </w:rPr>
              <w:t>正</w:t>
            </w:r>
          </w:p>
          <w:p>
            <w:pPr>
              <w:pStyle w:val="TableParagraph"/>
              <w:spacing w:line="295" w:lineRule="exact"/>
              <w:ind w:left="133" w:right="0"/>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pacing w:val="13"/>
                <w:w w:val="105"/>
                <w:sz w:val="19"/>
                <w:szCs w:val="19"/>
              </w:rPr>
              <w:t>本年年初余额</w:t>
            </w:r>
            <w:r>
              <w:rPr>
                <w:rFonts w:ascii="Microsoft JhengHei" w:hAnsi="Microsoft JhengHei" w:cs="Microsoft JhengHei" w:eastAsia="Microsoft JhengHei" w:hint="default"/>
                <w:spacing w:val="13"/>
                <w:sz w:val="19"/>
                <w:szCs w:val="19"/>
              </w:rPr>
            </w:r>
          </w:p>
        </w:tc>
        <w:tc>
          <w:tcPr>
            <w:tcW w:w="516"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09" w:right="0"/>
              <w:jc w:val="left"/>
              <w:rPr>
                <w:rFonts w:ascii="Times New Roman" w:hAnsi="Times New Roman" w:cs="Times New Roman" w:eastAsia="Times New Roman" w:hint="default"/>
                <w:sz w:val="19"/>
                <w:szCs w:val="19"/>
              </w:rPr>
            </w:pPr>
            <w:r>
              <w:rPr>
                <w:rFonts w:ascii="Times New Roman"/>
                <w:spacing w:val="4"/>
                <w:w w:val="105"/>
                <w:sz w:val="19"/>
              </w:rPr>
              <w:t>12,028,287.41</w:t>
            </w:r>
            <w:r>
              <w:rPr>
                <w:rFonts w:ascii="Times New Roman"/>
                <w:sz w:val="19"/>
              </w:rPr>
            </w:r>
          </w:p>
          <w:p>
            <w:pPr>
              <w:pStyle w:val="TableParagraph"/>
              <w:spacing w:line="240" w:lineRule="auto" w:before="130"/>
              <w:ind w:right="301"/>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p>
            <w:pPr>
              <w:pStyle w:val="TableParagraph"/>
              <w:spacing w:line="240" w:lineRule="auto" w:before="130"/>
              <w:ind w:left="1209" w:right="0"/>
              <w:jc w:val="left"/>
              <w:rPr>
                <w:rFonts w:ascii="Times New Roman" w:hAnsi="Times New Roman" w:cs="Times New Roman" w:eastAsia="Times New Roman" w:hint="default"/>
                <w:sz w:val="19"/>
                <w:szCs w:val="19"/>
              </w:rPr>
            </w:pPr>
            <w:r>
              <w:rPr>
                <w:rFonts w:ascii="Times New Roman"/>
                <w:spacing w:val="4"/>
                <w:w w:val="105"/>
                <w:sz w:val="19"/>
              </w:rPr>
              <w:t>86,485,262.64</w:t>
            </w:r>
            <w:r>
              <w:rPr>
                <w:rFonts w:ascii="Times New Roman"/>
                <w:sz w:val="19"/>
              </w:rPr>
            </w:r>
          </w:p>
        </w:tc>
        <w:tc>
          <w:tcPr>
            <w:tcW w:w="532"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09" w:right="0"/>
              <w:jc w:val="center"/>
              <w:rPr>
                <w:rFonts w:ascii="Times New Roman" w:hAnsi="Times New Roman" w:cs="Times New Roman" w:eastAsia="Times New Roman" w:hint="default"/>
                <w:sz w:val="19"/>
                <w:szCs w:val="19"/>
              </w:rPr>
            </w:pPr>
            <w:r>
              <w:rPr>
                <w:rFonts w:ascii="Times New Roman"/>
                <w:spacing w:val="4"/>
                <w:w w:val="105"/>
                <w:sz w:val="19"/>
              </w:rPr>
              <w:t>7,223,994.46</w:t>
            </w:r>
            <w:r>
              <w:rPr>
                <w:rFonts w:ascii="Times New Roman"/>
                <w:sz w:val="19"/>
              </w:rPr>
            </w:r>
          </w:p>
          <w:p>
            <w:pPr>
              <w:pStyle w:val="TableParagraph"/>
              <w:spacing w:line="240" w:lineRule="auto" w:before="130"/>
              <w:ind w:right="301"/>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p>
            <w:pPr>
              <w:pStyle w:val="TableParagraph"/>
              <w:spacing w:line="240" w:lineRule="auto" w:before="130"/>
              <w:ind w:left="1106" w:right="0"/>
              <w:jc w:val="center"/>
              <w:rPr>
                <w:rFonts w:ascii="Times New Roman" w:hAnsi="Times New Roman" w:cs="Times New Roman" w:eastAsia="Times New Roman" w:hint="default"/>
                <w:sz w:val="19"/>
                <w:szCs w:val="19"/>
              </w:rPr>
            </w:pPr>
            <w:r>
              <w:rPr>
                <w:rFonts w:ascii="Times New Roman"/>
                <w:spacing w:val="4"/>
                <w:w w:val="105"/>
                <w:sz w:val="19"/>
              </w:rPr>
              <w:t>70,218,831.85</w:t>
            </w:r>
            <w:r>
              <w:rPr>
                <w:rFonts w:ascii="Times New Roman"/>
                <w:sz w:val="19"/>
              </w:rPr>
            </w:r>
          </w:p>
        </w:tc>
      </w:tr>
      <w:tr>
        <w:trPr>
          <w:trHeight w:val="344"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33" w:right="0"/>
              <w:jc w:val="left"/>
              <w:rPr>
                <w:rFonts w:ascii="宋体" w:hAnsi="宋体" w:cs="宋体" w:eastAsia="宋体" w:hint="default"/>
                <w:sz w:val="19"/>
                <w:szCs w:val="19"/>
              </w:rPr>
            </w:pPr>
            <w:r>
              <w:rPr>
                <w:rFonts w:ascii="宋体" w:hAnsi="宋体" w:cs="宋体" w:eastAsia="宋体" w:hint="default"/>
                <w:spacing w:val="5"/>
                <w:sz w:val="19"/>
                <w:szCs w:val="19"/>
              </w:rPr>
              <w:t>加:</w:t>
            </w:r>
            <w:r>
              <w:rPr>
                <w:rFonts w:ascii="宋体" w:hAnsi="宋体" w:cs="宋体" w:eastAsia="宋体" w:hint="default"/>
                <w:spacing w:val="-35"/>
                <w:sz w:val="19"/>
                <w:szCs w:val="19"/>
              </w:rPr>
              <w:t> </w:t>
            </w:r>
            <w:r>
              <w:rPr>
                <w:rFonts w:ascii="宋体" w:hAnsi="宋体" w:cs="宋体" w:eastAsia="宋体" w:hint="default"/>
                <w:spacing w:val="10"/>
                <w:sz w:val="19"/>
                <w:szCs w:val="19"/>
              </w:rPr>
              <w:t>合并净利润</w:t>
            </w:r>
            <w:r>
              <w:rPr>
                <w:rFonts w:ascii="宋体" w:hAnsi="宋体" w:cs="宋体" w:eastAsia="宋体" w:hint="default"/>
                <w:sz w:val="19"/>
                <w:szCs w:val="19"/>
              </w:rPr>
            </w:r>
          </w:p>
        </w:tc>
        <w:tc>
          <w:tcPr>
            <w:tcW w:w="516"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Times New Roman" w:hAnsi="Times New Roman" w:cs="Times New Roman" w:eastAsia="Times New Roman" w:hint="default"/>
                <w:sz w:val="19"/>
                <w:szCs w:val="19"/>
              </w:rPr>
            </w:pPr>
            <w:r>
              <w:rPr>
                <w:rFonts w:ascii="Times New Roman"/>
                <w:spacing w:val="4"/>
                <w:sz w:val="19"/>
              </w:rPr>
              <w:t>62,856,456.32</w:t>
            </w:r>
            <w:r>
              <w:rPr>
                <w:rFonts w:ascii="Times New Roman"/>
                <w:sz w:val="19"/>
              </w:rPr>
            </w:r>
          </w:p>
        </w:tc>
        <w:tc>
          <w:tcPr>
            <w:tcW w:w="532"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Times New Roman" w:hAnsi="Times New Roman" w:cs="Times New Roman" w:eastAsia="Times New Roman" w:hint="default"/>
                <w:sz w:val="19"/>
                <w:szCs w:val="19"/>
              </w:rPr>
            </w:pPr>
            <w:r>
              <w:rPr>
                <w:rFonts w:ascii="Times New Roman"/>
                <w:spacing w:val="4"/>
                <w:sz w:val="19"/>
              </w:rPr>
              <w:t>58,565,342.26</w:t>
            </w:r>
            <w:r>
              <w:rPr>
                <w:rFonts w:ascii="Times New Roman"/>
                <w:sz w:val="19"/>
              </w:rPr>
            </w:r>
          </w:p>
        </w:tc>
      </w:tr>
      <w:tr>
        <w:trPr>
          <w:trHeight w:val="1039"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336" w:lineRule="auto" w:before="21"/>
              <w:ind w:left="457" w:right="717"/>
              <w:jc w:val="left"/>
              <w:rPr>
                <w:rFonts w:ascii="宋体" w:hAnsi="宋体" w:cs="宋体" w:eastAsia="宋体" w:hint="default"/>
                <w:sz w:val="19"/>
                <w:szCs w:val="19"/>
              </w:rPr>
            </w:pPr>
            <w:r>
              <w:rPr>
                <w:rFonts w:ascii="宋体" w:hAnsi="宋体" w:cs="宋体" w:eastAsia="宋体" w:hint="default"/>
                <w:spacing w:val="8"/>
                <w:sz w:val="19"/>
                <w:szCs w:val="19"/>
              </w:rPr>
              <w:t>盈余公积弥</w:t>
            </w:r>
            <w:r>
              <w:rPr>
                <w:rFonts w:ascii="宋体" w:hAnsi="宋体" w:cs="宋体" w:eastAsia="宋体" w:hint="default"/>
                <w:spacing w:val="-28"/>
                <w:sz w:val="19"/>
                <w:szCs w:val="19"/>
              </w:rPr>
              <w:t> </w:t>
            </w:r>
            <w:r>
              <w:rPr>
                <w:rFonts w:ascii="宋体" w:hAnsi="宋体" w:cs="宋体" w:eastAsia="宋体" w:hint="default"/>
                <w:spacing w:val="7"/>
                <w:sz w:val="19"/>
                <w:szCs w:val="19"/>
              </w:rPr>
              <w:t>补亏损</w:t>
            </w:r>
            <w:r>
              <w:rPr>
                <w:rFonts w:ascii="宋体" w:hAnsi="宋体" w:cs="宋体" w:eastAsia="宋体" w:hint="default"/>
                <w:spacing w:val="-89"/>
                <w:sz w:val="19"/>
                <w:szCs w:val="19"/>
              </w:rPr>
              <w:t> </w:t>
            </w:r>
            <w:r>
              <w:rPr>
                <w:rFonts w:ascii="宋体" w:hAnsi="宋体" w:cs="宋体" w:eastAsia="宋体" w:hint="default"/>
                <w:spacing w:val="-89"/>
                <w:sz w:val="19"/>
                <w:szCs w:val="19"/>
              </w:rPr>
            </w:r>
            <w:r>
              <w:rPr>
                <w:rFonts w:ascii="宋体" w:hAnsi="宋体" w:cs="宋体" w:eastAsia="宋体" w:hint="default"/>
                <w:spacing w:val="7"/>
                <w:w w:val="105"/>
                <w:sz w:val="19"/>
                <w:szCs w:val="19"/>
              </w:rPr>
              <w:t>其他转入</w:t>
            </w:r>
            <w:r>
              <w:rPr>
                <w:rFonts w:ascii="宋体" w:hAnsi="宋体" w:cs="宋体" w:eastAsia="宋体" w:hint="default"/>
                <w:spacing w:val="7"/>
                <w:sz w:val="19"/>
                <w:szCs w:val="19"/>
              </w:rPr>
            </w:r>
          </w:p>
          <w:p>
            <w:pPr>
              <w:pStyle w:val="TableParagraph"/>
              <w:spacing w:line="240" w:lineRule="auto" w:before="24"/>
              <w:ind w:left="133" w:right="0"/>
              <w:jc w:val="left"/>
              <w:rPr>
                <w:rFonts w:ascii="宋体" w:hAnsi="宋体" w:cs="宋体" w:eastAsia="宋体" w:hint="default"/>
                <w:sz w:val="19"/>
                <w:szCs w:val="19"/>
              </w:rPr>
            </w:pPr>
            <w:r>
              <w:rPr>
                <w:rFonts w:ascii="宋体" w:hAnsi="宋体" w:cs="宋体" w:eastAsia="宋体" w:hint="default"/>
                <w:spacing w:val="5"/>
                <w:sz w:val="19"/>
                <w:szCs w:val="19"/>
              </w:rPr>
              <w:t>减:</w:t>
            </w:r>
            <w:r>
              <w:rPr>
                <w:rFonts w:ascii="宋体" w:hAnsi="宋体" w:cs="宋体" w:eastAsia="宋体" w:hint="default"/>
                <w:spacing w:val="-51"/>
                <w:sz w:val="19"/>
                <w:szCs w:val="19"/>
              </w:rPr>
              <w:t> </w:t>
            </w:r>
            <w:r>
              <w:rPr>
                <w:rFonts w:ascii="宋体" w:hAnsi="宋体" w:cs="宋体" w:eastAsia="宋体" w:hint="default"/>
                <w:spacing w:val="8"/>
                <w:sz w:val="19"/>
                <w:szCs w:val="19"/>
              </w:rPr>
              <w:t>提取法定盈</w:t>
            </w:r>
            <w:r>
              <w:rPr>
                <w:rFonts w:ascii="宋体" w:hAnsi="宋体" w:cs="宋体" w:eastAsia="宋体" w:hint="default"/>
                <w:spacing w:val="-37"/>
                <w:sz w:val="19"/>
                <w:szCs w:val="19"/>
              </w:rPr>
              <w:t> </w:t>
            </w:r>
            <w:r>
              <w:rPr>
                <w:rFonts w:ascii="宋体" w:hAnsi="宋体" w:cs="宋体" w:eastAsia="宋体" w:hint="default"/>
                <w:spacing w:val="7"/>
                <w:sz w:val="19"/>
                <w:szCs w:val="19"/>
              </w:rPr>
              <w:t>余公积</w:t>
            </w:r>
          </w:p>
        </w:tc>
        <w:tc>
          <w:tcPr>
            <w:tcW w:w="516"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01"/>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p>
            <w:pPr>
              <w:pStyle w:val="TableParagraph"/>
              <w:spacing w:line="384" w:lineRule="auto" w:before="116"/>
              <w:ind w:left="1312" w:right="101" w:firstLine="826"/>
              <w:jc w:val="left"/>
              <w:rPr>
                <w:rFonts w:ascii="Times New Roman" w:hAnsi="Times New Roman" w:cs="Times New Roman" w:eastAsia="Times New Roman" w:hint="default"/>
                <w:sz w:val="19"/>
                <w:szCs w:val="19"/>
              </w:rPr>
            </w:pPr>
            <w:r>
              <w:rPr>
                <w:rFonts w:ascii="Times New Roman"/>
                <w:w w:val="105"/>
                <w:sz w:val="19"/>
              </w:rPr>
              <w:t>-</w:t>
            </w:r>
            <w:r>
              <w:rPr>
                <w:rFonts w:ascii="Times New Roman"/>
                <w:w w:val="102"/>
                <w:sz w:val="19"/>
              </w:rPr>
              <w:t> </w:t>
            </w:r>
            <w:r>
              <w:rPr>
                <w:rFonts w:ascii="Times New Roman"/>
                <w:spacing w:val="4"/>
                <w:sz w:val="19"/>
              </w:rPr>
              <w:t>4,678,997.63</w:t>
            </w:r>
            <w:r>
              <w:rPr>
                <w:rFonts w:ascii="Times New Roman"/>
                <w:sz w:val="19"/>
              </w:rPr>
            </w:r>
          </w:p>
        </w:tc>
        <w:tc>
          <w:tcPr>
            <w:tcW w:w="532"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01"/>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p>
            <w:pPr>
              <w:pStyle w:val="TableParagraph"/>
              <w:spacing w:line="384" w:lineRule="auto" w:before="116"/>
              <w:ind w:left="1312" w:right="106" w:firstLine="826"/>
              <w:jc w:val="left"/>
              <w:rPr>
                <w:rFonts w:ascii="Times New Roman" w:hAnsi="Times New Roman" w:cs="Times New Roman" w:eastAsia="Times New Roman" w:hint="default"/>
                <w:sz w:val="19"/>
                <w:szCs w:val="19"/>
              </w:rPr>
            </w:pPr>
            <w:r>
              <w:rPr>
                <w:rFonts w:ascii="Times New Roman"/>
                <w:w w:val="105"/>
                <w:sz w:val="19"/>
              </w:rPr>
              <w:t>-</w:t>
            </w:r>
            <w:r>
              <w:rPr>
                <w:rFonts w:ascii="Times New Roman"/>
                <w:w w:val="102"/>
                <w:sz w:val="19"/>
              </w:rPr>
              <w:t> </w:t>
            </w:r>
            <w:r>
              <w:rPr>
                <w:rFonts w:ascii="Times New Roman"/>
                <w:spacing w:val="3"/>
                <w:w w:val="105"/>
                <w:sz w:val="19"/>
              </w:rPr>
              <w:t>4,240,701.83</w:t>
            </w:r>
            <w:r>
              <w:rPr>
                <w:rFonts w:ascii="Times New Roman"/>
                <w:spacing w:val="3"/>
                <w:sz w:val="19"/>
              </w:rPr>
            </w:r>
          </w:p>
        </w:tc>
      </w:tr>
      <w:tr>
        <w:trPr>
          <w:trHeight w:val="349"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57" w:right="0"/>
              <w:jc w:val="left"/>
              <w:rPr>
                <w:rFonts w:ascii="宋体" w:hAnsi="宋体" w:cs="宋体" w:eastAsia="宋体" w:hint="default"/>
                <w:sz w:val="19"/>
                <w:szCs w:val="19"/>
              </w:rPr>
            </w:pPr>
            <w:r>
              <w:rPr>
                <w:rFonts w:ascii="宋体" w:hAnsi="宋体" w:cs="宋体" w:eastAsia="宋体" w:hint="default"/>
                <w:spacing w:val="8"/>
                <w:sz w:val="19"/>
                <w:szCs w:val="19"/>
              </w:rPr>
              <w:t>提取任意盈</w:t>
            </w:r>
            <w:r>
              <w:rPr>
                <w:rFonts w:ascii="宋体" w:hAnsi="宋体" w:cs="宋体" w:eastAsia="宋体" w:hint="default"/>
                <w:spacing w:val="-21"/>
                <w:sz w:val="19"/>
                <w:szCs w:val="19"/>
              </w:rPr>
              <w:t> </w:t>
            </w:r>
            <w:r>
              <w:rPr>
                <w:rFonts w:ascii="宋体" w:hAnsi="宋体" w:cs="宋体" w:eastAsia="宋体" w:hint="default"/>
                <w:spacing w:val="7"/>
                <w:sz w:val="19"/>
                <w:szCs w:val="19"/>
              </w:rPr>
              <w:t>余公积</w:t>
            </w:r>
          </w:p>
        </w:tc>
        <w:tc>
          <w:tcPr>
            <w:tcW w:w="516"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1"/>
              <w:jc w:val="right"/>
              <w:rPr>
                <w:rFonts w:ascii="Times New Roman" w:hAnsi="Times New Roman" w:cs="Times New Roman" w:eastAsia="Times New Roman" w:hint="default"/>
                <w:sz w:val="19"/>
                <w:szCs w:val="19"/>
              </w:rPr>
            </w:pPr>
            <w:r>
              <w:rPr>
                <w:rFonts w:ascii="Times New Roman"/>
                <w:spacing w:val="4"/>
                <w:sz w:val="19"/>
              </w:rPr>
              <w:t>2,339,498.27</w:t>
            </w:r>
            <w:r>
              <w:rPr>
                <w:rFonts w:ascii="Times New Roman"/>
                <w:sz w:val="19"/>
              </w:rPr>
            </w:r>
          </w:p>
        </w:tc>
        <w:tc>
          <w:tcPr>
            <w:tcW w:w="532"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9"/>
                <w:szCs w:val="19"/>
              </w:rPr>
            </w:pPr>
            <w:r>
              <w:rPr>
                <w:rFonts w:ascii="Times New Roman"/>
                <w:spacing w:val="3"/>
                <w:sz w:val="19"/>
              </w:rPr>
              <w:t>2,120,350.91</w:t>
            </w:r>
          </w:p>
        </w:tc>
      </w:tr>
      <w:tr>
        <w:trPr>
          <w:trHeight w:val="346"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457" w:right="0"/>
              <w:jc w:val="left"/>
              <w:rPr>
                <w:rFonts w:ascii="宋体" w:hAnsi="宋体" w:cs="宋体" w:eastAsia="宋体" w:hint="default"/>
                <w:sz w:val="19"/>
                <w:szCs w:val="19"/>
              </w:rPr>
            </w:pPr>
            <w:r>
              <w:rPr>
                <w:rFonts w:ascii="宋体" w:hAnsi="宋体" w:cs="宋体" w:eastAsia="宋体" w:hint="default"/>
                <w:spacing w:val="8"/>
                <w:sz w:val="19"/>
                <w:szCs w:val="19"/>
              </w:rPr>
              <w:t>对股东的分</w:t>
            </w:r>
            <w:r>
              <w:rPr>
                <w:rFonts w:ascii="宋体" w:hAnsi="宋体" w:cs="宋体" w:eastAsia="宋体" w:hint="default"/>
                <w:spacing w:val="-34"/>
                <w:sz w:val="19"/>
                <w:szCs w:val="19"/>
              </w:rPr>
              <w:t> </w:t>
            </w:r>
            <w:r>
              <w:rPr>
                <w:rFonts w:ascii="宋体" w:hAnsi="宋体" w:cs="宋体" w:eastAsia="宋体" w:hint="default"/>
                <w:sz w:val="19"/>
                <w:szCs w:val="19"/>
              </w:rPr>
              <w:t>配</w:t>
            </w:r>
          </w:p>
        </w:tc>
        <w:tc>
          <w:tcPr>
            <w:tcW w:w="516"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1"/>
              <w:jc w:val="right"/>
              <w:rPr>
                <w:rFonts w:ascii="Times New Roman" w:hAnsi="Times New Roman" w:cs="Times New Roman" w:eastAsia="Times New Roman" w:hint="default"/>
                <w:sz w:val="19"/>
                <w:szCs w:val="19"/>
              </w:rPr>
            </w:pPr>
            <w:r>
              <w:rPr>
                <w:rFonts w:ascii="Times New Roman"/>
                <w:spacing w:val="4"/>
                <w:sz w:val="19"/>
              </w:rPr>
              <w:t>29,700,000.00</w:t>
            </w:r>
            <w:r>
              <w:rPr>
                <w:rFonts w:ascii="Times New Roman"/>
                <w:sz w:val="19"/>
              </w:rPr>
            </w:r>
          </w:p>
        </w:tc>
        <w:tc>
          <w:tcPr>
            <w:tcW w:w="532"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1"/>
              <w:jc w:val="right"/>
              <w:rPr>
                <w:rFonts w:ascii="Times New Roman" w:hAnsi="Times New Roman" w:cs="Times New Roman" w:eastAsia="Times New Roman" w:hint="default"/>
                <w:sz w:val="19"/>
                <w:szCs w:val="19"/>
              </w:rPr>
            </w:pPr>
            <w:r>
              <w:rPr>
                <w:rFonts w:ascii="Times New Roman"/>
                <w:spacing w:val="4"/>
                <w:sz w:val="19"/>
              </w:rPr>
              <w:t>30,000,000.00</w:t>
            </w:r>
            <w:r>
              <w:rPr>
                <w:rFonts w:ascii="Times New Roman"/>
                <w:sz w:val="19"/>
              </w:rPr>
            </w:r>
          </w:p>
        </w:tc>
      </w:tr>
      <w:tr>
        <w:trPr>
          <w:trHeight w:val="335"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57" w:right="0"/>
              <w:jc w:val="left"/>
              <w:rPr>
                <w:rFonts w:ascii="宋体" w:hAnsi="宋体" w:cs="宋体" w:eastAsia="宋体" w:hint="default"/>
                <w:sz w:val="19"/>
                <w:szCs w:val="19"/>
              </w:rPr>
            </w:pPr>
            <w:r>
              <w:rPr>
                <w:rFonts w:ascii="宋体" w:hAnsi="宋体" w:cs="宋体" w:eastAsia="宋体" w:hint="default"/>
                <w:spacing w:val="8"/>
                <w:sz w:val="19"/>
                <w:szCs w:val="19"/>
              </w:rPr>
              <w:t>少数股东损</w:t>
            </w:r>
            <w:r>
              <w:rPr>
                <w:rFonts w:ascii="宋体" w:hAnsi="宋体" w:cs="宋体" w:eastAsia="宋体" w:hint="default"/>
                <w:spacing w:val="-34"/>
                <w:sz w:val="19"/>
                <w:szCs w:val="19"/>
              </w:rPr>
              <w:t> </w:t>
            </w:r>
            <w:r>
              <w:rPr>
                <w:rFonts w:ascii="宋体" w:hAnsi="宋体" w:cs="宋体" w:eastAsia="宋体" w:hint="default"/>
                <w:sz w:val="19"/>
                <w:szCs w:val="19"/>
              </w:rPr>
              <w:t>益</w:t>
            </w:r>
          </w:p>
        </w:tc>
        <w:tc>
          <w:tcPr>
            <w:tcW w:w="516"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single" w:sz="12" w:space="0" w:color="000000"/>
              <w:right w:val="nil" w:sz="6" w:space="0" w:color="auto"/>
            </w:tcBorders>
          </w:tcPr>
          <w:p>
            <w:pPr>
              <w:pStyle w:val="TableParagraph"/>
              <w:spacing w:line="240" w:lineRule="auto" w:before="54"/>
              <w:ind w:right="101"/>
              <w:jc w:val="right"/>
              <w:rPr>
                <w:rFonts w:ascii="Times New Roman" w:hAnsi="Times New Roman" w:cs="Times New Roman" w:eastAsia="Times New Roman" w:hint="default"/>
                <w:sz w:val="19"/>
                <w:szCs w:val="19"/>
              </w:rPr>
            </w:pPr>
            <w:r>
              <w:rPr>
                <w:rFonts w:ascii="Times New Roman"/>
                <w:spacing w:val="4"/>
                <w:sz w:val="19"/>
              </w:rPr>
              <w:t>6,788,842.05</w:t>
            </w:r>
            <w:r>
              <w:rPr>
                <w:rFonts w:ascii="Times New Roman"/>
                <w:sz w:val="19"/>
              </w:rPr>
            </w:r>
          </w:p>
        </w:tc>
        <w:tc>
          <w:tcPr>
            <w:tcW w:w="532" w:type="dxa"/>
            <w:tcBorders>
              <w:top w:val="nil" w:sz="6" w:space="0" w:color="auto"/>
              <w:left w:val="nil" w:sz="6" w:space="0" w:color="auto"/>
              <w:bottom w:val="nil" w:sz="6" w:space="0" w:color="auto"/>
              <w:right w:val="nil" w:sz="6" w:space="0" w:color="auto"/>
            </w:tcBorders>
          </w:tcPr>
          <w:p>
            <w:pPr/>
          </w:p>
        </w:tc>
        <w:tc>
          <w:tcPr>
            <w:tcW w:w="2508" w:type="dxa"/>
            <w:tcBorders>
              <w:top w:val="nil" w:sz="6" w:space="0" w:color="auto"/>
              <w:left w:val="nil" w:sz="6" w:space="0" w:color="auto"/>
              <w:bottom w:val="single" w:sz="12" w:space="0" w:color="000000"/>
              <w:right w:val="nil" w:sz="6" w:space="0" w:color="auto"/>
            </w:tcBorders>
          </w:tcPr>
          <w:p>
            <w:pPr>
              <w:pStyle w:val="TableParagraph"/>
              <w:spacing w:line="240" w:lineRule="auto" w:before="54"/>
              <w:ind w:right="106"/>
              <w:jc w:val="right"/>
              <w:rPr>
                <w:rFonts w:ascii="Times New Roman" w:hAnsi="Times New Roman" w:cs="Times New Roman" w:eastAsia="Times New Roman" w:hint="default"/>
                <w:sz w:val="19"/>
                <w:szCs w:val="19"/>
              </w:rPr>
            </w:pPr>
            <w:r>
              <w:rPr>
                <w:rFonts w:ascii="Times New Roman"/>
                <w:spacing w:val="3"/>
                <w:sz w:val="19"/>
              </w:rPr>
              <w:t>5,937,858.73</w:t>
            </w:r>
          </w:p>
        </w:tc>
      </w:tr>
      <w:tr>
        <w:trPr>
          <w:trHeight w:val="363"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300" w:lineRule="exact"/>
              <w:ind w:left="133" w:right="0"/>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pacing w:val="13"/>
                <w:w w:val="105"/>
                <w:sz w:val="19"/>
                <w:szCs w:val="19"/>
              </w:rPr>
              <w:t>本年年末余额</w:t>
            </w:r>
            <w:r>
              <w:rPr>
                <w:rFonts w:ascii="Microsoft JhengHei" w:hAnsi="Microsoft JhengHei" w:cs="Microsoft JhengHei" w:eastAsia="Microsoft JhengHei" w:hint="default"/>
                <w:spacing w:val="13"/>
                <w:sz w:val="19"/>
                <w:szCs w:val="19"/>
              </w:rPr>
            </w:r>
          </w:p>
        </w:tc>
        <w:tc>
          <w:tcPr>
            <w:tcW w:w="516" w:type="dxa"/>
            <w:tcBorders>
              <w:top w:val="nil" w:sz="6" w:space="0" w:color="auto"/>
              <w:left w:val="nil" w:sz="6" w:space="0" w:color="auto"/>
              <w:bottom w:val="nil" w:sz="6" w:space="0" w:color="auto"/>
              <w:right w:val="nil" w:sz="6" w:space="0" w:color="auto"/>
            </w:tcBorders>
          </w:tcPr>
          <w:p>
            <w:pPr/>
          </w:p>
        </w:tc>
        <w:tc>
          <w:tcPr>
            <w:tcW w:w="2508" w:type="dxa"/>
            <w:tcBorders>
              <w:top w:val="single" w:sz="12" w:space="0" w:color="000000"/>
              <w:left w:val="nil" w:sz="6" w:space="0" w:color="auto"/>
              <w:bottom w:val="single" w:sz="11" w:space="0" w:color="000000"/>
              <w:right w:val="nil" w:sz="6" w:space="0" w:color="auto"/>
            </w:tcBorders>
          </w:tcPr>
          <w:p>
            <w:pPr>
              <w:pStyle w:val="TableParagraph"/>
              <w:spacing w:line="240" w:lineRule="auto" w:before="53"/>
              <w:ind w:right="101"/>
              <w:jc w:val="right"/>
              <w:rPr>
                <w:rFonts w:ascii="Times New Roman" w:hAnsi="Times New Roman" w:cs="Times New Roman" w:eastAsia="Times New Roman" w:hint="default"/>
                <w:sz w:val="19"/>
                <w:szCs w:val="19"/>
              </w:rPr>
            </w:pPr>
            <w:r>
              <w:rPr>
                <w:rFonts w:ascii="Times New Roman"/>
                <w:spacing w:val="4"/>
                <w:sz w:val="19"/>
              </w:rPr>
              <w:t>105,834,381.01</w:t>
            </w:r>
            <w:r>
              <w:rPr>
                <w:rFonts w:ascii="Times New Roman"/>
                <w:sz w:val="19"/>
              </w:rPr>
            </w:r>
          </w:p>
        </w:tc>
        <w:tc>
          <w:tcPr>
            <w:tcW w:w="532" w:type="dxa"/>
            <w:tcBorders>
              <w:top w:val="nil" w:sz="6" w:space="0" w:color="auto"/>
              <w:left w:val="nil" w:sz="6" w:space="0" w:color="auto"/>
              <w:bottom w:val="nil" w:sz="6" w:space="0" w:color="auto"/>
              <w:right w:val="nil" w:sz="6" w:space="0" w:color="auto"/>
            </w:tcBorders>
          </w:tcPr>
          <w:p>
            <w:pPr/>
          </w:p>
        </w:tc>
        <w:tc>
          <w:tcPr>
            <w:tcW w:w="2508" w:type="dxa"/>
            <w:tcBorders>
              <w:top w:val="single" w:sz="12" w:space="0" w:color="000000"/>
              <w:left w:val="nil" w:sz="6" w:space="0" w:color="auto"/>
              <w:bottom w:val="single" w:sz="11" w:space="0" w:color="000000"/>
              <w:right w:val="nil" w:sz="6" w:space="0" w:color="auto"/>
            </w:tcBorders>
          </w:tcPr>
          <w:p>
            <w:pPr>
              <w:pStyle w:val="TableParagraph"/>
              <w:spacing w:line="240" w:lineRule="auto" w:before="53"/>
              <w:ind w:right="101"/>
              <w:jc w:val="right"/>
              <w:rPr>
                <w:rFonts w:ascii="Times New Roman" w:hAnsi="Times New Roman" w:cs="Times New Roman" w:eastAsia="Times New Roman" w:hint="default"/>
                <w:sz w:val="19"/>
                <w:szCs w:val="19"/>
              </w:rPr>
            </w:pPr>
            <w:r>
              <w:rPr>
                <w:rFonts w:ascii="Times New Roman"/>
                <w:spacing w:val="4"/>
                <w:sz w:val="19"/>
              </w:rPr>
              <w:t>86,485,262.64</w:t>
            </w:r>
            <w:r>
              <w:rPr>
                <w:rFonts w:ascii="Times New Roman"/>
                <w:sz w:val="19"/>
              </w:rPr>
            </w:r>
          </w:p>
        </w:tc>
      </w:tr>
    </w:tbl>
    <w:p>
      <w:pPr>
        <w:spacing w:line="240" w:lineRule="auto" w:before="11"/>
        <w:rPr>
          <w:rFonts w:ascii="Microsoft JhengHei" w:hAnsi="Microsoft JhengHei" w:cs="Microsoft JhengHei" w:eastAsia="Microsoft JhengHei" w:hint="default"/>
          <w:b/>
          <w:bCs/>
          <w:sz w:val="25"/>
          <w:szCs w:val="25"/>
        </w:rPr>
      </w:pPr>
    </w:p>
    <w:p>
      <w:pPr>
        <w:pStyle w:val="BodyText"/>
        <w:spacing w:line="336" w:lineRule="auto" w:before="27"/>
        <w:ind w:right="59" w:firstLine="120"/>
        <w:jc w:val="left"/>
      </w:pPr>
      <w:r>
        <w:rPr/>
        <w:pict>
          <v:group style="position:absolute;margin-left:258.059998pt;margin-top:-25.854671pt;width:125.4pt;height:.1pt;mso-position-horizontal-relative:page;mso-position-vertical-relative:paragraph;z-index:-589240" coordorigin="5161,-517" coordsize="2508,2">
            <v:shape style="position:absolute;left:5161;top:-517;width:2508;height:2" coordorigin="5161,-517" coordsize="2508,0" path="m5161,-517l7669,-517e" filled="false" stroked="true" strokeweight=".72003pt" strokecolor="#000000">
              <v:path arrowok="t"/>
            </v:shape>
            <w10:wrap type="none"/>
          </v:group>
        </w:pict>
      </w:r>
      <w:r>
        <w:rPr/>
        <w:pict>
          <v:group style="position:absolute;margin-left:410.040009pt;margin-top:-25.854671pt;width:125.4pt;height:.1pt;mso-position-horizontal-relative:page;mso-position-vertical-relative:paragraph;z-index:-589216" coordorigin="8201,-517" coordsize="2508,2">
            <v:shape style="position:absolute;left:8201;top:-517;width:2508;height:2" coordorigin="8201,-517" coordsize="2508,0" path="m8201,-517l10709,-517e" filled="false" stroked="true" strokeweight=".72003pt" strokecolor="#000000">
              <v:path arrowok="t"/>
            </v:shape>
            <w10:wrap type="none"/>
          </v:group>
        </w:pict>
      </w:r>
      <w:r>
        <w:rPr>
          <w:spacing w:val="-8"/>
          <w:w w:val="100"/>
        </w:rPr>
        <w:t>注：（1）本公司法定盈余公积按照税后利润的</w:t>
      </w:r>
      <w:r>
        <w:rPr>
          <w:w w:val="100"/>
        </w:rPr>
        <w:t> </w:t>
      </w:r>
      <w:r>
        <w:rPr>
          <w:spacing w:val="-2"/>
          <w:w w:val="100"/>
        </w:rPr>
        <w:t>10%提取；任意盈余公积按照</w:t>
      </w:r>
      <w:r>
        <w:rPr>
          <w:spacing w:val="-86"/>
          <w:w w:val="100"/>
        </w:rPr>
        <w:t> </w:t>
      </w:r>
      <w:r>
        <w:rPr>
          <w:spacing w:val="-2"/>
          <w:w w:val="100"/>
        </w:rPr>
        <w:t>5%</w:t>
      </w:r>
      <w:r>
        <w:rPr>
          <w:spacing w:val="-2"/>
          <w:w w:val="100"/>
        </w:rPr>
        <w:t> </w:t>
      </w:r>
      <w:r>
        <w:rPr>
          <w:spacing w:val="-2"/>
        </w:rPr>
        <w:t>提取。</w:t>
      </w:r>
      <w:r>
        <w:rPr/>
      </w:r>
    </w:p>
    <w:p>
      <w:pPr>
        <w:pStyle w:val="BodyText"/>
        <w:spacing w:line="240" w:lineRule="auto"/>
        <w:ind w:left="617" w:right="59"/>
        <w:jc w:val="left"/>
      </w:pPr>
      <w:r>
        <w:rPr/>
        <w:t>（2）据本公司</w:t>
      </w:r>
      <w:r>
        <w:rPr>
          <w:spacing w:val="-52"/>
        </w:rPr>
        <w:t> </w:t>
      </w:r>
      <w:r>
        <w:rPr/>
        <w:t>2007</w:t>
      </w:r>
      <w:r>
        <w:rPr>
          <w:spacing w:val="-53"/>
        </w:rPr>
        <w:t> </w:t>
      </w:r>
      <w:r>
        <w:rPr/>
        <w:t>年度股东大会决议，审议通过了董事会《公司</w:t>
      </w:r>
      <w:r>
        <w:rPr>
          <w:spacing w:val="-52"/>
        </w:rPr>
        <w:t> </w:t>
      </w:r>
      <w:r>
        <w:rPr/>
        <w:t>2006</w:t>
      </w:r>
      <w:r>
        <w:rPr>
          <w:spacing w:val="-52"/>
        </w:rPr>
        <w:t> </w:t>
      </w:r>
      <w:r>
        <w:rPr/>
        <w:t>年</w:t>
      </w:r>
    </w:p>
    <w:p>
      <w:pPr>
        <w:pStyle w:val="BodyText"/>
        <w:spacing w:line="336" w:lineRule="auto" w:before="126"/>
        <w:ind w:right="706"/>
        <w:jc w:val="left"/>
      </w:pPr>
      <w:r>
        <w:rPr>
          <w:spacing w:val="-8"/>
          <w:w w:val="100"/>
        </w:rPr>
        <w:t>度利润分配议案》，决定向股东分配股利</w:t>
      </w:r>
      <w:r>
        <w:rPr>
          <w:w w:val="100"/>
        </w:rPr>
        <w:t> </w:t>
      </w:r>
      <w:r>
        <w:rPr>
          <w:spacing w:val="-1"/>
          <w:w w:val="100"/>
        </w:rPr>
        <w:t>29,700,000.00</w:t>
      </w:r>
      <w:r>
        <w:rPr>
          <w:spacing w:val="-92"/>
          <w:w w:val="100"/>
        </w:rPr>
        <w:t> </w:t>
      </w:r>
      <w:r>
        <w:rPr>
          <w:spacing w:val="-1"/>
          <w:w w:val="100"/>
        </w:rPr>
        <w:t>元，各股东按照持股比</w:t>
      </w:r>
      <w:r>
        <w:rPr>
          <w:spacing w:val="-1"/>
          <w:w w:val="100"/>
        </w:rPr>
        <w:t> </w:t>
      </w:r>
      <w:r>
        <w:rPr>
          <w:spacing w:val="-2"/>
        </w:rPr>
        <w:t>例进行分配。</w:t>
      </w:r>
      <w:r>
        <w:rPr/>
      </w:r>
    </w:p>
    <w:p>
      <w:pPr>
        <w:pStyle w:val="BodyText"/>
        <w:spacing w:line="240" w:lineRule="auto"/>
        <w:ind w:left="617" w:right="59"/>
        <w:jc w:val="left"/>
      </w:pPr>
      <w:r>
        <w:rPr/>
        <w:t>（3）根据</w:t>
      </w:r>
      <w:r>
        <w:rPr>
          <w:spacing w:val="-57"/>
        </w:rPr>
        <w:t> </w:t>
      </w:r>
      <w:r>
        <w:rPr/>
        <w:t>2008</w:t>
      </w:r>
      <w:r>
        <w:rPr>
          <w:spacing w:val="-56"/>
        </w:rPr>
        <w:t> </w:t>
      </w:r>
      <w:r>
        <w:rPr/>
        <w:t>年</w:t>
      </w:r>
      <w:r>
        <w:rPr>
          <w:spacing w:val="-57"/>
        </w:rPr>
        <w:t> </w:t>
      </w:r>
      <w:r>
        <w:rPr/>
        <w:t>1</w:t>
      </w:r>
      <w:r>
        <w:rPr>
          <w:spacing w:val="-55"/>
        </w:rPr>
        <w:t> </w:t>
      </w:r>
      <w:r>
        <w:rPr/>
        <w:t>月</w:t>
      </w:r>
      <w:r>
        <w:rPr>
          <w:spacing w:val="-57"/>
        </w:rPr>
        <w:t> </w:t>
      </w:r>
      <w:r>
        <w:rPr/>
        <w:t>26</w:t>
      </w:r>
      <w:r>
        <w:rPr>
          <w:spacing w:val="-56"/>
        </w:rPr>
        <w:t> </w:t>
      </w:r>
      <w:r>
        <w:rPr/>
        <w:t>日董事会制定的利润分配方案，拟以现金分配股</w:t>
      </w:r>
    </w:p>
    <w:p>
      <w:pPr>
        <w:pStyle w:val="BodyText"/>
        <w:spacing w:line="336" w:lineRule="auto" w:before="126"/>
        <w:ind w:right="698"/>
        <w:jc w:val="left"/>
      </w:pPr>
      <w:r>
        <w:rPr/>
        <w:t>利</w:t>
      </w:r>
      <w:r>
        <w:rPr>
          <w:spacing w:val="-44"/>
        </w:rPr>
        <w:t> </w:t>
      </w:r>
      <w:r>
        <w:rPr/>
        <w:t>29,700,000.00</w:t>
      </w:r>
      <w:r>
        <w:rPr>
          <w:spacing w:val="-43"/>
        </w:rPr>
        <w:t> </w:t>
      </w:r>
      <w:r>
        <w:rPr>
          <w:spacing w:val="-6"/>
        </w:rPr>
        <w:t>元，由新老股东共同享有，该议案尚需公司股东大会批准后实</w:t>
      </w:r>
      <w:r>
        <w:rPr>
          <w:spacing w:val="-109"/>
        </w:rPr>
        <w:t> </w:t>
      </w:r>
      <w:r>
        <w:rPr>
          <w:spacing w:val="-109"/>
        </w:rPr>
      </w:r>
      <w:r>
        <w:rPr/>
        <w:t>施。</w:t>
      </w:r>
    </w:p>
    <w:p>
      <w:pPr>
        <w:pStyle w:val="BodyText"/>
        <w:spacing w:line="240" w:lineRule="auto"/>
        <w:ind w:left="617" w:right="59"/>
        <w:jc w:val="left"/>
      </w:pPr>
      <w:r>
        <w:rPr/>
        <w:t>（4）根据施行新会计准则的递延所得税影响及会计准则解释第 1</w:t>
      </w:r>
      <w:r>
        <w:rPr>
          <w:spacing w:val="13"/>
        </w:rPr>
        <w:t> </w:t>
      </w:r>
      <w:r>
        <w:rPr/>
        <w:t>号-财会</w:t>
      </w:r>
    </w:p>
    <w:p>
      <w:pPr>
        <w:pStyle w:val="BodyText"/>
        <w:spacing w:line="336" w:lineRule="auto" w:before="126"/>
        <w:ind w:right="285"/>
        <w:jc w:val="left"/>
      </w:pPr>
      <w:r>
        <w:rPr/>
        <w:t>（2007）14</w:t>
      </w:r>
      <w:r>
        <w:rPr>
          <w:spacing w:val="2"/>
        </w:rPr>
        <w:t> </w:t>
      </w:r>
      <w:r>
        <w:rPr/>
        <w:t>号，对子公司长期投资由权益法追溯调整为成本法核算，共计调增</w:t>
      </w:r>
      <w:r>
        <w:rPr>
          <w:w w:val="100"/>
        </w:rPr>
        <w:t> </w:t>
      </w:r>
      <w:r>
        <w:rPr/>
        <w:t>2006 年 </w:t>
      </w:r>
      <w:r>
        <w:rPr>
          <w:spacing w:val="39"/>
        </w:rPr>
        <w:t>初未分配利润 </w:t>
      </w:r>
      <w:r>
        <w:rPr/>
        <w:t>7,223,994.46 元 ， 调 增 2007</w:t>
      </w:r>
      <w:r>
        <w:rPr>
          <w:spacing w:val="-56"/>
        </w:rPr>
        <w:t> </w:t>
      </w:r>
      <w:r>
        <w:rPr>
          <w:spacing w:val="40"/>
        </w:rPr>
        <w:t>年初未分配利润</w:t>
      </w:r>
      <w:r>
        <w:rPr>
          <w:spacing w:val="-72"/>
        </w:rPr>
        <w:t> </w:t>
      </w:r>
      <w:r>
        <w:rPr/>
      </w:r>
    </w:p>
    <w:p>
      <w:pPr>
        <w:pStyle w:val="BodyText"/>
        <w:spacing w:line="240" w:lineRule="auto"/>
        <w:ind w:right="59"/>
        <w:jc w:val="left"/>
      </w:pPr>
      <w:r>
        <w:rPr/>
        <w:t>12,028,287.41</w:t>
      </w:r>
      <w:r>
        <w:rPr>
          <w:spacing w:val="-66"/>
        </w:rPr>
        <w:t> </w:t>
      </w:r>
      <w:r>
        <w:rPr/>
        <w:t>元。</w:t>
      </w:r>
    </w:p>
    <w:p>
      <w:pPr>
        <w:pStyle w:val="Heading3"/>
        <w:spacing w:line="240" w:lineRule="auto" w:before="50"/>
        <w:ind w:right="59"/>
        <w:jc w:val="left"/>
        <w:rPr>
          <w:b w:val="0"/>
          <w:bCs w:val="0"/>
        </w:rPr>
      </w:pPr>
      <w:r>
        <w:rPr/>
        <w:t>30、营业总收入和营业总成本</w:t>
      </w:r>
      <w:r>
        <w:rPr>
          <w:b w:val="0"/>
          <w:bCs w:val="0"/>
        </w:rPr>
      </w:r>
    </w:p>
    <w:p>
      <w:pPr>
        <w:pStyle w:val="BodyText"/>
        <w:spacing w:line="240" w:lineRule="auto" w:before="98"/>
        <w:ind w:left="617" w:right="59"/>
        <w:jc w:val="left"/>
      </w:pPr>
      <w:r>
        <w:rPr/>
        <w:t>（1）主营业务收入与其它业务收入</w:t>
      </w:r>
    </w:p>
    <w:p>
      <w:pPr>
        <w:spacing w:after="0" w:line="240" w:lineRule="auto"/>
        <w:jc w:val="left"/>
        <w:sectPr>
          <w:pgSz w:w="11910" w:h="16840"/>
          <w:pgMar w:header="840" w:footer="1712" w:top="1160" w:bottom="1900" w:left="1660" w:right="1080"/>
        </w:sectPr>
      </w:pPr>
    </w:p>
    <w:p>
      <w:pPr>
        <w:spacing w:line="240" w:lineRule="auto" w:before="1"/>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361"/>
        <w:gridCol w:w="1348"/>
        <w:gridCol w:w="507"/>
        <w:gridCol w:w="2547"/>
        <w:gridCol w:w="507"/>
        <w:gridCol w:w="2547"/>
      </w:tblGrid>
      <w:tr>
        <w:trPr>
          <w:trHeight w:val="352" w:hRule="exact"/>
        </w:trPr>
        <w:tc>
          <w:tcPr>
            <w:tcW w:w="1361"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right="99"/>
              <w:jc w:val="right"/>
              <w:rPr>
                <w:rFonts w:ascii="宋体" w:hAnsi="宋体" w:cs="宋体" w:eastAsia="宋体" w:hint="default"/>
                <w:sz w:val="20"/>
                <w:szCs w:val="20"/>
              </w:rPr>
            </w:pPr>
            <w:r>
              <w:rPr>
                <w:rFonts w:ascii="宋体" w:hAnsi="宋体" w:cs="宋体" w:eastAsia="宋体" w:hint="default"/>
                <w:w w:val="99"/>
                <w:sz w:val="20"/>
                <w:szCs w:val="20"/>
              </w:rPr>
              <w:t>项</w:t>
            </w:r>
            <w:r>
              <w:rPr>
                <w:rFonts w:ascii="宋体" w:hAnsi="宋体" w:cs="宋体" w:eastAsia="宋体" w:hint="default"/>
                <w:sz w:val="20"/>
                <w:szCs w:val="20"/>
              </w:rPr>
            </w:r>
          </w:p>
        </w:tc>
        <w:tc>
          <w:tcPr>
            <w:tcW w:w="1348"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left="101" w:right="0"/>
              <w:jc w:val="left"/>
              <w:rPr>
                <w:rFonts w:ascii="宋体" w:hAnsi="宋体" w:cs="宋体" w:eastAsia="宋体" w:hint="default"/>
                <w:sz w:val="20"/>
                <w:szCs w:val="20"/>
              </w:rPr>
            </w:pPr>
            <w:r>
              <w:rPr>
                <w:rFonts w:ascii="宋体" w:hAnsi="宋体" w:cs="宋体" w:eastAsia="宋体" w:hint="default"/>
                <w:w w:val="99"/>
                <w:sz w:val="20"/>
                <w:szCs w:val="20"/>
              </w:rPr>
              <w:t>目</w:t>
            </w:r>
            <w:r>
              <w:rPr>
                <w:rFonts w:ascii="宋体" w:hAnsi="宋体" w:cs="宋体" w:eastAsia="宋体" w:hint="default"/>
                <w:sz w:val="20"/>
                <w:szCs w:val="20"/>
              </w:rPr>
            </w:r>
          </w:p>
        </w:tc>
        <w:tc>
          <w:tcPr>
            <w:tcW w:w="507" w:type="dxa"/>
            <w:tcBorders>
              <w:top w:val="nil" w:sz="6" w:space="0" w:color="auto"/>
              <w:left w:val="nil" w:sz="6" w:space="0" w:color="auto"/>
              <w:bottom w:val="nil" w:sz="6" w:space="0" w:color="auto"/>
              <w:right w:val="nil" w:sz="6" w:space="0" w:color="auto"/>
            </w:tcBorders>
          </w:tcPr>
          <w:p>
            <w:pPr/>
          </w:p>
        </w:tc>
        <w:tc>
          <w:tcPr>
            <w:tcW w:w="2547"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left="12" w:right="0"/>
              <w:jc w:val="center"/>
              <w:rPr>
                <w:rFonts w:ascii="宋体" w:hAnsi="宋体" w:cs="宋体" w:eastAsia="宋体" w:hint="default"/>
                <w:sz w:val="20"/>
                <w:szCs w:val="20"/>
              </w:rPr>
            </w:pPr>
            <w:r>
              <w:rPr>
                <w:rFonts w:ascii="宋体" w:hAnsi="宋体" w:cs="宋体" w:eastAsia="宋体" w:hint="default"/>
                <w:sz w:val="20"/>
                <w:szCs w:val="20"/>
              </w:rPr>
              <w:t>本年数</w:t>
            </w:r>
          </w:p>
        </w:tc>
        <w:tc>
          <w:tcPr>
            <w:tcW w:w="507" w:type="dxa"/>
            <w:tcBorders>
              <w:top w:val="nil" w:sz="6" w:space="0" w:color="auto"/>
              <w:left w:val="nil" w:sz="6" w:space="0" w:color="auto"/>
              <w:bottom w:val="nil" w:sz="6" w:space="0" w:color="auto"/>
              <w:right w:val="nil" w:sz="6" w:space="0" w:color="auto"/>
            </w:tcBorders>
          </w:tcPr>
          <w:p>
            <w:pPr/>
          </w:p>
        </w:tc>
        <w:tc>
          <w:tcPr>
            <w:tcW w:w="2547" w:type="dxa"/>
            <w:tcBorders>
              <w:top w:val="nil" w:sz="6" w:space="0" w:color="auto"/>
              <w:left w:val="nil" w:sz="6" w:space="0" w:color="auto"/>
              <w:bottom w:val="single" w:sz="8" w:space="0" w:color="000000"/>
              <w:right w:val="nil" w:sz="6" w:space="0" w:color="auto"/>
            </w:tcBorders>
          </w:tcPr>
          <w:p>
            <w:pPr>
              <w:pStyle w:val="TableParagraph"/>
              <w:spacing w:line="240" w:lineRule="auto" w:before="19"/>
              <w:ind w:left="13"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80" w:hRule="exact"/>
        </w:trPr>
        <w:tc>
          <w:tcPr>
            <w:tcW w:w="1361" w:type="dxa"/>
            <w:tcBorders>
              <w:top w:val="single" w:sz="8" w:space="0" w:color="000000"/>
              <w:left w:val="nil" w:sz="6" w:space="0" w:color="auto"/>
              <w:bottom w:val="nil" w:sz="6" w:space="0" w:color="auto"/>
              <w:right w:val="nil" w:sz="6" w:space="0" w:color="auto"/>
            </w:tcBorders>
          </w:tcPr>
          <w:p>
            <w:pPr>
              <w:pStyle w:val="TableParagraph"/>
              <w:spacing w:line="240" w:lineRule="auto" w:before="26"/>
              <w:ind w:right="116"/>
              <w:jc w:val="right"/>
              <w:rPr>
                <w:rFonts w:ascii="宋体" w:hAnsi="宋体" w:cs="宋体" w:eastAsia="宋体" w:hint="default"/>
                <w:sz w:val="20"/>
                <w:szCs w:val="20"/>
              </w:rPr>
            </w:pPr>
            <w:r>
              <w:rPr>
                <w:rFonts w:ascii="宋体" w:hAnsi="宋体" w:cs="宋体" w:eastAsia="宋体" w:hint="default"/>
                <w:sz w:val="20"/>
                <w:szCs w:val="20"/>
              </w:rPr>
              <w:t>主营业务收入</w:t>
            </w:r>
          </w:p>
        </w:tc>
        <w:tc>
          <w:tcPr>
            <w:tcW w:w="1348" w:type="dxa"/>
            <w:tcBorders>
              <w:top w:val="single" w:sz="8" w:space="0" w:color="000000"/>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547"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87"/>
              <w:jc w:val="right"/>
              <w:rPr>
                <w:rFonts w:ascii="Times New Roman" w:hAnsi="Times New Roman" w:cs="Times New Roman" w:eastAsia="Times New Roman" w:hint="default"/>
                <w:sz w:val="20"/>
                <w:szCs w:val="20"/>
              </w:rPr>
            </w:pPr>
            <w:r>
              <w:rPr>
                <w:rFonts w:ascii="Times New Roman"/>
                <w:sz w:val="20"/>
              </w:rPr>
              <w:t>460,835,290.79</w:t>
            </w:r>
          </w:p>
        </w:tc>
        <w:tc>
          <w:tcPr>
            <w:tcW w:w="507" w:type="dxa"/>
            <w:tcBorders>
              <w:top w:val="nil" w:sz="6" w:space="0" w:color="auto"/>
              <w:left w:val="nil" w:sz="6" w:space="0" w:color="auto"/>
              <w:bottom w:val="nil" w:sz="6" w:space="0" w:color="auto"/>
              <w:right w:val="nil" w:sz="6" w:space="0" w:color="auto"/>
            </w:tcBorders>
          </w:tcPr>
          <w:p>
            <w:pPr/>
          </w:p>
        </w:tc>
        <w:tc>
          <w:tcPr>
            <w:tcW w:w="2547" w:type="dxa"/>
            <w:tcBorders>
              <w:top w:val="single" w:sz="8" w:space="0" w:color="000000"/>
              <w:left w:val="nil" w:sz="6" w:space="0" w:color="auto"/>
              <w:bottom w:val="nil" w:sz="6" w:space="0" w:color="auto"/>
              <w:right w:val="nil" w:sz="6" w:space="0" w:color="auto"/>
            </w:tcBorders>
          </w:tcPr>
          <w:p>
            <w:pPr>
              <w:pStyle w:val="TableParagraph"/>
              <w:spacing w:line="240" w:lineRule="auto" w:before="58"/>
              <w:ind w:right="91"/>
              <w:jc w:val="right"/>
              <w:rPr>
                <w:rFonts w:ascii="Times New Roman" w:hAnsi="Times New Roman" w:cs="Times New Roman" w:eastAsia="Times New Roman" w:hint="default"/>
                <w:sz w:val="20"/>
                <w:szCs w:val="20"/>
              </w:rPr>
            </w:pPr>
            <w:r>
              <w:rPr>
                <w:rFonts w:ascii="Times New Roman"/>
                <w:spacing w:val="-1"/>
                <w:sz w:val="20"/>
              </w:rPr>
              <w:t>410,972,487.83</w:t>
            </w:r>
          </w:p>
        </w:tc>
      </w:tr>
      <w:tr>
        <w:trPr>
          <w:trHeight w:val="357" w:hRule="exact"/>
        </w:trPr>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6"/>
              <w:jc w:val="right"/>
              <w:rPr>
                <w:rFonts w:ascii="宋体" w:hAnsi="宋体" w:cs="宋体" w:eastAsia="宋体" w:hint="default"/>
                <w:sz w:val="20"/>
                <w:szCs w:val="20"/>
              </w:rPr>
            </w:pPr>
            <w:r>
              <w:rPr>
                <w:rFonts w:ascii="宋体" w:hAnsi="宋体" w:cs="宋体" w:eastAsia="宋体" w:hint="default"/>
                <w:sz w:val="20"/>
                <w:szCs w:val="20"/>
              </w:rPr>
              <w:t>其他业务收入</w:t>
            </w:r>
          </w:p>
        </w:tc>
        <w:tc>
          <w:tcPr>
            <w:tcW w:w="1348"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547"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88"/>
              <w:jc w:val="right"/>
              <w:rPr>
                <w:rFonts w:ascii="Times New Roman" w:hAnsi="Times New Roman" w:cs="Times New Roman" w:eastAsia="Times New Roman" w:hint="default"/>
                <w:sz w:val="20"/>
                <w:szCs w:val="20"/>
              </w:rPr>
            </w:pPr>
            <w:r>
              <w:rPr>
                <w:rFonts w:ascii="Times New Roman"/>
                <w:w w:val="95"/>
                <w:sz w:val="20"/>
              </w:rPr>
              <w:t>7,826,286.68</w:t>
            </w:r>
            <w:r>
              <w:rPr>
                <w:rFonts w:ascii="Times New Roman"/>
                <w:sz w:val="20"/>
              </w:rPr>
            </w:r>
          </w:p>
        </w:tc>
        <w:tc>
          <w:tcPr>
            <w:tcW w:w="507" w:type="dxa"/>
            <w:tcBorders>
              <w:top w:val="nil" w:sz="6" w:space="0" w:color="auto"/>
              <w:left w:val="nil" w:sz="6" w:space="0" w:color="auto"/>
              <w:bottom w:val="nil" w:sz="6" w:space="0" w:color="auto"/>
              <w:right w:val="nil" w:sz="6" w:space="0" w:color="auto"/>
            </w:tcBorders>
          </w:tcPr>
          <w:p>
            <w:pPr/>
          </w:p>
        </w:tc>
        <w:tc>
          <w:tcPr>
            <w:tcW w:w="2547"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91"/>
              <w:jc w:val="right"/>
              <w:rPr>
                <w:rFonts w:ascii="Times New Roman" w:hAnsi="Times New Roman" w:cs="Times New Roman" w:eastAsia="Times New Roman" w:hint="default"/>
                <w:sz w:val="20"/>
                <w:szCs w:val="20"/>
              </w:rPr>
            </w:pPr>
            <w:r>
              <w:rPr>
                <w:rFonts w:ascii="Times New Roman"/>
                <w:spacing w:val="-1"/>
                <w:sz w:val="20"/>
              </w:rPr>
              <w:t>4,778,993.59</w:t>
            </w:r>
          </w:p>
        </w:tc>
      </w:tr>
      <w:tr>
        <w:trPr>
          <w:trHeight w:val="388" w:hRule="exact"/>
        </w:trPr>
        <w:tc>
          <w:tcPr>
            <w:tcW w:w="1361" w:type="dxa"/>
            <w:tcBorders>
              <w:top w:val="nil" w:sz="6" w:space="0" w:color="auto"/>
              <w:left w:val="nil" w:sz="6" w:space="0" w:color="auto"/>
              <w:bottom w:val="nil" w:sz="6" w:space="0" w:color="auto"/>
              <w:right w:val="nil" w:sz="6" w:space="0" w:color="auto"/>
            </w:tcBorders>
          </w:tcPr>
          <w:p>
            <w:pPr>
              <w:pStyle w:val="TableParagraph"/>
              <w:spacing w:line="321"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w w:val="95"/>
                <w:sz w:val="20"/>
                <w:szCs w:val="20"/>
              </w:rPr>
              <w:t>营业收入合计</w:t>
            </w:r>
            <w:r>
              <w:rPr>
                <w:rFonts w:ascii="Microsoft JhengHei" w:hAnsi="Microsoft JhengHei" w:cs="Microsoft JhengHei" w:eastAsia="Microsoft JhengHei" w:hint="default"/>
                <w:sz w:val="20"/>
                <w:szCs w:val="20"/>
              </w:rPr>
            </w:r>
          </w:p>
        </w:tc>
        <w:tc>
          <w:tcPr>
            <w:tcW w:w="1348"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547"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87"/>
              <w:jc w:val="right"/>
              <w:rPr>
                <w:rFonts w:ascii="Times New Roman" w:hAnsi="Times New Roman" w:cs="Times New Roman" w:eastAsia="Times New Roman" w:hint="default"/>
                <w:sz w:val="20"/>
                <w:szCs w:val="20"/>
              </w:rPr>
            </w:pPr>
            <w:r>
              <w:rPr>
                <w:rFonts w:ascii="Times New Roman"/>
                <w:sz w:val="20"/>
              </w:rPr>
              <w:t>468,661,577.47</w:t>
            </w:r>
          </w:p>
        </w:tc>
        <w:tc>
          <w:tcPr>
            <w:tcW w:w="507" w:type="dxa"/>
            <w:tcBorders>
              <w:top w:val="nil" w:sz="6" w:space="0" w:color="auto"/>
              <w:left w:val="nil" w:sz="6" w:space="0" w:color="auto"/>
              <w:bottom w:val="nil" w:sz="6" w:space="0" w:color="auto"/>
              <w:right w:val="nil" w:sz="6" w:space="0" w:color="auto"/>
            </w:tcBorders>
          </w:tcPr>
          <w:p>
            <w:pPr/>
          </w:p>
        </w:tc>
        <w:tc>
          <w:tcPr>
            <w:tcW w:w="2547"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91"/>
              <w:jc w:val="right"/>
              <w:rPr>
                <w:rFonts w:ascii="Times New Roman" w:hAnsi="Times New Roman" w:cs="Times New Roman" w:eastAsia="Times New Roman" w:hint="default"/>
                <w:sz w:val="20"/>
                <w:szCs w:val="20"/>
              </w:rPr>
            </w:pPr>
            <w:r>
              <w:rPr>
                <w:rFonts w:ascii="Times New Roman"/>
                <w:spacing w:val="-1"/>
                <w:sz w:val="20"/>
              </w:rPr>
              <w:t>415,751,481.42</w:t>
            </w:r>
          </w:p>
        </w:tc>
      </w:tr>
      <w:tr>
        <w:trPr>
          <w:trHeight w:val="361" w:hRule="exact"/>
        </w:trPr>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
              <w:jc w:val="right"/>
              <w:rPr>
                <w:rFonts w:ascii="宋体" w:hAnsi="宋体" w:cs="宋体" w:eastAsia="宋体" w:hint="default"/>
                <w:sz w:val="20"/>
                <w:szCs w:val="20"/>
              </w:rPr>
            </w:pPr>
            <w:r>
              <w:rPr>
                <w:rFonts w:ascii="宋体" w:hAnsi="宋体" w:cs="宋体" w:eastAsia="宋体" w:hint="default"/>
                <w:sz w:val="20"/>
                <w:szCs w:val="20"/>
              </w:rPr>
              <w:t>主营业务成本</w:t>
            </w:r>
          </w:p>
        </w:tc>
        <w:tc>
          <w:tcPr>
            <w:tcW w:w="1348"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547" w:type="dxa"/>
            <w:tcBorders>
              <w:top w:val="single" w:sz="8" w:space="0" w:color="000000"/>
              <w:left w:val="nil" w:sz="6" w:space="0" w:color="auto"/>
              <w:bottom w:val="nil" w:sz="6" w:space="0" w:color="auto"/>
              <w:right w:val="nil" w:sz="6" w:space="0" w:color="auto"/>
            </w:tcBorders>
          </w:tcPr>
          <w:p>
            <w:pPr>
              <w:pStyle w:val="TableParagraph"/>
              <w:spacing w:line="240" w:lineRule="auto" w:before="39"/>
              <w:ind w:right="87"/>
              <w:jc w:val="right"/>
              <w:rPr>
                <w:rFonts w:ascii="Times New Roman" w:hAnsi="Times New Roman" w:cs="Times New Roman" w:eastAsia="Times New Roman" w:hint="default"/>
                <w:sz w:val="20"/>
                <w:szCs w:val="20"/>
              </w:rPr>
            </w:pPr>
            <w:r>
              <w:rPr>
                <w:rFonts w:ascii="Times New Roman"/>
                <w:sz w:val="20"/>
              </w:rPr>
              <w:t>306,903,563.14</w:t>
            </w:r>
          </w:p>
        </w:tc>
        <w:tc>
          <w:tcPr>
            <w:tcW w:w="507" w:type="dxa"/>
            <w:tcBorders>
              <w:top w:val="nil" w:sz="6" w:space="0" w:color="auto"/>
              <w:left w:val="nil" w:sz="6" w:space="0" w:color="auto"/>
              <w:bottom w:val="nil" w:sz="6" w:space="0" w:color="auto"/>
              <w:right w:val="nil" w:sz="6" w:space="0" w:color="auto"/>
            </w:tcBorders>
          </w:tcPr>
          <w:p>
            <w:pPr/>
          </w:p>
        </w:tc>
        <w:tc>
          <w:tcPr>
            <w:tcW w:w="2547" w:type="dxa"/>
            <w:tcBorders>
              <w:top w:val="single" w:sz="8" w:space="0" w:color="000000"/>
              <w:left w:val="nil" w:sz="6" w:space="0" w:color="auto"/>
              <w:bottom w:val="nil" w:sz="6" w:space="0" w:color="auto"/>
              <w:right w:val="nil" w:sz="6" w:space="0" w:color="auto"/>
            </w:tcBorders>
          </w:tcPr>
          <w:p>
            <w:pPr>
              <w:pStyle w:val="TableParagraph"/>
              <w:spacing w:line="240" w:lineRule="auto" w:before="39"/>
              <w:ind w:right="91"/>
              <w:jc w:val="right"/>
              <w:rPr>
                <w:rFonts w:ascii="Times New Roman" w:hAnsi="Times New Roman" w:cs="Times New Roman" w:eastAsia="Times New Roman" w:hint="default"/>
                <w:sz w:val="20"/>
                <w:szCs w:val="20"/>
              </w:rPr>
            </w:pPr>
            <w:r>
              <w:rPr>
                <w:rFonts w:ascii="Times New Roman"/>
                <w:spacing w:val="-1"/>
                <w:sz w:val="20"/>
              </w:rPr>
              <w:t>276,139,932.17</w:t>
            </w:r>
          </w:p>
        </w:tc>
      </w:tr>
      <w:tr>
        <w:trPr>
          <w:trHeight w:val="357" w:hRule="exact"/>
        </w:trPr>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6"/>
              <w:jc w:val="right"/>
              <w:rPr>
                <w:rFonts w:ascii="宋体" w:hAnsi="宋体" w:cs="宋体" w:eastAsia="宋体" w:hint="default"/>
                <w:sz w:val="20"/>
                <w:szCs w:val="20"/>
              </w:rPr>
            </w:pPr>
            <w:r>
              <w:rPr>
                <w:rFonts w:ascii="宋体" w:hAnsi="宋体" w:cs="宋体" w:eastAsia="宋体" w:hint="default"/>
                <w:sz w:val="20"/>
                <w:szCs w:val="20"/>
              </w:rPr>
              <w:t>其他业务成本</w:t>
            </w:r>
          </w:p>
        </w:tc>
        <w:tc>
          <w:tcPr>
            <w:tcW w:w="1348"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547"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88"/>
              <w:jc w:val="right"/>
              <w:rPr>
                <w:rFonts w:ascii="Times New Roman" w:hAnsi="Times New Roman" w:cs="Times New Roman" w:eastAsia="Times New Roman" w:hint="default"/>
                <w:sz w:val="20"/>
                <w:szCs w:val="20"/>
              </w:rPr>
            </w:pPr>
            <w:r>
              <w:rPr>
                <w:rFonts w:ascii="Times New Roman"/>
                <w:w w:val="95"/>
                <w:sz w:val="20"/>
              </w:rPr>
              <w:t>6,409,003.14</w:t>
            </w:r>
            <w:r>
              <w:rPr>
                <w:rFonts w:ascii="Times New Roman"/>
                <w:sz w:val="20"/>
              </w:rPr>
            </w:r>
          </w:p>
        </w:tc>
        <w:tc>
          <w:tcPr>
            <w:tcW w:w="507" w:type="dxa"/>
            <w:tcBorders>
              <w:top w:val="nil" w:sz="6" w:space="0" w:color="auto"/>
              <w:left w:val="nil" w:sz="6" w:space="0" w:color="auto"/>
              <w:bottom w:val="nil" w:sz="6" w:space="0" w:color="auto"/>
              <w:right w:val="nil" w:sz="6" w:space="0" w:color="auto"/>
            </w:tcBorders>
          </w:tcPr>
          <w:p>
            <w:pPr/>
          </w:p>
        </w:tc>
        <w:tc>
          <w:tcPr>
            <w:tcW w:w="2547" w:type="dxa"/>
            <w:tcBorders>
              <w:top w:val="nil" w:sz="6" w:space="0" w:color="auto"/>
              <w:left w:val="nil" w:sz="6" w:space="0" w:color="auto"/>
              <w:bottom w:val="single" w:sz="8" w:space="0" w:color="000000"/>
              <w:right w:val="nil" w:sz="6" w:space="0" w:color="auto"/>
            </w:tcBorders>
          </w:tcPr>
          <w:p>
            <w:pPr>
              <w:pStyle w:val="TableParagraph"/>
              <w:spacing w:line="240" w:lineRule="auto" w:before="56"/>
              <w:ind w:right="91"/>
              <w:jc w:val="right"/>
              <w:rPr>
                <w:rFonts w:ascii="Times New Roman" w:hAnsi="Times New Roman" w:cs="Times New Roman" w:eastAsia="Times New Roman" w:hint="default"/>
                <w:sz w:val="20"/>
                <w:szCs w:val="20"/>
              </w:rPr>
            </w:pPr>
            <w:r>
              <w:rPr>
                <w:rFonts w:ascii="Times New Roman"/>
                <w:spacing w:val="-1"/>
                <w:sz w:val="20"/>
              </w:rPr>
              <w:t>3,212,457.67</w:t>
            </w:r>
          </w:p>
        </w:tc>
      </w:tr>
      <w:tr>
        <w:trPr>
          <w:trHeight w:val="351" w:hRule="exact"/>
        </w:trPr>
        <w:tc>
          <w:tcPr>
            <w:tcW w:w="1361" w:type="dxa"/>
            <w:tcBorders>
              <w:top w:val="nil" w:sz="6" w:space="0" w:color="auto"/>
              <w:left w:val="nil" w:sz="6" w:space="0" w:color="auto"/>
              <w:bottom w:val="nil" w:sz="6" w:space="0" w:color="auto"/>
              <w:right w:val="nil" w:sz="6" w:space="0" w:color="auto"/>
            </w:tcBorders>
          </w:tcPr>
          <w:p>
            <w:pPr>
              <w:pStyle w:val="TableParagraph"/>
              <w:spacing w:line="320" w:lineRule="exact"/>
              <w:ind w:right="101"/>
              <w:jc w:val="righ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w w:val="95"/>
                <w:sz w:val="20"/>
                <w:szCs w:val="20"/>
              </w:rPr>
              <w:t>营业成本合计</w:t>
            </w:r>
            <w:r>
              <w:rPr>
                <w:rFonts w:ascii="Microsoft JhengHei" w:hAnsi="Microsoft JhengHei" w:cs="Microsoft JhengHei" w:eastAsia="Microsoft JhengHei" w:hint="default"/>
                <w:sz w:val="20"/>
                <w:szCs w:val="20"/>
              </w:rPr>
            </w:r>
          </w:p>
        </w:tc>
        <w:tc>
          <w:tcPr>
            <w:tcW w:w="1348"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547"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87"/>
              <w:jc w:val="right"/>
              <w:rPr>
                <w:rFonts w:ascii="Times New Roman" w:hAnsi="Times New Roman" w:cs="Times New Roman" w:eastAsia="Times New Roman" w:hint="default"/>
                <w:sz w:val="20"/>
                <w:szCs w:val="20"/>
              </w:rPr>
            </w:pPr>
            <w:r>
              <w:rPr>
                <w:rFonts w:ascii="Times New Roman"/>
                <w:sz w:val="20"/>
              </w:rPr>
              <w:t>313,312,566.28</w:t>
            </w:r>
          </w:p>
        </w:tc>
        <w:tc>
          <w:tcPr>
            <w:tcW w:w="507" w:type="dxa"/>
            <w:tcBorders>
              <w:top w:val="nil" w:sz="6" w:space="0" w:color="auto"/>
              <w:left w:val="nil" w:sz="6" w:space="0" w:color="auto"/>
              <w:bottom w:val="nil" w:sz="6" w:space="0" w:color="auto"/>
              <w:right w:val="nil" w:sz="6" w:space="0" w:color="auto"/>
            </w:tcBorders>
          </w:tcPr>
          <w:p>
            <w:pPr/>
          </w:p>
        </w:tc>
        <w:tc>
          <w:tcPr>
            <w:tcW w:w="2547"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91"/>
              <w:jc w:val="right"/>
              <w:rPr>
                <w:rFonts w:ascii="Times New Roman" w:hAnsi="Times New Roman" w:cs="Times New Roman" w:eastAsia="Times New Roman" w:hint="default"/>
                <w:sz w:val="20"/>
                <w:szCs w:val="20"/>
              </w:rPr>
            </w:pPr>
            <w:r>
              <w:rPr>
                <w:rFonts w:ascii="Times New Roman"/>
                <w:spacing w:val="-1"/>
                <w:sz w:val="20"/>
              </w:rPr>
              <w:t>279,352,389.84</w:t>
            </w:r>
          </w:p>
        </w:tc>
      </w:tr>
    </w:tbl>
    <w:p>
      <w:pPr>
        <w:tabs>
          <w:tab w:pos="6410" w:val="left" w:leader="none"/>
        </w:tabs>
        <w:spacing w:line="20" w:lineRule="exact"/>
        <w:ind w:left="3356" w:right="0" w:firstLine="0"/>
        <w:rPr>
          <w:rFonts w:ascii="宋体" w:hAnsi="宋体" w:cs="宋体" w:eastAsia="宋体" w:hint="default"/>
          <w:sz w:val="2"/>
          <w:szCs w:val="2"/>
        </w:rPr>
      </w:pPr>
      <w:r>
        <w:rPr>
          <w:rFonts w:ascii="宋体"/>
          <w:sz w:val="2"/>
        </w:rPr>
        <w:pict>
          <v:group style="width:128.3pt;height:1pt;mso-position-horizontal-relative:char;mso-position-vertical-relative:line" coordorigin="0,0" coordsize="2566,20">
            <v:group style="position:absolute;left:10;top:10;width:2547;height:2" coordorigin="10,10" coordsize="2547,2">
              <v:shape style="position:absolute;left:10;top:10;width:2547;height:2" coordorigin="10,10" coordsize="2547,0" path="m10,10l2556,10e" filled="false" stroked="true" strokeweight=".95996pt" strokecolor="#000000">
                <v:path arrowok="t"/>
              </v:shape>
            </v:group>
          </v:group>
        </w:pict>
      </w:r>
      <w:r>
        <w:rPr>
          <w:rFonts w:ascii="宋体"/>
          <w:sz w:val="2"/>
        </w:rPr>
      </w:r>
      <w:r>
        <w:rPr>
          <w:rFonts w:ascii="宋体"/>
          <w:sz w:val="2"/>
        </w:rPr>
        <w:tab/>
      </w:r>
      <w:r>
        <w:rPr>
          <w:rFonts w:ascii="宋体"/>
          <w:sz w:val="2"/>
        </w:rPr>
        <w:pict>
          <v:group style="width:128.3pt;height:1pt;mso-position-horizontal-relative:char;mso-position-vertical-relative:line" coordorigin="0,0" coordsize="2566,20">
            <v:group style="position:absolute;left:10;top:10;width:2547;height:2" coordorigin="10,10" coordsize="2547,2">
              <v:shape style="position:absolute;left:10;top:10;width:2547;height:2" coordorigin="10,10" coordsize="2547,0" path="m10,10l2556,10e" filled="false" stroked="true" strokeweight=".95996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27"/>
        <w:ind w:left="617" w:right="624"/>
        <w:jc w:val="left"/>
      </w:pPr>
      <w:r>
        <w:rPr/>
        <w:pict>
          <v:group style="position:absolute;margin-left:251.279999pt;margin-top:-84.353668pt;width:127.35pt;height:.1pt;mso-position-horizontal-relative:page;mso-position-vertical-relative:paragraph;z-index:-589144" coordorigin="5026,-1687" coordsize="2547,2">
            <v:shape style="position:absolute;left:5026;top:-1687;width:2547;height:2" coordorigin="5026,-1687" coordsize="2547,0" path="m5026,-1687l7572,-1687e" filled="false" stroked="true" strokeweight=".95996pt" strokecolor="#000000">
              <v:path arrowok="t"/>
            </v:shape>
            <w10:wrap type="none"/>
          </v:group>
        </w:pict>
      </w:r>
      <w:r>
        <w:rPr/>
        <w:pict>
          <v:group style="position:absolute;margin-left:403.980011pt;margin-top:-84.353668pt;width:127.35pt;height:.1pt;mso-position-horizontal-relative:page;mso-position-vertical-relative:paragraph;z-index:-589120" coordorigin="8080,-1687" coordsize="2547,2">
            <v:shape style="position:absolute;left:8080;top:-1687;width:2547;height:2" coordorigin="8080,-1687" coordsize="2547,0" path="m8080,-1687l10626,-1687e" filled="false" stroked="true" strokeweight=".95996pt" strokecolor="#000000">
              <v:path arrowok="t"/>
            </v:shape>
            <w10:wrap type="none"/>
          </v:group>
        </w:pict>
      </w:r>
      <w:r>
        <w:rPr/>
        <w:t>（2）各业务分部主营业务收入、主营业务成本和主营业务利润</w:t>
      </w:r>
    </w:p>
    <w:p>
      <w:pPr>
        <w:spacing w:line="240" w:lineRule="auto" w:before="11"/>
        <w:rPr>
          <w:rFonts w:ascii="宋体" w:hAnsi="宋体" w:cs="宋体" w:eastAsia="宋体" w:hint="default"/>
          <w:sz w:val="9"/>
          <w:szCs w:val="9"/>
        </w:rPr>
      </w:pPr>
    </w:p>
    <w:p>
      <w:pPr>
        <w:spacing w:before="48"/>
        <w:ind w:left="5706" w:right="624" w:firstLine="0"/>
        <w:jc w:val="left"/>
        <w:rPr>
          <w:rFonts w:ascii="宋体" w:hAnsi="宋体" w:cs="宋体" w:eastAsia="宋体" w:hint="default"/>
          <w:sz w:val="18"/>
          <w:szCs w:val="18"/>
        </w:rPr>
      </w:pPr>
      <w:r>
        <w:rPr/>
        <w:pict>
          <v:group style="position:absolute;margin-left:235.139984pt;margin-top:17.742287pt;width:292.650pt;height:.75pt;mso-position-horizontal-relative:page;mso-position-vertical-relative:paragraph;z-index:-589000" coordorigin="4703,355" coordsize="5853,15">
            <v:group style="position:absolute;left:4710;top:355;width:5838;height:2" coordorigin="4710,355" coordsize="5838,2">
              <v:shape style="position:absolute;left:4710;top:355;width:5838;height:2" coordorigin="4710,355" coordsize="5838,0" path="m4710,355l10548,355e" filled="false" stroked="true" strokeweight=".06pt" strokecolor="#000000">
                <v:path arrowok="t"/>
              </v:shape>
            </v:group>
            <v:group style="position:absolute;left:4710;top:363;width:5838;height:2" coordorigin="4710,363" coordsize="5838,2">
              <v:shape style="position:absolute;left:4710;top:363;width:5838;height:2" coordorigin="4710,363" coordsize="5838,0" path="m4710,363l10548,363e" filled="false" stroked="true" strokeweight=".72003pt" strokecolor="#000000">
                <v:path arrowok="t"/>
              </v:shape>
            </v:group>
            <w10:wrap type="none"/>
          </v:group>
        </w:pict>
      </w:r>
      <w:r>
        <w:rPr>
          <w:rFonts w:ascii="宋体" w:hAnsi="宋体" w:cs="宋体" w:eastAsia="宋体" w:hint="default"/>
          <w:spacing w:val="-5"/>
          <w:w w:val="105"/>
          <w:sz w:val="18"/>
          <w:szCs w:val="18"/>
        </w:rPr>
        <w:t>本年数</w:t>
      </w:r>
      <w:r>
        <w:rPr>
          <w:rFonts w:ascii="宋体" w:hAnsi="宋体" w:cs="宋体" w:eastAsia="宋体" w:hint="default"/>
          <w:spacing w:val="-5"/>
          <w:sz w:val="18"/>
          <w:szCs w:val="18"/>
        </w:rPr>
      </w:r>
    </w:p>
    <w:tbl>
      <w:tblPr>
        <w:tblW w:w="0" w:type="auto"/>
        <w:jc w:val="left"/>
        <w:tblInd w:w="153" w:type="dxa"/>
        <w:tblLayout w:type="fixed"/>
        <w:tblCellMar>
          <w:top w:w="0" w:type="dxa"/>
          <w:left w:w="0" w:type="dxa"/>
          <w:bottom w:w="0" w:type="dxa"/>
          <w:right w:w="0" w:type="dxa"/>
        </w:tblCellMar>
        <w:tblLook w:val="01E0"/>
      </w:tblPr>
      <w:tblGrid>
        <w:gridCol w:w="922"/>
        <w:gridCol w:w="1804"/>
        <w:gridCol w:w="170"/>
        <w:gridCol w:w="1876"/>
        <w:gridCol w:w="127"/>
        <w:gridCol w:w="1876"/>
        <w:gridCol w:w="85"/>
        <w:gridCol w:w="1874"/>
      </w:tblGrid>
      <w:tr>
        <w:trPr>
          <w:trHeight w:val="448" w:hRule="exact"/>
        </w:trPr>
        <w:tc>
          <w:tcPr>
            <w:tcW w:w="922" w:type="dxa"/>
            <w:tcBorders>
              <w:top w:val="nil" w:sz="6" w:space="0" w:color="auto"/>
              <w:left w:val="nil" w:sz="6" w:space="0" w:color="auto"/>
              <w:bottom w:val="single" w:sz="6" w:space="0" w:color="000000"/>
              <w:right w:val="nil" w:sz="6" w:space="0" w:color="auto"/>
            </w:tcBorders>
          </w:tcPr>
          <w:p>
            <w:pPr/>
          </w:p>
        </w:tc>
        <w:tc>
          <w:tcPr>
            <w:tcW w:w="1804" w:type="dxa"/>
            <w:tcBorders>
              <w:top w:val="nil" w:sz="6" w:space="0" w:color="auto"/>
              <w:left w:val="nil" w:sz="6" w:space="0" w:color="auto"/>
              <w:bottom w:val="single" w:sz="6" w:space="0" w:color="000000"/>
              <w:right w:val="nil" w:sz="6" w:space="0" w:color="auto"/>
            </w:tcBorders>
          </w:tcPr>
          <w:p>
            <w:pPr>
              <w:pStyle w:val="TableParagraph"/>
              <w:spacing w:line="184" w:lineRule="exact"/>
              <w:ind w:left="85" w:right="0"/>
              <w:jc w:val="left"/>
              <w:rPr>
                <w:rFonts w:ascii="宋体" w:hAnsi="宋体" w:cs="宋体" w:eastAsia="宋体" w:hint="default"/>
                <w:sz w:val="18"/>
                <w:szCs w:val="18"/>
              </w:rPr>
            </w:pPr>
            <w:r>
              <w:rPr>
                <w:rFonts w:ascii="宋体" w:hAnsi="宋体" w:cs="宋体" w:eastAsia="宋体" w:hint="default"/>
                <w:spacing w:val="-4"/>
                <w:w w:val="105"/>
                <w:sz w:val="18"/>
                <w:szCs w:val="18"/>
              </w:rPr>
              <w:t>业务分部</w:t>
            </w:r>
            <w:r>
              <w:rPr>
                <w:rFonts w:ascii="宋体" w:hAnsi="宋体" w:cs="宋体" w:eastAsia="宋体" w:hint="default"/>
                <w:spacing w:val="-4"/>
                <w:sz w:val="18"/>
                <w:szCs w:val="18"/>
              </w:rPr>
            </w: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6" w:space="0" w:color="000000"/>
              <w:right w:val="nil" w:sz="6" w:space="0" w:color="auto"/>
            </w:tcBorders>
          </w:tcPr>
          <w:p>
            <w:pPr>
              <w:pStyle w:val="TableParagraph"/>
              <w:spacing w:line="240" w:lineRule="auto" w:before="133"/>
              <w:ind w:left="398" w:right="0"/>
              <w:jc w:val="left"/>
              <w:rPr>
                <w:rFonts w:ascii="宋体" w:hAnsi="宋体" w:cs="宋体" w:eastAsia="宋体" w:hint="default"/>
                <w:sz w:val="18"/>
                <w:szCs w:val="18"/>
              </w:rPr>
            </w:pPr>
            <w:r>
              <w:rPr>
                <w:rFonts w:ascii="宋体" w:hAnsi="宋体" w:cs="宋体" w:eastAsia="宋体" w:hint="default"/>
                <w:spacing w:val="-3"/>
                <w:w w:val="105"/>
                <w:sz w:val="18"/>
                <w:szCs w:val="18"/>
              </w:rPr>
              <w:t>主营业务收入</w:t>
            </w:r>
            <w:r>
              <w:rPr>
                <w:rFonts w:ascii="宋体" w:hAnsi="宋体" w:cs="宋体" w:eastAsia="宋体" w:hint="default"/>
                <w:spacing w:val="-3"/>
                <w:sz w:val="18"/>
                <w:szCs w:val="18"/>
              </w:rPr>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6" w:space="0" w:color="000000"/>
              <w:right w:val="nil" w:sz="6" w:space="0" w:color="auto"/>
            </w:tcBorders>
          </w:tcPr>
          <w:p>
            <w:pPr>
              <w:pStyle w:val="TableParagraph"/>
              <w:spacing w:line="240" w:lineRule="auto" w:before="133"/>
              <w:ind w:left="398" w:right="0"/>
              <w:jc w:val="left"/>
              <w:rPr>
                <w:rFonts w:ascii="宋体" w:hAnsi="宋体" w:cs="宋体" w:eastAsia="宋体" w:hint="default"/>
                <w:sz w:val="18"/>
                <w:szCs w:val="18"/>
              </w:rPr>
            </w:pPr>
            <w:r>
              <w:rPr>
                <w:rFonts w:ascii="宋体" w:hAnsi="宋体" w:cs="宋体" w:eastAsia="宋体" w:hint="default"/>
                <w:spacing w:val="-3"/>
                <w:w w:val="105"/>
                <w:sz w:val="18"/>
                <w:szCs w:val="18"/>
              </w:rPr>
              <w:t>主营业务成本</w:t>
            </w:r>
            <w:r>
              <w:rPr>
                <w:rFonts w:ascii="宋体" w:hAnsi="宋体" w:cs="宋体" w:eastAsia="宋体" w:hint="default"/>
                <w:spacing w:val="-3"/>
                <w:sz w:val="18"/>
                <w:szCs w:val="18"/>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6" w:space="0" w:color="000000"/>
              <w:right w:val="nil" w:sz="6" w:space="0" w:color="auto"/>
            </w:tcBorders>
          </w:tcPr>
          <w:p>
            <w:pPr>
              <w:pStyle w:val="TableParagraph"/>
              <w:spacing w:line="240" w:lineRule="auto" w:before="133"/>
              <w:ind w:left="397" w:right="0"/>
              <w:jc w:val="left"/>
              <w:rPr>
                <w:rFonts w:ascii="宋体" w:hAnsi="宋体" w:cs="宋体" w:eastAsia="宋体" w:hint="default"/>
                <w:sz w:val="18"/>
                <w:szCs w:val="18"/>
              </w:rPr>
            </w:pPr>
            <w:r>
              <w:rPr>
                <w:rFonts w:ascii="宋体" w:hAnsi="宋体" w:cs="宋体" w:eastAsia="宋体" w:hint="default"/>
                <w:spacing w:val="-3"/>
                <w:w w:val="105"/>
                <w:sz w:val="18"/>
                <w:szCs w:val="18"/>
              </w:rPr>
              <w:t>主营业务利润</w:t>
            </w:r>
            <w:r>
              <w:rPr>
                <w:rFonts w:ascii="宋体" w:hAnsi="宋体" w:cs="宋体" w:eastAsia="宋体" w:hint="default"/>
                <w:spacing w:val="-3"/>
                <w:sz w:val="18"/>
                <w:szCs w:val="18"/>
              </w:rPr>
            </w:r>
          </w:p>
        </w:tc>
      </w:tr>
      <w:tr>
        <w:trPr>
          <w:trHeight w:val="389" w:hRule="exact"/>
        </w:trPr>
        <w:tc>
          <w:tcPr>
            <w:tcW w:w="922" w:type="dxa"/>
            <w:tcBorders>
              <w:top w:val="single" w:sz="6" w:space="0" w:color="000000"/>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20"/>
                <w:szCs w:val="20"/>
              </w:rPr>
            </w:pPr>
            <w:r>
              <w:rPr>
                <w:rFonts w:ascii="宋体" w:hAnsi="宋体" w:cs="宋体" w:eastAsia="宋体" w:hint="default"/>
                <w:spacing w:val="4"/>
                <w:sz w:val="20"/>
                <w:szCs w:val="20"/>
              </w:rPr>
              <w:t>印刷品</w:t>
            </w:r>
          </w:p>
        </w:tc>
        <w:tc>
          <w:tcPr>
            <w:tcW w:w="1804" w:type="dxa"/>
            <w:tcBorders>
              <w:top w:val="single" w:sz="6" w:space="0" w:color="000000"/>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single" w:sz="6" w:space="0" w:color="000000"/>
              <w:left w:val="nil" w:sz="6" w:space="0" w:color="auto"/>
              <w:bottom w:val="nil" w:sz="6" w:space="0" w:color="auto"/>
              <w:right w:val="nil" w:sz="6" w:space="0" w:color="auto"/>
            </w:tcBorders>
          </w:tcPr>
          <w:p>
            <w:pPr>
              <w:pStyle w:val="TableParagraph"/>
              <w:spacing w:line="240" w:lineRule="auto" w:before="66"/>
              <w:ind w:right="61"/>
              <w:jc w:val="right"/>
              <w:rPr>
                <w:rFonts w:ascii="Times New Roman" w:hAnsi="Times New Roman" w:cs="Times New Roman" w:eastAsia="Times New Roman" w:hint="default"/>
                <w:sz w:val="21"/>
                <w:szCs w:val="21"/>
              </w:rPr>
            </w:pPr>
            <w:r>
              <w:rPr>
                <w:rFonts w:ascii="Times New Roman"/>
                <w:spacing w:val="-2"/>
                <w:sz w:val="21"/>
              </w:rPr>
              <w:t>391,989,271.27</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single" w:sz="6" w:space="0" w:color="000000"/>
              <w:left w:val="nil" w:sz="6" w:space="0" w:color="auto"/>
              <w:bottom w:val="nil" w:sz="6" w:space="0" w:color="auto"/>
              <w:right w:val="nil" w:sz="6" w:space="0" w:color="auto"/>
            </w:tcBorders>
          </w:tcPr>
          <w:p>
            <w:pPr>
              <w:pStyle w:val="TableParagraph"/>
              <w:spacing w:line="240" w:lineRule="auto" w:before="66"/>
              <w:ind w:right="68"/>
              <w:jc w:val="right"/>
              <w:rPr>
                <w:rFonts w:ascii="Times New Roman" w:hAnsi="Times New Roman" w:cs="Times New Roman" w:eastAsia="Times New Roman" w:hint="default"/>
                <w:sz w:val="21"/>
                <w:szCs w:val="21"/>
              </w:rPr>
            </w:pPr>
            <w:r>
              <w:rPr>
                <w:rFonts w:ascii="Times New Roman"/>
                <w:spacing w:val="-3"/>
                <w:sz w:val="21"/>
              </w:rPr>
              <w:t>245,242,119.29</w:t>
            </w:r>
            <w:r>
              <w:rPr>
                <w:rFonts w:ascii="Times New Roman"/>
                <w:sz w:val="21"/>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single" w:sz="6" w:space="0" w:color="000000"/>
              <w:left w:val="nil" w:sz="6" w:space="0" w:color="auto"/>
              <w:bottom w:val="nil" w:sz="6" w:space="0" w:color="auto"/>
              <w:right w:val="nil" w:sz="6" w:space="0" w:color="auto"/>
            </w:tcBorders>
          </w:tcPr>
          <w:p>
            <w:pPr>
              <w:pStyle w:val="TableParagraph"/>
              <w:spacing w:line="240" w:lineRule="auto" w:before="66"/>
              <w:ind w:right="47"/>
              <w:jc w:val="right"/>
              <w:rPr>
                <w:rFonts w:ascii="Times New Roman" w:hAnsi="Times New Roman" w:cs="Times New Roman" w:eastAsia="Times New Roman" w:hint="default"/>
                <w:sz w:val="21"/>
                <w:szCs w:val="21"/>
              </w:rPr>
            </w:pPr>
            <w:r>
              <w:rPr>
                <w:rFonts w:ascii="Times New Roman"/>
                <w:spacing w:val="-1"/>
                <w:sz w:val="21"/>
              </w:rPr>
              <w:t>146,747,151.98</w:t>
            </w:r>
          </w:p>
        </w:tc>
      </w:tr>
      <w:tr>
        <w:trPr>
          <w:trHeight w:val="370"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0"/>
                <w:szCs w:val="20"/>
              </w:rPr>
            </w:pPr>
            <w:r>
              <w:rPr>
                <w:rFonts w:ascii="宋体" w:hAnsi="宋体" w:cs="宋体" w:eastAsia="宋体" w:hint="default"/>
                <w:spacing w:val="4"/>
                <w:sz w:val="20"/>
                <w:szCs w:val="20"/>
              </w:rPr>
              <w:t>纸制品</w:t>
            </w:r>
          </w:p>
        </w:tc>
        <w:tc>
          <w:tcPr>
            <w:tcW w:w="1804"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Times New Roman" w:hAnsi="Times New Roman" w:cs="Times New Roman" w:eastAsia="Times New Roman" w:hint="default"/>
                <w:sz w:val="21"/>
                <w:szCs w:val="21"/>
              </w:rPr>
            </w:pPr>
            <w:r>
              <w:rPr>
                <w:rFonts w:ascii="Times New Roman"/>
                <w:spacing w:val="-2"/>
                <w:sz w:val="21"/>
              </w:rPr>
              <w:t>51,179,107.18</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Times New Roman" w:hAnsi="Times New Roman" w:cs="Times New Roman" w:eastAsia="Times New Roman" w:hint="default"/>
                <w:sz w:val="21"/>
                <w:szCs w:val="21"/>
              </w:rPr>
            </w:pPr>
            <w:r>
              <w:rPr>
                <w:rFonts w:ascii="Times New Roman"/>
                <w:spacing w:val="-1"/>
                <w:sz w:val="21"/>
              </w:rPr>
              <w:t>46,906,007.20</w:t>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
              <w:jc w:val="right"/>
              <w:rPr>
                <w:rFonts w:ascii="Times New Roman" w:hAnsi="Times New Roman" w:cs="Times New Roman" w:eastAsia="Times New Roman" w:hint="default"/>
                <w:sz w:val="21"/>
                <w:szCs w:val="21"/>
              </w:rPr>
            </w:pPr>
            <w:r>
              <w:rPr>
                <w:rFonts w:ascii="Times New Roman"/>
                <w:spacing w:val="-1"/>
                <w:sz w:val="21"/>
              </w:rPr>
              <w:t>4,273,099.98</w:t>
            </w:r>
          </w:p>
        </w:tc>
      </w:tr>
      <w:tr>
        <w:trPr>
          <w:trHeight w:val="370"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0"/>
                <w:szCs w:val="20"/>
              </w:rPr>
            </w:pPr>
            <w:r>
              <w:rPr>
                <w:rFonts w:ascii="宋体" w:hAnsi="宋体" w:cs="宋体" w:eastAsia="宋体" w:hint="default"/>
                <w:sz w:val="20"/>
                <w:szCs w:val="20"/>
              </w:rPr>
              <w:t>标签</w:t>
            </w:r>
          </w:p>
        </w:tc>
        <w:tc>
          <w:tcPr>
            <w:tcW w:w="1804"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Times New Roman" w:hAnsi="Times New Roman" w:cs="Times New Roman" w:eastAsia="Times New Roman" w:hint="default"/>
                <w:sz w:val="21"/>
                <w:szCs w:val="21"/>
              </w:rPr>
            </w:pPr>
            <w:r>
              <w:rPr>
                <w:rFonts w:ascii="Times New Roman"/>
                <w:spacing w:val="-2"/>
                <w:sz w:val="21"/>
              </w:rPr>
              <w:t>10,373,658.26</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8"/>
              <w:jc w:val="right"/>
              <w:rPr>
                <w:rFonts w:ascii="Times New Roman" w:hAnsi="Times New Roman" w:cs="Times New Roman" w:eastAsia="Times New Roman" w:hint="default"/>
                <w:sz w:val="21"/>
                <w:szCs w:val="21"/>
              </w:rPr>
            </w:pPr>
            <w:r>
              <w:rPr>
                <w:rFonts w:ascii="Times New Roman"/>
                <w:spacing w:val="-3"/>
                <w:sz w:val="21"/>
              </w:rPr>
              <w:t>8,196,995.30</w:t>
            </w:r>
            <w:r>
              <w:rPr>
                <w:rFonts w:ascii="Times New Roman"/>
                <w:sz w:val="21"/>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
              <w:jc w:val="right"/>
              <w:rPr>
                <w:rFonts w:ascii="Times New Roman" w:hAnsi="Times New Roman" w:cs="Times New Roman" w:eastAsia="Times New Roman" w:hint="default"/>
                <w:sz w:val="21"/>
                <w:szCs w:val="21"/>
              </w:rPr>
            </w:pPr>
            <w:r>
              <w:rPr>
                <w:rFonts w:ascii="Times New Roman"/>
                <w:spacing w:val="-1"/>
                <w:sz w:val="21"/>
              </w:rPr>
              <w:t>2,176,662.96</w:t>
            </w:r>
          </w:p>
        </w:tc>
      </w:tr>
      <w:tr>
        <w:trPr>
          <w:trHeight w:val="357"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0"/>
                <w:szCs w:val="20"/>
              </w:rPr>
            </w:pPr>
            <w:r>
              <w:rPr>
                <w:rFonts w:ascii="宋体" w:hAnsi="宋体" w:cs="宋体" w:eastAsia="宋体" w:hint="default"/>
                <w:spacing w:val="2"/>
                <w:sz w:val="20"/>
                <w:szCs w:val="20"/>
              </w:rPr>
              <w:t>数据产品</w:t>
            </w:r>
            <w:r>
              <w:rPr>
                <w:rFonts w:ascii="宋体" w:hAnsi="宋体" w:cs="宋体" w:eastAsia="宋体" w:hint="default"/>
                <w:sz w:val="20"/>
                <w:szCs w:val="20"/>
              </w:rPr>
            </w:r>
          </w:p>
        </w:tc>
        <w:tc>
          <w:tcPr>
            <w:tcW w:w="1804"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11" w:space="0" w:color="000000"/>
              <w:right w:val="nil" w:sz="6" w:space="0" w:color="auto"/>
            </w:tcBorders>
          </w:tcPr>
          <w:p>
            <w:pPr>
              <w:pStyle w:val="TableParagraph"/>
              <w:spacing w:line="240" w:lineRule="auto" w:before="53"/>
              <w:ind w:right="61"/>
              <w:jc w:val="right"/>
              <w:rPr>
                <w:rFonts w:ascii="Times New Roman" w:hAnsi="Times New Roman" w:cs="Times New Roman" w:eastAsia="Times New Roman" w:hint="default"/>
                <w:sz w:val="21"/>
                <w:szCs w:val="21"/>
              </w:rPr>
            </w:pPr>
            <w:r>
              <w:rPr>
                <w:rFonts w:ascii="Times New Roman"/>
                <w:spacing w:val="-1"/>
                <w:sz w:val="21"/>
              </w:rPr>
              <w:t>7,293,254.08</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11" w:space="0" w:color="000000"/>
              <w:right w:val="nil" w:sz="6" w:space="0" w:color="auto"/>
            </w:tcBorders>
          </w:tcPr>
          <w:p>
            <w:pPr>
              <w:pStyle w:val="TableParagraph"/>
              <w:spacing w:line="240" w:lineRule="auto" w:before="53"/>
              <w:ind w:right="68"/>
              <w:jc w:val="right"/>
              <w:rPr>
                <w:rFonts w:ascii="Times New Roman" w:hAnsi="Times New Roman" w:cs="Times New Roman" w:eastAsia="Times New Roman" w:hint="default"/>
                <w:sz w:val="21"/>
                <w:szCs w:val="21"/>
              </w:rPr>
            </w:pPr>
            <w:r>
              <w:rPr>
                <w:rFonts w:ascii="Times New Roman"/>
                <w:spacing w:val="-3"/>
                <w:sz w:val="21"/>
              </w:rPr>
              <w:t>6,558,441.35</w:t>
            </w:r>
            <w:r>
              <w:rPr>
                <w:rFonts w:ascii="Times New Roman"/>
                <w:sz w:val="21"/>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11" w:space="0" w:color="000000"/>
              <w:right w:val="nil" w:sz="6" w:space="0" w:color="auto"/>
            </w:tcBorders>
          </w:tcPr>
          <w:p>
            <w:pPr>
              <w:pStyle w:val="TableParagraph"/>
              <w:spacing w:line="240" w:lineRule="auto" w:before="53"/>
              <w:ind w:right="47"/>
              <w:jc w:val="right"/>
              <w:rPr>
                <w:rFonts w:ascii="Times New Roman" w:hAnsi="Times New Roman" w:cs="Times New Roman" w:eastAsia="Times New Roman" w:hint="default"/>
                <w:sz w:val="21"/>
                <w:szCs w:val="21"/>
              </w:rPr>
            </w:pPr>
            <w:r>
              <w:rPr>
                <w:rFonts w:ascii="Times New Roman"/>
                <w:spacing w:val="-1"/>
                <w:sz w:val="21"/>
              </w:rPr>
              <w:t>734,812.73</w:t>
            </w:r>
          </w:p>
        </w:tc>
      </w:tr>
      <w:tr>
        <w:trPr>
          <w:trHeight w:val="391" w:hRule="exact"/>
        </w:trPr>
        <w:tc>
          <w:tcPr>
            <w:tcW w:w="922"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tabs>
                <w:tab w:pos="583" w:val="left" w:leader="none"/>
              </w:tabs>
              <w:spacing w:line="240" w:lineRule="auto" w:before="47"/>
              <w:ind w:left="128" w:right="0"/>
              <w:jc w:val="left"/>
              <w:rPr>
                <w:rFonts w:ascii="宋体" w:hAnsi="宋体" w:cs="宋体" w:eastAsia="宋体" w:hint="default"/>
                <w:sz w:val="18"/>
                <w:szCs w:val="18"/>
              </w:rPr>
            </w:pPr>
            <w:r>
              <w:rPr>
                <w:rFonts w:ascii="宋体" w:hAnsi="宋体" w:cs="宋体" w:eastAsia="宋体" w:hint="default"/>
                <w:sz w:val="18"/>
                <w:szCs w:val="18"/>
              </w:rPr>
              <w:t>小</w:t>
              <w:tab/>
            </w:r>
            <w:r>
              <w:rPr>
                <w:rFonts w:ascii="宋体" w:hAnsi="宋体" w:cs="宋体" w:eastAsia="宋体" w:hint="default"/>
                <w:w w:val="105"/>
                <w:sz w:val="18"/>
                <w:szCs w:val="18"/>
              </w:rPr>
              <w:t>计</w:t>
            </w:r>
            <w:r>
              <w:rPr>
                <w:rFonts w:ascii="宋体" w:hAnsi="宋体" w:cs="宋体" w:eastAsia="宋体" w:hint="default"/>
                <w:sz w:val="18"/>
                <w:szCs w:val="18"/>
              </w:rPr>
            </w: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single" w:sz="11" w:space="0" w:color="000000"/>
              <w:left w:val="nil" w:sz="6" w:space="0" w:color="auto"/>
              <w:bottom w:val="single" w:sz="6" w:space="0" w:color="000000"/>
              <w:right w:val="nil" w:sz="6" w:space="0" w:color="auto"/>
            </w:tcBorders>
          </w:tcPr>
          <w:p>
            <w:pPr>
              <w:pStyle w:val="TableParagraph"/>
              <w:spacing w:line="240" w:lineRule="auto" w:before="52"/>
              <w:ind w:right="61"/>
              <w:jc w:val="right"/>
              <w:rPr>
                <w:rFonts w:ascii="Times New Roman" w:hAnsi="Times New Roman" w:cs="Times New Roman" w:eastAsia="Times New Roman" w:hint="default"/>
                <w:sz w:val="21"/>
                <w:szCs w:val="21"/>
              </w:rPr>
            </w:pPr>
            <w:r>
              <w:rPr>
                <w:rFonts w:ascii="Times New Roman"/>
                <w:spacing w:val="-2"/>
                <w:sz w:val="21"/>
              </w:rPr>
              <w:t>460,835,290.79</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single" w:sz="11" w:space="0" w:color="000000"/>
              <w:left w:val="nil" w:sz="6" w:space="0" w:color="auto"/>
              <w:bottom w:val="single" w:sz="6" w:space="0" w:color="000000"/>
              <w:right w:val="nil" w:sz="6" w:space="0" w:color="auto"/>
            </w:tcBorders>
          </w:tcPr>
          <w:p>
            <w:pPr>
              <w:pStyle w:val="TableParagraph"/>
              <w:spacing w:line="240" w:lineRule="auto" w:before="52"/>
              <w:ind w:right="68"/>
              <w:jc w:val="right"/>
              <w:rPr>
                <w:rFonts w:ascii="Times New Roman" w:hAnsi="Times New Roman" w:cs="Times New Roman" w:eastAsia="Times New Roman" w:hint="default"/>
                <w:sz w:val="21"/>
                <w:szCs w:val="21"/>
              </w:rPr>
            </w:pPr>
            <w:r>
              <w:rPr>
                <w:rFonts w:ascii="Times New Roman"/>
                <w:spacing w:val="-3"/>
                <w:sz w:val="21"/>
              </w:rPr>
              <w:t>306,903,563.14</w:t>
            </w:r>
            <w:r>
              <w:rPr>
                <w:rFonts w:ascii="Times New Roman"/>
                <w:sz w:val="21"/>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single" w:sz="11" w:space="0" w:color="000000"/>
              <w:left w:val="nil" w:sz="6" w:space="0" w:color="auto"/>
              <w:bottom w:val="single" w:sz="6" w:space="0" w:color="000000"/>
              <w:right w:val="nil" w:sz="6" w:space="0" w:color="auto"/>
            </w:tcBorders>
          </w:tcPr>
          <w:p>
            <w:pPr>
              <w:pStyle w:val="TableParagraph"/>
              <w:spacing w:line="240" w:lineRule="auto" w:before="52"/>
              <w:ind w:right="47"/>
              <w:jc w:val="right"/>
              <w:rPr>
                <w:rFonts w:ascii="Times New Roman" w:hAnsi="Times New Roman" w:cs="Times New Roman" w:eastAsia="Times New Roman" w:hint="default"/>
                <w:sz w:val="21"/>
                <w:szCs w:val="21"/>
              </w:rPr>
            </w:pPr>
            <w:r>
              <w:rPr>
                <w:rFonts w:ascii="Times New Roman"/>
                <w:spacing w:val="-1"/>
                <w:sz w:val="21"/>
              </w:rPr>
              <w:t>153,931,727.65</w:t>
            </w:r>
          </w:p>
        </w:tc>
      </w:tr>
      <w:tr>
        <w:trPr>
          <w:trHeight w:val="348" w:hRule="exact"/>
        </w:trPr>
        <w:tc>
          <w:tcPr>
            <w:tcW w:w="289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0"/>
              <w:ind w:left="369" w:right="0"/>
              <w:jc w:val="left"/>
              <w:rPr>
                <w:rFonts w:ascii="宋体" w:hAnsi="宋体" w:cs="宋体" w:eastAsia="宋体" w:hint="default"/>
                <w:sz w:val="18"/>
                <w:szCs w:val="18"/>
              </w:rPr>
            </w:pPr>
            <w:r>
              <w:rPr>
                <w:rFonts w:ascii="宋体" w:hAnsi="宋体" w:cs="宋体" w:eastAsia="宋体" w:hint="default"/>
                <w:spacing w:val="-3"/>
                <w:w w:val="105"/>
                <w:sz w:val="18"/>
                <w:szCs w:val="18"/>
              </w:rPr>
              <w:t>减：公司内各分部抵销数</w:t>
            </w:r>
            <w:r>
              <w:rPr>
                <w:rFonts w:ascii="宋体" w:hAnsi="宋体" w:cs="宋体" w:eastAsia="宋体" w:hint="default"/>
                <w:spacing w:val="-3"/>
                <w:sz w:val="18"/>
                <w:szCs w:val="18"/>
              </w:rPr>
            </w:r>
          </w:p>
        </w:tc>
        <w:tc>
          <w:tcPr>
            <w:tcW w:w="1876" w:type="dxa"/>
            <w:tcBorders>
              <w:top w:val="nil" w:sz="6" w:space="0" w:color="auto"/>
              <w:left w:val="nil" w:sz="6" w:space="0" w:color="auto"/>
              <w:bottom w:val="single" w:sz="11" w:space="0" w:color="000000"/>
              <w:right w:val="nil" w:sz="6" w:space="0" w:color="auto"/>
            </w:tcBorders>
          </w:tcPr>
          <w:p>
            <w:pPr>
              <w:pStyle w:val="TableParagraph"/>
              <w:spacing w:line="240" w:lineRule="auto" w:before="45"/>
              <w:ind w:right="111"/>
              <w:jc w:val="right"/>
              <w:rPr>
                <w:rFonts w:ascii="Times New Roman" w:hAnsi="Times New Roman" w:cs="Times New Roman" w:eastAsia="Times New Roman" w:hint="default"/>
                <w:sz w:val="21"/>
                <w:szCs w:val="21"/>
              </w:rPr>
            </w:pPr>
            <w:r>
              <w:rPr>
                <w:rFonts w:ascii="Times New Roman"/>
                <w:w w:val="101"/>
                <w:sz w:val="21"/>
              </w:rPr>
              <w:t>-</w:t>
            </w:r>
            <w:r>
              <w:rPr>
                <w:rFonts w:ascii="Times New Roman"/>
                <w:sz w:val="21"/>
              </w:rPr>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11" w:space="0" w:color="000000"/>
              <w:right w:val="nil" w:sz="6" w:space="0" w:color="auto"/>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w w:val="101"/>
                <w:sz w:val="21"/>
              </w:rPr>
              <w:t>-</w:t>
            </w:r>
            <w:r>
              <w:rPr>
                <w:rFonts w:ascii="Times New Roman"/>
                <w:sz w:val="21"/>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11" w:space="0" w:color="000000"/>
              <w:right w:val="nil" w:sz="6" w:space="0" w:color="auto"/>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w w:val="101"/>
                <w:sz w:val="21"/>
              </w:rPr>
              <w:t>-</w:t>
            </w:r>
            <w:r>
              <w:rPr>
                <w:rFonts w:ascii="Times New Roman"/>
                <w:sz w:val="21"/>
              </w:rPr>
            </w:r>
          </w:p>
        </w:tc>
      </w:tr>
      <w:tr>
        <w:trPr>
          <w:trHeight w:val="391" w:hRule="exact"/>
        </w:trPr>
        <w:tc>
          <w:tcPr>
            <w:tcW w:w="289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2"/>
              <w:ind w:right="154"/>
              <w:jc w:val="center"/>
              <w:rPr>
                <w:rFonts w:ascii="宋体" w:hAnsi="宋体" w:cs="宋体" w:eastAsia="宋体" w:hint="default"/>
                <w:sz w:val="18"/>
                <w:szCs w:val="18"/>
              </w:rPr>
            </w:pPr>
            <w:r>
              <w:rPr>
                <w:rFonts w:ascii="宋体" w:hAnsi="宋体" w:cs="宋体" w:eastAsia="宋体" w:hint="default"/>
                <w:w w:val="105"/>
                <w:sz w:val="18"/>
                <w:szCs w:val="18"/>
              </w:rPr>
              <w:t>合</w:t>
            </w:r>
            <w:r>
              <w:rPr>
                <w:rFonts w:ascii="宋体" w:hAnsi="宋体" w:cs="宋体" w:eastAsia="宋体" w:hint="default"/>
                <w:spacing w:val="81"/>
                <w:w w:val="105"/>
                <w:sz w:val="18"/>
                <w:szCs w:val="18"/>
              </w:rPr>
              <w:t> </w:t>
            </w:r>
            <w:r>
              <w:rPr>
                <w:rFonts w:ascii="宋体" w:hAnsi="宋体" w:cs="宋体" w:eastAsia="宋体" w:hint="default"/>
                <w:w w:val="105"/>
                <w:sz w:val="18"/>
                <w:szCs w:val="18"/>
              </w:rPr>
              <w:t>计</w:t>
            </w:r>
            <w:r>
              <w:rPr>
                <w:rFonts w:ascii="宋体" w:hAnsi="宋体" w:cs="宋体" w:eastAsia="宋体" w:hint="default"/>
                <w:sz w:val="18"/>
                <w:szCs w:val="18"/>
              </w:rPr>
            </w:r>
          </w:p>
        </w:tc>
        <w:tc>
          <w:tcPr>
            <w:tcW w:w="1876" w:type="dxa"/>
            <w:tcBorders>
              <w:top w:val="single" w:sz="11" w:space="0" w:color="000000"/>
              <w:left w:val="nil" w:sz="6" w:space="0" w:color="auto"/>
              <w:bottom w:val="single" w:sz="6" w:space="0" w:color="000000"/>
              <w:right w:val="nil" w:sz="6" w:space="0" w:color="auto"/>
            </w:tcBorders>
          </w:tcPr>
          <w:p>
            <w:pPr>
              <w:pStyle w:val="TableParagraph"/>
              <w:spacing w:line="240" w:lineRule="auto" w:before="52"/>
              <w:ind w:right="61"/>
              <w:jc w:val="right"/>
              <w:rPr>
                <w:rFonts w:ascii="Times New Roman" w:hAnsi="Times New Roman" w:cs="Times New Roman" w:eastAsia="Times New Roman" w:hint="default"/>
                <w:sz w:val="21"/>
                <w:szCs w:val="21"/>
              </w:rPr>
            </w:pPr>
            <w:r>
              <w:rPr>
                <w:rFonts w:ascii="Times New Roman"/>
                <w:spacing w:val="-2"/>
                <w:sz w:val="21"/>
              </w:rPr>
              <w:t>460,835,290.79</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single" w:sz="11" w:space="0" w:color="000000"/>
              <w:left w:val="nil" w:sz="6" w:space="0" w:color="auto"/>
              <w:bottom w:val="single" w:sz="6" w:space="0" w:color="000000"/>
              <w:right w:val="nil" w:sz="6" w:space="0" w:color="auto"/>
            </w:tcBorders>
          </w:tcPr>
          <w:p>
            <w:pPr>
              <w:pStyle w:val="TableParagraph"/>
              <w:spacing w:line="240" w:lineRule="auto" w:before="52"/>
              <w:ind w:right="68"/>
              <w:jc w:val="right"/>
              <w:rPr>
                <w:rFonts w:ascii="Times New Roman" w:hAnsi="Times New Roman" w:cs="Times New Roman" w:eastAsia="Times New Roman" w:hint="default"/>
                <w:sz w:val="21"/>
                <w:szCs w:val="21"/>
              </w:rPr>
            </w:pPr>
            <w:r>
              <w:rPr>
                <w:rFonts w:ascii="Times New Roman"/>
                <w:spacing w:val="-3"/>
                <w:sz w:val="21"/>
              </w:rPr>
              <w:t>306,903,563.14</w:t>
            </w:r>
            <w:r>
              <w:rPr>
                <w:rFonts w:ascii="Times New Roman"/>
                <w:sz w:val="21"/>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single" w:sz="11" w:space="0" w:color="000000"/>
              <w:left w:val="nil" w:sz="6" w:space="0" w:color="auto"/>
              <w:bottom w:val="single" w:sz="6" w:space="0" w:color="000000"/>
              <w:right w:val="nil" w:sz="6" w:space="0" w:color="auto"/>
            </w:tcBorders>
          </w:tcPr>
          <w:p>
            <w:pPr>
              <w:pStyle w:val="TableParagraph"/>
              <w:spacing w:line="240" w:lineRule="auto" w:before="52"/>
              <w:ind w:right="47"/>
              <w:jc w:val="right"/>
              <w:rPr>
                <w:rFonts w:ascii="Times New Roman" w:hAnsi="Times New Roman" w:cs="Times New Roman" w:eastAsia="Times New Roman" w:hint="default"/>
                <w:sz w:val="21"/>
                <w:szCs w:val="21"/>
              </w:rPr>
            </w:pPr>
            <w:r>
              <w:rPr>
                <w:rFonts w:ascii="Times New Roman"/>
                <w:spacing w:val="-1"/>
                <w:sz w:val="21"/>
              </w:rPr>
              <w:t>153,931,727.65</w:t>
            </w:r>
          </w:p>
        </w:tc>
      </w:tr>
    </w:tbl>
    <w:p>
      <w:pPr>
        <w:spacing w:line="240" w:lineRule="auto" w:before="0"/>
        <w:rPr>
          <w:rFonts w:ascii="宋体" w:hAnsi="宋体" w:cs="宋体" w:eastAsia="宋体" w:hint="default"/>
          <w:sz w:val="20"/>
          <w:szCs w:val="20"/>
        </w:rPr>
      </w:pPr>
    </w:p>
    <w:p>
      <w:pPr>
        <w:pStyle w:val="BodyText"/>
        <w:spacing w:line="240" w:lineRule="auto" w:before="180"/>
        <w:ind w:right="624"/>
        <w:jc w:val="left"/>
      </w:pPr>
      <w:r>
        <w:rPr/>
        <w:pict>
          <v:group style="position:absolute;margin-left:235.5pt;margin-top:-52.883987pt;width:93.8pt;height:.1pt;mso-position-horizontal-relative:page;mso-position-vertical-relative:paragraph;z-index:-589096" coordorigin="4710,-1058" coordsize="1876,2">
            <v:shape style="position:absolute;left:4710;top:-1058;width:1876;height:2" coordorigin="4710,-1058" coordsize="1876,0" path="m4710,-1058l6586,-1058e" filled="false" stroked="true" strokeweight=".72pt" strokecolor="#000000">
              <v:path arrowok="t"/>
            </v:shape>
            <w10:wrap type="none"/>
          </v:group>
        </w:pict>
      </w:r>
      <w:r>
        <w:rPr/>
        <w:pict>
          <v:group style="position:absolute;margin-left:335.640015pt;margin-top:-52.883987pt;width:93.8pt;height:.1pt;mso-position-horizontal-relative:page;mso-position-vertical-relative:paragraph;z-index:-589072" coordorigin="6713,-1058" coordsize="1876,2">
            <v:shape style="position:absolute;left:6713;top:-1058;width:1876;height:2" coordorigin="6713,-1058" coordsize="1876,0" path="m6713,-1058l8588,-1058e" filled="false" stroked="true" strokeweight=".72pt" strokecolor="#000000">
              <v:path arrowok="t"/>
            </v:shape>
            <w10:wrap type="none"/>
          </v:group>
        </w:pict>
      </w:r>
      <w:r>
        <w:rPr/>
        <w:pict>
          <v:group style="position:absolute;margin-left:235.5pt;margin-top:-15.923988pt;width:93.8pt;height:.1pt;mso-position-horizontal-relative:page;mso-position-vertical-relative:paragraph;z-index:-589048" coordorigin="4710,-318" coordsize="1876,2">
            <v:shape style="position:absolute;left:4710;top:-318;width:1876;height:2" coordorigin="4710,-318" coordsize="1876,0" path="m4710,-318l6586,-318e" filled="false" stroked="true" strokeweight=".72pt" strokecolor="#000000">
              <v:path arrowok="t"/>
            </v:shape>
            <w10:wrap type="none"/>
          </v:group>
        </w:pict>
      </w:r>
      <w:r>
        <w:rPr/>
        <w:pict>
          <v:group style="position:absolute;margin-left:335.640015pt;margin-top:-15.923988pt;width:93.8pt;height:.1pt;mso-position-horizontal-relative:page;mso-position-vertical-relative:paragraph;z-index:-589024" coordorigin="6713,-318" coordsize="1876,2">
            <v:shape style="position:absolute;left:6713;top:-318;width:1876;height:2" coordorigin="6713,-318" coordsize="1876,0" path="m6713,-318l8588,-318e" filled="false" stroked="true" strokeweight=".72pt" strokecolor="#000000">
              <v:path arrowok="t"/>
            </v:shape>
            <w10:wrap type="none"/>
          </v:group>
        </w:pict>
      </w:r>
      <w:r>
        <w:rPr/>
        <w:pict>
          <v:group style="position:absolute;margin-left:433.679993pt;margin-top:-52.883987pt;width:93.75pt;height:.1pt;mso-position-horizontal-relative:page;mso-position-vertical-relative:paragraph;z-index:-588976" coordorigin="8674,-1058" coordsize="1875,2">
            <v:shape style="position:absolute;left:8674;top:-1058;width:1875;height:2" coordorigin="8674,-1058" coordsize="1875,0" path="m8674,-1058l10548,-1058e" filled="false" stroked="true" strokeweight=".72pt" strokecolor="#000000">
              <v:path arrowok="t"/>
            </v:shape>
            <w10:wrap type="none"/>
          </v:group>
        </w:pict>
      </w:r>
      <w:r>
        <w:rPr/>
        <w:pict>
          <v:group style="position:absolute;margin-left:433.679993pt;margin-top:-15.923988pt;width:93.75pt;height:.1pt;mso-position-horizontal-relative:page;mso-position-vertical-relative:paragraph;z-index:-588952" coordorigin="8674,-318" coordsize="1875,2">
            <v:shape style="position:absolute;left:8674;top:-318;width:1875;height:2" coordorigin="8674,-318" coordsize="1875,0" path="m8674,-318l10548,-318e" filled="false" stroked="true" strokeweight=".72pt" strokecolor="#000000">
              <v:path arrowok="t"/>
            </v:shape>
            <w10:wrap type="none"/>
          </v:group>
        </w:pict>
      </w:r>
      <w:r>
        <w:rPr/>
        <w:pict>
          <v:group style="position:absolute;margin-left:235.139999pt;margin-top:48.846012pt;width:292.650pt;height:.75pt;mso-position-horizontal-relative:page;mso-position-vertical-relative:paragraph;z-index:-588832" coordorigin="4703,977" coordsize="5853,15">
            <v:group style="position:absolute;left:4710;top:978;width:5838;height:2" coordorigin="4710,978" coordsize="5838,2">
              <v:shape style="position:absolute;left:4710;top:978;width:5838;height:2" coordorigin="4710,978" coordsize="5838,0" path="m4710,978l10548,978e" filled="false" stroked="true" strokeweight=".06pt" strokecolor="#000000">
                <v:path arrowok="t"/>
              </v:shape>
            </v:group>
            <v:group style="position:absolute;left:4710;top:985;width:5838;height:2" coordorigin="4710,985" coordsize="5838,2">
              <v:shape style="position:absolute;left:4710;top:985;width:5838;height:2" coordorigin="4710,985" coordsize="5838,0" path="m4710,985l10548,985e" filled="false" stroked="true" strokeweight=".72pt" strokecolor="#000000">
                <v:path arrowok="t"/>
              </v:shape>
            </v:group>
            <w10:wrap type="none"/>
          </v:group>
        </w:pict>
      </w:r>
      <w:r>
        <w:rPr>
          <w:spacing w:val="-2"/>
        </w:rPr>
        <w:t>（续）</w:t>
      </w:r>
      <w:r>
        <w:rPr/>
      </w:r>
    </w:p>
    <w:p>
      <w:pPr>
        <w:spacing w:line="240" w:lineRule="auto" w:before="10"/>
        <w:rPr>
          <w:rFonts w:ascii="宋体" w:hAnsi="宋体" w:cs="宋体" w:eastAsia="宋体" w:hint="default"/>
          <w:sz w:val="9"/>
          <w:szCs w:val="9"/>
        </w:rPr>
      </w:pPr>
    </w:p>
    <w:tbl>
      <w:tblPr>
        <w:tblW w:w="0" w:type="auto"/>
        <w:jc w:val="left"/>
        <w:tblInd w:w="153" w:type="dxa"/>
        <w:tblLayout w:type="fixed"/>
        <w:tblCellMar>
          <w:top w:w="0" w:type="dxa"/>
          <w:left w:w="0" w:type="dxa"/>
          <w:bottom w:w="0" w:type="dxa"/>
          <w:right w:w="0" w:type="dxa"/>
        </w:tblCellMar>
        <w:tblLook w:val="01E0"/>
      </w:tblPr>
      <w:tblGrid>
        <w:gridCol w:w="922"/>
        <w:gridCol w:w="1804"/>
        <w:gridCol w:w="170"/>
        <w:gridCol w:w="1876"/>
        <w:gridCol w:w="127"/>
        <w:gridCol w:w="1876"/>
        <w:gridCol w:w="85"/>
        <w:gridCol w:w="1874"/>
      </w:tblGrid>
      <w:tr>
        <w:trPr>
          <w:trHeight w:val="732" w:hRule="exact"/>
        </w:trPr>
        <w:tc>
          <w:tcPr>
            <w:tcW w:w="922" w:type="dxa"/>
            <w:tcBorders>
              <w:top w:val="nil" w:sz="6" w:space="0" w:color="auto"/>
              <w:left w:val="nil" w:sz="6" w:space="0" w:color="auto"/>
              <w:bottom w:val="single" w:sz="6" w:space="0" w:color="000000"/>
              <w:right w:val="nil" w:sz="6" w:space="0" w:color="auto"/>
            </w:tcBorders>
          </w:tcPr>
          <w:p>
            <w:pPr/>
          </w:p>
        </w:tc>
        <w:tc>
          <w:tcPr>
            <w:tcW w:w="1804" w:type="dxa"/>
            <w:tcBorders>
              <w:top w:val="nil" w:sz="6" w:space="0" w:color="auto"/>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pacing w:val="-4"/>
                <w:w w:val="105"/>
                <w:sz w:val="18"/>
                <w:szCs w:val="18"/>
              </w:rPr>
              <w:t>业务分部</w:t>
            </w:r>
            <w:r>
              <w:rPr>
                <w:rFonts w:ascii="宋体" w:hAnsi="宋体" w:cs="宋体" w:eastAsia="宋体" w:hint="default"/>
                <w:spacing w:val="-4"/>
                <w:sz w:val="18"/>
                <w:szCs w:val="18"/>
              </w:rPr>
            </w: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pacing w:val="-3"/>
                <w:w w:val="105"/>
                <w:sz w:val="18"/>
                <w:szCs w:val="18"/>
              </w:rPr>
              <w:t>主营业务收入</w:t>
            </w:r>
            <w:r>
              <w:rPr>
                <w:rFonts w:ascii="宋体" w:hAnsi="宋体" w:cs="宋体" w:eastAsia="宋体" w:hint="default"/>
                <w:spacing w:val="-3"/>
                <w:sz w:val="18"/>
                <w:szCs w:val="18"/>
              </w:rPr>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6" w:space="0" w:color="000000"/>
              <w:right w:val="nil" w:sz="6" w:space="0" w:color="auto"/>
            </w:tcBorders>
          </w:tcPr>
          <w:p>
            <w:pPr>
              <w:pStyle w:val="TableParagraph"/>
              <w:spacing w:line="376" w:lineRule="auto" w:before="48"/>
              <w:ind w:left="398" w:right="382" w:firstLine="255"/>
              <w:jc w:val="left"/>
              <w:rPr>
                <w:rFonts w:ascii="宋体" w:hAnsi="宋体" w:cs="宋体" w:eastAsia="宋体" w:hint="default"/>
                <w:sz w:val="18"/>
                <w:szCs w:val="18"/>
              </w:rPr>
            </w:pPr>
            <w:r>
              <w:rPr>
                <w:rFonts w:ascii="宋体" w:hAnsi="宋体" w:cs="宋体" w:eastAsia="宋体" w:hint="default"/>
                <w:spacing w:val="-5"/>
                <w:w w:val="105"/>
                <w:sz w:val="18"/>
                <w:szCs w:val="18"/>
              </w:rPr>
              <w:t>上年数</w:t>
            </w:r>
            <w:r>
              <w:rPr>
                <w:rFonts w:ascii="宋体" w:hAnsi="宋体" w:cs="宋体" w:eastAsia="宋体" w:hint="default"/>
                <w:w w:val="102"/>
                <w:sz w:val="18"/>
                <w:szCs w:val="18"/>
              </w:rPr>
              <w:t> </w:t>
            </w:r>
            <w:r>
              <w:rPr>
                <w:rFonts w:ascii="宋体" w:hAnsi="宋体" w:cs="宋体" w:eastAsia="宋体" w:hint="default"/>
                <w:spacing w:val="-3"/>
                <w:sz w:val="18"/>
                <w:szCs w:val="18"/>
              </w:rPr>
              <w:t>主营业务成本</w:t>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pacing w:val="-3"/>
                <w:w w:val="105"/>
                <w:sz w:val="18"/>
                <w:szCs w:val="18"/>
              </w:rPr>
              <w:t>主营业务利润</w:t>
            </w:r>
            <w:r>
              <w:rPr>
                <w:rFonts w:ascii="宋体" w:hAnsi="宋体" w:cs="宋体" w:eastAsia="宋体" w:hint="default"/>
                <w:spacing w:val="-3"/>
                <w:sz w:val="18"/>
                <w:szCs w:val="18"/>
              </w:rPr>
            </w:r>
          </w:p>
        </w:tc>
      </w:tr>
      <w:tr>
        <w:trPr>
          <w:trHeight w:val="389" w:hRule="exact"/>
        </w:trPr>
        <w:tc>
          <w:tcPr>
            <w:tcW w:w="922" w:type="dxa"/>
            <w:tcBorders>
              <w:top w:val="single" w:sz="6" w:space="0" w:color="000000"/>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20"/>
                <w:szCs w:val="20"/>
              </w:rPr>
            </w:pPr>
            <w:r>
              <w:rPr>
                <w:rFonts w:ascii="宋体" w:hAnsi="宋体" w:cs="宋体" w:eastAsia="宋体" w:hint="default"/>
                <w:spacing w:val="4"/>
                <w:sz w:val="20"/>
                <w:szCs w:val="20"/>
              </w:rPr>
              <w:t>印刷品</w:t>
            </w:r>
          </w:p>
        </w:tc>
        <w:tc>
          <w:tcPr>
            <w:tcW w:w="1804" w:type="dxa"/>
            <w:tcBorders>
              <w:top w:val="single" w:sz="6" w:space="0" w:color="000000"/>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single" w:sz="6" w:space="0" w:color="000000"/>
              <w:left w:val="nil" w:sz="6" w:space="0" w:color="auto"/>
              <w:bottom w:val="nil" w:sz="6" w:space="0" w:color="auto"/>
              <w:right w:val="nil" w:sz="6" w:space="0" w:color="auto"/>
            </w:tcBorders>
          </w:tcPr>
          <w:p>
            <w:pPr>
              <w:pStyle w:val="TableParagraph"/>
              <w:spacing w:line="240" w:lineRule="auto" w:before="66"/>
              <w:ind w:right="61"/>
              <w:jc w:val="right"/>
              <w:rPr>
                <w:rFonts w:ascii="Times New Roman" w:hAnsi="Times New Roman" w:cs="Times New Roman" w:eastAsia="Times New Roman" w:hint="default"/>
                <w:sz w:val="21"/>
                <w:szCs w:val="21"/>
              </w:rPr>
            </w:pPr>
            <w:r>
              <w:rPr>
                <w:rFonts w:ascii="Times New Roman"/>
                <w:spacing w:val="-2"/>
                <w:sz w:val="21"/>
              </w:rPr>
              <w:t>347,416,642.24</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single" w:sz="6" w:space="0" w:color="000000"/>
              <w:left w:val="nil" w:sz="6" w:space="0" w:color="auto"/>
              <w:bottom w:val="nil" w:sz="6" w:space="0" w:color="auto"/>
              <w:right w:val="nil" w:sz="6" w:space="0" w:color="auto"/>
            </w:tcBorders>
          </w:tcPr>
          <w:p>
            <w:pPr>
              <w:pStyle w:val="TableParagraph"/>
              <w:spacing w:line="240" w:lineRule="auto" w:before="66"/>
              <w:ind w:right="68"/>
              <w:jc w:val="right"/>
              <w:rPr>
                <w:rFonts w:ascii="Times New Roman" w:hAnsi="Times New Roman" w:cs="Times New Roman" w:eastAsia="Times New Roman" w:hint="default"/>
                <w:sz w:val="21"/>
                <w:szCs w:val="21"/>
              </w:rPr>
            </w:pPr>
            <w:r>
              <w:rPr>
                <w:rFonts w:ascii="Times New Roman"/>
                <w:spacing w:val="-3"/>
                <w:sz w:val="21"/>
              </w:rPr>
              <w:t>218,626,645.81</w:t>
            </w:r>
            <w:r>
              <w:rPr>
                <w:rFonts w:ascii="Times New Roman"/>
                <w:sz w:val="21"/>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single" w:sz="6" w:space="0" w:color="000000"/>
              <w:left w:val="nil" w:sz="6" w:space="0" w:color="auto"/>
              <w:bottom w:val="nil" w:sz="6" w:space="0" w:color="auto"/>
              <w:right w:val="nil" w:sz="6" w:space="0" w:color="auto"/>
            </w:tcBorders>
          </w:tcPr>
          <w:p>
            <w:pPr>
              <w:pStyle w:val="TableParagraph"/>
              <w:spacing w:line="240" w:lineRule="auto" w:before="66"/>
              <w:ind w:right="47"/>
              <w:jc w:val="right"/>
              <w:rPr>
                <w:rFonts w:ascii="Times New Roman" w:hAnsi="Times New Roman" w:cs="Times New Roman" w:eastAsia="Times New Roman" w:hint="default"/>
                <w:sz w:val="21"/>
                <w:szCs w:val="21"/>
              </w:rPr>
            </w:pPr>
            <w:r>
              <w:rPr>
                <w:rFonts w:ascii="Times New Roman"/>
                <w:spacing w:val="-1"/>
                <w:sz w:val="21"/>
              </w:rPr>
              <w:t>128,789,996.43</w:t>
            </w:r>
          </w:p>
        </w:tc>
      </w:tr>
      <w:tr>
        <w:trPr>
          <w:trHeight w:val="370"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0"/>
                <w:szCs w:val="20"/>
              </w:rPr>
            </w:pPr>
            <w:r>
              <w:rPr>
                <w:rFonts w:ascii="宋体" w:hAnsi="宋体" w:cs="宋体" w:eastAsia="宋体" w:hint="default"/>
                <w:spacing w:val="4"/>
                <w:sz w:val="20"/>
                <w:szCs w:val="20"/>
              </w:rPr>
              <w:t>纸制品</w:t>
            </w:r>
          </w:p>
        </w:tc>
        <w:tc>
          <w:tcPr>
            <w:tcW w:w="1804"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Times New Roman" w:hAnsi="Times New Roman" w:cs="Times New Roman" w:eastAsia="Times New Roman" w:hint="default"/>
                <w:sz w:val="21"/>
                <w:szCs w:val="21"/>
              </w:rPr>
            </w:pPr>
            <w:r>
              <w:rPr>
                <w:rFonts w:ascii="Times New Roman"/>
                <w:spacing w:val="-2"/>
                <w:sz w:val="21"/>
              </w:rPr>
              <w:t>53,092,126.84</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Times New Roman" w:hAnsi="Times New Roman" w:cs="Times New Roman" w:eastAsia="Times New Roman" w:hint="default"/>
                <w:sz w:val="21"/>
                <w:szCs w:val="21"/>
              </w:rPr>
            </w:pPr>
            <w:r>
              <w:rPr>
                <w:rFonts w:ascii="Times New Roman"/>
                <w:spacing w:val="-1"/>
                <w:sz w:val="21"/>
              </w:rPr>
              <w:t>50,289,375.91</w:t>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
              <w:jc w:val="right"/>
              <w:rPr>
                <w:rFonts w:ascii="Times New Roman" w:hAnsi="Times New Roman" w:cs="Times New Roman" w:eastAsia="Times New Roman" w:hint="default"/>
                <w:sz w:val="21"/>
                <w:szCs w:val="21"/>
              </w:rPr>
            </w:pPr>
            <w:r>
              <w:rPr>
                <w:rFonts w:ascii="Times New Roman"/>
                <w:spacing w:val="-1"/>
                <w:sz w:val="21"/>
              </w:rPr>
              <w:t>2,802,750.93</w:t>
            </w:r>
          </w:p>
        </w:tc>
      </w:tr>
      <w:tr>
        <w:trPr>
          <w:trHeight w:val="370"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0"/>
                <w:szCs w:val="20"/>
              </w:rPr>
            </w:pPr>
            <w:r>
              <w:rPr>
                <w:rFonts w:ascii="宋体" w:hAnsi="宋体" w:cs="宋体" w:eastAsia="宋体" w:hint="default"/>
                <w:sz w:val="20"/>
                <w:szCs w:val="20"/>
              </w:rPr>
              <w:t>标签</w:t>
            </w:r>
          </w:p>
        </w:tc>
        <w:tc>
          <w:tcPr>
            <w:tcW w:w="1804"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Times New Roman" w:hAnsi="Times New Roman" w:cs="Times New Roman" w:eastAsia="Times New Roman" w:hint="default"/>
                <w:sz w:val="21"/>
                <w:szCs w:val="21"/>
              </w:rPr>
            </w:pPr>
            <w:r>
              <w:rPr>
                <w:rFonts w:ascii="Times New Roman"/>
                <w:spacing w:val="-1"/>
                <w:sz w:val="21"/>
              </w:rPr>
              <w:t>9,246,851.53</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8"/>
              <w:jc w:val="right"/>
              <w:rPr>
                <w:rFonts w:ascii="Times New Roman" w:hAnsi="Times New Roman" w:cs="Times New Roman" w:eastAsia="Times New Roman" w:hint="default"/>
                <w:sz w:val="21"/>
                <w:szCs w:val="21"/>
              </w:rPr>
            </w:pPr>
            <w:r>
              <w:rPr>
                <w:rFonts w:ascii="Times New Roman"/>
                <w:spacing w:val="-3"/>
                <w:sz w:val="21"/>
              </w:rPr>
              <w:t>5,242,674.10</w:t>
            </w:r>
            <w:r>
              <w:rPr>
                <w:rFonts w:ascii="Times New Roman"/>
                <w:sz w:val="21"/>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7"/>
              <w:jc w:val="right"/>
              <w:rPr>
                <w:rFonts w:ascii="Times New Roman" w:hAnsi="Times New Roman" w:cs="Times New Roman" w:eastAsia="Times New Roman" w:hint="default"/>
                <w:sz w:val="21"/>
                <w:szCs w:val="21"/>
              </w:rPr>
            </w:pPr>
            <w:r>
              <w:rPr>
                <w:rFonts w:ascii="Times New Roman"/>
                <w:spacing w:val="-1"/>
                <w:sz w:val="21"/>
              </w:rPr>
              <w:t>4,004,177.43</w:t>
            </w:r>
          </w:p>
        </w:tc>
      </w:tr>
      <w:tr>
        <w:trPr>
          <w:trHeight w:val="357"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0"/>
                <w:szCs w:val="20"/>
              </w:rPr>
            </w:pPr>
            <w:r>
              <w:rPr>
                <w:rFonts w:ascii="宋体" w:hAnsi="宋体" w:cs="宋体" w:eastAsia="宋体" w:hint="default"/>
                <w:spacing w:val="2"/>
                <w:sz w:val="20"/>
                <w:szCs w:val="20"/>
              </w:rPr>
              <w:t>数据产品</w:t>
            </w:r>
            <w:r>
              <w:rPr>
                <w:rFonts w:ascii="宋体" w:hAnsi="宋体" w:cs="宋体" w:eastAsia="宋体" w:hint="default"/>
                <w:sz w:val="20"/>
                <w:szCs w:val="20"/>
              </w:rPr>
            </w:r>
          </w:p>
        </w:tc>
        <w:tc>
          <w:tcPr>
            <w:tcW w:w="1804"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11" w:space="0" w:color="000000"/>
              <w:right w:val="nil" w:sz="6" w:space="0" w:color="auto"/>
            </w:tcBorders>
          </w:tcPr>
          <w:p>
            <w:pPr>
              <w:pStyle w:val="TableParagraph"/>
              <w:spacing w:line="240" w:lineRule="auto" w:before="53"/>
              <w:ind w:right="61"/>
              <w:jc w:val="right"/>
              <w:rPr>
                <w:rFonts w:ascii="Times New Roman" w:hAnsi="Times New Roman" w:cs="Times New Roman" w:eastAsia="Times New Roman" w:hint="default"/>
                <w:sz w:val="21"/>
                <w:szCs w:val="21"/>
              </w:rPr>
            </w:pPr>
            <w:r>
              <w:rPr>
                <w:rFonts w:ascii="Times New Roman"/>
                <w:spacing w:val="-1"/>
                <w:sz w:val="21"/>
              </w:rPr>
              <w:t>1,216,867.22</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11" w:space="0" w:color="000000"/>
              <w:right w:val="nil" w:sz="6" w:space="0" w:color="auto"/>
            </w:tcBorders>
          </w:tcPr>
          <w:p>
            <w:pPr>
              <w:pStyle w:val="TableParagraph"/>
              <w:spacing w:line="240" w:lineRule="auto" w:before="53"/>
              <w:ind w:right="68"/>
              <w:jc w:val="right"/>
              <w:rPr>
                <w:rFonts w:ascii="Times New Roman" w:hAnsi="Times New Roman" w:cs="Times New Roman" w:eastAsia="Times New Roman" w:hint="default"/>
                <w:sz w:val="21"/>
                <w:szCs w:val="21"/>
              </w:rPr>
            </w:pPr>
            <w:r>
              <w:rPr>
                <w:rFonts w:ascii="Times New Roman"/>
                <w:spacing w:val="-3"/>
                <w:sz w:val="21"/>
              </w:rPr>
              <w:t>1,981,236.35</w:t>
            </w:r>
            <w:r>
              <w:rPr>
                <w:rFonts w:ascii="Times New Roman"/>
                <w:sz w:val="21"/>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11" w:space="0" w:color="000000"/>
              <w:right w:val="nil" w:sz="6" w:space="0" w:color="auto"/>
            </w:tcBorders>
          </w:tcPr>
          <w:p>
            <w:pPr>
              <w:pStyle w:val="TableParagraph"/>
              <w:spacing w:line="240" w:lineRule="auto" w:before="53"/>
              <w:ind w:right="47"/>
              <w:jc w:val="right"/>
              <w:rPr>
                <w:rFonts w:ascii="Times New Roman" w:hAnsi="Times New Roman" w:cs="Times New Roman" w:eastAsia="Times New Roman" w:hint="default"/>
                <w:sz w:val="21"/>
                <w:szCs w:val="21"/>
              </w:rPr>
            </w:pPr>
            <w:r>
              <w:rPr>
                <w:rFonts w:ascii="Times New Roman"/>
                <w:spacing w:val="-2"/>
                <w:sz w:val="21"/>
              </w:rPr>
              <w:t>-764,369.13</w:t>
            </w:r>
          </w:p>
        </w:tc>
      </w:tr>
      <w:tr>
        <w:trPr>
          <w:trHeight w:val="391" w:hRule="exact"/>
        </w:trPr>
        <w:tc>
          <w:tcPr>
            <w:tcW w:w="922"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tabs>
                <w:tab w:pos="583" w:val="left" w:leader="none"/>
              </w:tabs>
              <w:spacing w:line="240" w:lineRule="auto" w:before="47"/>
              <w:ind w:left="128" w:right="0"/>
              <w:jc w:val="left"/>
              <w:rPr>
                <w:rFonts w:ascii="宋体" w:hAnsi="宋体" w:cs="宋体" w:eastAsia="宋体" w:hint="default"/>
                <w:sz w:val="18"/>
                <w:szCs w:val="18"/>
              </w:rPr>
            </w:pPr>
            <w:r>
              <w:rPr>
                <w:rFonts w:ascii="宋体" w:hAnsi="宋体" w:cs="宋体" w:eastAsia="宋体" w:hint="default"/>
                <w:sz w:val="18"/>
                <w:szCs w:val="18"/>
              </w:rPr>
              <w:t>小</w:t>
              <w:tab/>
            </w:r>
            <w:r>
              <w:rPr>
                <w:rFonts w:ascii="宋体" w:hAnsi="宋体" w:cs="宋体" w:eastAsia="宋体" w:hint="default"/>
                <w:w w:val="105"/>
                <w:sz w:val="18"/>
                <w:szCs w:val="18"/>
              </w:rPr>
              <w:t>计</w:t>
            </w:r>
            <w:r>
              <w:rPr>
                <w:rFonts w:ascii="宋体" w:hAnsi="宋体" w:cs="宋体" w:eastAsia="宋体" w:hint="default"/>
                <w:sz w:val="18"/>
                <w:szCs w:val="18"/>
              </w:rPr>
            </w: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single" w:sz="11" w:space="0" w:color="000000"/>
              <w:left w:val="nil" w:sz="6" w:space="0" w:color="auto"/>
              <w:bottom w:val="single" w:sz="6" w:space="0" w:color="000000"/>
              <w:right w:val="nil" w:sz="6" w:space="0" w:color="auto"/>
            </w:tcBorders>
          </w:tcPr>
          <w:p>
            <w:pPr>
              <w:pStyle w:val="TableParagraph"/>
              <w:spacing w:line="240" w:lineRule="auto" w:before="52"/>
              <w:ind w:right="61"/>
              <w:jc w:val="right"/>
              <w:rPr>
                <w:rFonts w:ascii="Times New Roman" w:hAnsi="Times New Roman" w:cs="Times New Roman" w:eastAsia="Times New Roman" w:hint="default"/>
                <w:sz w:val="21"/>
                <w:szCs w:val="21"/>
              </w:rPr>
            </w:pPr>
            <w:r>
              <w:rPr>
                <w:rFonts w:ascii="Times New Roman"/>
                <w:spacing w:val="-2"/>
                <w:sz w:val="21"/>
              </w:rPr>
              <w:t>410,972,487.83</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single" w:sz="11" w:space="0" w:color="000000"/>
              <w:left w:val="nil" w:sz="6" w:space="0" w:color="auto"/>
              <w:bottom w:val="single" w:sz="6" w:space="0" w:color="000000"/>
              <w:right w:val="nil" w:sz="6" w:space="0" w:color="auto"/>
            </w:tcBorders>
          </w:tcPr>
          <w:p>
            <w:pPr>
              <w:pStyle w:val="TableParagraph"/>
              <w:spacing w:line="240" w:lineRule="auto" w:before="52"/>
              <w:ind w:right="68"/>
              <w:jc w:val="right"/>
              <w:rPr>
                <w:rFonts w:ascii="Times New Roman" w:hAnsi="Times New Roman" w:cs="Times New Roman" w:eastAsia="Times New Roman" w:hint="default"/>
                <w:sz w:val="21"/>
                <w:szCs w:val="21"/>
              </w:rPr>
            </w:pPr>
            <w:r>
              <w:rPr>
                <w:rFonts w:ascii="Times New Roman"/>
                <w:spacing w:val="-3"/>
                <w:sz w:val="21"/>
              </w:rPr>
              <w:t>276,139,932.17</w:t>
            </w:r>
            <w:r>
              <w:rPr>
                <w:rFonts w:ascii="Times New Roman"/>
                <w:sz w:val="21"/>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single" w:sz="11" w:space="0" w:color="000000"/>
              <w:left w:val="nil" w:sz="6" w:space="0" w:color="auto"/>
              <w:bottom w:val="single" w:sz="6" w:space="0" w:color="000000"/>
              <w:right w:val="nil" w:sz="6" w:space="0" w:color="auto"/>
            </w:tcBorders>
          </w:tcPr>
          <w:p>
            <w:pPr>
              <w:pStyle w:val="TableParagraph"/>
              <w:spacing w:line="240" w:lineRule="auto" w:before="52"/>
              <w:ind w:right="47"/>
              <w:jc w:val="right"/>
              <w:rPr>
                <w:rFonts w:ascii="Times New Roman" w:hAnsi="Times New Roman" w:cs="Times New Roman" w:eastAsia="Times New Roman" w:hint="default"/>
                <w:sz w:val="21"/>
                <w:szCs w:val="21"/>
              </w:rPr>
            </w:pPr>
            <w:r>
              <w:rPr>
                <w:rFonts w:ascii="Times New Roman"/>
                <w:spacing w:val="-1"/>
                <w:sz w:val="21"/>
              </w:rPr>
              <w:t>134,832,555.66</w:t>
            </w:r>
          </w:p>
        </w:tc>
      </w:tr>
      <w:tr>
        <w:trPr>
          <w:trHeight w:val="348" w:hRule="exact"/>
        </w:trPr>
        <w:tc>
          <w:tcPr>
            <w:tcW w:w="289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0"/>
              <w:ind w:left="369" w:right="0"/>
              <w:jc w:val="left"/>
              <w:rPr>
                <w:rFonts w:ascii="宋体" w:hAnsi="宋体" w:cs="宋体" w:eastAsia="宋体" w:hint="default"/>
                <w:sz w:val="18"/>
                <w:szCs w:val="18"/>
              </w:rPr>
            </w:pPr>
            <w:r>
              <w:rPr>
                <w:rFonts w:ascii="宋体" w:hAnsi="宋体" w:cs="宋体" w:eastAsia="宋体" w:hint="default"/>
                <w:spacing w:val="-3"/>
                <w:w w:val="105"/>
                <w:sz w:val="18"/>
                <w:szCs w:val="18"/>
              </w:rPr>
              <w:t>减：公司内各分部抵销数</w:t>
            </w:r>
            <w:r>
              <w:rPr>
                <w:rFonts w:ascii="宋体" w:hAnsi="宋体" w:cs="宋体" w:eastAsia="宋体" w:hint="default"/>
                <w:spacing w:val="-3"/>
                <w:sz w:val="18"/>
                <w:szCs w:val="18"/>
              </w:rPr>
            </w:r>
          </w:p>
        </w:tc>
        <w:tc>
          <w:tcPr>
            <w:tcW w:w="1876" w:type="dxa"/>
            <w:tcBorders>
              <w:top w:val="nil" w:sz="6" w:space="0" w:color="auto"/>
              <w:left w:val="nil" w:sz="6" w:space="0" w:color="auto"/>
              <w:bottom w:val="single" w:sz="11" w:space="0" w:color="000000"/>
              <w:right w:val="nil" w:sz="6" w:space="0" w:color="auto"/>
            </w:tcBorders>
          </w:tcPr>
          <w:p>
            <w:pPr>
              <w:pStyle w:val="TableParagraph"/>
              <w:spacing w:line="240" w:lineRule="auto" w:before="45"/>
              <w:ind w:right="111"/>
              <w:jc w:val="right"/>
              <w:rPr>
                <w:rFonts w:ascii="Times New Roman" w:hAnsi="Times New Roman" w:cs="Times New Roman" w:eastAsia="Times New Roman" w:hint="default"/>
                <w:sz w:val="21"/>
                <w:szCs w:val="21"/>
              </w:rPr>
            </w:pPr>
            <w:r>
              <w:rPr>
                <w:rFonts w:ascii="Times New Roman"/>
                <w:w w:val="101"/>
                <w:sz w:val="21"/>
              </w:rPr>
              <w:t>-</w:t>
            </w:r>
            <w:r>
              <w:rPr>
                <w:rFonts w:ascii="Times New Roman"/>
                <w:sz w:val="21"/>
              </w:rPr>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11" w:space="0" w:color="000000"/>
              <w:right w:val="nil" w:sz="6" w:space="0" w:color="auto"/>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w w:val="101"/>
                <w:sz w:val="21"/>
              </w:rPr>
              <w:t>-</w:t>
            </w:r>
            <w:r>
              <w:rPr>
                <w:rFonts w:ascii="Times New Roman"/>
                <w:sz w:val="21"/>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11" w:space="0" w:color="000000"/>
              <w:right w:val="nil" w:sz="6" w:space="0" w:color="auto"/>
            </w:tcBorders>
          </w:tcPr>
          <w:p>
            <w:pPr>
              <w:pStyle w:val="TableParagraph"/>
              <w:spacing w:line="240" w:lineRule="auto" w:before="45"/>
              <w:ind w:right="97"/>
              <w:jc w:val="right"/>
              <w:rPr>
                <w:rFonts w:ascii="Times New Roman" w:hAnsi="Times New Roman" w:cs="Times New Roman" w:eastAsia="Times New Roman" w:hint="default"/>
                <w:sz w:val="21"/>
                <w:szCs w:val="21"/>
              </w:rPr>
            </w:pPr>
            <w:r>
              <w:rPr>
                <w:rFonts w:ascii="Times New Roman"/>
                <w:w w:val="101"/>
                <w:sz w:val="21"/>
              </w:rPr>
              <w:t>-</w:t>
            </w:r>
            <w:r>
              <w:rPr>
                <w:rFonts w:ascii="Times New Roman"/>
                <w:sz w:val="21"/>
              </w:rPr>
            </w:r>
          </w:p>
        </w:tc>
      </w:tr>
      <w:tr>
        <w:trPr>
          <w:trHeight w:val="391" w:hRule="exact"/>
        </w:trPr>
        <w:tc>
          <w:tcPr>
            <w:tcW w:w="289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2"/>
              <w:ind w:right="154"/>
              <w:jc w:val="center"/>
              <w:rPr>
                <w:rFonts w:ascii="宋体" w:hAnsi="宋体" w:cs="宋体" w:eastAsia="宋体" w:hint="default"/>
                <w:sz w:val="18"/>
                <w:szCs w:val="18"/>
              </w:rPr>
            </w:pPr>
            <w:r>
              <w:rPr>
                <w:rFonts w:ascii="宋体" w:hAnsi="宋体" w:cs="宋体" w:eastAsia="宋体" w:hint="default"/>
                <w:w w:val="105"/>
                <w:sz w:val="18"/>
                <w:szCs w:val="18"/>
              </w:rPr>
              <w:t>合</w:t>
            </w:r>
            <w:r>
              <w:rPr>
                <w:rFonts w:ascii="宋体" w:hAnsi="宋体" w:cs="宋体" w:eastAsia="宋体" w:hint="default"/>
                <w:spacing w:val="81"/>
                <w:w w:val="105"/>
                <w:sz w:val="18"/>
                <w:szCs w:val="18"/>
              </w:rPr>
              <w:t> </w:t>
            </w:r>
            <w:r>
              <w:rPr>
                <w:rFonts w:ascii="宋体" w:hAnsi="宋体" w:cs="宋体" w:eastAsia="宋体" w:hint="default"/>
                <w:w w:val="105"/>
                <w:sz w:val="18"/>
                <w:szCs w:val="18"/>
              </w:rPr>
              <w:t>计</w:t>
            </w:r>
            <w:r>
              <w:rPr>
                <w:rFonts w:ascii="宋体" w:hAnsi="宋体" w:cs="宋体" w:eastAsia="宋体" w:hint="default"/>
                <w:sz w:val="18"/>
                <w:szCs w:val="18"/>
              </w:rPr>
            </w:r>
          </w:p>
        </w:tc>
        <w:tc>
          <w:tcPr>
            <w:tcW w:w="1876" w:type="dxa"/>
            <w:tcBorders>
              <w:top w:val="single" w:sz="11" w:space="0" w:color="000000"/>
              <w:left w:val="nil" w:sz="6" w:space="0" w:color="auto"/>
              <w:bottom w:val="single" w:sz="6" w:space="0" w:color="000000"/>
              <w:right w:val="nil" w:sz="6" w:space="0" w:color="auto"/>
            </w:tcBorders>
          </w:tcPr>
          <w:p>
            <w:pPr>
              <w:pStyle w:val="TableParagraph"/>
              <w:spacing w:line="240" w:lineRule="auto" w:before="52"/>
              <w:ind w:right="61"/>
              <w:jc w:val="right"/>
              <w:rPr>
                <w:rFonts w:ascii="Times New Roman" w:hAnsi="Times New Roman" w:cs="Times New Roman" w:eastAsia="Times New Roman" w:hint="default"/>
                <w:sz w:val="21"/>
                <w:szCs w:val="21"/>
              </w:rPr>
            </w:pPr>
            <w:r>
              <w:rPr>
                <w:rFonts w:ascii="Times New Roman"/>
                <w:spacing w:val="-2"/>
                <w:sz w:val="21"/>
              </w:rPr>
              <w:t>410,972,487.83</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single" w:sz="11" w:space="0" w:color="000000"/>
              <w:left w:val="nil" w:sz="6" w:space="0" w:color="auto"/>
              <w:bottom w:val="single" w:sz="6" w:space="0" w:color="000000"/>
              <w:right w:val="nil" w:sz="6" w:space="0" w:color="auto"/>
            </w:tcBorders>
          </w:tcPr>
          <w:p>
            <w:pPr>
              <w:pStyle w:val="TableParagraph"/>
              <w:spacing w:line="240" w:lineRule="auto" w:before="52"/>
              <w:ind w:right="68"/>
              <w:jc w:val="right"/>
              <w:rPr>
                <w:rFonts w:ascii="Times New Roman" w:hAnsi="Times New Roman" w:cs="Times New Roman" w:eastAsia="Times New Roman" w:hint="default"/>
                <w:sz w:val="21"/>
                <w:szCs w:val="21"/>
              </w:rPr>
            </w:pPr>
            <w:r>
              <w:rPr>
                <w:rFonts w:ascii="Times New Roman"/>
                <w:spacing w:val="-3"/>
                <w:sz w:val="21"/>
              </w:rPr>
              <w:t>276,139,932.17</w:t>
            </w:r>
            <w:r>
              <w:rPr>
                <w:rFonts w:ascii="Times New Roman"/>
                <w:sz w:val="21"/>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single" w:sz="11" w:space="0" w:color="000000"/>
              <w:left w:val="nil" w:sz="6" w:space="0" w:color="auto"/>
              <w:bottom w:val="single" w:sz="6" w:space="0" w:color="000000"/>
              <w:right w:val="nil" w:sz="6" w:space="0" w:color="auto"/>
            </w:tcBorders>
          </w:tcPr>
          <w:p>
            <w:pPr>
              <w:pStyle w:val="TableParagraph"/>
              <w:spacing w:line="240" w:lineRule="auto" w:before="52"/>
              <w:ind w:right="47"/>
              <w:jc w:val="right"/>
              <w:rPr>
                <w:rFonts w:ascii="Times New Roman" w:hAnsi="Times New Roman" w:cs="Times New Roman" w:eastAsia="Times New Roman" w:hint="default"/>
                <w:sz w:val="21"/>
                <w:szCs w:val="21"/>
              </w:rPr>
            </w:pPr>
            <w:r>
              <w:rPr>
                <w:rFonts w:ascii="Times New Roman"/>
                <w:spacing w:val="-1"/>
                <w:sz w:val="21"/>
              </w:rPr>
              <w:t>134,832,555.66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319" w:lineRule="auto" w:before="27"/>
        <w:ind w:right="626" w:firstLine="480"/>
        <w:jc w:val="left"/>
      </w:pPr>
      <w:r>
        <w:rPr/>
        <w:pict>
          <v:group style="position:absolute;margin-left:235.5pt;margin-top:-66.054634pt;width:93.8pt;height:.1pt;mso-position-horizontal-relative:page;mso-position-vertical-relative:paragraph;z-index:-588928" coordorigin="4710,-1321" coordsize="1876,2">
            <v:shape style="position:absolute;left:4710;top:-1321;width:1876;height:2" coordorigin="4710,-1321" coordsize="1876,0" path="m4710,-1321l6586,-1321e" filled="false" stroked="true" strokeweight=".71997pt" strokecolor="#000000">
              <v:path arrowok="t"/>
            </v:shape>
            <w10:wrap type="none"/>
          </v:group>
        </w:pict>
      </w:r>
      <w:r>
        <w:rPr/>
        <w:pict>
          <v:group style="position:absolute;margin-left:335.640015pt;margin-top:-66.054634pt;width:93.8pt;height:.1pt;mso-position-horizontal-relative:page;mso-position-vertical-relative:paragraph;z-index:-588904" coordorigin="6713,-1321" coordsize="1876,2">
            <v:shape style="position:absolute;left:6713;top:-1321;width:1876;height:2" coordorigin="6713,-1321" coordsize="1876,0" path="m6713,-1321l8588,-1321e" filled="false" stroked="true" strokeweight=".71997pt" strokecolor="#000000">
              <v:path arrowok="t"/>
            </v:shape>
            <w10:wrap type="none"/>
          </v:group>
        </w:pict>
      </w:r>
      <w:r>
        <w:rPr/>
        <w:pict>
          <v:group style="position:absolute;margin-left:235.5pt;margin-top:-29.094646pt;width:93.8pt;height:.1pt;mso-position-horizontal-relative:page;mso-position-vertical-relative:paragraph;z-index:-588880" coordorigin="4710,-582" coordsize="1876,2">
            <v:shape style="position:absolute;left:4710;top:-582;width:1876;height:2" coordorigin="4710,-582" coordsize="1876,0" path="m4710,-582l6586,-582e" filled="false" stroked="true" strokeweight=".72pt" strokecolor="#000000">
              <v:path arrowok="t"/>
            </v:shape>
            <w10:wrap type="none"/>
          </v:group>
        </w:pict>
      </w:r>
      <w:r>
        <w:rPr/>
        <w:pict>
          <v:group style="position:absolute;margin-left:335.640015pt;margin-top:-29.094646pt;width:93.8pt;height:.1pt;mso-position-horizontal-relative:page;mso-position-vertical-relative:paragraph;z-index:-588856" coordorigin="6713,-582" coordsize="1876,2">
            <v:shape style="position:absolute;left:6713;top:-582;width:1876;height:2" coordorigin="6713,-582" coordsize="1876,0" path="m6713,-582l8588,-582e" filled="false" stroked="true" strokeweight=".72pt" strokecolor="#000000">
              <v:path arrowok="t"/>
            </v:shape>
            <w10:wrap type="none"/>
          </v:group>
        </w:pict>
      </w:r>
      <w:r>
        <w:rPr/>
        <w:pict>
          <v:group style="position:absolute;margin-left:433.679993pt;margin-top:-66.054634pt;width:93.75pt;height:.1pt;mso-position-horizontal-relative:page;mso-position-vertical-relative:paragraph;z-index:-588808" coordorigin="8674,-1321" coordsize="1875,2">
            <v:shape style="position:absolute;left:8674;top:-1321;width:1875;height:2" coordorigin="8674,-1321" coordsize="1875,0" path="m8674,-1321l10548,-1321e" filled="false" stroked="true" strokeweight=".71997pt" strokecolor="#000000">
              <v:path arrowok="t"/>
            </v:shape>
            <w10:wrap type="none"/>
          </v:group>
        </w:pict>
      </w:r>
      <w:r>
        <w:rPr/>
        <w:pict>
          <v:group style="position:absolute;margin-left:433.679993pt;margin-top:-29.094646pt;width:93.75pt;height:.1pt;mso-position-horizontal-relative:page;mso-position-vertical-relative:paragraph;z-index:-588784" coordorigin="8674,-582" coordsize="1875,2">
            <v:shape style="position:absolute;left:8674;top:-582;width:1875;height:2" coordorigin="8674,-582" coordsize="1875,0" path="m8674,-582l10548,-582e" filled="false" stroked="true" strokeweight=".72pt" strokecolor="#000000">
              <v:path arrowok="t"/>
            </v:shape>
            <w10:wrap type="none"/>
          </v:group>
        </w:pict>
      </w:r>
      <w:r>
        <w:rPr>
          <w:spacing w:val="-8"/>
        </w:rPr>
        <w:t>（3）2007</w:t>
      </w:r>
      <w:r>
        <w:rPr>
          <w:spacing w:val="-58"/>
        </w:rPr>
        <w:t> </w:t>
      </w:r>
      <w:r>
        <w:rPr/>
        <w:t>年度公司前五名客户销售的收入总额分别为</w:t>
      </w:r>
      <w:r>
        <w:rPr>
          <w:spacing w:val="-59"/>
        </w:rPr>
        <w:t> </w:t>
      </w:r>
      <w:r>
        <w:rPr>
          <w:rFonts w:ascii="Times New Roman" w:hAnsi="Times New Roman" w:cs="Times New Roman" w:eastAsia="Times New Roman" w:hint="default"/>
        </w:rPr>
        <w:t>70,191,700.00</w:t>
      </w:r>
      <w:r>
        <w:rPr>
          <w:rFonts w:ascii="Times New Roman" w:hAnsi="Times New Roman" w:cs="Times New Roman" w:eastAsia="Times New Roman" w:hint="default"/>
          <w:spacing w:val="2"/>
        </w:rPr>
        <w:t> </w:t>
      </w:r>
      <w:r>
        <w:rPr>
          <w:spacing w:val="-16"/>
        </w:rPr>
        <w:t>元，占</w:t>
      </w:r>
      <w:r>
        <w:rPr>
          <w:w w:val="100"/>
        </w:rPr>
        <w:t> </w:t>
      </w:r>
      <w:r>
        <w:rPr/>
        <w:t>公司全部销售收入的比例为</w:t>
      </w:r>
      <w:r>
        <w:rPr>
          <w:spacing w:val="-72"/>
        </w:rPr>
        <w:t> </w:t>
      </w:r>
      <w:r>
        <w:rPr>
          <w:rFonts w:ascii="Times New Roman" w:hAnsi="Times New Roman" w:cs="Times New Roman" w:eastAsia="Times New Roman" w:hint="default"/>
        </w:rPr>
        <w:t>14.98%</w:t>
      </w:r>
      <w:r>
        <w:rPr/>
        <w:t>。</w:t>
      </w:r>
    </w:p>
    <w:p>
      <w:pPr>
        <w:pStyle w:val="Heading3"/>
        <w:spacing w:line="362" w:lineRule="exact"/>
        <w:ind w:left="679" w:right="624"/>
        <w:jc w:val="left"/>
        <w:rPr>
          <w:b w:val="0"/>
          <w:bCs w:val="0"/>
        </w:rPr>
      </w:pPr>
      <w:r>
        <w:rPr/>
        <w:t>31、营业税金及附加</w:t>
      </w:r>
      <w:r>
        <w:rPr>
          <w:b w:val="0"/>
          <w:bCs w:val="0"/>
        </w:rPr>
      </w:r>
    </w:p>
    <w:p>
      <w:pPr>
        <w:spacing w:after="0" w:line="362" w:lineRule="exact"/>
        <w:jc w:val="left"/>
        <w:sectPr>
          <w:pgSz w:w="11910" w:h="16840"/>
          <w:pgMar w:header="840" w:footer="1712" w:top="1160" w:bottom="1900" w:left="1660" w:right="1160"/>
        </w:sectPr>
      </w:pPr>
    </w:p>
    <w:p>
      <w:pPr>
        <w:tabs>
          <w:tab w:pos="4113" w:val="left" w:leader="none"/>
          <w:tab w:pos="4804" w:val="left" w:leader="none"/>
          <w:tab w:pos="6293" w:val="left" w:leader="none"/>
          <w:tab w:pos="7255" w:val="left" w:leader="none"/>
          <w:tab w:pos="7930" w:val="left" w:leader="none"/>
        </w:tabs>
        <w:spacing w:line="158" w:lineRule="auto" w:before="106"/>
        <w:ind w:left="2882" w:right="768" w:hanging="1683"/>
        <w:jc w:val="left"/>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58876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pict>
          <v:group style="position:absolute;margin-left:220.859985pt;margin-top:14.839744pt;width:164.95pt;height:1pt;mso-position-horizontal-relative:page;mso-position-vertical-relative:paragraph;z-index:-588736" coordorigin="4417,297" coordsize="3299,20">
            <v:group style="position:absolute;left:4427;top:297;width:3280;height:2" coordorigin="4427,297" coordsize="3280,2">
              <v:shape style="position:absolute;left:4427;top:297;width:3280;height:2" coordorigin="4427,297" coordsize="3280,0" path="m4427,297l7706,297e" filled="false" stroked="true" strokeweight=".06pt" strokecolor="#000000">
                <v:path arrowok="t"/>
              </v:shape>
            </v:group>
            <v:group style="position:absolute;left:4427;top:307;width:3280;height:2" coordorigin="4427,307" coordsize="3280,2">
              <v:shape style="position:absolute;left:4427;top:307;width:3280;height:2" coordorigin="4427,307" coordsize="3280,0" path="m4427,307l7706,307e" filled="false" stroked="true" strokeweight=".96002pt" strokecolor="#000000">
                <v:path arrowok="t"/>
              </v:shape>
            </v:group>
            <w10:wrap type="none"/>
          </v:group>
        </w:pict>
      </w:r>
      <w:r>
        <w:rPr/>
        <w:pict>
          <v:group style="position:absolute;margin-left:280.5pt;margin-top:72.529732pt;width:104.85pt;height:.1pt;mso-position-horizontal-relative:page;mso-position-vertical-relative:paragraph;z-index:-588712" coordorigin="5610,1451" coordsize="2097,2">
            <v:shape style="position:absolute;left:5610;top:1451;width:2097;height:2" coordorigin="5610,1451" coordsize="2097,0" path="m5610,1451l7706,1451e" filled="false" stroked="true" strokeweight=".96002pt" strokecolor="#000000">
              <v:path arrowok="t"/>
            </v:shape>
            <w10:wrap type="none"/>
          </v:group>
        </w:pict>
      </w:r>
      <w:r>
        <w:rPr/>
        <w:pict>
          <v:group style="position:absolute;margin-left:391.440002pt;margin-top:14.839744pt;width:138pt;height:1pt;mso-position-horizontal-relative:page;mso-position-vertical-relative:paragraph;z-index:-588688" coordorigin="7829,297" coordsize="2760,20">
            <v:group style="position:absolute;left:7838;top:297;width:2741;height:2" coordorigin="7838,297" coordsize="2741,2">
              <v:shape style="position:absolute;left:7838;top:297;width:2741;height:2" coordorigin="7838,297" coordsize="2741,0" path="m7838,297l10579,297e" filled="false" stroked="true" strokeweight=".06pt" strokecolor="#000000">
                <v:path arrowok="t"/>
              </v:shape>
            </v:group>
            <v:group style="position:absolute;left:7838;top:307;width:2741;height:2" coordorigin="7838,307" coordsize="2741,2">
              <v:shape style="position:absolute;left:7838;top:307;width:2741;height:2" coordorigin="7838,307" coordsize="2741,0" path="m7838,307l10579,307e" filled="false" stroked="true" strokeweight=".96002pt" strokecolor="#000000">
                <v:path arrowok="t"/>
              </v:shape>
            </v:group>
            <w10:wrap type="none"/>
          </v:group>
        </w:pict>
      </w:r>
      <w:r>
        <w:rPr/>
        <w:pict>
          <v:group style="position:absolute;margin-left:449.519989pt;margin-top:72.529732pt;width:79.45pt;height:.1pt;mso-position-horizontal-relative:page;mso-position-vertical-relative:paragraph;z-index:-588664" coordorigin="8990,1451" coordsize="1589,2">
            <v:shape style="position:absolute;left:8990;top:1451;width:1589;height:2" coordorigin="8990,1451" coordsize="1589,0" path="m8990,1451l10579,1451e" filled="false" stroked="true" strokeweight=".96002pt" strokecolor="#000000">
              <v:path arrowok="t"/>
            </v:shape>
            <w10:wrap type="none"/>
          </v:group>
        </w:pict>
      </w:r>
      <w:r>
        <w:rPr>
          <w:rFonts w:ascii="宋体" w:hAnsi="宋体" w:cs="宋体" w:eastAsia="宋体" w:hint="default"/>
          <w:w w:val="95"/>
          <w:position w:val="-11"/>
          <w:sz w:val="20"/>
          <w:szCs w:val="20"/>
        </w:rPr>
        <w:t>项目</w:t>
        <w:tab/>
        <w:tab/>
      </w:r>
      <w:r>
        <w:rPr>
          <w:rFonts w:ascii="宋体" w:hAnsi="宋体" w:cs="宋体" w:eastAsia="宋体" w:hint="default"/>
          <w:sz w:val="20"/>
          <w:szCs w:val="20"/>
        </w:rPr>
        <w:t>本年数</w:t>
        <w:tab/>
        <w:tab/>
        <w:tab/>
        <w:t> 上年数</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计缴标准</w:t>
        <w:tab/>
        <w:tab/>
      </w:r>
      <w:r>
        <w:rPr>
          <w:rFonts w:ascii="宋体" w:hAnsi="宋体" w:cs="宋体" w:eastAsia="宋体" w:hint="default"/>
          <w:w w:val="95"/>
          <w:sz w:val="20"/>
          <w:szCs w:val="20"/>
        </w:rPr>
        <w:t>金额</w:t>
        <w:tab/>
      </w:r>
      <w:r>
        <w:rPr>
          <w:rFonts w:ascii="宋体" w:hAnsi="宋体" w:cs="宋体" w:eastAsia="宋体" w:hint="default"/>
          <w:sz w:val="20"/>
          <w:szCs w:val="20"/>
        </w:rPr>
        <w:t>计缴标准</w:t>
        <w:tab/>
        <w:tab/>
        <w:t> 金额</w:t>
      </w:r>
    </w:p>
    <w:tbl>
      <w:tblPr>
        <w:tblW w:w="0" w:type="auto"/>
        <w:jc w:val="left"/>
        <w:tblInd w:w="148" w:type="dxa"/>
        <w:tblLayout w:type="fixed"/>
        <w:tblCellMar>
          <w:top w:w="0" w:type="dxa"/>
          <w:left w:w="0" w:type="dxa"/>
          <w:bottom w:w="0" w:type="dxa"/>
          <w:right w:w="0" w:type="dxa"/>
        </w:tblCellMar>
        <w:tblLook w:val="01E0"/>
      </w:tblPr>
      <w:tblGrid>
        <w:gridCol w:w="2488"/>
        <w:gridCol w:w="131"/>
        <w:gridCol w:w="1020"/>
        <w:gridCol w:w="163"/>
        <w:gridCol w:w="2097"/>
        <w:gridCol w:w="132"/>
        <w:gridCol w:w="1020"/>
        <w:gridCol w:w="131"/>
        <w:gridCol w:w="1589"/>
      </w:tblGrid>
      <w:tr>
        <w:trPr>
          <w:trHeight w:val="318" w:hRule="exact"/>
        </w:trPr>
        <w:tc>
          <w:tcPr>
            <w:tcW w:w="2488" w:type="dxa"/>
            <w:tcBorders>
              <w:top w:val="single" w:sz="8" w:space="0" w:color="000000"/>
              <w:left w:val="nil" w:sz="6" w:space="0" w:color="auto"/>
              <w:bottom w:val="nil" w:sz="6" w:space="0" w:color="auto"/>
              <w:right w:val="nil" w:sz="6" w:space="0" w:color="auto"/>
            </w:tcBorders>
          </w:tcPr>
          <w:p>
            <w:pPr>
              <w:pStyle w:val="TableParagraph"/>
              <w:spacing w:line="256" w:lineRule="exact"/>
              <w:ind w:left="36" w:right="0"/>
              <w:jc w:val="left"/>
              <w:rPr>
                <w:rFonts w:ascii="宋体" w:hAnsi="宋体" w:cs="宋体" w:eastAsia="宋体" w:hint="default"/>
                <w:sz w:val="20"/>
                <w:szCs w:val="20"/>
              </w:rPr>
            </w:pPr>
            <w:r>
              <w:rPr>
                <w:rFonts w:ascii="宋体" w:hAnsi="宋体" w:cs="宋体" w:eastAsia="宋体" w:hint="default"/>
                <w:sz w:val="20"/>
                <w:szCs w:val="20"/>
              </w:rPr>
              <w:t>城市维护建设税</w:t>
            </w:r>
          </w:p>
        </w:tc>
        <w:tc>
          <w:tcPr>
            <w:tcW w:w="131" w:type="dxa"/>
            <w:tcBorders>
              <w:top w:val="nil" w:sz="6" w:space="0" w:color="auto"/>
              <w:left w:val="nil" w:sz="6" w:space="0" w:color="auto"/>
              <w:bottom w:val="nil" w:sz="6" w:space="0" w:color="auto"/>
              <w:right w:val="nil" w:sz="6" w:space="0" w:color="auto"/>
            </w:tcBorders>
          </w:tcPr>
          <w:p>
            <w:pPr/>
          </w:p>
        </w:tc>
        <w:tc>
          <w:tcPr>
            <w:tcW w:w="1020"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16" w:right="0"/>
              <w:jc w:val="center"/>
              <w:rPr>
                <w:rFonts w:ascii="Times New Roman" w:hAnsi="Times New Roman" w:cs="Times New Roman" w:eastAsia="Times New Roman" w:hint="default"/>
                <w:sz w:val="20"/>
                <w:szCs w:val="20"/>
              </w:rPr>
            </w:pPr>
            <w:r>
              <w:rPr>
                <w:rFonts w:ascii="Times New Roman"/>
                <w:sz w:val="20"/>
              </w:rPr>
              <w:t>7%</w:t>
            </w:r>
            <w:r>
              <w:rPr>
                <w:rFonts w:ascii="Times New Roman"/>
                <w:spacing w:val="48"/>
                <w:sz w:val="20"/>
              </w:rPr>
              <w:t> </w:t>
            </w:r>
            <w:r>
              <w:rPr>
                <w:rFonts w:ascii="Times New Roman"/>
                <w:sz w:val="20"/>
              </w:rPr>
              <w:t>5%</w:t>
            </w:r>
          </w:p>
        </w:tc>
        <w:tc>
          <w:tcPr>
            <w:tcW w:w="163" w:type="dxa"/>
            <w:tcBorders>
              <w:top w:val="nil" w:sz="6" w:space="0" w:color="auto"/>
              <w:left w:val="nil" w:sz="6" w:space="0" w:color="auto"/>
              <w:bottom w:val="nil" w:sz="6" w:space="0" w:color="auto"/>
              <w:right w:val="nil" w:sz="6" w:space="0" w:color="auto"/>
            </w:tcBorders>
          </w:tcPr>
          <w:p>
            <w:pPr/>
          </w:p>
        </w:tc>
        <w:tc>
          <w:tcPr>
            <w:tcW w:w="2097"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85"/>
              <w:jc w:val="right"/>
              <w:rPr>
                <w:rFonts w:ascii="Times New Roman" w:hAnsi="Times New Roman" w:cs="Times New Roman" w:eastAsia="Times New Roman" w:hint="default"/>
                <w:sz w:val="20"/>
                <w:szCs w:val="20"/>
              </w:rPr>
            </w:pPr>
            <w:r>
              <w:rPr>
                <w:rFonts w:ascii="Times New Roman"/>
                <w:sz w:val="20"/>
              </w:rPr>
              <w:t>128,272.71</w:t>
            </w:r>
          </w:p>
        </w:tc>
        <w:tc>
          <w:tcPr>
            <w:tcW w:w="132" w:type="dxa"/>
            <w:tcBorders>
              <w:top w:val="nil" w:sz="6" w:space="0" w:color="auto"/>
              <w:left w:val="nil" w:sz="6" w:space="0" w:color="auto"/>
              <w:bottom w:val="nil" w:sz="6" w:space="0" w:color="auto"/>
              <w:right w:val="nil" w:sz="6" w:space="0" w:color="auto"/>
            </w:tcBorders>
          </w:tcPr>
          <w:p>
            <w:pPr/>
          </w:p>
        </w:tc>
        <w:tc>
          <w:tcPr>
            <w:tcW w:w="1020"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left="15" w:right="0"/>
              <w:jc w:val="center"/>
              <w:rPr>
                <w:rFonts w:ascii="Times New Roman" w:hAnsi="Times New Roman" w:cs="Times New Roman" w:eastAsia="Times New Roman" w:hint="default"/>
                <w:sz w:val="20"/>
                <w:szCs w:val="20"/>
              </w:rPr>
            </w:pPr>
            <w:r>
              <w:rPr>
                <w:rFonts w:ascii="Times New Roman"/>
                <w:sz w:val="20"/>
              </w:rPr>
              <w:t>7%</w:t>
            </w:r>
            <w:r>
              <w:rPr>
                <w:rFonts w:ascii="Times New Roman"/>
                <w:spacing w:val="46"/>
                <w:sz w:val="20"/>
              </w:rPr>
              <w:t> </w:t>
            </w:r>
            <w:r>
              <w:rPr>
                <w:rFonts w:ascii="Times New Roman"/>
                <w:sz w:val="20"/>
              </w:rPr>
              <w:t>5%</w:t>
            </w:r>
          </w:p>
        </w:tc>
        <w:tc>
          <w:tcPr>
            <w:tcW w:w="131"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nil" w:sz="6" w:space="0" w:color="auto"/>
              <w:right w:val="nil" w:sz="6" w:space="0" w:color="auto"/>
            </w:tcBorders>
          </w:tcPr>
          <w:p>
            <w:pPr>
              <w:pStyle w:val="TableParagraph"/>
              <w:spacing w:line="240" w:lineRule="auto" w:before="27"/>
              <w:ind w:right="89"/>
              <w:jc w:val="right"/>
              <w:rPr>
                <w:rFonts w:ascii="Times New Roman" w:hAnsi="Times New Roman" w:cs="Times New Roman" w:eastAsia="Times New Roman" w:hint="default"/>
                <w:sz w:val="20"/>
                <w:szCs w:val="20"/>
              </w:rPr>
            </w:pPr>
            <w:r>
              <w:rPr>
                <w:rFonts w:ascii="Times New Roman"/>
                <w:w w:val="95"/>
                <w:sz w:val="20"/>
              </w:rPr>
              <w:t>101,914.60</w:t>
            </w:r>
            <w:r>
              <w:rPr>
                <w:rFonts w:ascii="Times New Roman"/>
                <w:sz w:val="20"/>
              </w:rPr>
            </w:r>
          </w:p>
        </w:tc>
      </w:tr>
      <w:tr>
        <w:trPr>
          <w:trHeight w:val="294"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54" w:lineRule="exact"/>
              <w:ind w:left="36" w:right="0"/>
              <w:jc w:val="left"/>
              <w:rPr>
                <w:rFonts w:ascii="宋体" w:hAnsi="宋体" w:cs="宋体" w:eastAsia="宋体" w:hint="default"/>
                <w:sz w:val="20"/>
                <w:szCs w:val="20"/>
              </w:rPr>
            </w:pPr>
            <w:r>
              <w:rPr>
                <w:rFonts w:ascii="宋体" w:hAnsi="宋体" w:cs="宋体" w:eastAsia="宋体" w:hint="default"/>
                <w:sz w:val="20"/>
                <w:szCs w:val="20"/>
              </w:rPr>
              <w:t>教育费附加</w:t>
            </w:r>
          </w:p>
        </w:tc>
        <w:tc>
          <w:tcPr>
            <w:tcW w:w="131"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8" w:right="0"/>
              <w:jc w:val="center"/>
              <w:rPr>
                <w:rFonts w:ascii="Times New Roman" w:hAnsi="Times New Roman" w:cs="Times New Roman" w:eastAsia="Times New Roman" w:hint="default"/>
                <w:sz w:val="20"/>
                <w:szCs w:val="20"/>
              </w:rPr>
            </w:pPr>
            <w:r>
              <w:rPr>
                <w:rFonts w:ascii="Times New Roman"/>
                <w:sz w:val="20"/>
              </w:rPr>
              <w:t>3%</w:t>
            </w:r>
          </w:p>
        </w:tc>
        <w:tc>
          <w:tcPr>
            <w:tcW w:w="163" w:type="dxa"/>
            <w:tcBorders>
              <w:top w:val="nil" w:sz="6" w:space="0" w:color="auto"/>
              <w:left w:val="nil" w:sz="6" w:space="0" w:color="auto"/>
              <w:bottom w:val="nil" w:sz="6" w:space="0" w:color="auto"/>
              <w:right w:val="nil" w:sz="6" w:space="0" w:color="auto"/>
            </w:tcBorders>
          </w:tcPr>
          <w:p>
            <w:pPr/>
          </w:p>
        </w:tc>
        <w:tc>
          <w:tcPr>
            <w:tcW w:w="2097"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85"/>
              <w:jc w:val="right"/>
              <w:rPr>
                <w:rFonts w:ascii="Times New Roman" w:hAnsi="Times New Roman" w:cs="Times New Roman" w:eastAsia="Times New Roman" w:hint="default"/>
                <w:sz w:val="20"/>
                <w:szCs w:val="20"/>
              </w:rPr>
            </w:pPr>
            <w:r>
              <w:rPr>
                <w:rFonts w:ascii="Times New Roman"/>
                <w:sz w:val="20"/>
              </w:rPr>
              <w:t>64,737.09</w:t>
            </w:r>
          </w:p>
        </w:tc>
        <w:tc>
          <w:tcPr>
            <w:tcW w:w="13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 w:right="0"/>
              <w:jc w:val="center"/>
              <w:rPr>
                <w:rFonts w:ascii="Times New Roman" w:hAnsi="Times New Roman" w:cs="Times New Roman" w:eastAsia="Times New Roman" w:hint="default"/>
                <w:sz w:val="20"/>
                <w:szCs w:val="20"/>
              </w:rPr>
            </w:pPr>
            <w:r>
              <w:rPr>
                <w:rFonts w:ascii="Times New Roman"/>
                <w:sz w:val="20"/>
              </w:rPr>
              <w:t>3%</w:t>
            </w:r>
          </w:p>
        </w:tc>
        <w:tc>
          <w:tcPr>
            <w:tcW w:w="131"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right="88"/>
              <w:jc w:val="right"/>
              <w:rPr>
                <w:rFonts w:ascii="Times New Roman" w:hAnsi="Times New Roman" w:cs="Times New Roman" w:eastAsia="Times New Roman" w:hint="default"/>
                <w:sz w:val="20"/>
                <w:szCs w:val="20"/>
              </w:rPr>
            </w:pPr>
            <w:r>
              <w:rPr>
                <w:rFonts w:ascii="Times New Roman"/>
                <w:w w:val="95"/>
                <w:sz w:val="20"/>
              </w:rPr>
              <w:t>40,309.51</w:t>
            </w:r>
            <w:r>
              <w:rPr>
                <w:rFonts w:ascii="Times New Roman"/>
                <w:sz w:val="20"/>
              </w:rPr>
            </w:r>
          </w:p>
        </w:tc>
      </w:tr>
      <w:tr>
        <w:trPr>
          <w:trHeight w:val="326"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5"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31"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2097"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85"/>
              <w:jc w:val="right"/>
              <w:rPr>
                <w:rFonts w:ascii="Times New Roman" w:hAnsi="Times New Roman" w:cs="Times New Roman" w:eastAsia="Times New Roman" w:hint="default"/>
                <w:sz w:val="20"/>
                <w:szCs w:val="20"/>
              </w:rPr>
            </w:pPr>
            <w:r>
              <w:rPr>
                <w:rFonts w:ascii="Times New Roman"/>
                <w:sz w:val="20"/>
              </w:rPr>
              <w:t>193,009.80</w:t>
            </w:r>
          </w:p>
        </w:tc>
        <w:tc>
          <w:tcPr>
            <w:tcW w:w="13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single" w:sz="8" w:space="0" w:color="000000"/>
              <w:right w:val="nil" w:sz="6" w:space="0" w:color="auto"/>
            </w:tcBorders>
          </w:tcPr>
          <w:p>
            <w:pPr>
              <w:pStyle w:val="TableParagraph"/>
              <w:spacing w:line="240" w:lineRule="auto" w:before="27"/>
              <w:ind w:right="88"/>
              <w:jc w:val="right"/>
              <w:rPr>
                <w:rFonts w:ascii="Times New Roman" w:hAnsi="Times New Roman" w:cs="Times New Roman" w:eastAsia="Times New Roman" w:hint="default"/>
                <w:sz w:val="20"/>
                <w:szCs w:val="20"/>
              </w:rPr>
            </w:pPr>
            <w:r>
              <w:rPr>
                <w:rFonts w:ascii="Times New Roman"/>
                <w:w w:val="95"/>
                <w:sz w:val="20"/>
              </w:rPr>
              <w:t>142,224.11</w:t>
            </w:r>
            <w:r>
              <w:rPr>
                <w:rFonts w:ascii="Times New Roman"/>
                <w:sz w:val="20"/>
              </w:rPr>
            </w:r>
          </w:p>
        </w:tc>
      </w:tr>
      <w:tr>
        <w:trPr>
          <w:trHeight w:val="925" w:hRule="exact"/>
        </w:trPr>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3"/>
                <w:szCs w:val="33"/>
              </w:rPr>
            </w:pPr>
          </w:p>
          <w:p>
            <w:pPr>
              <w:pStyle w:val="TableParagraph"/>
              <w:spacing w:line="240" w:lineRule="auto"/>
              <w:ind w:left="47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32、销售费用</w:t>
            </w:r>
            <w:r>
              <w:rPr>
                <w:rFonts w:ascii="Microsoft JhengHei" w:hAnsi="Microsoft JhengHei" w:cs="Microsoft JhengHei" w:eastAsia="Microsoft JhengHei" w:hint="default"/>
                <w:sz w:val="24"/>
                <w:szCs w:val="24"/>
              </w:rPr>
            </w:r>
          </w:p>
        </w:tc>
        <w:tc>
          <w:tcPr>
            <w:tcW w:w="131"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163" w:type="dxa"/>
            <w:tcBorders>
              <w:top w:val="nil" w:sz="6" w:space="0" w:color="auto"/>
              <w:left w:val="nil" w:sz="6" w:space="0" w:color="auto"/>
              <w:bottom w:val="nil" w:sz="6" w:space="0" w:color="auto"/>
              <w:right w:val="nil" w:sz="6" w:space="0" w:color="auto"/>
            </w:tcBorders>
          </w:tcPr>
          <w:p>
            <w:pPr/>
          </w:p>
        </w:tc>
        <w:tc>
          <w:tcPr>
            <w:tcW w:w="2097" w:type="dxa"/>
            <w:tcBorders>
              <w:top w:val="single" w:sz="8" w:space="0" w:color="000000"/>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131" w:type="dxa"/>
            <w:tcBorders>
              <w:top w:val="nil" w:sz="6" w:space="0" w:color="auto"/>
              <w:left w:val="nil" w:sz="6" w:space="0" w:color="auto"/>
              <w:bottom w:val="nil" w:sz="6" w:space="0" w:color="auto"/>
              <w:right w:val="nil" w:sz="6" w:space="0" w:color="auto"/>
            </w:tcBorders>
          </w:tcPr>
          <w:p>
            <w:pPr/>
          </w:p>
        </w:tc>
        <w:tc>
          <w:tcPr>
            <w:tcW w:w="1589" w:type="dxa"/>
            <w:tcBorders>
              <w:top w:val="single" w:sz="8" w:space="0" w:color="000000"/>
              <w:left w:val="nil" w:sz="6" w:space="0" w:color="auto"/>
              <w:bottom w:val="nil" w:sz="6" w:space="0" w:color="auto"/>
              <w:right w:val="nil" w:sz="6" w:space="0" w:color="auto"/>
            </w:tcBorders>
          </w:tcPr>
          <w:p>
            <w:pPr/>
          </w:p>
        </w:tc>
      </w:tr>
    </w:tbl>
    <w:p>
      <w:pPr>
        <w:pStyle w:val="BodyText"/>
        <w:spacing w:line="240" w:lineRule="auto" w:before="45"/>
        <w:ind w:left="598" w:right="0"/>
        <w:jc w:val="left"/>
      </w:pPr>
      <w:r>
        <w:rPr/>
        <w:t>2007 </w:t>
      </w:r>
      <w:r>
        <w:rPr>
          <w:spacing w:val="40"/>
        </w:rPr>
        <w:t>年度销售费用为 </w:t>
      </w:r>
      <w:r>
        <w:rPr/>
        <w:t>57,758,980.11 元 ， 比 2006</w:t>
      </w:r>
      <w:r>
        <w:rPr>
          <w:spacing w:val="82"/>
        </w:rPr>
        <w:t> </w:t>
      </w:r>
      <w:r>
        <w:rPr>
          <w:spacing w:val="39"/>
        </w:rPr>
        <w:t>年度销售费用</w:t>
      </w:r>
      <w:r>
        <w:rPr>
          <w:spacing w:val="-72"/>
        </w:rPr>
        <w:t> </w:t>
      </w:r>
      <w:r>
        <w:rPr/>
      </w:r>
    </w:p>
    <w:p>
      <w:pPr>
        <w:pStyle w:val="BodyText"/>
        <w:spacing w:line="336" w:lineRule="auto" w:before="126"/>
        <w:ind w:right="0"/>
        <w:jc w:val="left"/>
      </w:pPr>
      <w:r>
        <w:rPr/>
        <w:t>42,980,995.10</w:t>
      </w:r>
      <w:r>
        <w:rPr>
          <w:spacing w:val="-52"/>
        </w:rPr>
        <w:t> </w:t>
      </w:r>
      <w:r>
        <w:rPr/>
        <w:t>元增长了</w:t>
      </w:r>
      <w:r>
        <w:rPr>
          <w:spacing w:val="-53"/>
        </w:rPr>
        <w:t> </w:t>
      </w:r>
      <w:r>
        <w:rPr>
          <w:spacing w:val="-5"/>
        </w:rPr>
        <w:t>34.38%，其主要原因是本年业务宣传费和运输费增加以</w:t>
      </w:r>
      <w:r>
        <w:rPr>
          <w:spacing w:val="-115"/>
        </w:rPr>
        <w:t> </w:t>
      </w:r>
      <w:r>
        <w:rPr>
          <w:spacing w:val="-115"/>
        </w:rPr>
      </w:r>
      <w:r>
        <w:rPr/>
        <w:t>及合并范围增加所致。</w:t>
      </w:r>
    </w:p>
    <w:p>
      <w:pPr>
        <w:pStyle w:val="Heading3"/>
        <w:spacing w:line="366" w:lineRule="exact"/>
        <w:ind w:left="619" w:right="0"/>
        <w:jc w:val="left"/>
        <w:rPr>
          <w:b w:val="0"/>
          <w:bCs w:val="0"/>
        </w:rPr>
      </w:pPr>
      <w:r>
        <w:rPr/>
        <w:t>33、管理费用</w:t>
      </w:r>
      <w:r>
        <w:rPr>
          <w:b w:val="0"/>
          <w:bCs w:val="0"/>
        </w:rPr>
      </w:r>
    </w:p>
    <w:p>
      <w:pPr>
        <w:pStyle w:val="BodyText"/>
        <w:spacing w:line="307" w:lineRule="exact" w:before="0"/>
        <w:ind w:left="617" w:right="0"/>
        <w:jc w:val="left"/>
      </w:pPr>
      <w:r>
        <w:rPr/>
        <w:t>2007</w:t>
      </w:r>
      <w:r>
        <w:rPr>
          <w:spacing w:val="49"/>
        </w:rPr>
        <w:t> </w:t>
      </w:r>
      <w:r>
        <w:rPr/>
        <w:t>年</w:t>
      </w:r>
      <w:r>
        <w:rPr>
          <w:spacing w:val="-74"/>
        </w:rPr>
        <w:t> </w:t>
      </w:r>
      <w:r>
        <w:rPr/>
        <w:t>度</w:t>
      </w:r>
      <w:r>
        <w:rPr>
          <w:spacing w:val="-72"/>
        </w:rPr>
        <w:t> </w:t>
      </w:r>
      <w:r>
        <w:rPr>
          <w:spacing w:val="36"/>
        </w:rPr>
        <w:t>管理费用为</w:t>
      </w:r>
      <w:r>
        <w:rPr>
          <w:spacing w:val="48"/>
        </w:rPr>
        <w:t> </w:t>
      </w:r>
      <w:r>
        <w:rPr/>
        <w:t>25,720,220.97</w:t>
      </w:r>
      <w:r>
        <w:rPr>
          <w:spacing w:val="49"/>
        </w:rPr>
        <w:t> </w:t>
      </w:r>
      <w:r>
        <w:rPr/>
        <w:t>元</w:t>
      </w:r>
      <w:r>
        <w:rPr>
          <w:spacing w:val="-74"/>
        </w:rPr>
        <w:t> </w:t>
      </w:r>
      <w:r>
        <w:rPr/>
        <w:t>，</w:t>
      </w:r>
      <w:r>
        <w:rPr>
          <w:spacing w:val="-74"/>
        </w:rPr>
        <w:t> </w:t>
      </w:r>
      <w:r>
        <w:rPr/>
        <w:t>比</w:t>
      </w:r>
      <w:r>
        <w:rPr>
          <w:spacing w:val="48"/>
        </w:rPr>
        <w:t> </w:t>
      </w:r>
      <w:r>
        <w:rPr/>
        <w:t>2006</w:t>
      </w:r>
      <w:r>
        <w:rPr>
          <w:spacing w:val="49"/>
        </w:rPr>
        <w:t> </w:t>
      </w:r>
      <w:r>
        <w:rPr/>
        <w:t>年</w:t>
      </w:r>
      <w:r>
        <w:rPr>
          <w:spacing w:val="-74"/>
        </w:rPr>
        <w:t> </w:t>
      </w:r>
      <w:r>
        <w:rPr/>
        <w:t>度</w:t>
      </w:r>
      <w:r>
        <w:rPr>
          <w:spacing w:val="-72"/>
        </w:rPr>
        <w:t> </w:t>
      </w:r>
      <w:r>
        <w:rPr/>
        <w:t>管</w:t>
      </w:r>
      <w:r>
        <w:rPr>
          <w:spacing w:val="-74"/>
        </w:rPr>
        <w:t> </w:t>
      </w:r>
      <w:r>
        <w:rPr/>
        <w:t>理</w:t>
      </w:r>
      <w:r>
        <w:rPr>
          <w:spacing w:val="-74"/>
        </w:rPr>
        <w:t> </w:t>
      </w:r>
      <w:r>
        <w:rPr/>
        <w:t>费</w:t>
      </w:r>
      <w:r>
        <w:rPr>
          <w:spacing w:val="-72"/>
        </w:rPr>
        <w:t> </w:t>
      </w:r>
      <w:r>
        <w:rPr/>
        <w:t>用</w:t>
      </w:r>
    </w:p>
    <w:p>
      <w:pPr>
        <w:pStyle w:val="BodyText"/>
        <w:spacing w:line="312" w:lineRule="exact" w:before="0"/>
        <w:ind w:right="0"/>
        <w:jc w:val="left"/>
      </w:pPr>
      <w:r>
        <w:rPr/>
        <w:t>19,613,434.26 元 增长</w:t>
      </w:r>
      <w:r>
        <w:rPr>
          <w:spacing w:val="-67"/>
        </w:rPr>
        <w:t> </w:t>
      </w:r>
      <w:r>
        <w:rPr/>
        <w:t>31.14%，其主要原因是本年合并范围增加所致。</w:t>
      </w:r>
    </w:p>
    <w:p>
      <w:pPr>
        <w:pStyle w:val="Heading3"/>
        <w:spacing w:line="240" w:lineRule="auto" w:before="30"/>
        <w:ind w:right="0"/>
        <w:jc w:val="left"/>
        <w:rPr>
          <w:b w:val="0"/>
          <w:bCs w:val="0"/>
        </w:rPr>
      </w:pPr>
      <w:r>
        <w:rPr/>
        <w:t>34、财务费用</w:t>
      </w:r>
      <w:r>
        <w:rPr>
          <w:b w:val="0"/>
          <w:bCs w:val="0"/>
        </w:rPr>
      </w:r>
    </w:p>
    <w:p>
      <w:pPr>
        <w:tabs>
          <w:tab w:pos="472" w:val="left" w:leader="none"/>
          <w:tab w:pos="3167" w:val="left" w:leader="none"/>
          <w:tab w:pos="6311" w:val="left" w:leader="none"/>
        </w:tabs>
        <w:spacing w:before="163"/>
        <w:ind w:left="31" w:right="0" w:firstLine="0"/>
        <w:jc w:val="center"/>
        <w:rPr>
          <w:rFonts w:ascii="宋体" w:hAnsi="宋体" w:cs="宋体" w:eastAsia="宋体" w:hint="default"/>
          <w:sz w:val="22"/>
          <w:szCs w:val="22"/>
        </w:rPr>
      </w:pPr>
      <w:r>
        <w:rPr>
          <w:rFonts w:ascii="宋体" w:hAnsi="宋体" w:cs="宋体" w:eastAsia="宋体" w:hint="default"/>
          <w:sz w:val="22"/>
          <w:szCs w:val="22"/>
        </w:rPr>
        <w:t>项</w:t>
        <w:tab/>
        <w:t>目</w:t>
        <w:tab/>
      </w:r>
      <w:r>
        <w:rPr>
          <w:rFonts w:ascii="宋体" w:hAnsi="宋体" w:cs="宋体" w:eastAsia="宋体" w:hint="default"/>
          <w:spacing w:val="-1"/>
          <w:sz w:val="22"/>
          <w:szCs w:val="22"/>
        </w:rPr>
        <w:t>本年数</w:t>
        <w:tab/>
        <w:t>上年数</w:t>
      </w:r>
    </w:p>
    <w:p>
      <w:pPr>
        <w:spacing w:line="240" w:lineRule="auto" w:before="3"/>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2548"/>
        <w:gridCol w:w="581"/>
        <w:gridCol w:w="2562"/>
        <w:gridCol w:w="581"/>
        <w:gridCol w:w="2561"/>
      </w:tblGrid>
      <w:tr>
        <w:trPr>
          <w:trHeight w:val="351" w:hRule="exact"/>
        </w:trPr>
        <w:tc>
          <w:tcPr>
            <w:tcW w:w="2548" w:type="dxa"/>
            <w:tcBorders>
              <w:top w:val="single" w:sz="8" w:space="0" w:color="000000"/>
              <w:left w:val="nil" w:sz="6" w:space="0" w:color="auto"/>
              <w:bottom w:val="nil" w:sz="6" w:space="0" w:color="auto"/>
              <w:right w:val="nil" w:sz="6" w:space="0" w:color="auto"/>
            </w:tcBorders>
          </w:tcPr>
          <w:p>
            <w:pPr>
              <w:pStyle w:val="TableParagraph"/>
              <w:spacing w:line="285" w:lineRule="exact"/>
              <w:ind w:left="38"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581" w:type="dxa"/>
            <w:tcBorders>
              <w:top w:val="nil" w:sz="6" w:space="0" w:color="auto"/>
              <w:left w:val="nil" w:sz="6" w:space="0" w:color="auto"/>
              <w:bottom w:val="nil" w:sz="6" w:space="0" w:color="auto"/>
              <w:right w:val="nil" w:sz="6" w:space="0" w:color="auto"/>
            </w:tcBorders>
          </w:tcPr>
          <w:p>
            <w:pPr/>
          </w:p>
        </w:tc>
        <w:tc>
          <w:tcPr>
            <w:tcW w:w="2562"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right="94"/>
              <w:jc w:val="right"/>
              <w:rPr>
                <w:rFonts w:ascii="Times New Roman" w:hAnsi="Times New Roman" w:cs="Times New Roman" w:eastAsia="Times New Roman" w:hint="default"/>
                <w:sz w:val="22"/>
                <w:szCs w:val="22"/>
              </w:rPr>
            </w:pPr>
            <w:r>
              <w:rPr>
                <w:rFonts w:ascii="Times New Roman"/>
                <w:spacing w:val="-1"/>
                <w:sz w:val="22"/>
              </w:rPr>
              <w:t>3,739,613.60</w:t>
            </w:r>
          </w:p>
        </w:tc>
        <w:tc>
          <w:tcPr>
            <w:tcW w:w="581" w:type="dxa"/>
            <w:tcBorders>
              <w:top w:val="nil" w:sz="6" w:space="0" w:color="auto"/>
              <w:left w:val="nil" w:sz="6" w:space="0" w:color="auto"/>
              <w:bottom w:val="nil" w:sz="6" w:space="0" w:color="auto"/>
              <w:right w:val="nil" w:sz="6" w:space="0" w:color="auto"/>
            </w:tcBorders>
          </w:tcPr>
          <w:p>
            <w:pPr/>
          </w:p>
        </w:tc>
        <w:tc>
          <w:tcPr>
            <w:tcW w:w="2561"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right="93"/>
              <w:jc w:val="right"/>
              <w:rPr>
                <w:rFonts w:ascii="Times New Roman" w:hAnsi="Times New Roman" w:cs="Times New Roman" w:eastAsia="Times New Roman" w:hint="default"/>
                <w:sz w:val="22"/>
                <w:szCs w:val="22"/>
              </w:rPr>
            </w:pPr>
            <w:r>
              <w:rPr>
                <w:rFonts w:ascii="Times New Roman"/>
                <w:spacing w:val="-1"/>
                <w:sz w:val="22"/>
              </w:rPr>
              <w:t>5,596,142.55</w:t>
            </w:r>
          </w:p>
        </w:tc>
      </w:tr>
      <w:tr>
        <w:trPr>
          <w:trHeight w:val="338"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83" w:lineRule="exact"/>
              <w:ind w:left="38"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581" w:type="dxa"/>
            <w:tcBorders>
              <w:top w:val="nil" w:sz="6" w:space="0" w:color="auto"/>
              <w:left w:val="nil" w:sz="6" w:space="0" w:color="auto"/>
              <w:bottom w:val="nil" w:sz="6" w:space="0" w:color="auto"/>
              <w:right w:val="nil" w:sz="6" w:space="0" w:color="auto"/>
            </w:tcBorders>
          </w:tcPr>
          <w:p>
            <w:pPr/>
          </w:p>
        </w:tc>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4"/>
              <w:jc w:val="right"/>
              <w:rPr>
                <w:rFonts w:ascii="Times New Roman" w:hAnsi="Times New Roman" w:cs="Times New Roman" w:eastAsia="Times New Roman" w:hint="default"/>
                <w:sz w:val="22"/>
                <w:szCs w:val="22"/>
              </w:rPr>
            </w:pPr>
            <w:r>
              <w:rPr>
                <w:rFonts w:ascii="Times New Roman"/>
                <w:spacing w:val="-1"/>
                <w:sz w:val="22"/>
              </w:rPr>
              <w:t>1,661,946.83</w:t>
            </w:r>
          </w:p>
        </w:tc>
        <w:tc>
          <w:tcPr>
            <w:tcW w:w="581" w:type="dxa"/>
            <w:tcBorders>
              <w:top w:val="nil" w:sz="6" w:space="0" w:color="auto"/>
              <w:left w:val="nil" w:sz="6" w:space="0" w:color="auto"/>
              <w:bottom w:val="nil" w:sz="6" w:space="0" w:color="auto"/>
              <w:right w:val="nil" w:sz="6" w:space="0" w:color="auto"/>
            </w:tcBorders>
          </w:tcPr>
          <w:p>
            <w:pPr/>
          </w:p>
        </w:tc>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3"/>
              <w:jc w:val="right"/>
              <w:rPr>
                <w:rFonts w:ascii="Times New Roman" w:hAnsi="Times New Roman" w:cs="Times New Roman" w:eastAsia="Times New Roman" w:hint="default"/>
                <w:sz w:val="22"/>
                <w:szCs w:val="22"/>
              </w:rPr>
            </w:pPr>
            <w:r>
              <w:rPr>
                <w:rFonts w:ascii="Times New Roman"/>
                <w:spacing w:val="-1"/>
                <w:sz w:val="22"/>
              </w:rPr>
              <w:t>479,820.72</w:t>
            </w:r>
          </w:p>
        </w:tc>
      </w:tr>
      <w:tr>
        <w:trPr>
          <w:trHeight w:val="337"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82" w:lineRule="exact"/>
              <w:ind w:left="38" w:right="0"/>
              <w:jc w:val="left"/>
              <w:rPr>
                <w:rFonts w:ascii="宋体" w:hAnsi="宋体" w:cs="宋体" w:eastAsia="宋体" w:hint="default"/>
                <w:sz w:val="22"/>
                <w:szCs w:val="22"/>
              </w:rPr>
            </w:pPr>
            <w:r>
              <w:rPr>
                <w:rFonts w:ascii="宋体" w:hAnsi="宋体" w:cs="宋体" w:eastAsia="宋体" w:hint="default"/>
                <w:sz w:val="22"/>
                <w:szCs w:val="22"/>
              </w:rPr>
              <w:t>汇兑损失</w:t>
            </w:r>
          </w:p>
        </w:tc>
        <w:tc>
          <w:tcPr>
            <w:tcW w:w="581" w:type="dxa"/>
            <w:tcBorders>
              <w:top w:val="nil" w:sz="6" w:space="0" w:color="auto"/>
              <w:left w:val="nil" w:sz="6" w:space="0" w:color="auto"/>
              <w:bottom w:val="nil" w:sz="6" w:space="0" w:color="auto"/>
              <w:right w:val="nil" w:sz="6" w:space="0" w:color="auto"/>
            </w:tcBorders>
          </w:tcPr>
          <w:p>
            <w:pPr/>
          </w:p>
        </w:tc>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4"/>
              <w:jc w:val="right"/>
              <w:rPr>
                <w:rFonts w:ascii="Times New Roman" w:hAnsi="Times New Roman" w:cs="Times New Roman" w:eastAsia="Times New Roman" w:hint="default"/>
                <w:sz w:val="22"/>
                <w:szCs w:val="22"/>
              </w:rPr>
            </w:pPr>
            <w:r>
              <w:rPr>
                <w:rFonts w:ascii="Times New Roman"/>
                <w:spacing w:val="-1"/>
                <w:sz w:val="22"/>
              </w:rPr>
              <w:t>34,926.25</w:t>
            </w:r>
          </w:p>
        </w:tc>
        <w:tc>
          <w:tcPr>
            <w:tcW w:w="581" w:type="dxa"/>
            <w:tcBorders>
              <w:top w:val="nil" w:sz="6" w:space="0" w:color="auto"/>
              <w:left w:val="nil" w:sz="6" w:space="0" w:color="auto"/>
              <w:bottom w:val="nil" w:sz="6" w:space="0" w:color="auto"/>
              <w:right w:val="nil" w:sz="6" w:space="0" w:color="auto"/>
            </w:tcBorders>
          </w:tcPr>
          <w:p>
            <w:pPr/>
          </w:p>
        </w:tc>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2"/>
              <w:jc w:val="right"/>
              <w:rPr>
                <w:rFonts w:ascii="Times New Roman" w:hAnsi="Times New Roman" w:cs="Times New Roman" w:eastAsia="Times New Roman" w:hint="default"/>
                <w:sz w:val="22"/>
                <w:szCs w:val="22"/>
              </w:rPr>
            </w:pPr>
            <w:r>
              <w:rPr>
                <w:rFonts w:ascii="Times New Roman"/>
                <w:sz w:val="22"/>
              </w:rPr>
              <w:t>51,495.09</w:t>
            </w:r>
          </w:p>
        </w:tc>
      </w:tr>
      <w:tr>
        <w:trPr>
          <w:trHeight w:val="338"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83" w:lineRule="exact"/>
              <w:ind w:left="38" w:right="0"/>
              <w:jc w:val="left"/>
              <w:rPr>
                <w:rFonts w:ascii="宋体" w:hAnsi="宋体" w:cs="宋体" w:eastAsia="宋体" w:hint="default"/>
                <w:sz w:val="22"/>
                <w:szCs w:val="22"/>
              </w:rPr>
            </w:pPr>
            <w:r>
              <w:rPr>
                <w:rFonts w:ascii="宋体" w:hAnsi="宋体" w:cs="宋体" w:eastAsia="宋体" w:hint="default"/>
                <w:sz w:val="22"/>
                <w:szCs w:val="22"/>
              </w:rPr>
              <w:t>减：汇兑收入</w:t>
            </w:r>
          </w:p>
        </w:tc>
        <w:tc>
          <w:tcPr>
            <w:tcW w:w="581" w:type="dxa"/>
            <w:tcBorders>
              <w:top w:val="nil" w:sz="6" w:space="0" w:color="auto"/>
              <w:left w:val="nil" w:sz="6" w:space="0" w:color="auto"/>
              <w:bottom w:val="nil" w:sz="6" w:space="0" w:color="auto"/>
              <w:right w:val="nil" w:sz="6" w:space="0" w:color="auto"/>
            </w:tcBorders>
          </w:tcPr>
          <w:p>
            <w:pPr/>
          </w:p>
        </w:tc>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4"/>
              <w:jc w:val="right"/>
              <w:rPr>
                <w:rFonts w:ascii="Times New Roman" w:hAnsi="Times New Roman" w:cs="Times New Roman" w:eastAsia="Times New Roman" w:hint="default"/>
                <w:sz w:val="22"/>
                <w:szCs w:val="22"/>
              </w:rPr>
            </w:pPr>
            <w:r>
              <w:rPr>
                <w:rFonts w:ascii="Times New Roman"/>
                <w:spacing w:val="-1"/>
                <w:sz w:val="22"/>
              </w:rPr>
              <w:t>83,332.51</w:t>
            </w:r>
          </w:p>
        </w:tc>
        <w:tc>
          <w:tcPr>
            <w:tcW w:w="581" w:type="dxa"/>
            <w:tcBorders>
              <w:top w:val="nil" w:sz="6" w:space="0" w:color="auto"/>
              <w:left w:val="nil" w:sz="6" w:space="0" w:color="auto"/>
              <w:bottom w:val="nil" w:sz="6" w:space="0" w:color="auto"/>
              <w:right w:val="nil" w:sz="6" w:space="0" w:color="auto"/>
            </w:tcBorders>
          </w:tcPr>
          <w:p>
            <w:pPr/>
          </w:p>
        </w:tc>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2"/>
              <w:jc w:val="right"/>
              <w:rPr>
                <w:rFonts w:ascii="Times New Roman" w:hAnsi="Times New Roman" w:cs="Times New Roman" w:eastAsia="Times New Roman" w:hint="default"/>
                <w:sz w:val="22"/>
                <w:szCs w:val="22"/>
              </w:rPr>
            </w:pPr>
            <w:r>
              <w:rPr>
                <w:rFonts w:ascii="Times New Roman"/>
                <w:sz w:val="22"/>
              </w:rPr>
              <w:t>5,462.50</w:t>
            </w:r>
          </w:p>
        </w:tc>
      </w:tr>
      <w:tr>
        <w:trPr>
          <w:trHeight w:val="338"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83" w:lineRule="exact"/>
              <w:ind w:left="38" w:right="0"/>
              <w:jc w:val="left"/>
              <w:rPr>
                <w:rFonts w:ascii="宋体" w:hAnsi="宋体" w:cs="宋体" w:eastAsia="宋体" w:hint="default"/>
                <w:sz w:val="22"/>
                <w:szCs w:val="22"/>
              </w:rPr>
            </w:pPr>
            <w:r>
              <w:rPr>
                <w:rFonts w:ascii="宋体" w:hAnsi="宋体" w:cs="宋体" w:eastAsia="宋体" w:hint="default"/>
                <w:sz w:val="22"/>
                <w:szCs w:val="22"/>
              </w:rPr>
              <w:t>手续费</w:t>
            </w:r>
          </w:p>
        </w:tc>
        <w:tc>
          <w:tcPr>
            <w:tcW w:w="581" w:type="dxa"/>
            <w:tcBorders>
              <w:top w:val="nil" w:sz="6" w:space="0" w:color="auto"/>
              <w:left w:val="nil" w:sz="6" w:space="0" w:color="auto"/>
              <w:bottom w:val="nil" w:sz="6" w:space="0" w:color="auto"/>
              <w:right w:val="nil" w:sz="6" w:space="0" w:color="auto"/>
            </w:tcBorders>
          </w:tcPr>
          <w:p>
            <w:pPr/>
          </w:p>
        </w:tc>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4"/>
              <w:jc w:val="right"/>
              <w:rPr>
                <w:rFonts w:ascii="Times New Roman" w:hAnsi="Times New Roman" w:cs="Times New Roman" w:eastAsia="Times New Roman" w:hint="default"/>
                <w:sz w:val="22"/>
                <w:szCs w:val="22"/>
              </w:rPr>
            </w:pPr>
            <w:r>
              <w:rPr>
                <w:rFonts w:ascii="Times New Roman"/>
                <w:spacing w:val="-1"/>
                <w:sz w:val="22"/>
              </w:rPr>
              <w:t>165,068.39</w:t>
            </w:r>
          </w:p>
        </w:tc>
        <w:tc>
          <w:tcPr>
            <w:tcW w:w="581" w:type="dxa"/>
            <w:tcBorders>
              <w:top w:val="nil" w:sz="6" w:space="0" w:color="auto"/>
              <w:left w:val="nil" w:sz="6" w:space="0" w:color="auto"/>
              <w:bottom w:val="nil" w:sz="6" w:space="0" w:color="auto"/>
              <w:right w:val="nil" w:sz="6" w:space="0" w:color="auto"/>
            </w:tcBorders>
          </w:tcPr>
          <w:p>
            <w:pPr/>
          </w:p>
        </w:tc>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3"/>
              <w:jc w:val="right"/>
              <w:rPr>
                <w:rFonts w:ascii="Times New Roman" w:hAnsi="Times New Roman" w:cs="Times New Roman" w:eastAsia="Times New Roman" w:hint="default"/>
                <w:sz w:val="22"/>
                <w:szCs w:val="22"/>
              </w:rPr>
            </w:pPr>
            <w:r>
              <w:rPr>
                <w:rFonts w:ascii="Times New Roman"/>
                <w:spacing w:val="-1"/>
                <w:sz w:val="22"/>
              </w:rPr>
              <w:t>175,233.15</w:t>
            </w:r>
          </w:p>
        </w:tc>
      </w:tr>
      <w:tr>
        <w:trPr>
          <w:trHeight w:val="325"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82" w:lineRule="exact"/>
              <w:ind w:left="38"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581" w:type="dxa"/>
            <w:tcBorders>
              <w:top w:val="nil" w:sz="6" w:space="0" w:color="auto"/>
              <w:left w:val="nil" w:sz="6" w:space="0" w:color="auto"/>
              <w:bottom w:val="nil" w:sz="6" w:space="0" w:color="auto"/>
              <w:right w:val="nil" w:sz="6" w:space="0" w:color="auto"/>
            </w:tcBorders>
          </w:tcPr>
          <w:p>
            <w:pPr/>
          </w:p>
        </w:tc>
        <w:tc>
          <w:tcPr>
            <w:tcW w:w="2562"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309"/>
              <w:jc w:val="right"/>
              <w:rPr>
                <w:rFonts w:ascii="Times New Roman" w:hAnsi="Times New Roman" w:cs="Times New Roman" w:eastAsia="Times New Roman" w:hint="default"/>
                <w:sz w:val="22"/>
                <w:szCs w:val="22"/>
              </w:rPr>
            </w:pPr>
            <w:r>
              <w:rPr>
                <w:rFonts w:ascii="Times New Roman"/>
                <w:w w:val="100"/>
                <w:sz w:val="22"/>
              </w:rPr>
              <w:t>-</w:t>
            </w:r>
          </w:p>
        </w:tc>
        <w:tc>
          <w:tcPr>
            <w:tcW w:w="581" w:type="dxa"/>
            <w:tcBorders>
              <w:top w:val="nil" w:sz="6" w:space="0" w:color="auto"/>
              <w:left w:val="nil" w:sz="6" w:space="0" w:color="auto"/>
              <w:bottom w:val="nil" w:sz="6" w:space="0" w:color="auto"/>
              <w:right w:val="nil" w:sz="6" w:space="0" w:color="auto"/>
            </w:tcBorders>
          </w:tcPr>
          <w:p>
            <w:pPr/>
          </w:p>
        </w:tc>
        <w:tc>
          <w:tcPr>
            <w:tcW w:w="2561"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309"/>
              <w:jc w:val="right"/>
              <w:rPr>
                <w:rFonts w:ascii="Times New Roman" w:hAnsi="Times New Roman" w:cs="Times New Roman" w:eastAsia="Times New Roman" w:hint="default"/>
                <w:sz w:val="22"/>
                <w:szCs w:val="22"/>
              </w:rPr>
            </w:pPr>
            <w:r>
              <w:rPr>
                <w:rFonts w:ascii="Times New Roman"/>
                <w:w w:val="100"/>
                <w:sz w:val="22"/>
              </w:rPr>
              <w:t>-</w:t>
            </w:r>
          </w:p>
        </w:tc>
      </w:tr>
      <w:tr>
        <w:trPr>
          <w:trHeight w:val="357"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84" w:lineRule="exact"/>
              <w:ind w:left="16" w:right="0"/>
              <w:jc w:val="center"/>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54"/>
                <w:sz w:val="22"/>
                <w:szCs w:val="22"/>
              </w:rPr>
              <w:t> </w:t>
            </w:r>
            <w:r>
              <w:rPr>
                <w:rFonts w:ascii="宋体" w:hAnsi="宋体" w:cs="宋体" w:eastAsia="宋体" w:hint="default"/>
                <w:sz w:val="22"/>
                <w:szCs w:val="22"/>
              </w:rPr>
              <w:t>计</w:t>
            </w:r>
          </w:p>
        </w:tc>
        <w:tc>
          <w:tcPr>
            <w:tcW w:w="581" w:type="dxa"/>
            <w:tcBorders>
              <w:top w:val="nil" w:sz="6" w:space="0" w:color="auto"/>
              <w:left w:val="nil" w:sz="6" w:space="0" w:color="auto"/>
              <w:bottom w:val="nil" w:sz="6" w:space="0" w:color="auto"/>
              <w:right w:val="nil" w:sz="6" w:space="0" w:color="auto"/>
            </w:tcBorders>
          </w:tcPr>
          <w:p>
            <w:pPr/>
          </w:p>
        </w:tc>
        <w:tc>
          <w:tcPr>
            <w:tcW w:w="2562" w:type="dxa"/>
            <w:tcBorders>
              <w:top w:val="single" w:sz="8" w:space="0" w:color="000000"/>
              <w:left w:val="nil" w:sz="6" w:space="0" w:color="auto"/>
              <w:bottom w:val="single" w:sz="8" w:space="0" w:color="000000"/>
              <w:right w:val="nil" w:sz="6" w:space="0" w:color="auto"/>
            </w:tcBorders>
          </w:tcPr>
          <w:p>
            <w:pPr>
              <w:pStyle w:val="TableParagraph"/>
              <w:spacing w:line="240" w:lineRule="auto" w:before="29"/>
              <w:ind w:right="94"/>
              <w:jc w:val="right"/>
              <w:rPr>
                <w:rFonts w:ascii="Times New Roman" w:hAnsi="Times New Roman" w:cs="Times New Roman" w:eastAsia="Times New Roman" w:hint="default"/>
                <w:sz w:val="22"/>
                <w:szCs w:val="22"/>
              </w:rPr>
            </w:pPr>
            <w:r>
              <w:rPr>
                <w:rFonts w:ascii="Times New Roman"/>
                <w:spacing w:val="-1"/>
                <w:sz w:val="22"/>
              </w:rPr>
              <w:t>2,194,328.90</w:t>
            </w:r>
          </w:p>
        </w:tc>
        <w:tc>
          <w:tcPr>
            <w:tcW w:w="581" w:type="dxa"/>
            <w:tcBorders>
              <w:top w:val="nil" w:sz="6" w:space="0" w:color="auto"/>
              <w:left w:val="nil" w:sz="6" w:space="0" w:color="auto"/>
              <w:bottom w:val="nil" w:sz="6" w:space="0" w:color="auto"/>
              <w:right w:val="nil" w:sz="6" w:space="0" w:color="auto"/>
            </w:tcBorders>
          </w:tcPr>
          <w:p>
            <w:pPr/>
          </w:p>
        </w:tc>
        <w:tc>
          <w:tcPr>
            <w:tcW w:w="2561" w:type="dxa"/>
            <w:tcBorders>
              <w:top w:val="single" w:sz="8" w:space="0" w:color="000000"/>
              <w:left w:val="nil" w:sz="6" w:space="0" w:color="auto"/>
              <w:bottom w:val="single" w:sz="8" w:space="0" w:color="000000"/>
              <w:right w:val="nil" w:sz="6" w:space="0" w:color="auto"/>
            </w:tcBorders>
          </w:tcPr>
          <w:p>
            <w:pPr>
              <w:pStyle w:val="TableParagraph"/>
              <w:spacing w:line="240" w:lineRule="auto" w:before="29"/>
              <w:ind w:right="93"/>
              <w:jc w:val="right"/>
              <w:rPr>
                <w:rFonts w:ascii="Times New Roman" w:hAnsi="Times New Roman" w:cs="Times New Roman" w:eastAsia="Times New Roman" w:hint="default"/>
                <w:sz w:val="22"/>
                <w:szCs w:val="22"/>
              </w:rPr>
            </w:pPr>
            <w:r>
              <w:rPr>
                <w:rFonts w:ascii="Times New Roman"/>
                <w:spacing w:val="-1"/>
                <w:sz w:val="22"/>
              </w:rPr>
              <w:t>5,337,587.57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310" w:lineRule="exact" w:before="0"/>
        <w:ind w:right="651" w:firstLine="600"/>
        <w:jc w:val="both"/>
      </w:pPr>
      <w:r>
        <w:rPr/>
        <w:pict>
          <v:group style="position:absolute;margin-left:246.779999pt;margin-top:-27.380121pt;width:128.1pt;height:.1pt;mso-position-horizontal-relative:page;mso-position-vertical-relative:paragraph;z-index:-588640" coordorigin="4936,-548" coordsize="2562,2">
            <v:shape style="position:absolute;left:4936;top:-548;width:2562;height:2" coordorigin="4936,-548" coordsize="2562,0" path="m4936,-548l7498,-548e" filled="false" stroked="true" strokeweight=".95999pt" strokecolor="#000000">
              <v:path arrowok="t"/>
            </v:shape>
            <w10:wrap type="none"/>
          </v:group>
        </w:pict>
      </w:r>
      <w:r>
        <w:rPr/>
        <w:pict>
          <v:group style="position:absolute;margin-left:403.980011pt;margin-top:-27.380121pt;width:128.0500pt;height:.1pt;mso-position-horizontal-relative:page;mso-position-vertical-relative:paragraph;z-index:-588616" coordorigin="8080,-548" coordsize="2561,2">
            <v:shape style="position:absolute;left:8080;top:-548;width:2561;height:2" coordorigin="8080,-548" coordsize="2561,0" path="m8080,-548l10640,-548e" filled="false" stroked="true" strokeweight=".95999pt" strokecolor="#000000">
              <v:path arrowok="t"/>
            </v:shape>
            <w10:wrap type="none"/>
          </v:group>
        </w:pict>
      </w:r>
      <w:r>
        <w:rPr/>
        <w:t>2007</w:t>
      </w:r>
      <w:r>
        <w:rPr>
          <w:spacing w:val="-53"/>
        </w:rPr>
        <w:t> </w:t>
      </w:r>
      <w:r>
        <w:rPr/>
        <w:t>年度财务费用比</w:t>
      </w:r>
      <w:r>
        <w:rPr>
          <w:spacing w:val="-53"/>
        </w:rPr>
        <w:t> </w:t>
      </w:r>
      <w:r>
        <w:rPr/>
        <w:t>2006</w:t>
      </w:r>
      <w:r>
        <w:rPr>
          <w:spacing w:val="-54"/>
        </w:rPr>
        <w:t> </w:t>
      </w:r>
      <w:r>
        <w:rPr/>
        <w:t>年度财务费用减少了</w:t>
      </w:r>
      <w:r>
        <w:rPr>
          <w:spacing w:val="-53"/>
        </w:rPr>
        <w:t> </w:t>
      </w:r>
      <w:r>
        <w:rPr/>
        <w:t>58.89%，其主要原因是本</w:t>
      </w:r>
      <w:r>
        <w:rPr>
          <w:spacing w:val="-1"/>
          <w:w w:val="100"/>
        </w:rPr>
        <w:t> </w:t>
      </w:r>
      <w:r>
        <w:rPr>
          <w:spacing w:val="-5"/>
        </w:rPr>
        <w:t>年发行股票补充了流动资金、偿还了银行贷款，存款利息收入增加，贷款利息减</w:t>
      </w:r>
      <w:r>
        <w:rPr>
          <w:spacing w:val="-60"/>
        </w:rPr>
        <w:t> </w:t>
      </w:r>
      <w:r>
        <w:rPr>
          <w:spacing w:val="-60"/>
        </w:rPr>
      </w:r>
      <w:r>
        <w:rPr/>
        <w:t>少所致。</w:t>
      </w:r>
    </w:p>
    <w:p>
      <w:pPr>
        <w:pStyle w:val="Heading3"/>
        <w:spacing w:line="240" w:lineRule="auto" w:before="3"/>
        <w:ind w:left="619" w:right="0"/>
        <w:jc w:val="left"/>
        <w:rPr>
          <w:b w:val="0"/>
          <w:bCs w:val="0"/>
        </w:rPr>
      </w:pPr>
      <w:r>
        <w:rPr/>
        <w:t>35、资产减值损失</w:t>
      </w:r>
      <w:r>
        <w:rPr>
          <w:b w:val="0"/>
          <w:bCs w:val="0"/>
        </w:rPr>
      </w:r>
    </w:p>
    <w:p>
      <w:pPr>
        <w:spacing w:line="240" w:lineRule="auto" w:before="8"/>
        <w:rPr>
          <w:rFonts w:ascii="Microsoft JhengHei" w:hAnsi="Microsoft JhengHei" w:cs="Microsoft JhengHei" w:eastAsia="Microsoft JhengHei" w:hint="default"/>
          <w:b/>
          <w:bCs/>
          <w:sz w:val="7"/>
          <w:szCs w:val="7"/>
        </w:rPr>
      </w:pPr>
    </w:p>
    <w:tbl>
      <w:tblPr>
        <w:tblW w:w="0" w:type="auto"/>
        <w:jc w:val="left"/>
        <w:tblInd w:w="147" w:type="dxa"/>
        <w:tblLayout w:type="fixed"/>
        <w:tblCellMar>
          <w:top w:w="0" w:type="dxa"/>
          <w:left w:w="0" w:type="dxa"/>
          <w:bottom w:w="0" w:type="dxa"/>
          <w:right w:w="0" w:type="dxa"/>
        </w:tblCellMar>
        <w:tblLook w:val="01E0"/>
      </w:tblPr>
      <w:tblGrid>
        <w:gridCol w:w="943"/>
        <w:gridCol w:w="1947"/>
        <w:gridCol w:w="536"/>
        <w:gridCol w:w="2396"/>
        <w:gridCol w:w="536"/>
        <w:gridCol w:w="2396"/>
      </w:tblGrid>
      <w:tr>
        <w:trPr>
          <w:trHeight w:val="362" w:hRule="exact"/>
        </w:trPr>
        <w:tc>
          <w:tcPr>
            <w:tcW w:w="943" w:type="dxa"/>
            <w:tcBorders>
              <w:top w:val="nil" w:sz="6" w:space="0" w:color="auto"/>
              <w:left w:val="nil" w:sz="6" w:space="0" w:color="auto"/>
              <w:bottom w:val="single" w:sz="8" w:space="0" w:color="000000"/>
              <w:right w:val="nil" w:sz="6" w:space="0" w:color="auto"/>
            </w:tcBorders>
          </w:tcPr>
          <w:p>
            <w:pPr/>
          </w:p>
        </w:tc>
        <w:tc>
          <w:tcPr>
            <w:tcW w:w="1947" w:type="dxa"/>
            <w:tcBorders>
              <w:top w:val="nil" w:sz="6" w:space="0" w:color="auto"/>
              <w:left w:val="nil" w:sz="6" w:space="0" w:color="auto"/>
              <w:bottom w:val="single" w:sz="8" w:space="0" w:color="000000"/>
              <w:right w:val="nil" w:sz="6" w:space="0" w:color="auto"/>
            </w:tcBorders>
          </w:tcPr>
          <w:p>
            <w:pPr>
              <w:pStyle w:val="TableParagraph"/>
              <w:tabs>
                <w:tab w:pos="619" w:val="left" w:leader="none"/>
              </w:tabs>
              <w:spacing w:line="240" w:lineRule="auto" w:before="32"/>
              <w:ind w:left="180" w:right="0"/>
              <w:jc w:val="left"/>
              <w:rPr>
                <w:rFonts w:ascii="宋体" w:hAnsi="宋体" w:cs="宋体" w:eastAsia="宋体" w:hint="default"/>
                <w:sz w:val="22"/>
                <w:szCs w:val="22"/>
              </w:rPr>
            </w:pPr>
            <w:r>
              <w:rPr>
                <w:rFonts w:ascii="宋体" w:hAnsi="宋体" w:cs="宋体" w:eastAsia="宋体" w:hint="default"/>
                <w:sz w:val="22"/>
                <w:szCs w:val="22"/>
              </w:rPr>
              <w:t>项</w:t>
              <w:tab/>
              <w:t>目</w:t>
            </w:r>
          </w:p>
        </w:tc>
        <w:tc>
          <w:tcPr>
            <w:tcW w:w="536"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left="16" w:right="0"/>
              <w:jc w:val="center"/>
              <w:rPr>
                <w:rFonts w:ascii="宋体" w:hAnsi="宋体" w:cs="宋体" w:eastAsia="宋体" w:hint="default"/>
                <w:sz w:val="22"/>
                <w:szCs w:val="22"/>
              </w:rPr>
            </w:pPr>
            <w:r>
              <w:rPr>
                <w:rFonts w:ascii="宋体" w:hAnsi="宋体" w:cs="宋体" w:eastAsia="宋体" w:hint="default"/>
                <w:sz w:val="22"/>
                <w:szCs w:val="22"/>
              </w:rPr>
              <w:t>本年数</w:t>
            </w:r>
          </w:p>
        </w:tc>
        <w:tc>
          <w:tcPr>
            <w:tcW w:w="536" w:type="dxa"/>
            <w:tcBorders>
              <w:top w:val="nil" w:sz="6" w:space="0" w:color="auto"/>
              <w:left w:val="nil" w:sz="6" w:space="0" w:color="auto"/>
              <w:bottom w:val="nil" w:sz="6" w:space="0" w:color="auto"/>
              <w:right w:val="nil" w:sz="6" w:space="0" w:color="auto"/>
            </w:tcBorders>
          </w:tcPr>
          <w:p>
            <w:pPr/>
          </w:p>
        </w:tc>
        <w:tc>
          <w:tcPr>
            <w:tcW w:w="2396"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left="15" w:right="0"/>
              <w:jc w:val="center"/>
              <w:rPr>
                <w:rFonts w:ascii="宋体" w:hAnsi="宋体" w:cs="宋体" w:eastAsia="宋体" w:hint="default"/>
                <w:sz w:val="22"/>
                <w:szCs w:val="22"/>
              </w:rPr>
            </w:pPr>
            <w:r>
              <w:rPr>
                <w:rFonts w:ascii="宋体" w:hAnsi="宋体" w:cs="宋体" w:eastAsia="宋体" w:hint="default"/>
                <w:sz w:val="22"/>
                <w:szCs w:val="22"/>
              </w:rPr>
              <w:t>上年数</w:t>
            </w:r>
          </w:p>
        </w:tc>
      </w:tr>
      <w:tr>
        <w:trPr>
          <w:trHeight w:val="338" w:hRule="exact"/>
        </w:trPr>
        <w:tc>
          <w:tcPr>
            <w:tcW w:w="943" w:type="dxa"/>
            <w:tcBorders>
              <w:top w:val="single" w:sz="8" w:space="0" w:color="000000"/>
              <w:left w:val="nil" w:sz="6" w:space="0" w:color="auto"/>
              <w:bottom w:val="nil" w:sz="6" w:space="0" w:color="auto"/>
              <w:right w:val="nil" w:sz="6" w:space="0" w:color="auto"/>
            </w:tcBorders>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1947" w:type="dxa"/>
            <w:tcBorders>
              <w:top w:val="single" w:sz="8" w:space="0" w:color="000000"/>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2396" w:type="dxa"/>
            <w:tcBorders>
              <w:top w:val="single" w:sz="8" w:space="0" w:color="000000"/>
              <w:left w:val="nil" w:sz="6" w:space="0" w:color="auto"/>
              <w:bottom w:val="single" w:sz="8" w:space="0" w:color="000000"/>
              <w:right w:val="nil" w:sz="6" w:space="0" w:color="auto"/>
            </w:tcBorders>
          </w:tcPr>
          <w:p>
            <w:pPr>
              <w:pStyle w:val="TableParagraph"/>
              <w:spacing w:line="240" w:lineRule="auto" w:before="30"/>
              <w:ind w:right="93"/>
              <w:jc w:val="right"/>
              <w:rPr>
                <w:rFonts w:ascii="Times New Roman" w:hAnsi="Times New Roman" w:cs="Times New Roman" w:eastAsia="Times New Roman" w:hint="default"/>
                <w:sz w:val="22"/>
                <w:szCs w:val="22"/>
              </w:rPr>
            </w:pPr>
            <w:r>
              <w:rPr>
                <w:rFonts w:ascii="Times New Roman"/>
                <w:spacing w:val="-1"/>
                <w:sz w:val="22"/>
              </w:rPr>
              <w:t>-688,552.43</w:t>
            </w:r>
          </w:p>
        </w:tc>
        <w:tc>
          <w:tcPr>
            <w:tcW w:w="536" w:type="dxa"/>
            <w:tcBorders>
              <w:top w:val="nil" w:sz="6" w:space="0" w:color="auto"/>
              <w:left w:val="nil" w:sz="6" w:space="0" w:color="auto"/>
              <w:bottom w:val="nil" w:sz="6" w:space="0" w:color="auto"/>
              <w:right w:val="nil" w:sz="6" w:space="0" w:color="auto"/>
            </w:tcBorders>
          </w:tcPr>
          <w:p>
            <w:pPr/>
          </w:p>
        </w:tc>
        <w:tc>
          <w:tcPr>
            <w:tcW w:w="2396" w:type="dxa"/>
            <w:tcBorders>
              <w:top w:val="single" w:sz="8" w:space="0" w:color="000000"/>
              <w:left w:val="nil" w:sz="6" w:space="0" w:color="auto"/>
              <w:bottom w:val="single" w:sz="8" w:space="0" w:color="000000"/>
              <w:right w:val="nil" w:sz="6" w:space="0" w:color="auto"/>
            </w:tcBorders>
          </w:tcPr>
          <w:p>
            <w:pPr>
              <w:pStyle w:val="TableParagraph"/>
              <w:spacing w:line="240" w:lineRule="auto" w:before="30"/>
              <w:ind w:right="94"/>
              <w:jc w:val="right"/>
              <w:rPr>
                <w:rFonts w:ascii="Times New Roman" w:hAnsi="Times New Roman" w:cs="Times New Roman" w:eastAsia="Times New Roman" w:hint="default"/>
                <w:sz w:val="22"/>
                <w:szCs w:val="22"/>
              </w:rPr>
            </w:pPr>
            <w:r>
              <w:rPr>
                <w:rFonts w:ascii="Times New Roman"/>
                <w:spacing w:val="-1"/>
                <w:sz w:val="22"/>
              </w:rPr>
              <w:t>3,402,463.85</w:t>
            </w:r>
          </w:p>
        </w:tc>
      </w:tr>
      <w:tr>
        <w:trPr>
          <w:trHeight w:val="357" w:hRule="exact"/>
        </w:trPr>
        <w:tc>
          <w:tcPr>
            <w:tcW w:w="943" w:type="dxa"/>
            <w:tcBorders>
              <w:top w:val="nil" w:sz="6" w:space="0" w:color="auto"/>
              <w:left w:val="nil" w:sz="6" w:space="0" w:color="auto"/>
              <w:bottom w:val="nil" w:sz="6" w:space="0" w:color="auto"/>
              <w:right w:val="nil" w:sz="6" w:space="0" w:color="auto"/>
            </w:tcBorders>
          </w:tcPr>
          <w:p>
            <w:pPr/>
          </w:p>
        </w:tc>
        <w:tc>
          <w:tcPr>
            <w:tcW w:w="1947" w:type="dxa"/>
            <w:tcBorders>
              <w:top w:val="nil" w:sz="6" w:space="0" w:color="auto"/>
              <w:left w:val="nil" w:sz="6" w:space="0" w:color="auto"/>
              <w:bottom w:val="nil" w:sz="6" w:space="0" w:color="auto"/>
              <w:right w:val="nil" w:sz="6" w:space="0" w:color="auto"/>
            </w:tcBorders>
          </w:tcPr>
          <w:p>
            <w:pPr>
              <w:pStyle w:val="TableParagraph"/>
              <w:spacing w:line="283" w:lineRule="exact"/>
              <w:ind w:left="206" w:right="0"/>
              <w:jc w:val="left"/>
              <w:rPr>
                <w:rFonts w:ascii="宋体" w:hAnsi="宋体" w:cs="宋体" w:eastAsia="宋体" w:hint="default"/>
                <w:sz w:val="22"/>
                <w:szCs w:val="22"/>
              </w:rPr>
            </w:pPr>
            <w:r>
              <w:rPr>
                <w:rFonts w:ascii="宋体" w:hAnsi="宋体" w:cs="宋体" w:eastAsia="宋体" w:hint="default"/>
                <w:sz w:val="22"/>
                <w:szCs w:val="22"/>
              </w:rPr>
              <w:t>合</w:t>
            </w:r>
            <w:r>
              <w:rPr>
                <w:rFonts w:ascii="宋体" w:hAnsi="宋体" w:cs="宋体" w:eastAsia="宋体" w:hint="default"/>
                <w:spacing w:val="54"/>
                <w:sz w:val="22"/>
                <w:szCs w:val="22"/>
              </w:rPr>
              <w:t> </w:t>
            </w:r>
            <w:r>
              <w:rPr>
                <w:rFonts w:ascii="宋体" w:hAnsi="宋体" w:cs="宋体" w:eastAsia="宋体" w:hint="default"/>
                <w:sz w:val="22"/>
                <w:szCs w:val="22"/>
              </w:rPr>
              <w:t>计</w:t>
            </w:r>
          </w:p>
        </w:tc>
        <w:tc>
          <w:tcPr>
            <w:tcW w:w="536" w:type="dxa"/>
            <w:tcBorders>
              <w:top w:val="nil" w:sz="6" w:space="0" w:color="auto"/>
              <w:left w:val="nil" w:sz="6" w:space="0" w:color="auto"/>
              <w:bottom w:val="nil" w:sz="6" w:space="0" w:color="auto"/>
              <w:right w:val="nil" w:sz="6" w:space="0" w:color="auto"/>
            </w:tcBorders>
          </w:tcPr>
          <w:p>
            <w:pPr/>
          </w:p>
        </w:tc>
        <w:tc>
          <w:tcPr>
            <w:tcW w:w="2396" w:type="dxa"/>
            <w:tcBorders>
              <w:top w:val="single" w:sz="8" w:space="0" w:color="000000"/>
              <w:left w:val="nil" w:sz="6" w:space="0" w:color="auto"/>
              <w:bottom w:val="single" w:sz="7" w:space="0" w:color="000000"/>
              <w:right w:val="nil" w:sz="6" w:space="0" w:color="auto"/>
            </w:tcBorders>
          </w:tcPr>
          <w:p>
            <w:pPr>
              <w:pStyle w:val="TableParagraph"/>
              <w:spacing w:line="240" w:lineRule="auto" w:before="30"/>
              <w:ind w:right="93"/>
              <w:jc w:val="right"/>
              <w:rPr>
                <w:rFonts w:ascii="Times New Roman" w:hAnsi="Times New Roman" w:cs="Times New Roman" w:eastAsia="Times New Roman" w:hint="default"/>
                <w:sz w:val="22"/>
                <w:szCs w:val="22"/>
              </w:rPr>
            </w:pPr>
            <w:r>
              <w:rPr>
                <w:rFonts w:ascii="Times New Roman"/>
                <w:spacing w:val="-1"/>
                <w:sz w:val="22"/>
              </w:rPr>
              <w:t>-688,552.43</w:t>
            </w:r>
          </w:p>
        </w:tc>
        <w:tc>
          <w:tcPr>
            <w:tcW w:w="536" w:type="dxa"/>
            <w:tcBorders>
              <w:top w:val="nil" w:sz="6" w:space="0" w:color="auto"/>
              <w:left w:val="nil" w:sz="6" w:space="0" w:color="auto"/>
              <w:bottom w:val="nil" w:sz="6" w:space="0" w:color="auto"/>
              <w:right w:val="nil" w:sz="6" w:space="0" w:color="auto"/>
            </w:tcBorders>
          </w:tcPr>
          <w:p>
            <w:pPr/>
          </w:p>
        </w:tc>
        <w:tc>
          <w:tcPr>
            <w:tcW w:w="2396" w:type="dxa"/>
            <w:tcBorders>
              <w:top w:val="single" w:sz="8" w:space="0" w:color="000000"/>
              <w:left w:val="nil" w:sz="6" w:space="0" w:color="auto"/>
              <w:bottom w:val="single" w:sz="7" w:space="0" w:color="000000"/>
              <w:right w:val="nil" w:sz="6" w:space="0" w:color="auto"/>
            </w:tcBorders>
          </w:tcPr>
          <w:p>
            <w:pPr>
              <w:pStyle w:val="TableParagraph"/>
              <w:spacing w:line="240" w:lineRule="auto" w:before="30"/>
              <w:ind w:right="94"/>
              <w:jc w:val="right"/>
              <w:rPr>
                <w:rFonts w:ascii="Times New Roman" w:hAnsi="Times New Roman" w:cs="Times New Roman" w:eastAsia="Times New Roman" w:hint="default"/>
                <w:sz w:val="22"/>
                <w:szCs w:val="22"/>
              </w:rPr>
            </w:pPr>
            <w:r>
              <w:rPr>
                <w:rFonts w:ascii="Times New Roman"/>
                <w:spacing w:val="-1"/>
                <w:sz w:val="22"/>
              </w:rPr>
              <w:t>3,402,463.85</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0"/>
          <w:szCs w:val="10"/>
        </w:rPr>
      </w:pPr>
    </w:p>
    <w:p>
      <w:pPr>
        <w:pStyle w:val="BodyText"/>
        <w:spacing w:line="313" w:lineRule="exact" w:before="27"/>
        <w:ind w:left="617" w:right="0"/>
        <w:jc w:val="left"/>
      </w:pPr>
      <w:r>
        <w:rPr/>
        <w:pict>
          <v:group style="position:absolute;margin-left:261.660004pt;margin-top:-29.694208pt;width:119.8pt;height:.1pt;mso-position-horizontal-relative:page;mso-position-vertical-relative:paragraph;z-index:-588592" coordorigin="5233,-594" coordsize="2396,2">
            <v:shape style="position:absolute;left:5233;top:-594;width:2396;height:2" coordorigin="5233,-594" coordsize="2396,0" path="m5233,-594l7628,-594e" filled="false" stroked="true" strokeweight=".95999pt" strokecolor="#000000">
              <v:path arrowok="t"/>
            </v:shape>
            <w10:wrap type="none"/>
          </v:group>
        </w:pict>
      </w:r>
      <w:r>
        <w:rPr/>
        <w:pict>
          <v:group style="position:absolute;margin-left:408.23999pt;margin-top:-29.694208pt;width:119.85pt;height:.1pt;mso-position-horizontal-relative:page;mso-position-vertical-relative:paragraph;z-index:-588568" coordorigin="8165,-594" coordsize="2397,2">
            <v:shape style="position:absolute;left:8165;top:-594;width:2397;height:2" coordorigin="8165,-594" coordsize="2397,0" path="m8165,-594l10561,-594e" filled="false" stroked="true" strokeweight=".95999pt" strokecolor="#000000">
              <v:path arrowok="t"/>
            </v:shape>
            <w10:wrap type="none"/>
          </v:group>
        </w:pict>
      </w:r>
      <w:r>
        <w:rPr/>
        <w:t>2007 </w:t>
      </w:r>
      <w:r>
        <w:rPr>
          <w:spacing w:val="24"/>
        </w:rPr>
        <w:t>年度资产减值损失比 </w:t>
      </w:r>
      <w:r>
        <w:rPr/>
        <w:t>2006</w:t>
      </w:r>
      <w:r>
        <w:rPr>
          <w:spacing w:val="112"/>
        </w:rPr>
        <w:t> </w:t>
      </w:r>
      <w:r>
        <w:rPr>
          <w:spacing w:val="25"/>
        </w:rPr>
        <w:t>年度财务费用资产减值损失减少了</w:t>
      </w:r>
      <w:r>
        <w:rPr>
          <w:spacing w:val="-92"/>
        </w:rPr>
        <w:t> </w:t>
      </w:r>
      <w:r>
        <w:rPr/>
      </w:r>
    </w:p>
    <w:p>
      <w:pPr>
        <w:pStyle w:val="BodyText"/>
        <w:spacing w:line="331" w:lineRule="exact" w:before="0"/>
        <w:ind w:right="0"/>
        <w:jc w:val="left"/>
      </w:pPr>
      <w:r>
        <w:rPr>
          <w:rFonts w:ascii="Times New Roman" w:hAnsi="Times New Roman" w:cs="Times New Roman" w:eastAsia="Times New Roman" w:hint="default"/>
        </w:rPr>
        <w:t>4,091,016.28</w:t>
      </w:r>
      <w:r>
        <w:rPr>
          <w:rFonts w:ascii="Times New Roman" w:hAnsi="Times New Roman" w:cs="Times New Roman" w:eastAsia="Times New Roman" w:hint="default"/>
          <w:spacing w:val="-11"/>
        </w:rPr>
        <w:t> </w:t>
      </w:r>
      <w:r>
        <w:rPr/>
        <w:t>元，其主要原因为</w:t>
      </w:r>
      <w:r>
        <w:rPr>
          <w:spacing w:val="-7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年应收账款余额减少，坏账准备转回所致。</w:t>
      </w:r>
    </w:p>
    <w:p>
      <w:pPr>
        <w:pStyle w:val="Heading3"/>
        <w:spacing w:line="240" w:lineRule="auto" w:before="12"/>
        <w:ind w:left="619" w:right="0"/>
        <w:jc w:val="left"/>
        <w:rPr>
          <w:b w:val="0"/>
          <w:bCs w:val="0"/>
        </w:rPr>
      </w:pPr>
      <w:r>
        <w:rPr/>
        <w:t>36、营业外收入</w:t>
      </w:r>
      <w:r>
        <w:rPr>
          <w:b w:val="0"/>
          <w:bCs w:val="0"/>
        </w:rPr>
      </w:r>
    </w:p>
    <w:p>
      <w:pPr>
        <w:pStyle w:val="BodyText"/>
        <w:spacing w:line="240" w:lineRule="auto" w:before="99"/>
        <w:ind w:left="617" w:right="0"/>
        <w:jc w:val="left"/>
      </w:pPr>
      <w:r>
        <w:rPr>
          <w:spacing w:val="-2"/>
        </w:rPr>
        <w:t>（1）营业外收入明细情况</w:t>
      </w:r>
      <w:r>
        <w:rPr/>
      </w:r>
    </w:p>
    <w:p>
      <w:pPr>
        <w:spacing w:after="0" w:line="240" w:lineRule="auto"/>
        <w:jc w:val="left"/>
        <w:sectPr>
          <w:headerReference w:type="default" r:id="rId54"/>
          <w:pgSz w:w="11910" w:h="16840"/>
          <w:pgMar w:header="915" w:footer="1712" w:top="1100" w:bottom="1900" w:left="1660" w:right="1140"/>
        </w:sectPr>
      </w:pPr>
    </w:p>
    <w:p>
      <w:pPr>
        <w:spacing w:line="240" w:lineRule="auto" w:before="12"/>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2755"/>
        <w:gridCol w:w="521"/>
        <w:gridCol w:w="4669"/>
        <w:gridCol w:w="948"/>
      </w:tblGrid>
      <w:tr>
        <w:trPr>
          <w:trHeight w:val="367" w:hRule="exact"/>
        </w:trPr>
        <w:tc>
          <w:tcPr>
            <w:tcW w:w="275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521" w:type="dxa"/>
            <w:tcBorders>
              <w:top w:val="nil" w:sz="6" w:space="0" w:color="auto"/>
              <w:left w:val="nil" w:sz="6" w:space="0" w:color="auto"/>
              <w:bottom w:val="nil" w:sz="6" w:space="0" w:color="auto"/>
              <w:right w:val="nil" w:sz="6" w:space="0" w:color="auto"/>
            </w:tcBorders>
          </w:tcPr>
          <w:p>
            <w:pPr/>
          </w:p>
        </w:tc>
        <w:tc>
          <w:tcPr>
            <w:tcW w:w="4669" w:type="dxa"/>
            <w:tcBorders>
              <w:top w:val="nil" w:sz="6" w:space="0" w:color="auto"/>
              <w:left w:val="nil" w:sz="6" w:space="0" w:color="auto"/>
              <w:bottom w:val="single" w:sz="8" w:space="0" w:color="000000"/>
              <w:right w:val="nil" w:sz="6" w:space="0" w:color="auto"/>
            </w:tcBorders>
          </w:tcPr>
          <w:p>
            <w:pPr>
              <w:pStyle w:val="TableParagraph"/>
              <w:tabs>
                <w:tab w:pos="4076" w:val="left" w:leader="none"/>
              </w:tabs>
              <w:spacing w:line="240" w:lineRule="auto" w:before="44"/>
              <w:ind w:left="1008" w:right="0"/>
              <w:jc w:val="left"/>
              <w:rPr>
                <w:rFonts w:ascii="宋体" w:hAnsi="宋体" w:cs="宋体" w:eastAsia="宋体" w:hint="default"/>
                <w:sz w:val="18"/>
                <w:szCs w:val="18"/>
              </w:rPr>
            </w:pPr>
            <w:r>
              <w:rPr>
                <w:rFonts w:ascii="宋体" w:hAnsi="宋体" w:cs="宋体" w:eastAsia="宋体" w:hint="default"/>
                <w:sz w:val="18"/>
                <w:szCs w:val="18"/>
              </w:rPr>
              <w:t>本年数</w:t>
              <w:tab/>
              <w:t>上年数</w:t>
            </w:r>
          </w:p>
        </w:tc>
        <w:tc>
          <w:tcPr>
            <w:tcW w:w="948" w:type="dxa"/>
            <w:tcBorders>
              <w:top w:val="nil" w:sz="6" w:space="0" w:color="auto"/>
              <w:left w:val="nil" w:sz="6" w:space="0" w:color="auto"/>
              <w:bottom w:val="single" w:sz="8" w:space="0" w:color="000000"/>
              <w:right w:val="nil" w:sz="6" w:space="0" w:color="auto"/>
            </w:tcBorders>
          </w:tcPr>
          <w:p>
            <w:pPr/>
          </w:p>
        </w:tc>
      </w:tr>
      <w:tr>
        <w:trPr>
          <w:trHeight w:val="395" w:hRule="exact"/>
        </w:trPr>
        <w:tc>
          <w:tcPr>
            <w:tcW w:w="2755"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left="33"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521" w:type="dxa"/>
            <w:tcBorders>
              <w:top w:val="nil" w:sz="6" w:space="0" w:color="auto"/>
              <w:left w:val="nil" w:sz="6" w:space="0" w:color="auto"/>
              <w:bottom w:val="nil" w:sz="6" w:space="0" w:color="auto"/>
              <w:right w:val="nil" w:sz="6" w:space="0" w:color="auto"/>
            </w:tcBorders>
          </w:tcPr>
          <w:p>
            <w:pPr/>
          </w:p>
        </w:tc>
        <w:tc>
          <w:tcPr>
            <w:tcW w:w="4669"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158"/>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8"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36"/>
              <w:jc w:val="center"/>
              <w:rPr>
                <w:rFonts w:ascii="Times New Roman" w:hAnsi="Times New Roman" w:cs="Times New Roman" w:eastAsia="Times New Roman" w:hint="default"/>
                <w:sz w:val="18"/>
                <w:szCs w:val="18"/>
              </w:rPr>
            </w:pPr>
            <w:r>
              <w:rPr>
                <w:rFonts w:ascii="Times New Roman"/>
                <w:sz w:val="18"/>
              </w:rPr>
              <w:t>225,442.53</w:t>
            </w:r>
          </w:p>
        </w:tc>
      </w:tr>
      <w:tr>
        <w:trPr>
          <w:trHeight w:val="380" w:hRule="exact"/>
        </w:trPr>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521" w:type="dxa"/>
            <w:tcBorders>
              <w:top w:val="nil" w:sz="6" w:space="0" w:color="auto"/>
              <w:left w:val="nil" w:sz="6" w:space="0" w:color="auto"/>
              <w:bottom w:val="nil" w:sz="6" w:space="0" w:color="auto"/>
              <w:right w:val="nil" w:sz="6" w:space="0" w:color="auto"/>
            </w:tcBorders>
          </w:tcPr>
          <w:p>
            <w:pPr/>
          </w:p>
        </w:tc>
        <w:tc>
          <w:tcPr>
            <w:tcW w:w="46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58"/>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6"/>
              <w:jc w:val="center"/>
              <w:rPr>
                <w:rFonts w:ascii="Times New Roman" w:hAnsi="Times New Roman" w:cs="Times New Roman" w:eastAsia="Times New Roman" w:hint="default"/>
                <w:sz w:val="18"/>
                <w:szCs w:val="18"/>
              </w:rPr>
            </w:pPr>
            <w:r>
              <w:rPr>
                <w:rFonts w:ascii="Times New Roman"/>
                <w:sz w:val="18"/>
              </w:rPr>
              <w:t>225,442.53</w:t>
            </w:r>
          </w:p>
        </w:tc>
      </w:tr>
      <w:tr>
        <w:trPr>
          <w:trHeight w:val="376" w:hRule="exact"/>
        </w:trPr>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521" w:type="dxa"/>
            <w:tcBorders>
              <w:top w:val="nil" w:sz="6" w:space="0" w:color="auto"/>
              <w:left w:val="nil" w:sz="6" w:space="0" w:color="auto"/>
              <w:bottom w:val="nil" w:sz="6" w:space="0" w:color="auto"/>
              <w:right w:val="nil" w:sz="6" w:space="0" w:color="auto"/>
            </w:tcBorders>
          </w:tcPr>
          <w:p>
            <w:pPr/>
          </w:p>
        </w:tc>
        <w:tc>
          <w:tcPr>
            <w:tcW w:w="466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511" w:right="0"/>
              <w:jc w:val="left"/>
              <w:rPr>
                <w:rFonts w:ascii="Times New Roman" w:hAnsi="Times New Roman" w:cs="Times New Roman" w:eastAsia="Times New Roman" w:hint="default"/>
                <w:sz w:val="18"/>
                <w:szCs w:val="18"/>
              </w:rPr>
            </w:pPr>
            <w:r>
              <w:rPr>
                <w:rFonts w:ascii="Times New Roman"/>
                <w:sz w:val="18"/>
              </w:rPr>
              <w:t>1,670,145.00</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71"/>
              <w:ind w:left="53" w:right="0"/>
              <w:jc w:val="center"/>
              <w:rPr>
                <w:rFonts w:ascii="Times New Roman" w:hAnsi="Times New Roman" w:cs="Times New Roman" w:eastAsia="Times New Roman" w:hint="default"/>
                <w:sz w:val="18"/>
                <w:szCs w:val="18"/>
              </w:rPr>
            </w:pPr>
            <w:r>
              <w:rPr>
                <w:rFonts w:ascii="Times New Roman"/>
                <w:sz w:val="18"/>
              </w:rPr>
              <w:t>12,300.00</w:t>
            </w:r>
          </w:p>
        </w:tc>
      </w:tr>
      <w:tr>
        <w:trPr>
          <w:trHeight w:val="380" w:hRule="exact"/>
        </w:trPr>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3"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521" w:type="dxa"/>
            <w:tcBorders>
              <w:top w:val="nil" w:sz="6" w:space="0" w:color="auto"/>
              <w:left w:val="nil" w:sz="6" w:space="0" w:color="auto"/>
              <w:bottom w:val="nil" w:sz="6" w:space="0" w:color="auto"/>
              <w:right w:val="nil" w:sz="6" w:space="0" w:color="auto"/>
            </w:tcBorders>
          </w:tcPr>
          <w:p>
            <w:pPr/>
          </w:p>
        </w:tc>
        <w:tc>
          <w:tcPr>
            <w:tcW w:w="466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53"/>
              <w:jc w:val="center"/>
              <w:rPr>
                <w:rFonts w:ascii="Times New Roman" w:hAnsi="Times New Roman" w:cs="Times New Roman" w:eastAsia="Times New Roman" w:hint="default"/>
                <w:sz w:val="18"/>
                <w:szCs w:val="18"/>
              </w:rPr>
            </w:pPr>
            <w:r>
              <w:rPr>
                <w:rFonts w:ascii="Times New Roman"/>
                <w:sz w:val="18"/>
              </w:rPr>
              <w:t>125,613.72</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3" w:right="0"/>
              <w:jc w:val="center"/>
              <w:rPr>
                <w:rFonts w:ascii="Times New Roman" w:hAnsi="Times New Roman" w:cs="Times New Roman" w:eastAsia="Times New Roman" w:hint="default"/>
                <w:sz w:val="18"/>
                <w:szCs w:val="18"/>
              </w:rPr>
            </w:pPr>
            <w:r>
              <w:rPr>
                <w:rFonts w:ascii="Times New Roman"/>
                <w:sz w:val="18"/>
              </w:rPr>
              <w:t>75,008.96</w:t>
            </w:r>
          </w:p>
        </w:tc>
      </w:tr>
      <w:tr>
        <w:trPr>
          <w:trHeight w:val="372" w:hRule="exact"/>
        </w:trPr>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21" w:type="dxa"/>
            <w:tcBorders>
              <w:top w:val="nil" w:sz="6" w:space="0" w:color="auto"/>
              <w:left w:val="nil" w:sz="6" w:space="0" w:color="auto"/>
              <w:bottom w:val="nil" w:sz="6" w:space="0" w:color="auto"/>
              <w:right w:val="nil" w:sz="6" w:space="0" w:color="auto"/>
            </w:tcBorders>
          </w:tcPr>
          <w:p>
            <w:pPr/>
          </w:p>
        </w:tc>
        <w:tc>
          <w:tcPr>
            <w:tcW w:w="4669" w:type="dxa"/>
            <w:tcBorders>
              <w:top w:val="nil" w:sz="6" w:space="0" w:color="auto"/>
              <w:left w:val="nil" w:sz="6" w:space="0" w:color="auto"/>
              <w:bottom w:val="single" w:sz="8" w:space="0" w:color="000000"/>
              <w:right w:val="nil" w:sz="6" w:space="0" w:color="auto"/>
            </w:tcBorders>
          </w:tcPr>
          <w:p>
            <w:pPr>
              <w:pStyle w:val="TableParagraph"/>
              <w:spacing w:line="240" w:lineRule="auto" w:before="75"/>
              <w:ind w:right="461"/>
              <w:jc w:val="center"/>
              <w:rPr>
                <w:rFonts w:ascii="Times New Roman" w:hAnsi="Times New Roman" w:cs="Times New Roman" w:eastAsia="Times New Roman" w:hint="default"/>
                <w:sz w:val="18"/>
                <w:szCs w:val="18"/>
              </w:rPr>
            </w:pPr>
            <w:r>
              <w:rPr>
                <w:rFonts w:ascii="Times New Roman"/>
                <w:sz w:val="18"/>
              </w:rPr>
              <w:t>50,086.09</w:t>
            </w:r>
          </w:p>
        </w:tc>
        <w:tc>
          <w:tcPr>
            <w:tcW w:w="948" w:type="dxa"/>
            <w:tcBorders>
              <w:top w:val="nil" w:sz="6" w:space="0" w:color="auto"/>
              <w:left w:val="nil" w:sz="6" w:space="0" w:color="auto"/>
              <w:bottom w:val="single" w:sz="8" w:space="0" w:color="000000"/>
              <w:right w:val="nil" w:sz="6" w:space="0" w:color="auto"/>
            </w:tcBorders>
          </w:tcPr>
          <w:p>
            <w:pPr>
              <w:pStyle w:val="TableParagraph"/>
              <w:spacing w:line="240" w:lineRule="auto" w:before="75"/>
              <w:ind w:right="36"/>
              <w:jc w:val="center"/>
              <w:rPr>
                <w:rFonts w:ascii="Times New Roman" w:hAnsi="Times New Roman" w:cs="Times New Roman" w:eastAsia="Times New Roman" w:hint="default"/>
                <w:sz w:val="18"/>
                <w:szCs w:val="18"/>
              </w:rPr>
            </w:pPr>
            <w:r>
              <w:rPr>
                <w:rFonts w:ascii="Times New Roman"/>
                <w:sz w:val="18"/>
              </w:rPr>
              <w:t>270,028.72</w:t>
            </w:r>
          </w:p>
        </w:tc>
      </w:tr>
      <w:tr>
        <w:trPr>
          <w:trHeight w:val="364" w:hRule="exact"/>
        </w:trPr>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47"/>
                <w:sz w:val="18"/>
                <w:szCs w:val="18"/>
              </w:rPr>
              <w:t> </w:t>
            </w:r>
            <w:r>
              <w:rPr>
                <w:rFonts w:ascii="宋体" w:hAnsi="宋体" w:cs="宋体" w:eastAsia="宋体" w:hint="default"/>
                <w:sz w:val="18"/>
                <w:szCs w:val="18"/>
              </w:rPr>
              <w:t>计</w:t>
            </w:r>
          </w:p>
        </w:tc>
        <w:tc>
          <w:tcPr>
            <w:tcW w:w="521" w:type="dxa"/>
            <w:tcBorders>
              <w:top w:val="nil" w:sz="6" w:space="0" w:color="auto"/>
              <w:left w:val="nil" w:sz="6" w:space="0" w:color="auto"/>
              <w:bottom w:val="nil" w:sz="6" w:space="0" w:color="auto"/>
              <w:right w:val="nil" w:sz="6" w:space="0" w:color="auto"/>
            </w:tcBorders>
          </w:tcPr>
          <w:p>
            <w:pPr/>
          </w:p>
        </w:tc>
        <w:tc>
          <w:tcPr>
            <w:tcW w:w="4669" w:type="dxa"/>
            <w:tcBorders>
              <w:top w:val="single" w:sz="8" w:space="0" w:color="000000"/>
              <w:left w:val="nil" w:sz="6" w:space="0" w:color="auto"/>
              <w:bottom w:val="single" w:sz="8" w:space="0" w:color="000000"/>
              <w:right w:val="nil" w:sz="6" w:space="0" w:color="auto"/>
            </w:tcBorders>
          </w:tcPr>
          <w:p>
            <w:pPr>
              <w:pStyle w:val="TableParagraph"/>
              <w:spacing w:line="240" w:lineRule="auto" w:before="76"/>
              <w:ind w:left="1511" w:right="0"/>
              <w:jc w:val="left"/>
              <w:rPr>
                <w:rFonts w:ascii="Times New Roman" w:hAnsi="Times New Roman" w:cs="Times New Roman" w:eastAsia="Times New Roman" w:hint="default"/>
                <w:sz w:val="18"/>
                <w:szCs w:val="18"/>
              </w:rPr>
            </w:pPr>
            <w:r>
              <w:rPr>
                <w:rFonts w:ascii="Times New Roman"/>
                <w:sz w:val="18"/>
              </w:rPr>
              <w:t>1,845,844.81</w:t>
            </w:r>
          </w:p>
        </w:tc>
        <w:tc>
          <w:tcPr>
            <w:tcW w:w="948" w:type="dxa"/>
            <w:tcBorders>
              <w:top w:val="single" w:sz="8" w:space="0" w:color="000000"/>
              <w:left w:val="nil" w:sz="6" w:space="0" w:color="auto"/>
              <w:bottom w:val="single" w:sz="8" w:space="0" w:color="000000"/>
              <w:right w:val="nil" w:sz="6" w:space="0" w:color="auto"/>
            </w:tcBorders>
          </w:tcPr>
          <w:p>
            <w:pPr>
              <w:pStyle w:val="TableParagraph"/>
              <w:spacing w:line="240" w:lineRule="auto" w:before="76"/>
              <w:ind w:right="36"/>
              <w:jc w:val="center"/>
              <w:rPr>
                <w:rFonts w:ascii="Times New Roman" w:hAnsi="Times New Roman" w:cs="Times New Roman" w:eastAsia="Times New Roman" w:hint="default"/>
                <w:sz w:val="18"/>
                <w:szCs w:val="18"/>
              </w:rPr>
            </w:pPr>
            <w:r>
              <w:rPr>
                <w:rFonts w:ascii="Times New Roman"/>
                <w:sz w:val="18"/>
              </w:rPr>
              <w:t>582,780.21</w:t>
            </w:r>
          </w:p>
        </w:tc>
      </w:tr>
    </w:tbl>
    <w:p>
      <w:pPr>
        <w:spacing w:line="20" w:lineRule="exact"/>
        <w:ind w:left="6483" w:right="0" w:firstLine="0"/>
        <w:rPr>
          <w:rFonts w:ascii="宋体" w:hAnsi="宋体" w:cs="宋体" w:eastAsia="宋体" w:hint="default"/>
          <w:sz w:val="2"/>
          <w:szCs w:val="2"/>
        </w:rPr>
      </w:pPr>
      <w:r>
        <w:rPr>
          <w:rFonts w:ascii="宋体" w:hAnsi="宋体" w:cs="宋体" w:eastAsia="宋体" w:hint="default"/>
          <w:sz w:val="2"/>
          <w:szCs w:val="2"/>
        </w:rPr>
        <w:pict>
          <v:group style="width:128.35pt;height:1pt;mso-position-horizontal-relative:char;mso-position-vertical-relative:line" coordorigin="0,0" coordsize="2567,20">
            <v:group style="position:absolute;left:10;top:10;width:2548;height:2" coordorigin="10,10" coordsize="2548,2">
              <v:shape style="position:absolute;left:10;top:10;width:2548;height:2" coordorigin="10,10" coordsize="2548,0" path="m10,10l2557,10e" filled="false" stroked="true" strokeweight=".9600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15" w:footer="1712" w:top="1100" w:bottom="1900" w:left="1660" w:right="1060"/>
        </w:sectPr>
      </w:pPr>
    </w:p>
    <w:p>
      <w:pPr>
        <w:pStyle w:val="BodyText"/>
        <w:spacing w:line="240" w:lineRule="auto" w:before="202"/>
        <w:ind w:left="617" w:right="-6"/>
        <w:jc w:val="left"/>
      </w:pPr>
      <w:r>
        <w:rPr/>
        <w:pict>
          <v:group style="position:absolute;margin-left:253.73999pt;margin-top:-15.544415pt;width:128.35pt;height:2.9pt;mso-position-horizontal-relative:page;mso-position-vertical-relative:paragraph;z-index:-588280" coordorigin="5075,-311" coordsize="2567,58">
            <v:group style="position:absolute;left:5084;top:-301;width:2548;height:2" coordorigin="5084,-301" coordsize="2548,2">
              <v:shape style="position:absolute;left:5084;top:-301;width:2548;height:2" coordorigin="5084,-301" coordsize="2548,0" path="m5084,-301l7632,-301e" filled="false" stroked="true" strokeweight=".96002pt" strokecolor="#000000">
                <v:path arrowok="t"/>
              </v:shape>
            </v:group>
            <v:group style="position:absolute;left:5084;top:-263;width:2548;height:2" coordorigin="5084,-263" coordsize="2548,2">
              <v:shape style="position:absolute;left:5084;top:-263;width:2548;height:2" coordorigin="5084,-263" coordsize="2548,0" path="m5084,-263l7632,-263e" filled="false" stroked="true" strokeweight=".96002pt" strokecolor="#000000">
                <v:path arrowok="t"/>
              </v:shape>
            </v:group>
            <w10:wrap type="none"/>
          </v:group>
        </w:pict>
      </w:r>
      <w:r>
        <w:rPr>
          <w:spacing w:val="-2"/>
        </w:rPr>
        <w:t>（2）政府补助</w:t>
      </w:r>
      <w:r>
        <w:rPr/>
      </w:r>
    </w:p>
    <w:p>
      <w:pPr>
        <w:spacing w:line="240" w:lineRule="auto" w:before="2"/>
        <w:rPr>
          <w:rFonts w:ascii="宋体" w:hAnsi="宋体" w:cs="宋体" w:eastAsia="宋体" w:hint="default"/>
          <w:sz w:val="32"/>
          <w:szCs w:val="32"/>
        </w:rPr>
      </w:pPr>
    </w:p>
    <w:p>
      <w:pPr>
        <w:spacing w:before="0"/>
        <w:ind w:left="1379" w:right="-6" w:firstLine="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4"/>
          <w:sz w:val="18"/>
          <w:szCs w:val="18"/>
        </w:rPr>
        <w:t> </w:t>
      </w:r>
      <w:r>
        <w:rPr>
          <w:rFonts w:ascii="宋体" w:hAnsi="宋体" w:cs="宋体" w:eastAsia="宋体" w:hint="default"/>
          <w:sz w:val="18"/>
          <w:szCs w:val="18"/>
        </w:rPr>
        <w:t>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60"/>
        <w:ind w:left="1269" w:right="-17" w:firstLine="0"/>
        <w:jc w:val="left"/>
        <w:rPr>
          <w:rFonts w:ascii="宋体" w:hAnsi="宋体" w:cs="宋体" w:eastAsia="宋体" w:hint="default"/>
          <w:sz w:val="18"/>
          <w:szCs w:val="18"/>
        </w:rPr>
      </w:pPr>
      <w:r>
        <w:rPr>
          <w:rFonts w:ascii="宋体" w:hAnsi="宋体" w:cs="宋体" w:eastAsia="宋体" w:hint="default"/>
          <w:sz w:val="18"/>
          <w:szCs w:val="18"/>
        </w:rPr>
        <w:t>本年数</w:t>
      </w:r>
    </w:p>
    <w:p>
      <w:pPr>
        <w:spacing w:line="240" w:lineRule="auto" w:before="8"/>
        <w:rPr>
          <w:rFonts w:ascii="宋体" w:hAnsi="宋体" w:cs="宋体" w:eastAsia="宋体" w:hint="default"/>
          <w:sz w:val="6"/>
          <w:szCs w:val="6"/>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143.3pt;height:1pt;mso-position-horizontal-relative:char;mso-position-vertical-relative:line" coordorigin="0,0" coordsize="2866,20">
            <v:group style="position:absolute;left:10;top:1;width:2847;height:2" coordorigin="10,1" coordsize="2847,2">
              <v:shape style="position:absolute;left:10;top:1;width:2847;height:2" coordorigin="10,1" coordsize="2847,0" path="m10,1l2856,1e" filled="false" stroked="true" strokeweight=".06pt" strokecolor="#000000">
                <v:path arrowok="t"/>
              </v:shape>
            </v:group>
            <v:group style="position:absolute;left:10;top:10;width:2847;height:2" coordorigin="10,10" coordsize="2847,2">
              <v:shape style="position:absolute;left:10;top:10;width:2847;height:2" coordorigin="10,10" coordsize="2847,0" path="m10,10l2856,10e" filled="false" stroked="true" strokeweight=".96002pt" strokecolor="#000000">
                <v:path arrowok="t"/>
              </v:shape>
            </v:group>
          </v:group>
        </w:pict>
      </w:r>
      <w:r>
        <w:rPr>
          <w:rFonts w:ascii="宋体" w:hAnsi="宋体" w:cs="宋体" w:eastAsia="宋体" w:hint="default"/>
          <w:sz w:val="2"/>
          <w:szCs w:val="2"/>
        </w:rPr>
      </w:r>
    </w:p>
    <w:p>
      <w:pPr>
        <w:spacing w:line="176" w:lineRule="exact" w:before="52"/>
        <w:ind w:left="1690" w:right="-17" w:firstLine="0"/>
        <w:jc w:val="left"/>
        <w:rPr>
          <w:rFonts w:ascii="宋体" w:hAnsi="宋体" w:cs="宋体" w:eastAsia="宋体" w:hint="default"/>
          <w:sz w:val="18"/>
          <w:szCs w:val="18"/>
        </w:rPr>
      </w:pPr>
      <w:r>
        <w:rPr/>
        <w:pict>
          <v:group style="position:absolute;margin-left:393.660004pt;margin-top:-1.018232pt;width:143.3pt;height:1pt;mso-position-horizontal-relative:page;mso-position-vertical-relative:paragraph;z-index:8608" coordorigin="7873,-20" coordsize="2866,20">
            <v:group style="position:absolute;left:7882;top:-20;width:2847;height:2" coordorigin="7882,-20" coordsize="2847,2">
              <v:shape style="position:absolute;left:7882;top:-20;width:2847;height:2" coordorigin="7882,-20" coordsize="2847,0" path="m7882,-20l10728,-20e" filled="false" stroked="true" strokeweight=".06pt" strokecolor="#000000">
                <v:path arrowok="t"/>
              </v:shape>
            </v:group>
            <v:group style="position:absolute;left:7883;top:-10;width:2847;height:2" coordorigin="7883,-10" coordsize="2847,2">
              <v:shape style="position:absolute;left:7883;top:-10;width:2847;height:2" coordorigin="7883,-10" coordsize="2847,0" path="m7883,-10l10729,-10e" filled="false" stroked="true" strokeweight=".96002pt" strokecolor="#000000">
                <v:path arrowok="t"/>
              </v:shape>
            </v:group>
            <w10:wrap type="none"/>
          </v:group>
        </w:pict>
      </w:r>
      <w:r>
        <w:rPr/>
        <w:pict>
          <v:shape style="position:absolute;margin-left:271.320007pt;margin-top:11.032647pt;width:18.25pt;height:9pt;mso-position-horizontal-relative:page;mso-position-vertical-relative:paragraph;z-index:872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w:pict>
      </w:r>
      <w:r>
        <w:rPr>
          <w:rFonts w:ascii="宋体" w:hAnsi="宋体" w:cs="宋体" w:eastAsia="宋体" w:hint="default"/>
          <w:sz w:val="18"/>
          <w:szCs w:val="18"/>
        </w:rPr>
        <w:t>其中:计入当期</w:t>
      </w:r>
    </w:p>
    <w:p>
      <w:pPr>
        <w:tabs>
          <w:tab w:pos="3581" w:val="left" w:leader="none"/>
        </w:tabs>
        <w:spacing w:line="286" w:lineRule="exact" w:before="0"/>
        <w:ind w:left="1827" w:right="-17" w:firstLine="0"/>
        <w:jc w:val="left"/>
        <w:rPr>
          <w:rFonts w:ascii="宋体" w:hAnsi="宋体" w:cs="宋体" w:eastAsia="宋体" w:hint="default"/>
          <w:sz w:val="18"/>
          <w:szCs w:val="18"/>
        </w:rPr>
      </w:pPr>
      <w:r>
        <w:rPr/>
        <w:pict>
          <v:group style="position:absolute;margin-left:89.87999pt;margin-top:18.263355pt;width:150.75pt;height:1pt;mso-position-horizontal-relative:page;mso-position-vertical-relative:paragraph;z-index:-588256" coordorigin="1798,365" coordsize="3015,20">
            <v:group style="position:absolute;left:1807;top:366;width:2994;height:2" coordorigin="1807,366" coordsize="2994,2">
              <v:shape style="position:absolute;left:1807;top:366;width:2994;height:2" coordorigin="1807,366" coordsize="2994,0" path="m1807,366l4801,366e" filled="false" stroked="true" strokeweight=".06pt" strokecolor="#000000">
                <v:path arrowok="t"/>
              </v:shape>
            </v:group>
            <v:group style="position:absolute;left:1807;top:375;width:2996;height:2" coordorigin="1807,375" coordsize="2996,2">
              <v:shape style="position:absolute;left:1807;top:375;width:2996;height:2" coordorigin="1807,375" coordsize="2996,0" path="m1807,375l4802,375e" filled="false" stroked="true" strokeweight=".96002pt" strokecolor="#000000">
                <v:path arrowok="t"/>
              </v:shape>
            </v:group>
            <w10:wrap type="none"/>
          </v:group>
        </w:pict>
      </w:r>
      <w:r>
        <w:rPr/>
        <w:pict>
          <v:group style="position:absolute;margin-left:245.459991pt;margin-top:18.263355pt;width:69.2pt;height:1pt;mso-position-horizontal-relative:page;mso-position-vertical-relative:paragraph;z-index:-588232" coordorigin="4909,365" coordsize="1384,20">
            <v:group style="position:absolute;left:4919;top:366;width:1365;height:2" coordorigin="4919,366" coordsize="1365,2">
              <v:shape style="position:absolute;left:4919;top:366;width:1365;height:2" coordorigin="4919,366" coordsize="1365,0" path="m4919,366l6283,366e" filled="false" stroked="true" strokeweight=".06pt" strokecolor="#000000">
                <v:path arrowok="t"/>
              </v:shape>
            </v:group>
            <v:group style="position:absolute;left:4919;top:375;width:1365;height:2" coordorigin="4919,375" coordsize="1365,2">
              <v:shape style="position:absolute;left:4919;top:375;width:1365;height:2" coordorigin="4919,375" coordsize="1365,0" path="m4919,375l6283,375e" filled="false" stroked="true" strokeweight=".96002pt" strokecolor="#000000">
                <v:path arrowok="t"/>
              </v:shape>
            </v:group>
            <w10:wrap type="none"/>
          </v:group>
        </w:pict>
      </w:r>
      <w:r>
        <w:rPr/>
        <w:pict>
          <v:group style="position:absolute;margin-left:319.559998pt;margin-top:18.263355pt;width:69.2pt;height:1pt;mso-position-horizontal-relative:page;mso-position-vertical-relative:paragraph;z-index:-588208" coordorigin="6391,365" coordsize="1384,20">
            <v:group style="position:absolute;left:6401;top:366;width:1365;height:2" coordorigin="6401,366" coordsize="1365,2">
              <v:shape style="position:absolute;left:6401;top:366;width:1365;height:2" coordorigin="6401,366" coordsize="1365,0" path="m6401,366l7765,366e" filled="false" stroked="true" strokeweight=".06pt" strokecolor="#000000">
                <v:path arrowok="t"/>
              </v:shape>
            </v:group>
            <v:group style="position:absolute;left:6401;top:375;width:1365;height:2" coordorigin="6401,375" coordsize="1365,2">
              <v:shape style="position:absolute;left:6401;top:375;width:1365;height:2" coordorigin="6401,375" coordsize="1365,0" path="m6401,375l7765,375e" filled="false" stroked="true" strokeweight=".96002pt" strokecolor="#000000">
                <v:path arrowok="t"/>
              </v:shape>
            </v:group>
            <w10:wrap type="none"/>
          </v:group>
        </w:pict>
      </w:r>
      <w:r>
        <w:rPr/>
        <w:pict>
          <v:group style="position:absolute;margin-left:393.660004pt;margin-top:18.263355pt;width:69.2pt;height:1pt;mso-position-horizontal-relative:page;mso-position-vertical-relative:paragraph;z-index:-588184" coordorigin="7873,365" coordsize="1384,20">
            <v:group style="position:absolute;left:7882;top:366;width:1366;height:2" coordorigin="7882,366" coordsize="1366,2">
              <v:shape style="position:absolute;left:7882;top:366;width:1366;height:2" coordorigin="7882,366" coordsize="1366,0" path="m7882,366l9247,366e" filled="false" stroked="true" strokeweight=".06pt" strokecolor="#000000">
                <v:path arrowok="t"/>
              </v:shape>
            </v:group>
            <v:group style="position:absolute;left:7883;top:375;width:1365;height:2" coordorigin="7883,375" coordsize="1365,2">
              <v:shape style="position:absolute;left:7883;top:375;width:1365;height:2" coordorigin="7883,375" coordsize="1365,0" path="m7883,375l9247,375e" filled="false" stroked="true" strokeweight=".96002pt" strokecolor="#000000">
                <v:path arrowok="t"/>
              </v:shape>
            </v:group>
            <w10:wrap type="none"/>
          </v:group>
        </w:pict>
      </w:r>
      <w:r>
        <w:rPr>
          <w:rFonts w:ascii="宋体" w:hAnsi="宋体" w:cs="宋体" w:eastAsia="宋体" w:hint="default"/>
          <w:sz w:val="18"/>
          <w:szCs w:val="18"/>
        </w:rPr>
        <w:t>损益的金额</w:t>
        <w:tab/>
      </w:r>
      <w:r>
        <w:rPr>
          <w:rFonts w:ascii="宋体" w:hAnsi="宋体" w:cs="宋体" w:eastAsia="宋体" w:hint="default"/>
          <w:position w:val="11"/>
          <w:sz w:val="18"/>
          <w:szCs w:val="18"/>
        </w:rPr>
        <w:t>金额</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60"/>
        <w:ind w:left="248" w:right="191" w:firstLine="0"/>
        <w:jc w:val="left"/>
        <w:rPr>
          <w:rFonts w:ascii="宋体" w:hAnsi="宋体" w:cs="宋体" w:eastAsia="宋体" w:hint="default"/>
          <w:sz w:val="18"/>
          <w:szCs w:val="18"/>
        </w:rPr>
      </w:pPr>
      <w:r>
        <w:rPr>
          <w:rFonts w:ascii="宋体" w:hAnsi="宋体" w:cs="宋体" w:eastAsia="宋体" w:hint="default"/>
          <w:spacing w:val="2"/>
          <w:sz w:val="18"/>
          <w:szCs w:val="18"/>
        </w:rPr>
        <w:t>上年数</w:t>
      </w:r>
      <w:r>
        <w:rPr>
          <w:rFonts w:ascii="宋体" w:hAnsi="宋体" w:cs="宋体" w:eastAsia="宋体" w:hint="default"/>
          <w:sz w:val="18"/>
          <w:szCs w:val="18"/>
        </w:rPr>
      </w:r>
    </w:p>
    <w:p>
      <w:pPr>
        <w:spacing w:line="240" w:lineRule="auto" w:before="5"/>
        <w:rPr>
          <w:rFonts w:ascii="宋体" w:hAnsi="宋体" w:cs="宋体" w:eastAsia="宋体" w:hint="default"/>
          <w:sz w:val="14"/>
          <w:szCs w:val="14"/>
        </w:rPr>
      </w:pPr>
    </w:p>
    <w:p>
      <w:pPr>
        <w:spacing w:line="226" w:lineRule="exact" w:before="0"/>
        <w:ind w:left="806" w:right="191" w:hanging="136"/>
        <w:jc w:val="left"/>
        <w:rPr>
          <w:rFonts w:ascii="宋体" w:hAnsi="宋体" w:cs="宋体" w:eastAsia="宋体" w:hint="default"/>
          <w:sz w:val="18"/>
          <w:szCs w:val="18"/>
        </w:rPr>
      </w:pPr>
      <w:r>
        <w:rPr/>
        <w:pict>
          <v:group style="position:absolute;margin-left:467.759979pt;margin-top:25.570049pt;width:69.2pt;height:1pt;mso-position-horizontal-relative:page;mso-position-vertical-relative:paragraph;z-index:-588136" coordorigin="9355,511" coordsize="1384,20">
            <v:group style="position:absolute;left:9364;top:512;width:1365;height:2" coordorigin="9364,512" coordsize="1365,2">
              <v:shape style="position:absolute;left:9364;top:512;width:1365;height:2" coordorigin="9364,512" coordsize="1365,0" path="m9364,512l10728,512e" filled="false" stroked="true" strokeweight=".06pt" strokecolor="#000000">
                <v:path arrowok="t"/>
              </v:shape>
            </v:group>
            <v:group style="position:absolute;left:9365;top:522;width:1365;height:2" coordorigin="9365,522" coordsize="1365,2">
              <v:shape style="position:absolute;left:9365;top:522;width:1365;height:2" coordorigin="9365,522" coordsize="1365,0" path="m9365,522l10729,522e" filled="false" stroked="true" strokeweight=".96002pt" strokecolor="#000000">
                <v:path arrowok="t"/>
              </v:shape>
            </v:group>
            <w10:wrap type="none"/>
          </v:group>
        </w:pict>
      </w:r>
      <w:r>
        <w:rPr>
          <w:rFonts w:ascii="宋体" w:hAnsi="宋体" w:cs="宋体" w:eastAsia="宋体" w:hint="default"/>
          <w:sz w:val="18"/>
          <w:szCs w:val="18"/>
        </w:rPr>
        <w:t>其中:计入当期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损益的金额</w:t>
      </w:r>
    </w:p>
    <w:p>
      <w:pPr>
        <w:spacing w:after="0" w:line="226" w:lineRule="exact"/>
        <w:jc w:val="left"/>
        <w:rPr>
          <w:rFonts w:ascii="宋体" w:hAnsi="宋体" w:cs="宋体" w:eastAsia="宋体" w:hint="default"/>
          <w:sz w:val="18"/>
          <w:szCs w:val="18"/>
        </w:rPr>
        <w:sectPr>
          <w:type w:val="continuous"/>
          <w:pgSz w:w="11910" w:h="16840"/>
          <w:pgMar w:top="1060" w:bottom="1460" w:left="1660" w:right="1060"/>
          <w:cols w:num="3" w:equalWidth="0">
            <w:col w:w="2178" w:space="971"/>
            <w:col w:w="3944" w:space="40"/>
            <w:col w:w="2057"/>
          </w:cols>
        </w:sectPr>
      </w:pPr>
    </w:p>
    <w:p>
      <w:pPr>
        <w:spacing w:line="240" w:lineRule="auto" w:before="7"/>
        <w:rPr>
          <w:rFonts w:ascii="宋体" w:hAnsi="宋体" w:cs="宋体" w:eastAsia="宋体" w:hint="default"/>
          <w:sz w:val="5"/>
          <w:szCs w:val="5"/>
        </w:rPr>
      </w:pPr>
      <w:r>
        <w:rPr/>
        <w:pict>
          <v:group style="position:absolute;margin-left:88.019981pt;margin-top:41.999668pt;width:419.35pt;height:16.4pt;mso-position-horizontal-relative:page;mso-position-vertical-relative:page;z-index:8464"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p>
    <w:tbl>
      <w:tblPr>
        <w:tblW w:w="0" w:type="auto"/>
        <w:jc w:val="left"/>
        <w:tblInd w:w="145" w:type="dxa"/>
        <w:tblLayout w:type="fixed"/>
        <w:tblCellMar>
          <w:top w:w="0" w:type="dxa"/>
          <w:left w:w="0" w:type="dxa"/>
          <w:bottom w:w="0" w:type="dxa"/>
          <w:right w:w="0" w:type="dxa"/>
        </w:tblCellMar>
        <w:tblLook w:val="01E0"/>
      </w:tblPr>
      <w:tblGrid>
        <w:gridCol w:w="1191"/>
        <w:gridCol w:w="1922"/>
        <w:gridCol w:w="1364"/>
        <w:gridCol w:w="118"/>
        <w:gridCol w:w="1364"/>
        <w:gridCol w:w="117"/>
        <w:gridCol w:w="1365"/>
        <w:gridCol w:w="117"/>
        <w:gridCol w:w="1365"/>
      </w:tblGrid>
      <w:tr>
        <w:trPr>
          <w:trHeight w:val="366" w:hRule="exact"/>
        </w:trPr>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政府补贴收入</w:t>
            </w:r>
          </w:p>
        </w:tc>
        <w:tc>
          <w:tcPr>
            <w:tcW w:w="1922"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single" w:sz="8" w:space="0" w:color="000000"/>
              <w:right w:val="nil" w:sz="6" w:space="0" w:color="auto"/>
            </w:tcBorders>
          </w:tcPr>
          <w:p>
            <w:pPr>
              <w:pStyle w:val="TableParagraph"/>
              <w:spacing w:line="240" w:lineRule="auto" w:before="76"/>
              <w:ind w:right="78"/>
              <w:jc w:val="right"/>
              <w:rPr>
                <w:rFonts w:ascii="Times New Roman" w:hAnsi="Times New Roman" w:cs="Times New Roman" w:eastAsia="Times New Roman" w:hint="default"/>
                <w:sz w:val="18"/>
                <w:szCs w:val="18"/>
              </w:rPr>
            </w:pPr>
            <w:r>
              <w:rPr>
                <w:rFonts w:ascii="Times New Roman"/>
                <w:sz w:val="18"/>
              </w:rPr>
              <w:t>1,670,145.00</w:t>
            </w:r>
          </w:p>
        </w:tc>
        <w:tc>
          <w:tcPr>
            <w:tcW w:w="118"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single" w:sz="8" w:space="0" w:color="000000"/>
              <w:right w:val="nil" w:sz="6" w:space="0" w:color="auto"/>
            </w:tcBorders>
          </w:tcPr>
          <w:p>
            <w:pPr>
              <w:pStyle w:val="TableParagraph"/>
              <w:spacing w:line="240" w:lineRule="auto" w:before="76"/>
              <w:ind w:right="81"/>
              <w:jc w:val="right"/>
              <w:rPr>
                <w:rFonts w:ascii="Times New Roman" w:hAnsi="Times New Roman" w:cs="Times New Roman" w:eastAsia="Times New Roman" w:hint="default"/>
                <w:sz w:val="18"/>
                <w:szCs w:val="18"/>
              </w:rPr>
            </w:pPr>
            <w:r>
              <w:rPr>
                <w:rFonts w:ascii="Times New Roman"/>
                <w:sz w:val="18"/>
              </w:rPr>
              <w:t>1,670,145.00</w:t>
            </w:r>
          </w:p>
        </w:tc>
        <w:tc>
          <w:tcPr>
            <w:tcW w:w="117"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single" w:sz="8" w:space="0" w:color="000000"/>
              <w:right w:val="nil" w:sz="6" w:space="0" w:color="auto"/>
            </w:tcBorders>
          </w:tcPr>
          <w:p>
            <w:pPr>
              <w:pStyle w:val="TableParagraph"/>
              <w:spacing w:line="240" w:lineRule="auto" w:before="76"/>
              <w:ind w:right="81"/>
              <w:jc w:val="right"/>
              <w:rPr>
                <w:rFonts w:ascii="Times New Roman" w:hAnsi="Times New Roman" w:cs="Times New Roman" w:eastAsia="Times New Roman" w:hint="default"/>
                <w:sz w:val="18"/>
                <w:szCs w:val="18"/>
              </w:rPr>
            </w:pPr>
            <w:r>
              <w:rPr>
                <w:rFonts w:ascii="Times New Roman"/>
                <w:sz w:val="18"/>
              </w:rPr>
              <w:t>12,300.00</w:t>
            </w:r>
          </w:p>
        </w:tc>
        <w:tc>
          <w:tcPr>
            <w:tcW w:w="117"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single" w:sz="8" w:space="0" w:color="000000"/>
              <w:right w:val="nil" w:sz="6" w:space="0" w:color="auto"/>
            </w:tcBorders>
          </w:tcPr>
          <w:p>
            <w:pPr>
              <w:pStyle w:val="TableParagraph"/>
              <w:spacing w:line="240" w:lineRule="auto" w:before="76"/>
              <w:ind w:right="81"/>
              <w:jc w:val="right"/>
              <w:rPr>
                <w:rFonts w:ascii="Times New Roman" w:hAnsi="Times New Roman" w:cs="Times New Roman" w:eastAsia="Times New Roman" w:hint="default"/>
                <w:sz w:val="18"/>
                <w:szCs w:val="18"/>
              </w:rPr>
            </w:pPr>
            <w:r>
              <w:rPr>
                <w:rFonts w:ascii="Times New Roman"/>
                <w:w w:val="95"/>
                <w:sz w:val="18"/>
              </w:rPr>
              <w:t>12,300.00</w:t>
            </w:r>
            <w:r>
              <w:rPr>
                <w:rFonts w:ascii="Times New Roman"/>
                <w:sz w:val="18"/>
              </w:rPr>
            </w:r>
          </w:p>
        </w:tc>
      </w:tr>
      <w:tr>
        <w:trPr>
          <w:trHeight w:val="364" w:hRule="exact"/>
        </w:trPr>
        <w:tc>
          <w:tcPr>
            <w:tcW w:w="1191"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48"/>
                <w:sz w:val="18"/>
                <w:szCs w:val="18"/>
              </w:rPr>
              <w:t> </w:t>
            </w:r>
            <w:r>
              <w:rPr>
                <w:rFonts w:ascii="宋体" w:hAnsi="宋体" w:cs="宋体" w:eastAsia="宋体" w:hint="default"/>
                <w:sz w:val="18"/>
                <w:szCs w:val="18"/>
              </w:rPr>
              <w:t>计</w:t>
            </w:r>
          </w:p>
        </w:tc>
        <w:tc>
          <w:tcPr>
            <w:tcW w:w="1364" w:type="dxa"/>
            <w:tcBorders>
              <w:top w:val="single" w:sz="8" w:space="0" w:color="000000"/>
              <w:left w:val="nil" w:sz="6" w:space="0" w:color="auto"/>
              <w:bottom w:val="single" w:sz="8" w:space="0" w:color="000000"/>
              <w:right w:val="nil" w:sz="6" w:space="0" w:color="auto"/>
            </w:tcBorders>
          </w:tcPr>
          <w:p>
            <w:pPr>
              <w:pStyle w:val="TableParagraph"/>
              <w:spacing w:line="240" w:lineRule="auto" w:before="76"/>
              <w:ind w:right="78"/>
              <w:jc w:val="right"/>
              <w:rPr>
                <w:rFonts w:ascii="Times New Roman" w:hAnsi="Times New Roman" w:cs="Times New Roman" w:eastAsia="Times New Roman" w:hint="default"/>
                <w:sz w:val="18"/>
                <w:szCs w:val="18"/>
              </w:rPr>
            </w:pPr>
            <w:r>
              <w:rPr>
                <w:rFonts w:ascii="Times New Roman"/>
                <w:sz w:val="18"/>
              </w:rPr>
              <w:t>1,670,145.00</w:t>
            </w:r>
          </w:p>
        </w:tc>
        <w:tc>
          <w:tcPr>
            <w:tcW w:w="118" w:type="dxa"/>
            <w:tcBorders>
              <w:top w:val="nil" w:sz="6" w:space="0" w:color="auto"/>
              <w:left w:val="nil" w:sz="6" w:space="0" w:color="auto"/>
              <w:bottom w:val="nil" w:sz="6" w:space="0" w:color="auto"/>
              <w:right w:val="nil" w:sz="6" w:space="0" w:color="auto"/>
            </w:tcBorders>
          </w:tcPr>
          <w:p>
            <w:pPr/>
          </w:p>
        </w:tc>
        <w:tc>
          <w:tcPr>
            <w:tcW w:w="1364" w:type="dxa"/>
            <w:tcBorders>
              <w:top w:val="single" w:sz="8" w:space="0" w:color="000000"/>
              <w:left w:val="nil" w:sz="6" w:space="0" w:color="auto"/>
              <w:bottom w:val="single" w:sz="8" w:space="0" w:color="000000"/>
              <w:right w:val="nil" w:sz="6" w:space="0" w:color="auto"/>
            </w:tcBorders>
          </w:tcPr>
          <w:p>
            <w:pPr>
              <w:pStyle w:val="TableParagraph"/>
              <w:spacing w:line="240" w:lineRule="auto" w:before="76"/>
              <w:ind w:right="81"/>
              <w:jc w:val="right"/>
              <w:rPr>
                <w:rFonts w:ascii="Times New Roman" w:hAnsi="Times New Roman" w:cs="Times New Roman" w:eastAsia="Times New Roman" w:hint="default"/>
                <w:sz w:val="18"/>
                <w:szCs w:val="18"/>
              </w:rPr>
            </w:pPr>
            <w:r>
              <w:rPr>
                <w:rFonts w:ascii="Times New Roman"/>
                <w:sz w:val="18"/>
              </w:rPr>
              <w:t>1,670,145.00</w:t>
            </w:r>
          </w:p>
        </w:tc>
        <w:tc>
          <w:tcPr>
            <w:tcW w:w="117" w:type="dxa"/>
            <w:tcBorders>
              <w:top w:val="nil" w:sz="6" w:space="0" w:color="auto"/>
              <w:left w:val="nil" w:sz="6" w:space="0" w:color="auto"/>
              <w:bottom w:val="nil" w:sz="6" w:space="0" w:color="auto"/>
              <w:right w:val="nil" w:sz="6" w:space="0" w:color="auto"/>
            </w:tcBorders>
          </w:tcPr>
          <w:p>
            <w:pPr/>
          </w:p>
        </w:tc>
        <w:tc>
          <w:tcPr>
            <w:tcW w:w="1365" w:type="dxa"/>
            <w:tcBorders>
              <w:top w:val="single" w:sz="8" w:space="0" w:color="000000"/>
              <w:left w:val="nil" w:sz="6" w:space="0" w:color="auto"/>
              <w:bottom w:val="single" w:sz="8" w:space="0" w:color="000000"/>
              <w:right w:val="nil" w:sz="6" w:space="0" w:color="auto"/>
            </w:tcBorders>
          </w:tcPr>
          <w:p>
            <w:pPr>
              <w:pStyle w:val="TableParagraph"/>
              <w:spacing w:line="240" w:lineRule="auto" w:before="76"/>
              <w:ind w:right="81"/>
              <w:jc w:val="right"/>
              <w:rPr>
                <w:rFonts w:ascii="Times New Roman" w:hAnsi="Times New Roman" w:cs="Times New Roman" w:eastAsia="Times New Roman" w:hint="default"/>
                <w:sz w:val="18"/>
                <w:szCs w:val="18"/>
              </w:rPr>
            </w:pPr>
            <w:r>
              <w:rPr>
                <w:rFonts w:ascii="Times New Roman"/>
                <w:sz w:val="18"/>
              </w:rPr>
              <w:t>12,300.00</w:t>
            </w:r>
          </w:p>
        </w:tc>
        <w:tc>
          <w:tcPr>
            <w:tcW w:w="117" w:type="dxa"/>
            <w:tcBorders>
              <w:top w:val="nil" w:sz="6" w:space="0" w:color="auto"/>
              <w:left w:val="nil" w:sz="6" w:space="0" w:color="auto"/>
              <w:bottom w:val="nil" w:sz="6" w:space="0" w:color="auto"/>
              <w:right w:val="nil" w:sz="6" w:space="0" w:color="auto"/>
            </w:tcBorders>
          </w:tcPr>
          <w:p>
            <w:pPr/>
          </w:p>
        </w:tc>
        <w:tc>
          <w:tcPr>
            <w:tcW w:w="1365" w:type="dxa"/>
            <w:tcBorders>
              <w:top w:val="single" w:sz="8" w:space="0" w:color="000000"/>
              <w:left w:val="nil" w:sz="6" w:space="0" w:color="auto"/>
              <w:bottom w:val="single" w:sz="8" w:space="0" w:color="000000"/>
              <w:right w:val="nil" w:sz="6" w:space="0" w:color="auto"/>
            </w:tcBorders>
          </w:tcPr>
          <w:p>
            <w:pPr>
              <w:pStyle w:val="TableParagraph"/>
              <w:spacing w:line="240" w:lineRule="auto" w:before="76"/>
              <w:ind w:right="81"/>
              <w:jc w:val="right"/>
              <w:rPr>
                <w:rFonts w:ascii="Times New Roman" w:hAnsi="Times New Roman" w:cs="Times New Roman" w:eastAsia="Times New Roman" w:hint="default"/>
                <w:sz w:val="18"/>
                <w:szCs w:val="18"/>
              </w:rPr>
            </w:pPr>
            <w:r>
              <w:rPr>
                <w:rFonts w:ascii="Times New Roman"/>
                <w:w w:val="95"/>
                <w:sz w:val="18"/>
              </w:rPr>
              <w:t>12,300.00</w:t>
            </w:r>
            <w:r>
              <w:rPr>
                <w:rFonts w:ascii="Times New Roman"/>
                <w:sz w:val="18"/>
              </w:rPr>
            </w:r>
          </w:p>
        </w:tc>
      </w:tr>
    </w:tbl>
    <w:p>
      <w:pPr>
        <w:spacing w:line="20" w:lineRule="exact"/>
        <w:ind w:left="3249" w:right="0" w:firstLine="0"/>
        <w:rPr>
          <w:rFonts w:ascii="宋体" w:hAnsi="宋体" w:cs="宋体" w:eastAsia="宋体" w:hint="default"/>
          <w:sz w:val="2"/>
          <w:szCs w:val="2"/>
        </w:rPr>
      </w:pPr>
      <w:r>
        <w:rPr>
          <w:rFonts w:ascii="宋体"/>
          <w:sz w:val="2"/>
        </w:rPr>
        <w:pict>
          <v:group style="width:69.2pt;height:1pt;mso-position-horizontal-relative:char;mso-position-vertical-relative:line" coordorigin="0,0" coordsize="1384,20">
            <v:group style="position:absolute;left:10;top:10;width:1365;height:2" coordorigin="10,10" coordsize="1365,2">
              <v:shape style="position:absolute;left:10;top:10;width:1365;height:2" coordorigin="10,10" coordsize="1365,0" path="m10,10l1374,10e" filled="false" stroked="true" strokeweight=".96002pt" strokecolor="#000000">
                <v:path arrowok="t"/>
              </v:shape>
            </v:group>
          </v:group>
        </w:pict>
      </w:r>
      <w:r>
        <w:rPr>
          <w:rFonts w:ascii="宋体"/>
          <w:sz w:val="2"/>
        </w:rPr>
      </w:r>
      <w:r>
        <w:rPr>
          <w:rFonts w:ascii="Times New Roman"/>
          <w:spacing w:val="95"/>
          <w:sz w:val="2"/>
        </w:rPr>
        <w:t> </w:t>
      </w:r>
      <w:r>
        <w:rPr>
          <w:rFonts w:ascii="宋体"/>
          <w:spacing w:val="95"/>
          <w:sz w:val="2"/>
        </w:rPr>
        <w:pict>
          <v:group style="width:69.2pt;height:1pt;mso-position-horizontal-relative:char;mso-position-vertical-relative:line" coordorigin="0,0" coordsize="1384,20">
            <v:group style="position:absolute;left:10;top:10;width:1365;height:2" coordorigin="10,10" coordsize="1365,2">
              <v:shape style="position:absolute;left:10;top:10;width:1365;height:2" coordorigin="10,10" coordsize="1365,0" path="m10,10l1374,10e" filled="false" stroked="true" strokeweight=".96002pt" strokecolor="#000000">
                <v:path arrowok="t"/>
              </v:shape>
            </v:group>
          </v:group>
        </w:pict>
      </w:r>
      <w:r>
        <w:rPr>
          <w:rFonts w:ascii="宋体"/>
          <w:spacing w:val="95"/>
          <w:sz w:val="2"/>
        </w:rPr>
      </w:r>
      <w:r>
        <w:rPr>
          <w:rFonts w:ascii="Times New Roman"/>
          <w:spacing w:val="95"/>
          <w:sz w:val="2"/>
        </w:rPr>
        <w:t> </w:t>
      </w:r>
      <w:r>
        <w:rPr>
          <w:rFonts w:ascii="宋体"/>
          <w:spacing w:val="95"/>
          <w:sz w:val="2"/>
        </w:rPr>
        <w:pict>
          <v:group style="width:69.2pt;height:1pt;mso-position-horizontal-relative:char;mso-position-vertical-relative:line" coordorigin="0,0" coordsize="1384,20">
            <v:group style="position:absolute;left:10;top:10;width:1365;height:2" coordorigin="10,10" coordsize="1365,2">
              <v:shape style="position:absolute;left:10;top:10;width:1365;height:2" coordorigin="10,10" coordsize="1365,0" path="m10,10l1374,10e" filled="false" stroked="true" strokeweight=".96002pt" strokecolor="#000000">
                <v:path arrowok="t"/>
              </v:shape>
            </v:group>
          </v:group>
        </w:pict>
      </w:r>
      <w:r>
        <w:rPr>
          <w:rFonts w:ascii="宋体"/>
          <w:spacing w:val="95"/>
          <w:sz w:val="2"/>
        </w:rPr>
      </w:r>
      <w:r>
        <w:rPr>
          <w:rFonts w:ascii="Times New Roman"/>
          <w:spacing w:val="95"/>
          <w:sz w:val="2"/>
        </w:rPr>
        <w:t> </w:t>
      </w:r>
      <w:r>
        <w:rPr>
          <w:rFonts w:ascii="宋体"/>
          <w:spacing w:val="95"/>
          <w:sz w:val="2"/>
        </w:rPr>
        <w:pict>
          <v:group style="width:69.2pt;height:1pt;mso-position-horizontal-relative:char;mso-position-vertical-relative:line" coordorigin="0,0" coordsize="1384,20">
            <v:group style="position:absolute;left:10;top:10;width:1365;height:2" coordorigin="10,10" coordsize="1365,2">
              <v:shape style="position:absolute;left:10;top:10;width:1365;height:2" coordorigin="10,10" coordsize="1365,0" path="m10,10l1374,10e" filled="false" stroked="true" strokeweight=".96002pt" strokecolor="#000000">
                <v:path arrowok="t"/>
              </v:shape>
            </v:group>
          </v:group>
        </w:pict>
      </w:r>
      <w:r>
        <w:rPr>
          <w:rFonts w:ascii="宋体"/>
          <w:spacing w:val="95"/>
          <w:sz w:val="2"/>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tbl>
      <w:tblPr>
        <w:tblW w:w="0" w:type="auto"/>
        <w:jc w:val="left"/>
        <w:tblInd w:w="147" w:type="dxa"/>
        <w:tblLayout w:type="fixed"/>
        <w:tblCellMar>
          <w:top w:w="0" w:type="dxa"/>
          <w:left w:w="0" w:type="dxa"/>
          <w:bottom w:w="0" w:type="dxa"/>
          <w:right w:w="0" w:type="dxa"/>
        </w:tblCellMar>
        <w:tblLook w:val="01E0"/>
      </w:tblPr>
      <w:tblGrid>
        <w:gridCol w:w="2755"/>
        <w:gridCol w:w="521"/>
        <w:gridCol w:w="1599"/>
        <w:gridCol w:w="949"/>
        <w:gridCol w:w="521"/>
        <w:gridCol w:w="1600"/>
        <w:gridCol w:w="948"/>
      </w:tblGrid>
      <w:tr>
        <w:trPr>
          <w:trHeight w:val="788" w:hRule="exact"/>
        </w:trPr>
        <w:tc>
          <w:tcPr>
            <w:tcW w:w="2755" w:type="dxa"/>
            <w:tcBorders>
              <w:top w:val="nil" w:sz="6" w:space="0" w:color="auto"/>
              <w:left w:val="nil" w:sz="6" w:space="0" w:color="auto"/>
              <w:bottom w:val="single" w:sz="8" w:space="0" w:color="000000"/>
              <w:right w:val="nil" w:sz="6" w:space="0" w:color="auto"/>
            </w:tcBorders>
          </w:tcPr>
          <w:p>
            <w:pPr>
              <w:pStyle w:val="TableParagraph"/>
              <w:spacing w:line="368" w:lineRule="exact"/>
              <w:ind w:right="119"/>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37、营业外支出</w:t>
            </w:r>
            <w:r>
              <w:rPr>
                <w:rFonts w:ascii="Microsoft JhengHei" w:hAnsi="Microsoft JhengHei" w:cs="Microsoft JhengHei" w:eastAsia="Microsoft JhengHei" w:hint="default"/>
                <w:sz w:val="24"/>
                <w:szCs w:val="24"/>
              </w:rPr>
            </w:r>
          </w:p>
          <w:p>
            <w:pPr>
              <w:pStyle w:val="TableParagraph"/>
              <w:spacing w:line="240" w:lineRule="auto" w:before="97"/>
              <w:ind w:left="15"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521"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08"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949" w:type="dxa"/>
            <w:tcBorders>
              <w:top w:val="nil" w:sz="6" w:space="0" w:color="auto"/>
              <w:left w:val="nil" w:sz="6" w:space="0" w:color="auto"/>
              <w:bottom w:val="single" w:sz="8" w:space="0" w:color="000000"/>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07" w:right="0"/>
              <w:jc w:val="left"/>
              <w:rPr>
                <w:rFonts w:ascii="宋体" w:hAnsi="宋体" w:cs="宋体" w:eastAsia="宋体" w:hint="default"/>
                <w:sz w:val="18"/>
                <w:szCs w:val="18"/>
              </w:rPr>
            </w:pPr>
            <w:r>
              <w:rPr>
                <w:rFonts w:ascii="宋体" w:hAnsi="宋体" w:cs="宋体" w:eastAsia="宋体" w:hint="default"/>
                <w:sz w:val="18"/>
                <w:szCs w:val="18"/>
              </w:rPr>
              <w:t>上年数</w:t>
            </w:r>
          </w:p>
        </w:tc>
        <w:tc>
          <w:tcPr>
            <w:tcW w:w="948" w:type="dxa"/>
            <w:tcBorders>
              <w:top w:val="nil" w:sz="6" w:space="0" w:color="auto"/>
              <w:left w:val="nil" w:sz="6" w:space="0" w:color="auto"/>
              <w:bottom w:val="single" w:sz="8" w:space="0" w:color="000000"/>
              <w:right w:val="nil" w:sz="6" w:space="0" w:color="auto"/>
            </w:tcBorders>
          </w:tcPr>
          <w:p>
            <w:pPr/>
          </w:p>
        </w:tc>
      </w:tr>
      <w:tr>
        <w:trPr>
          <w:trHeight w:val="395" w:hRule="exact"/>
        </w:trPr>
        <w:tc>
          <w:tcPr>
            <w:tcW w:w="2755"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left="33"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521" w:type="dxa"/>
            <w:tcBorders>
              <w:top w:val="nil" w:sz="6" w:space="0" w:color="auto"/>
              <w:left w:val="nil" w:sz="6" w:space="0" w:color="auto"/>
              <w:bottom w:val="nil" w:sz="6" w:space="0" w:color="auto"/>
              <w:right w:val="nil" w:sz="6" w:space="0" w:color="auto"/>
            </w:tcBorders>
          </w:tcPr>
          <w:p>
            <w:pPr/>
          </w:p>
        </w:tc>
        <w:tc>
          <w:tcPr>
            <w:tcW w:w="1599" w:type="dxa"/>
            <w:tcBorders>
              <w:top w:val="single" w:sz="8" w:space="0" w:color="000000"/>
              <w:left w:val="nil" w:sz="6" w:space="0" w:color="auto"/>
              <w:bottom w:val="nil" w:sz="6" w:space="0" w:color="auto"/>
              <w:right w:val="nil" w:sz="6" w:space="0" w:color="auto"/>
            </w:tcBorders>
          </w:tcPr>
          <w:p>
            <w:pPr/>
          </w:p>
        </w:tc>
        <w:tc>
          <w:tcPr>
            <w:tcW w:w="949"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79"/>
              <w:jc w:val="right"/>
              <w:rPr>
                <w:rFonts w:ascii="Times New Roman" w:hAnsi="Times New Roman" w:cs="Times New Roman" w:eastAsia="Times New Roman" w:hint="default"/>
                <w:sz w:val="18"/>
                <w:szCs w:val="18"/>
              </w:rPr>
            </w:pPr>
            <w:r>
              <w:rPr>
                <w:rFonts w:ascii="Times New Roman"/>
                <w:sz w:val="18"/>
              </w:rPr>
              <w:t>377,472.44</w:t>
            </w:r>
          </w:p>
        </w:tc>
        <w:tc>
          <w:tcPr>
            <w:tcW w:w="521" w:type="dxa"/>
            <w:tcBorders>
              <w:top w:val="nil" w:sz="6" w:space="0" w:color="auto"/>
              <w:left w:val="nil" w:sz="6" w:space="0" w:color="auto"/>
              <w:bottom w:val="nil" w:sz="6" w:space="0" w:color="auto"/>
              <w:right w:val="nil" w:sz="6" w:space="0" w:color="auto"/>
            </w:tcBorders>
          </w:tcPr>
          <w:p>
            <w:pPr/>
          </w:p>
        </w:tc>
        <w:tc>
          <w:tcPr>
            <w:tcW w:w="1600" w:type="dxa"/>
            <w:tcBorders>
              <w:top w:val="single" w:sz="8" w:space="0" w:color="000000"/>
              <w:left w:val="nil" w:sz="6" w:space="0" w:color="auto"/>
              <w:bottom w:val="nil" w:sz="6" w:space="0" w:color="auto"/>
              <w:right w:val="nil" w:sz="6" w:space="0" w:color="auto"/>
            </w:tcBorders>
          </w:tcPr>
          <w:p>
            <w:pPr/>
          </w:p>
        </w:tc>
        <w:tc>
          <w:tcPr>
            <w:tcW w:w="948"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83"/>
              <w:jc w:val="right"/>
              <w:rPr>
                <w:rFonts w:ascii="Times New Roman" w:hAnsi="Times New Roman" w:cs="Times New Roman" w:eastAsia="Times New Roman" w:hint="default"/>
                <w:sz w:val="18"/>
                <w:szCs w:val="18"/>
              </w:rPr>
            </w:pPr>
            <w:r>
              <w:rPr>
                <w:rFonts w:ascii="Times New Roman"/>
                <w:w w:val="95"/>
                <w:sz w:val="18"/>
              </w:rPr>
              <w:t>214,615.65</w:t>
            </w:r>
            <w:r>
              <w:rPr>
                <w:rFonts w:ascii="Times New Roman"/>
                <w:sz w:val="18"/>
              </w:rPr>
            </w:r>
          </w:p>
        </w:tc>
      </w:tr>
      <w:tr>
        <w:trPr>
          <w:trHeight w:val="383" w:hRule="exact"/>
        </w:trPr>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521"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9"/>
              <w:jc w:val="right"/>
              <w:rPr>
                <w:rFonts w:ascii="Times New Roman" w:hAnsi="Times New Roman" w:cs="Times New Roman" w:eastAsia="Times New Roman" w:hint="default"/>
                <w:sz w:val="18"/>
                <w:szCs w:val="18"/>
              </w:rPr>
            </w:pPr>
            <w:r>
              <w:rPr>
                <w:rFonts w:ascii="Times New Roman"/>
                <w:sz w:val="18"/>
              </w:rPr>
              <w:t>377,472.44</w:t>
            </w:r>
          </w:p>
        </w:tc>
        <w:tc>
          <w:tcPr>
            <w:tcW w:w="521"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3"/>
              <w:jc w:val="right"/>
              <w:rPr>
                <w:rFonts w:ascii="Times New Roman" w:hAnsi="Times New Roman" w:cs="Times New Roman" w:eastAsia="Times New Roman" w:hint="default"/>
                <w:sz w:val="18"/>
                <w:szCs w:val="18"/>
              </w:rPr>
            </w:pPr>
            <w:r>
              <w:rPr>
                <w:rFonts w:ascii="Times New Roman"/>
                <w:w w:val="95"/>
                <w:sz w:val="18"/>
              </w:rPr>
              <w:t>214,615.65</w:t>
            </w:r>
            <w:r>
              <w:rPr>
                <w:rFonts w:ascii="Times New Roman"/>
                <w:sz w:val="18"/>
              </w:rPr>
            </w:r>
          </w:p>
        </w:tc>
      </w:tr>
      <w:tr>
        <w:trPr>
          <w:trHeight w:val="383" w:hRule="exact"/>
        </w:trPr>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质量赔款</w:t>
            </w:r>
          </w:p>
        </w:tc>
        <w:tc>
          <w:tcPr>
            <w:tcW w:w="521"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9"/>
              <w:jc w:val="right"/>
              <w:rPr>
                <w:rFonts w:ascii="Times New Roman" w:hAnsi="Times New Roman" w:cs="Times New Roman" w:eastAsia="Times New Roman" w:hint="default"/>
                <w:sz w:val="18"/>
                <w:szCs w:val="18"/>
              </w:rPr>
            </w:pPr>
            <w:r>
              <w:rPr>
                <w:rFonts w:ascii="Times New Roman"/>
                <w:sz w:val="18"/>
              </w:rPr>
              <w:t>255,388.10</w:t>
            </w:r>
          </w:p>
        </w:tc>
        <w:tc>
          <w:tcPr>
            <w:tcW w:w="521"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3"/>
              <w:jc w:val="right"/>
              <w:rPr>
                <w:rFonts w:ascii="Times New Roman" w:hAnsi="Times New Roman" w:cs="Times New Roman" w:eastAsia="Times New Roman" w:hint="default"/>
                <w:sz w:val="18"/>
                <w:szCs w:val="18"/>
              </w:rPr>
            </w:pPr>
            <w:r>
              <w:rPr>
                <w:rFonts w:ascii="Times New Roman"/>
                <w:w w:val="95"/>
                <w:sz w:val="18"/>
              </w:rPr>
              <w:t>232,462.19</w:t>
            </w:r>
            <w:r>
              <w:rPr>
                <w:rFonts w:ascii="Times New Roman"/>
                <w:sz w:val="18"/>
              </w:rPr>
            </w:r>
          </w:p>
        </w:tc>
      </w:tr>
      <w:tr>
        <w:trPr>
          <w:trHeight w:val="383" w:hRule="exact"/>
        </w:trPr>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521"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9"/>
              <w:jc w:val="right"/>
              <w:rPr>
                <w:rFonts w:ascii="Times New Roman" w:hAnsi="Times New Roman" w:cs="Times New Roman" w:eastAsia="Times New Roman" w:hint="default"/>
                <w:sz w:val="18"/>
                <w:szCs w:val="18"/>
              </w:rPr>
            </w:pPr>
            <w:r>
              <w:rPr>
                <w:rFonts w:ascii="Times New Roman"/>
                <w:sz w:val="18"/>
              </w:rPr>
              <w:t>13,182.76</w:t>
            </w:r>
          </w:p>
        </w:tc>
        <w:tc>
          <w:tcPr>
            <w:tcW w:w="521"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3"/>
              <w:jc w:val="right"/>
              <w:rPr>
                <w:rFonts w:ascii="Times New Roman" w:hAnsi="Times New Roman" w:cs="Times New Roman" w:eastAsia="Times New Roman" w:hint="default"/>
                <w:sz w:val="18"/>
                <w:szCs w:val="18"/>
              </w:rPr>
            </w:pPr>
            <w:r>
              <w:rPr>
                <w:rFonts w:ascii="Times New Roman"/>
                <w:w w:val="95"/>
                <w:sz w:val="18"/>
              </w:rPr>
              <w:t>713.33</w:t>
            </w:r>
            <w:r>
              <w:rPr>
                <w:rFonts w:ascii="Times New Roman"/>
                <w:sz w:val="18"/>
              </w:rPr>
            </w:r>
          </w:p>
        </w:tc>
      </w:tr>
      <w:tr>
        <w:trPr>
          <w:trHeight w:val="372" w:hRule="exact"/>
        </w:trPr>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21"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single" w:sz="8" w:space="0" w:color="000000"/>
              <w:right w:val="nil" w:sz="6" w:space="0" w:color="auto"/>
            </w:tcBorders>
          </w:tcPr>
          <w:p>
            <w:pPr/>
          </w:p>
        </w:tc>
        <w:tc>
          <w:tcPr>
            <w:tcW w:w="949" w:type="dxa"/>
            <w:tcBorders>
              <w:top w:val="nil" w:sz="6" w:space="0" w:color="auto"/>
              <w:left w:val="nil" w:sz="6" w:space="0" w:color="auto"/>
              <w:bottom w:val="single" w:sz="8" w:space="0" w:color="000000"/>
              <w:right w:val="nil" w:sz="6" w:space="0" w:color="auto"/>
            </w:tcBorders>
          </w:tcPr>
          <w:p>
            <w:pPr>
              <w:pStyle w:val="TableParagraph"/>
              <w:spacing w:line="240" w:lineRule="auto" w:before="75"/>
              <w:ind w:right="79"/>
              <w:jc w:val="right"/>
              <w:rPr>
                <w:rFonts w:ascii="Times New Roman" w:hAnsi="Times New Roman" w:cs="Times New Roman" w:eastAsia="Times New Roman" w:hint="default"/>
                <w:sz w:val="18"/>
                <w:szCs w:val="18"/>
              </w:rPr>
            </w:pPr>
            <w:r>
              <w:rPr>
                <w:rFonts w:ascii="Times New Roman"/>
                <w:sz w:val="18"/>
              </w:rPr>
              <w:t>81,224.31</w:t>
            </w:r>
          </w:p>
        </w:tc>
        <w:tc>
          <w:tcPr>
            <w:tcW w:w="521"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8" w:space="0" w:color="000000"/>
              <w:right w:val="nil" w:sz="6" w:space="0" w:color="auto"/>
            </w:tcBorders>
          </w:tcPr>
          <w:p>
            <w:pPr/>
          </w:p>
        </w:tc>
        <w:tc>
          <w:tcPr>
            <w:tcW w:w="948" w:type="dxa"/>
            <w:tcBorders>
              <w:top w:val="nil" w:sz="6" w:space="0" w:color="auto"/>
              <w:left w:val="nil" w:sz="6" w:space="0" w:color="auto"/>
              <w:bottom w:val="single" w:sz="8" w:space="0" w:color="000000"/>
              <w:right w:val="nil" w:sz="6" w:space="0" w:color="auto"/>
            </w:tcBorders>
          </w:tcPr>
          <w:p>
            <w:pPr>
              <w:pStyle w:val="TableParagraph"/>
              <w:spacing w:line="240" w:lineRule="auto" w:before="75"/>
              <w:ind w:right="83"/>
              <w:jc w:val="right"/>
              <w:rPr>
                <w:rFonts w:ascii="Times New Roman" w:hAnsi="Times New Roman" w:cs="Times New Roman" w:eastAsia="Times New Roman" w:hint="default"/>
                <w:sz w:val="18"/>
                <w:szCs w:val="18"/>
              </w:rPr>
            </w:pPr>
            <w:r>
              <w:rPr>
                <w:rFonts w:ascii="Times New Roman"/>
                <w:w w:val="95"/>
                <w:sz w:val="18"/>
              </w:rPr>
              <w:t>65,458.19</w:t>
            </w:r>
            <w:r>
              <w:rPr>
                <w:rFonts w:ascii="Times New Roman"/>
                <w:sz w:val="18"/>
              </w:rPr>
            </w:r>
          </w:p>
        </w:tc>
      </w:tr>
      <w:tr>
        <w:trPr>
          <w:trHeight w:val="365" w:hRule="exact"/>
        </w:trPr>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47"/>
                <w:sz w:val="18"/>
                <w:szCs w:val="18"/>
              </w:rPr>
              <w:t> </w:t>
            </w:r>
            <w:r>
              <w:rPr>
                <w:rFonts w:ascii="宋体" w:hAnsi="宋体" w:cs="宋体" w:eastAsia="宋体" w:hint="default"/>
                <w:sz w:val="18"/>
                <w:szCs w:val="18"/>
              </w:rPr>
              <w:t>计</w:t>
            </w:r>
          </w:p>
        </w:tc>
        <w:tc>
          <w:tcPr>
            <w:tcW w:w="521" w:type="dxa"/>
            <w:tcBorders>
              <w:top w:val="nil" w:sz="6" w:space="0" w:color="auto"/>
              <w:left w:val="nil" w:sz="6" w:space="0" w:color="auto"/>
              <w:bottom w:val="nil" w:sz="6" w:space="0" w:color="auto"/>
              <w:right w:val="nil" w:sz="6" w:space="0" w:color="auto"/>
            </w:tcBorders>
          </w:tcPr>
          <w:p>
            <w:pPr/>
          </w:p>
        </w:tc>
        <w:tc>
          <w:tcPr>
            <w:tcW w:w="1599" w:type="dxa"/>
            <w:tcBorders>
              <w:top w:val="single" w:sz="8" w:space="0" w:color="000000"/>
              <w:left w:val="nil" w:sz="6" w:space="0" w:color="auto"/>
              <w:bottom w:val="single" w:sz="8" w:space="0" w:color="000000"/>
              <w:right w:val="nil" w:sz="6" w:space="0" w:color="auto"/>
            </w:tcBorders>
          </w:tcPr>
          <w:p>
            <w:pPr/>
          </w:p>
        </w:tc>
        <w:tc>
          <w:tcPr>
            <w:tcW w:w="949" w:type="dxa"/>
            <w:tcBorders>
              <w:top w:val="single" w:sz="8" w:space="0" w:color="000000"/>
              <w:left w:val="nil" w:sz="6" w:space="0" w:color="auto"/>
              <w:bottom w:val="single" w:sz="8" w:space="0" w:color="000000"/>
              <w:right w:val="nil" w:sz="6" w:space="0" w:color="auto"/>
            </w:tcBorders>
          </w:tcPr>
          <w:p>
            <w:pPr>
              <w:pStyle w:val="TableParagraph"/>
              <w:spacing w:line="240" w:lineRule="auto" w:before="76"/>
              <w:ind w:right="79"/>
              <w:jc w:val="right"/>
              <w:rPr>
                <w:rFonts w:ascii="Times New Roman" w:hAnsi="Times New Roman" w:cs="Times New Roman" w:eastAsia="Times New Roman" w:hint="default"/>
                <w:sz w:val="18"/>
                <w:szCs w:val="18"/>
              </w:rPr>
            </w:pPr>
            <w:r>
              <w:rPr>
                <w:rFonts w:ascii="Times New Roman"/>
                <w:sz w:val="18"/>
              </w:rPr>
              <w:t>727,267.61</w:t>
            </w:r>
          </w:p>
        </w:tc>
        <w:tc>
          <w:tcPr>
            <w:tcW w:w="521" w:type="dxa"/>
            <w:tcBorders>
              <w:top w:val="nil" w:sz="6" w:space="0" w:color="auto"/>
              <w:left w:val="nil" w:sz="6" w:space="0" w:color="auto"/>
              <w:bottom w:val="nil" w:sz="6" w:space="0" w:color="auto"/>
              <w:right w:val="nil" w:sz="6" w:space="0" w:color="auto"/>
            </w:tcBorders>
          </w:tcPr>
          <w:p>
            <w:pPr/>
          </w:p>
        </w:tc>
        <w:tc>
          <w:tcPr>
            <w:tcW w:w="1600" w:type="dxa"/>
            <w:tcBorders>
              <w:top w:val="single" w:sz="8" w:space="0" w:color="000000"/>
              <w:left w:val="nil" w:sz="6" w:space="0" w:color="auto"/>
              <w:bottom w:val="single" w:sz="8" w:space="0" w:color="000000"/>
              <w:right w:val="nil" w:sz="6" w:space="0" w:color="auto"/>
            </w:tcBorders>
          </w:tcPr>
          <w:p>
            <w:pPr/>
          </w:p>
        </w:tc>
        <w:tc>
          <w:tcPr>
            <w:tcW w:w="948" w:type="dxa"/>
            <w:tcBorders>
              <w:top w:val="single" w:sz="8" w:space="0" w:color="000000"/>
              <w:left w:val="nil" w:sz="6" w:space="0" w:color="auto"/>
              <w:bottom w:val="single" w:sz="8" w:space="0" w:color="000000"/>
              <w:right w:val="nil" w:sz="6" w:space="0" w:color="auto"/>
            </w:tcBorders>
          </w:tcPr>
          <w:p>
            <w:pPr>
              <w:pStyle w:val="TableParagraph"/>
              <w:spacing w:line="240" w:lineRule="auto" w:before="76"/>
              <w:ind w:right="83"/>
              <w:jc w:val="right"/>
              <w:rPr>
                <w:rFonts w:ascii="Times New Roman" w:hAnsi="Times New Roman" w:cs="Times New Roman" w:eastAsia="Times New Roman" w:hint="default"/>
                <w:sz w:val="18"/>
                <w:szCs w:val="18"/>
              </w:rPr>
            </w:pPr>
            <w:r>
              <w:rPr>
                <w:rFonts w:ascii="Times New Roman"/>
                <w:w w:val="95"/>
                <w:sz w:val="18"/>
              </w:rPr>
              <w:t>513,249.36</w:t>
            </w:r>
            <w:r>
              <w:rPr>
                <w:rFonts w:ascii="Times New Roman"/>
                <w:sz w:val="18"/>
              </w:rPr>
            </w:r>
          </w:p>
        </w:tc>
      </w:tr>
    </w:tbl>
    <w:p>
      <w:pPr>
        <w:tabs>
          <w:tab w:pos="6483" w:val="left" w:leader="none"/>
        </w:tabs>
        <w:spacing w:line="20" w:lineRule="exact"/>
        <w:ind w:left="3414" w:right="0" w:firstLine="0"/>
        <w:rPr>
          <w:rFonts w:ascii="宋体" w:hAnsi="宋体" w:cs="宋体" w:eastAsia="宋体" w:hint="default"/>
          <w:sz w:val="2"/>
          <w:szCs w:val="2"/>
        </w:rPr>
      </w:pPr>
      <w:r>
        <w:rPr>
          <w:rFonts w:ascii="宋体"/>
          <w:sz w:val="2"/>
        </w:rPr>
        <w:pict>
          <v:group style="width:128.35pt;height:1pt;mso-position-horizontal-relative:char;mso-position-vertical-relative:line" coordorigin="0,0" coordsize="2567,20">
            <v:group style="position:absolute;left:10;top:10;width:2548;height:2" coordorigin="10,10" coordsize="2548,2">
              <v:shape style="position:absolute;left:10;top:10;width:2548;height:2" coordorigin="10,10" coordsize="2548,0" path="m10,10l2557,10e" filled="false" stroked="true" strokeweight=".95999pt" strokecolor="#000000">
                <v:path arrowok="t"/>
              </v:shape>
            </v:group>
          </v:group>
        </w:pict>
      </w:r>
      <w:r>
        <w:rPr>
          <w:rFonts w:ascii="宋体"/>
          <w:sz w:val="2"/>
        </w:rPr>
      </w:r>
      <w:r>
        <w:rPr>
          <w:rFonts w:ascii="宋体"/>
          <w:sz w:val="2"/>
        </w:rPr>
        <w:tab/>
      </w:r>
      <w:r>
        <w:rPr>
          <w:rFonts w:ascii="宋体"/>
          <w:sz w:val="2"/>
        </w:rPr>
        <w:pict>
          <v:group style="width:128.35pt;height:1pt;mso-position-horizontal-relative:char;mso-position-vertical-relative:line" coordorigin="0,0" coordsize="2567,20">
            <v:group style="position:absolute;left:10;top:10;width:2548;height:2" coordorigin="10,10" coordsize="2548,2">
              <v:shape style="position:absolute;left:10;top:10;width:2548;height:2" coordorigin="10,10" coordsize="2548,0" path="m10,10l2557,10e" filled="false" stroked="true" strokeweight=".95999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3"/>
        <w:spacing w:line="368" w:lineRule="exact"/>
        <w:ind w:right="537"/>
        <w:jc w:val="left"/>
        <w:rPr>
          <w:b w:val="0"/>
          <w:bCs w:val="0"/>
        </w:rPr>
      </w:pPr>
      <w:r>
        <w:rPr/>
        <w:t>38、所得税费用</w:t>
      </w:r>
      <w:r>
        <w:rPr>
          <w:b w:val="0"/>
          <w:bCs w:val="0"/>
        </w:rPr>
      </w:r>
    </w:p>
    <w:p>
      <w:pPr>
        <w:spacing w:line="240" w:lineRule="auto" w:before="17"/>
        <w:rPr>
          <w:rFonts w:ascii="Microsoft JhengHei" w:hAnsi="Microsoft JhengHei" w:cs="Microsoft JhengHei" w:eastAsia="Microsoft JhengHei"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1364"/>
        <w:gridCol w:w="1331"/>
        <w:gridCol w:w="521"/>
        <w:gridCol w:w="2516"/>
        <w:gridCol w:w="521"/>
        <w:gridCol w:w="2516"/>
      </w:tblGrid>
      <w:tr>
        <w:trPr>
          <w:trHeight w:val="367" w:hRule="exact"/>
        </w:trPr>
        <w:tc>
          <w:tcPr>
            <w:tcW w:w="1364"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00"/>
              <w:jc w:val="right"/>
              <w:rPr>
                <w:rFonts w:ascii="宋体" w:hAnsi="宋体" w:cs="宋体" w:eastAsia="宋体" w:hint="default"/>
                <w:sz w:val="18"/>
                <w:szCs w:val="18"/>
              </w:rPr>
            </w:pPr>
            <w:r>
              <w:rPr>
                <w:rFonts w:ascii="宋体" w:hAnsi="宋体" w:cs="宋体" w:eastAsia="宋体" w:hint="default"/>
                <w:w w:val="99"/>
                <w:sz w:val="18"/>
                <w:szCs w:val="18"/>
              </w:rPr>
              <w:t>项</w:t>
            </w:r>
            <w:r>
              <w:rPr>
                <w:rFonts w:ascii="宋体" w:hAnsi="宋体" w:cs="宋体" w:eastAsia="宋体" w:hint="default"/>
                <w:sz w:val="18"/>
                <w:szCs w:val="18"/>
              </w:rPr>
            </w:r>
          </w:p>
        </w:tc>
        <w:tc>
          <w:tcPr>
            <w:tcW w:w="1331"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81" w:right="0"/>
              <w:jc w:val="left"/>
              <w:rPr>
                <w:rFonts w:ascii="宋体" w:hAnsi="宋体" w:cs="宋体" w:eastAsia="宋体" w:hint="default"/>
                <w:sz w:val="18"/>
                <w:szCs w:val="18"/>
              </w:rPr>
            </w:pPr>
            <w:r>
              <w:rPr>
                <w:rFonts w:ascii="宋体" w:hAnsi="宋体" w:cs="宋体" w:eastAsia="宋体" w:hint="default"/>
                <w:w w:val="99"/>
                <w:sz w:val="18"/>
                <w:szCs w:val="18"/>
              </w:rPr>
              <w:t>目</w:t>
            </w:r>
            <w:r>
              <w:rPr>
                <w:rFonts w:ascii="宋体" w:hAnsi="宋体" w:cs="宋体" w:eastAsia="宋体" w:hint="default"/>
                <w:sz w:val="18"/>
                <w:szCs w:val="18"/>
              </w:rPr>
            </w:r>
          </w:p>
        </w:tc>
        <w:tc>
          <w:tcPr>
            <w:tcW w:w="521"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6"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521"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83" w:hRule="exact"/>
        </w:trPr>
        <w:tc>
          <w:tcPr>
            <w:tcW w:w="1364" w:type="dxa"/>
            <w:tcBorders>
              <w:top w:val="single" w:sz="8" w:space="0" w:color="000000"/>
              <w:left w:val="nil" w:sz="6" w:space="0" w:color="auto"/>
              <w:bottom w:val="nil" w:sz="6" w:space="0" w:color="auto"/>
              <w:right w:val="nil" w:sz="6" w:space="0" w:color="auto"/>
            </w:tcBorders>
          </w:tcPr>
          <w:p>
            <w:pPr>
              <w:pStyle w:val="TableParagraph"/>
              <w:spacing w:line="240" w:lineRule="auto" w:before="43"/>
              <w:ind w:right="58"/>
              <w:jc w:val="right"/>
              <w:rPr>
                <w:rFonts w:ascii="宋体" w:hAnsi="宋体" w:cs="宋体" w:eastAsia="宋体" w:hint="default"/>
                <w:sz w:val="18"/>
                <w:szCs w:val="18"/>
              </w:rPr>
            </w:pPr>
            <w:r>
              <w:rPr>
                <w:rFonts w:ascii="宋体" w:hAnsi="宋体" w:cs="宋体" w:eastAsia="宋体" w:hint="default"/>
                <w:sz w:val="18"/>
                <w:szCs w:val="18"/>
              </w:rPr>
              <w:t>当期所得税费用</w:t>
            </w:r>
          </w:p>
        </w:tc>
        <w:tc>
          <w:tcPr>
            <w:tcW w:w="1331" w:type="dxa"/>
            <w:tcBorders>
              <w:top w:val="single" w:sz="8" w:space="0" w:color="000000"/>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516"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right="78"/>
              <w:jc w:val="right"/>
              <w:rPr>
                <w:rFonts w:ascii="Times New Roman" w:hAnsi="Times New Roman" w:cs="Times New Roman" w:eastAsia="Times New Roman" w:hint="default"/>
                <w:sz w:val="18"/>
                <w:szCs w:val="18"/>
              </w:rPr>
            </w:pPr>
            <w:r>
              <w:rPr>
                <w:rFonts w:ascii="Times New Roman"/>
                <w:sz w:val="18"/>
              </w:rPr>
              <w:t>8,867,932.08</w:t>
            </w:r>
          </w:p>
        </w:tc>
        <w:tc>
          <w:tcPr>
            <w:tcW w:w="521" w:type="dxa"/>
            <w:tcBorders>
              <w:top w:val="nil" w:sz="6" w:space="0" w:color="auto"/>
              <w:left w:val="nil" w:sz="6" w:space="0" w:color="auto"/>
              <w:bottom w:val="nil" w:sz="6" w:space="0" w:color="auto"/>
              <w:right w:val="nil" w:sz="6" w:space="0" w:color="auto"/>
            </w:tcBorders>
          </w:tcPr>
          <w:p>
            <w:pPr/>
          </w:p>
        </w:tc>
        <w:tc>
          <w:tcPr>
            <w:tcW w:w="2516"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right="81"/>
              <w:jc w:val="right"/>
              <w:rPr>
                <w:rFonts w:ascii="Times New Roman" w:hAnsi="Times New Roman" w:cs="Times New Roman" w:eastAsia="Times New Roman" w:hint="default"/>
                <w:sz w:val="18"/>
                <w:szCs w:val="18"/>
              </w:rPr>
            </w:pPr>
            <w:r>
              <w:rPr>
                <w:rFonts w:ascii="Times New Roman"/>
                <w:w w:val="95"/>
                <w:sz w:val="18"/>
              </w:rPr>
              <w:t>6,739,876.48</w:t>
            </w:r>
            <w:r>
              <w:rPr>
                <w:rFonts w:ascii="Times New Roman"/>
                <w:sz w:val="18"/>
              </w:rPr>
            </w:r>
          </w:p>
        </w:tc>
      </w:tr>
      <w:tr>
        <w:trPr>
          <w:trHeight w:val="368"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8"/>
              <w:jc w:val="right"/>
              <w:rPr>
                <w:rFonts w:ascii="宋体" w:hAnsi="宋体" w:cs="宋体" w:eastAsia="宋体" w:hint="default"/>
                <w:sz w:val="18"/>
                <w:szCs w:val="18"/>
              </w:rPr>
            </w:pPr>
            <w:r>
              <w:rPr>
                <w:rFonts w:ascii="宋体" w:hAnsi="宋体" w:cs="宋体" w:eastAsia="宋体" w:hint="default"/>
                <w:sz w:val="18"/>
                <w:szCs w:val="18"/>
              </w:rPr>
              <w:t>递延所得税费用</w:t>
            </w:r>
          </w:p>
        </w:tc>
        <w:tc>
          <w:tcPr>
            <w:tcW w:w="1331" w:type="dxa"/>
            <w:tcBorders>
              <w:top w:val="nil" w:sz="6" w:space="0" w:color="auto"/>
              <w:left w:val="nil" w:sz="6" w:space="0" w:color="auto"/>
              <w:bottom w:val="nil" w:sz="6" w:space="0" w:color="auto"/>
              <w:right w:val="nil" w:sz="6" w:space="0" w:color="auto"/>
            </w:tcBorders>
          </w:tcPr>
          <w:p>
            <w:pPr/>
          </w:p>
        </w:tc>
        <w:tc>
          <w:tcPr>
            <w:tcW w:w="521"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right="78"/>
              <w:jc w:val="right"/>
              <w:rPr>
                <w:rFonts w:ascii="Times New Roman" w:hAnsi="Times New Roman" w:cs="Times New Roman" w:eastAsia="Times New Roman" w:hint="default"/>
                <w:sz w:val="18"/>
                <w:szCs w:val="18"/>
              </w:rPr>
            </w:pPr>
            <w:r>
              <w:rPr>
                <w:rFonts w:ascii="Times New Roman"/>
                <w:sz w:val="18"/>
              </w:rPr>
              <w:t>-434,787.36</w:t>
            </w:r>
          </w:p>
        </w:tc>
        <w:tc>
          <w:tcPr>
            <w:tcW w:w="521"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right="81"/>
              <w:jc w:val="right"/>
              <w:rPr>
                <w:rFonts w:ascii="Times New Roman" w:hAnsi="Times New Roman" w:cs="Times New Roman" w:eastAsia="Times New Roman" w:hint="default"/>
                <w:sz w:val="18"/>
                <w:szCs w:val="18"/>
              </w:rPr>
            </w:pPr>
            <w:r>
              <w:rPr>
                <w:rFonts w:ascii="Times New Roman"/>
                <w:w w:val="95"/>
                <w:sz w:val="18"/>
              </w:rPr>
              <w:t>-313,301.20</w:t>
            </w:r>
            <w:r>
              <w:rPr>
                <w:rFonts w:ascii="Times New Roman"/>
                <w:sz w:val="18"/>
              </w:rPr>
            </w:r>
          </w:p>
        </w:tc>
      </w:tr>
      <w:tr>
        <w:trPr>
          <w:trHeight w:val="364"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6"/>
              <w:jc w:val="right"/>
              <w:rPr>
                <w:rFonts w:ascii="宋体" w:hAnsi="宋体" w:cs="宋体" w:eastAsia="宋体" w:hint="default"/>
                <w:sz w:val="18"/>
                <w:szCs w:val="18"/>
              </w:rPr>
            </w:pPr>
            <w:r>
              <w:rPr>
                <w:rFonts w:ascii="宋体" w:hAnsi="宋体" w:cs="宋体" w:eastAsia="宋体" w:hint="default"/>
                <w:w w:val="99"/>
                <w:sz w:val="18"/>
                <w:szCs w:val="18"/>
              </w:rPr>
              <w:t>合</w:t>
            </w:r>
            <w:r>
              <w:rPr>
                <w:rFonts w:ascii="宋体" w:hAnsi="宋体" w:cs="宋体" w:eastAsia="宋体" w:hint="default"/>
                <w:sz w:val="18"/>
                <w:szCs w:val="18"/>
              </w:rPr>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w w:val="99"/>
                <w:sz w:val="18"/>
                <w:szCs w:val="18"/>
              </w:rPr>
              <w:t>计</w:t>
            </w:r>
            <w:r>
              <w:rPr>
                <w:rFonts w:ascii="宋体" w:hAnsi="宋体" w:cs="宋体" w:eastAsia="宋体" w:hint="default"/>
                <w:sz w:val="18"/>
                <w:szCs w:val="18"/>
              </w:rPr>
            </w:r>
          </w:p>
        </w:tc>
        <w:tc>
          <w:tcPr>
            <w:tcW w:w="521" w:type="dxa"/>
            <w:tcBorders>
              <w:top w:val="nil" w:sz="6" w:space="0" w:color="auto"/>
              <w:left w:val="nil" w:sz="6" w:space="0" w:color="auto"/>
              <w:bottom w:val="nil" w:sz="6" w:space="0" w:color="auto"/>
              <w:right w:val="nil" w:sz="6" w:space="0" w:color="auto"/>
            </w:tcBorders>
          </w:tcPr>
          <w:p>
            <w:pPr/>
          </w:p>
        </w:tc>
        <w:tc>
          <w:tcPr>
            <w:tcW w:w="2516" w:type="dxa"/>
            <w:tcBorders>
              <w:top w:val="single" w:sz="8" w:space="0" w:color="000000"/>
              <w:left w:val="nil" w:sz="6" w:space="0" w:color="auto"/>
              <w:bottom w:val="single" w:sz="8" w:space="0" w:color="000000"/>
              <w:right w:val="nil" w:sz="6" w:space="0" w:color="auto"/>
            </w:tcBorders>
          </w:tcPr>
          <w:p>
            <w:pPr>
              <w:pStyle w:val="TableParagraph"/>
              <w:spacing w:line="240" w:lineRule="auto" w:before="76"/>
              <w:ind w:right="78"/>
              <w:jc w:val="right"/>
              <w:rPr>
                <w:rFonts w:ascii="Times New Roman" w:hAnsi="Times New Roman" w:cs="Times New Roman" w:eastAsia="Times New Roman" w:hint="default"/>
                <w:sz w:val="18"/>
                <w:szCs w:val="18"/>
              </w:rPr>
            </w:pPr>
            <w:r>
              <w:rPr>
                <w:rFonts w:ascii="Times New Roman"/>
                <w:sz w:val="18"/>
              </w:rPr>
              <w:t>8,433,144.72</w:t>
            </w:r>
          </w:p>
        </w:tc>
        <w:tc>
          <w:tcPr>
            <w:tcW w:w="521" w:type="dxa"/>
            <w:tcBorders>
              <w:top w:val="nil" w:sz="6" w:space="0" w:color="auto"/>
              <w:left w:val="nil" w:sz="6" w:space="0" w:color="auto"/>
              <w:bottom w:val="nil" w:sz="6" w:space="0" w:color="auto"/>
              <w:right w:val="nil" w:sz="6" w:space="0" w:color="auto"/>
            </w:tcBorders>
          </w:tcPr>
          <w:p>
            <w:pPr/>
          </w:p>
        </w:tc>
        <w:tc>
          <w:tcPr>
            <w:tcW w:w="2516" w:type="dxa"/>
            <w:tcBorders>
              <w:top w:val="single" w:sz="8" w:space="0" w:color="000000"/>
              <w:left w:val="nil" w:sz="6" w:space="0" w:color="auto"/>
              <w:bottom w:val="single" w:sz="8" w:space="0" w:color="000000"/>
              <w:right w:val="nil" w:sz="6" w:space="0" w:color="auto"/>
            </w:tcBorders>
          </w:tcPr>
          <w:p>
            <w:pPr>
              <w:pStyle w:val="TableParagraph"/>
              <w:spacing w:line="240" w:lineRule="auto" w:before="76"/>
              <w:ind w:right="81"/>
              <w:jc w:val="right"/>
              <w:rPr>
                <w:rFonts w:ascii="Times New Roman" w:hAnsi="Times New Roman" w:cs="Times New Roman" w:eastAsia="Times New Roman" w:hint="default"/>
                <w:sz w:val="18"/>
                <w:szCs w:val="18"/>
              </w:rPr>
            </w:pPr>
            <w:r>
              <w:rPr>
                <w:rFonts w:ascii="Times New Roman"/>
                <w:w w:val="95"/>
                <w:sz w:val="18"/>
              </w:rPr>
              <w:t>6,426,575.28</w:t>
            </w:r>
            <w:r>
              <w:rPr>
                <w:rFonts w:ascii="Times New Roman"/>
                <w:sz w:val="18"/>
              </w:rPr>
            </w:r>
          </w:p>
        </w:tc>
      </w:tr>
    </w:tbl>
    <w:p>
      <w:pPr>
        <w:tabs>
          <w:tab w:pos="6393" w:val="left" w:leader="none"/>
        </w:tabs>
        <w:spacing w:line="20" w:lineRule="exact"/>
        <w:ind w:left="3356" w:right="0" w:firstLine="0"/>
        <w:rPr>
          <w:rFonts w:ascii="Microsoft JhengHei" w:hAnsi="Microsoft JhengHei" w:cs="Microsoft JhengHei" w:eastAsia="Microsoft JhengHei" w:hint="default"/>
          <w:sz w:val="2"/>
          <w:szCs w:val="2"/>
        </w:rPr>
      </w:pPr>
      <w:r>
        <w:rPr>
          <w:rFonts w:ascii="Microsoft JhengHei"/>
          <w:sz w:val="2"/>
        </w:rPr>
        <w:pict>
          <v:group style="width:126.75pt;height:1pt;mso-position-horizontal-relative:char;mso-position-vertical-relative:line" coordorigin="0,0" coordsize="2535,20">
            <v:group style="position:absolute;left:10;top:10;width:2516;height:2" coordorigin="10,10" coordsize="2516,2">
              <v:shape style="position:absolute;left:10;top:10;width:2516;height:2" coordorigin="10,10" coordsize="2516,0" path="m10,10l2525,10e" filled="false" stroked="true" strokeweight=".96001pt" strokecolor="#000000">
                <v:path arrowok="t"/>
              </v:shape>
            </v:group>
          </v:group>
        </w:pict>
      </w:r>
      <w:r>
        <w:rPr>
          <w:rFonts w:ascii="Microsoft JhengHei"/>
          <w:sz w:val="2"/>
        </w:rPr>
      </w:r>
      <w:r>
        <w:rPr>
          <w:rFonts w:ascii="Microsoft JhengHei"/>
          <w:sz w:val="2"/>
        </w:rPr>
        <w:tab/>
      </w:r>
      <w:r>
        <w:rPr>
          <w:rFonts w:ascii="Microsoft JhengHei"/>
          <w:sz w:val="2"/>
        </w:rPr>
        <w:pict>
          <v:group style="width:126.75pt;height:1pt;mso-position-horizontal-relative:char;mso-position-vertical-relative:line" coordorigin="0,0" coordsize="2535,20">
            <v:group style="position:absolute;left:10;top:10;width:2516;height:2" coordorigin="10,10" coordsize="2516,2">
              <v:shape style="position:absolute;left:10;top:10;width:2516;height:2" coordorigin="10,10" coordsize="2516,0" path="m10,10l2525,10e" filled="false" stroked="true" strokeweight=".96001pt" strokecolor="#000000">
                <v:path arrowok="t"/>
              </v:shape>
            </v:group>
          </v:group>
        </w:pict>
      </w:r>
      <w:r>
        <w:rPr>
          <w:rFonts w:ascii="Microsoft JhengHei"/>
          <w:sz w:val="2"/>
        </w:rPr>
      </w:r>
    </w:p>
    <w:p>
      <w:pPr>
        <w:spacing w:line="240" w:lineRule="auto" w:before="3"/>
        <w:rPr>
          <w:rFonts w:ascii="Microsoft JhengHei" w:hAnsi="Microsoft JhengHei" w:cs="Microsoft JhengHei" w:eastAsia="Microsoft JhengHei" w:hint="default"/>
          <w:b/>
          <w:bCs/>
          <w:sz w:val="25"/>
          <w:szCs w:val="25"/>
        </w:rPr>
      </w:pPr>
    </w:p>
    <w:p>
      <w:pPr>
        <w:pStyle w:val="Heading3"/>
        <w:spacing w:line="368" w:lineRule="exact"/>
        <w:ind w:right="537"/>
        <w:jc w:val="left"/>
        <w:rPr>
          <w:b w:val="0"/>
          <w:bCs w:val="0"/>
        </w:rPr>
      </w:pPr>
      <w:r>
        <w:rPr/>
        <w:t>39、基本每股收益和稀释每股收益</w:t>
      </w:r>
      <w:r>
        <w:rPr>
          <w:b w:val="0"/>
          <w:bCs w:val="0"/>
        </w:rPr>
      </w:r>
    </w:p>
    <w:p>
      <w:pPr>
        <w:tabs>
          <w:tab w:pos="4359" w:val="left" w:leader="none"/>
          <w:tab w:pos="5497" w:val="left" w:leader="none"/>
          <w:tab w:pos="7413" w:val="left" w:leader="none"/>
          <w:tab w:pos="8852" w:val="right" w:leader="none"/>
        </w:tabs>
        <w:spacing w:line="381" w:lineRule="auto" w:before="97"/>
        <w:ind w:left="957" w:right="312" w:firstLine="273"/>
        <w:jc w:val="left"/>
        <w:rPr>
          <w:rFonts w:ascii="Times New Roman" w:hAnsi="Times New Roman" w:cs="Times New Roman" w:eastAsia="Times New Roman" w:hint="default"/>
          <w:sz w:val="18"/>
          <w:szCs w:val="18"/>
        </w:rPr>
      </w:pPr>
      <w:r>
        <w:rPr/>
        <w:pict>
          <v:group style="position:absolute;margin-left:89.940002pt;margin-top:20.49202pt;width:135.75pt;height:1pt;mso-position-horizontal-relative:page;mso-position-vertical-relative:paragraph;z-index:-588112" coordorigin="1799,410" coordsize="2715,20">
            <v:group style="position:absolute;left:1808;top:410;width:2696;height:2" coordorigin="1808,410" coordsize="2696,2">
              <v:shape style="position:absolute;left:1808;top:410;width:2696;height:2" coordorigin="1808,410" coordsize="2696,0" path="m1808,410l4504,410e" filled="false" stroked="true" strokeweight=".06pt" strokecolor="#000000">
                <v:path arrowok="t"/>
              </v:shape>
            </v:group>
            <v:group style="position:absolute;left:1808;top:420;width:2696;height:2" coordorigin="1808,420" coordsize="2696,2">
              <v:shape style="position:absolute;left:1808;top:420;width:2696;height:2" coordorigin="1808,420" coordsize="2696,0" path="m1808,420l4504,420e" filled="false" stroked="true" strokeweight=".95999pt" strokecolor="#000000">
                <v:path arrowok="t"/>
              </v:shape>
            </v:group>
            <w10:wrap type="none"/>
          </v:group>
        </w:pict>
      </w:r>
      <w:r>
        <w:rPr/>
        <w:pict>
          <v:group style="position:absolute;margin-left:250.080002pt;margin-top:20.49202pt;width:128.3pt;height:1pt;mso-position-horizontal-relative:page;mso-position-vertical-relative:paragraph;z-index:-588088" coordorigin="5002,410" coordsize="2566,20">
            <v:group style="position:absolute;left:5011;top:410;width:2547;height:2" coordorigin="5011,410" coordsize="2547,2">
              <v:shape style="position:absolute;left:5011;top:410;width:2547;height:2" coordorigin="5011,410" coordsize="2547,0" path="m5011,410l7558,410e" filled="false" stroked="true" strokeweight=".06pt" strokecolor="#000000">
                <v:path arrowok="t"/>
              </v:shape>
            </v:group>
            <v:group style="position:absolute;left:5011;top:420;width:2547;height:2" coordorigin="5011,420" coordsize="2547,2">
              <v:shape style="position:absolute;left:5011;top:420;width:2547;height:2" coordorigin="5011,420" coordsize="2547,0" path="m5011,420l7558,420e" filled="false" stroked="true" strokeweight=".95999pt" strokecolor="#000000">
                <v:path arrowok="t"/>
              </v:shape>
            </v:group>
            <w10:wrap type="none"/>
          </v:group>
        </w:pict>
      </w:r>
      <w:r>
        <w:rPr/>
        <w:pict>
          <v:group style="position:absolute;margin-left:402.779999pt;margin-top:20.49202pt;width:128.35pt;height:1pt;mso-position-horizontal-relative:page;mso-position-vertical-relative:paragraph;z-index:-588064" coordorigin="8056,410" coordsize="2567,20">
            <v:group style="position:absolute;left:8065;top:410;width:2547;height:2" coordorigin="8065,410" coordsize="2547,2">
              <v:shape style="position:absolute;left:8065;top:410;width:2547;height:2" coordorigin="8065,410" coordsize="2547,0" path="m8065,410l10612,410e" filled="false" stroked="true" strokeweight=".06pt" strokecolor="#000000">
                <v:path arrowok="t"/>
              </v:shape>
            </v:group>
            <v:group style="position:absolute;left:8065;top:420;width:2548;height:2" coordorigin="8065,420" coordsize="2548,2">
              <v:shape style="position:absolute;left:8065;top:420;width:2548;height:2" coordorigin="8065,420" coordsize="2548,0" path="m8065,420l10613,420e" filled="false" stroked="true" strokeweight=".95999pt" strokecolor="#000000">
                <v:path arrowok="t"/>
              </v:shape>
            </v:group>
            <w10:wrap type="none"/>
          </v:group>
        </w:pict>
      </w:r>
      <w:r>
        <w:rPr>
          <w:rFonts w:ascii="宋体" w:hAnsi="宋体" w:cs="宋体" w:eastAsia="宋体" w:hint="default"/>
          <w:sz w:val="18"/>
          <w:szCs w:val="18"/>
        </w:rPr>
        <w:t>项 </w:t>
      </w:r>
      <w:r>
        <w:rPr>
          <w:rFonts w:ascii="宋体" w:hAnsi="宋体" w:cs="宋体" w:eastAsia="宋体" w:hint="default"/>
          <w:spacing w:val="3"/>
          <w:sz w:val="18"/>
          <w:szCs w:val="18"/>
        </w:rPr>
        <w:t> </w:t>
      </w:r>
      <w:r>
        <w:rPr>
          <w:rFonts w:ascii="宋体" w:hAnsi="宋体" w:cs="宋体" w:eastAsia="宋体" w:hint="default"/>
          <w:sz w:val="18"/>
          <w:szCs w:val="18"/>
        </w:rPr>
        <w:t>目</w:t>
        <w:tab/>
        <w:t>本年度</w:t>
        <w:tab/>
        <w:tab/>
        <w:t>上年度</w:t>
      </w:r>
      <w:r>
        <w:rPr>
          <w:rFonts w:ascii="宋体" w:hAnsi="宋体" w:cs="宋体" w:eastAsia="宋体" w:hint="default"/>
          <w:spacing w:val="1"/>
          <w:w w:val="99"/>
          <w:sz w:val="18"/>
          <w:szCs w:val="18"/>
        </w:rPr>
        <w:t> </w:t>
      </w:r>
      <w:r>
        <w:rPr>
          <w:rFonts w:ascii="宋体" w:hAnsi="宋体" w:cs="宋体" w:eastAsia="宋体" w:hint="default"/>
          <w:sz w:val="18"/>
          <w:szCs w:val="18"/>
        </w:rPr>
        <w:t>基本每股收益</w:t>
        <w:tab/>
        <w:tab/>
      </w:r>
      <w:r>
        <w:rPr>
          <w:rFonts w:ascii="Times New Roman" w:hAnsi="Times New Roman" w:cs="Times New Roman" w:eastAsia="Times New Roman" w:hint="default"/>
          <w:position w:val="2"/>
          <w:sz w:val="18"/>
          <w:szCs w:val="18"/>
        </w:rPr>
        <w:t>0.53</w:t>
        <w:tab/>
        <w:tab/>
        <w:t> 0.64</w:t>
      </w:r>
      <w:r>
        <w:rPr>
          <w:rFonts w:ascii="Times New Roman" w:hAnsi="Times New Roman" w:cs="Times New Roman" w:eastAsia="Times New Roman" w:hint="default"/>
          <w:sz w:val="18"/>
          <w:szCs w:val="18"/>
        </w:rPr>
      </w:r>
    </w:p>
    <w:p>
      <w:pPr>
        <w:tabs>
          <w:tab w:pos="5497" w:val="left" w:leader="none"/>
          <w:tab w:pos="8869" w:val="right" w:leader="none"/>
        </w:tabs>
        <w:spacing w:before="20"/>
        <w:ind w:left="95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tab/>
      </w:r>
      <w:r>
        <w:rPr>
          <w:rFonts w:ascii="Times New Roman" w:hAnsi="Times New Roman" w:cs="Times New Roman" w:eastAsia="Times New Roman" w:hint="default"/>
          <w:position w:val="2"/>
          <w:sz w:val="18"/>
          <w:szCs w:val="18"/>
        </w:rPr>
        <w:t>0.53</w:t>
        <w:tab/>
        <w:t>0.64</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1910" w:h="16840"/>
          <w:pgMar w:top="1060" w:bottom="1460" w:left="1660" w:right="1060"/>
        </w:sectPr>
      </w:pPr>
    </w:p>
    <w:p>
      <w:pPr>
        <w:spacing w:line="240" w:lineRule="auto" w:before="0"/>
        <w:rPr>
          <w:rFonts w:ascii="Times New Roman" w:hAnsi="Times New Roman" w:cs="Times New Roman" w:eastAsia="Times New Roman" w:hint="default"/>
          <w:sz w:val="20"/>
          <w:szCs w:val="20"/>
        </w:rPr>
      </w:pPr>
    </w:p>
    <w:p>
      <w:pPr>
        <w:pStyle w:val="BodyText"/>
        <w:spacing w:line="336" w:lineRule="auto" w:before="152"/>
        <w:ind w:left="617" w:right="184" w:hanging="480"/>
        <w:jc w:val="left"/>
        <w:rPr>
          <w:sz w:val="12"/>
          <w:szCs w:val="12"/>
        </w:rPr>
      </w:pPr>
      <w:r>
        <w:rPr>
          <w:spacing w:val="-11"/>
          <w:w w:val="100"/>
        </w:rPr>
        <w:t>注：（1）基本每股收益的计算</w:t>
      </w:r>
      <w:r>
        <w:rPr>
          <w:spacing w:val="-115"/>
          <w:w w:val="100"/>
        </w:rPr>
        <w:t> </w:t>
      </w:r>
      <w:r>
        <w:rPr>
          <w:spacing w:val="-115"/>
          <w:w w:val="100"/>
        </w:rPr>
      </w:r>
      <w:r>
        <w:rPr>
          <w:spacing w:val="-2"/>
        </w:rPr>
        <w:t>基本每股收益=归属于普通股股东的净利润÷发行在外的普通股加权平均数</w:t>
      </w:r>
      <w:r>
        <w:rPr>
          <w:spacing w:val="-2"/>
          <w:w w:val="100"/>
        </w:rPr>
        <w:t> </w:t>
      </w:r>
      <w:r>
        <w:rPr/>
        <w:t>发行在外的普通股加权平均数=S</w:t>
      </w:r>
      <w:r>
        <w:rPr>
          <w:position w:val="-1"/>
          <w:sz w:val="12"/>
          <w:szCs w:val="12"/>
        </w:rPr>
        <w:t>0</w:t>
      </w:r>
      <w:r>
        <w:rPr/>
        <w:t>＋S</w:t>
      </w:r>
      <w:r>
        <w:rPr>
          <w:position w:val="-1"/>
          <w:sz w:val="12"/>
          <w:szCs w:val="12"/>
        </w:rPr>
        <w:t>1</w:t>
      </w:r>
      <w:r>
        <w:rPr/>
        <w:t>＋S</w:t>
      </w:r>
      <w:r>
        <w:rPr>
          <w:position w:val="-1"/>
          <w:sz w:val="12"/>
          <w:szCs w:val="12"/>
        </w:rPr>
        <w:t>i</w:t>
      </w:r>
      <w:r>
        <w:rPr/>
        <w:t>×M</w:t>
      </w:r>
      <w:r>
        <w:rPr>
          <w:position w:val="-1"/>
          <w:sz w:val="12"/>
          <w:szCs w:val="12"/>
        </w:rPr>
        <w:t>i</w:t>
      </w:r>
      <w:r>
        <w:rPr/>
        <w:t>÷M</w:t>
      </w:r>
      <w:r>
        <w:rPr>
          <w:position w:val="-1"/>
          <w:sz w:val="12"/>
          <w:szCs w:val="12"/>
        </w:rPr>
        <w:t>0</w:t>
      </w:r>
      <w:r>
        <w:rPr/>
        <w:t>-S</w:t>
      </w:r>
      <w:r>
        <w:rPr>
          <w:position w:val="-1"/>
          <w:sz w:val="12"/>
          <w:szCs w:val="12"/>
        </w:rPr>
        <w:t>j</w:t>
      </w:r>
      <w:r>
        <w:rPr/>
        <w:t>×M</w:t>
      </w:r>
      <w:r>
        <w:rPr>
          <w:position w:val="-1"/>
          <w:sz w:val="12"/>
          <w:szCs w:val="12"/>
        </w:rPr>
        <w:t>j</w:t>
      </w:r>
      <w:r>
        <w:rPr/>
        <w:t>÷M</w:t>
      </w:r>
      <w:r>
        <w:rPr>
          <w:position w:val="-1"/>
          <w:sz w:val="12"/>
          <w:szCs w:val="12"/>
        </w:rPr>
        <w:t>0</w:t>
      </w:r>
      <w:r>
        <w:rPr>
          <w:color w:val="212121"/>
        </w:rPr>
        <w:t>-S</w:t>
      </w:r>
      <w:r>
        <w:rPr>
          <w:color w:val="212121"/>
          <w:position w:val="-1"/>
          <w:sz w:val="12"/>
          <w:szCs w:val="12"/>
        </w:rPr>
        <w:t>k</w:t>
      </w:r>
      <w:r>
        <w:rPr>
          <w:sz w:val="12"/>
          <w:szCs w:val="12"/>
        </w:rPr>
      </w:r>
    </w:p>
    <w:p>
      <w:pPr>
        <w:pStyle w:val="BodyText"/>
        <w:spacing w:line="333" w:lineRule="auto" w:before="24"/>
        <w:ind w:right="151" w:firstLine="480"/>
        <w:jc w:val="both"/>
      </w:pPr>
      <w:r>
        <w:rPr>
          <w:spacing w:val="-5"/>
        </w:rPr>
        <w:t>其中，S</w:t>
      </w:r>
      <w:r>
        <w:rPr>
          <w:spacing w:val="-5"/>
          <w:position w:val="-1"/>
          <w:sz w:val="12"/>
          <w:szCs w:val="12"/>
        </w:rPr>
        <w:t>0</w:t>
      </w:r>
      <w:r>
        <w:rPr>
          <w:spacing w:val="-28"/>
          <w:position w:val="-1"/>
          <w:sz w:val="12"/>
          <w:szCs w:val="12"/>
        </w:rPr>
        <w:t> </w:t>
      </w:r>
      <w:r>
        <w:rPr>
          <w:spacing w:val="-4"/>
        </w:rPr>
        <w:t>为期初股份总数；S</w:t>
      </w:r>
      <w:r>
        <w:rPr>
          <w:spacing w:val="-4"/>
          <w:position w:val="-1"/>
          <w:sz w:val="12"/>
          <w:szCs w:val="12"/>
        </w:rPr>
        <w:t>1</w:t>
      </w:r>
      <w:r>
        <w:rPr>
          <w:spacing w:val="-28"/>
          <w:position w:val="-1"/>
          <w:sz w:val="12"/>
          <w:szCs w:val="12"/>
        </w:rPr>
        <w:t> </w:t>
      </w:r>
      <w:r>
        <w:rPr/>
        <w:t>为报告期因公积金转增股本或股票股利分配等</w:t>
      </w:r>
      <w:r>
        <w:rPr>
          <w:spacing w:val="-2"/>
          <w:w w:val="100"/>
        </w:rPr>
        <w:t> </w:t>
      </w:r>
      <w:r>
        <w:rPr>
          <w:spacing w:val="-4"/>
        </w:rPr>
        <w:t>增加股份数；S</w:t>
      </w:r>
      <w:r>
        <w:rPr>
          <w:spacing w:val="-4"/>
          <w:position w:val="-1"/>
          <w:sz w:val="12"/>
          <w:szCs w:val="12"/>
        </w:rPr>
        <w:t>i</w:t>
      </w:r>
      <w:r>
        <w:rPr>
          <w:spacing w:val="-18"/>
          <w:position w:val="-1"/>
          <w:sz w:val="12"/>
          <w:szCs w:val="12"/>
        </w:rPr>
        <w:t> </w:t>
      </w:r>
      <w:r>
        <w:rPr>
          <w:spacing w:val="-3"/>
        </w:rPr>
        <w:t>为报告期因发行新股或债转股等增加股份数；S</w:t>
      </w:r>
      <w:r>
        <w:rPr>
          <w:spacing w:val="-3"/>
          <w:position w:val="-1"/>
          <w:sz w:val="12"/>
          <w:szCs w:val="12"/>
        </w:rPr>
        <w:t>j</w:t>
      </w:r>
      <w:r>
        <w:rPr>
          <w:spacing w:val="-18"/>
          <w:position w:val="-1"/>
          <w:sz w:val="12"/>
          <w:szCs w:val="12"/>
        </w:rPr>
        <w:t> </w:t>
      </w:r>
      <w:r>
        <w:rPr/>
        <w:t>为报告期因回购</w:t>
      </w:r>
      <w:r>
        <w:rPr>
          <w:spacing w:val="-104"/>
        </w:rPr>
        <w:t> </w:t>
      </w:r>
      <w:r>
        <w:rPr>
          <w:spacing w:val="-104"/>
        </w:rPr>
      </w:r>
      <w:r>
        <w:rPr/>
        <w:t>等减少股份数；</w:t>
      </w:r>
      <w:r>
        <w:rPr>
          <w:color w:val="212121"/>
        </w:rPr>
        <w:t>S</w:t>
      </w:r>
      <w:r>
        <w:rPr>
          <w:color w:val="212121"/>
          <w:position w:val="-1"/>
          <w:sz w:val="12"/>
          <w:szCs w:val="12"/>
        </w:rPr>
        <w:t>k</w:t>
      </w:r>
      <w:r>
        <w:rPr>
          <w:color w:val="212121"/>
          <w:spacing w:val="-36"/>
          <w:position w:val="-1"/>
          <w:sz w:val="12"/>
          <w:szCs w:val="12"/>
        </w:rPr>
        <w:t> </w:t>
      </w:r>
      <w:r>
        <w:rPr>
          <w:color w:val="212121"/>
        </w:rPr>
        <w:t>为报告期缩股数；</w:t>
      </w:r>
      <w:r>
        <w:rPr/>
        <w:t>M</w:t>
      </w:r>
      <w:r>
        <w:rPr>
          <w:position w:val="-1"/>
          <w:sz w:val="12"/>
          <w:szCs w:val="12"/>
        </w:rPr>
        <w:t>0</w:t>
      </w:r>
      <w:r>
        <w:rPr>
          <w:spacing w:val="-36"/>
          <w:position w:val="-1"/>
          <w:sz w:val="12"/>
          <w:szCs w:val="12"/>
        </w:rPr>
        <w:t> </w:t>
      </w:r>
      <w:r>
        <w:rPr/>
        <w:t>报告期月份数；M</w:t>
      </w:r>
      <w:r>
        <w:rPr>
          <w:position w:val="-1"/>
          <w:sz w:val="12"/>
          <w:szCs w:val="12"/>
        </w:rPr>
        <w:t>i</w:t>
      </w:r>
      <w:r>
        <w:rPr>
          <w:spacing w:val="-36"/>
          <w:position w:val="-1"/>
          <w:sz w:val="12"/>
          <w:szCs w:val="12"/>
        </w:rPr>
        <w:t> </w:t>
      </w:r>
      <w:r>
        <w:rPr/>
        <w:t>为增加股份下一月份起</w:t>
      </w:r>
      <w:r>
        <w:rPr>
          <w:spacing w:val="-2"/>
          <w:w w:val="100"/>
        </w:rPr>
        <w:t> </w:t>
      </w:r>
      <w:r>
        <w:rPr>
          <w:spacing w:val="-2"/>
        </w:rPr>
        <w:t>至报告期期末的月份数；M</w:t>
      </w:r>
      <w:r>
        <w:rPr>
          <w:spacing w:val="-2"/>
          <w:position w:val="-1"/>
          <w:sz w:val="12"/>
          <w:szCs w:val="12"/>
        </w:rPr>
        <w:t>j</w:t>
      </w:r>
      <w:r>
        <w:rPr>
          <w:spacing w:val="9"/>
          <w:position w:val="-1"/>
          <w:sz w:val="12"/>
          <w:szCs w:val="12"/>
        </w:rPr>
        <w:t> </w:t>
      </w:r>
      <w:r>
        <w:rPr>
          <w:spacing w:val="-2"/>
        </w:rPr>
        <w:t>为减少股份下一月份起至报告期期末的月份数。</w:t>
      </w:r>
      <w:r>
        <w:rPr/>
      </w:r>
    </w:p>
    <w:p>
      <w:pPr>
        <w:pStyle w:val="BodyText"/>
        <w:spacing w:line="336" w:lineRule="auto" w:before="28"/>
        <w:ind w:left="617" w:right="0"/>
        <w:jc w:val="left"/>
      </w:pPr>
      <w:r>
        <w:rPr>
          <w:spacing w:val="-2"/>
        </w:rPr>
        <w:t>（2）稀释每股收益的计算</w:t>
      </w:r>
      <w:r>
        <w:rPr>
          <w:spacing w:val="-107"/>
        </w:rPr>
        <w:t> </w:t>
      </w:r>
      <w:r>
        <w:rPr>
          <w:spacing w:val="-1"/>
        </w:rPr>
        <w:t>稀释每股收益=</w:t>
      </w:r>
      <w:r>
        <w:rPr>
          <w:color w:val="212121"/>
          <w:spacing w:val="-1"/>
        </w:rPr>
        <w:t>[</w:t>
      </w:r>
      <w:r>
        <w:rPr>
          <w:spacing w:val="-1"/>
        </w:rPr>
        <w:t>归属于普通股股东的净利润</w:t>
      </w:r>
      <w:r>
        <w:rPr>
          <w:color w:val="212121"/>
          <w:spacing w:val="-1"/>
        </w:rPr>
        <w:t>+（已确认为费用的稀释性潜在</w:t>
      </w:r>
      <w:r>
        <w:rPr/>
      </w:r>
    </w:p>
    <w:p>
      <w:pPr>
        <w:pStyle w:val="BodyText"/>
        <w:spacing w:line="333" w:lineRule="auto" w:before="29"/>
        <w:ind w:right="0"/>
        <w:jc w:val="left"/>
      </w:pPr>
      <w:r>
        <w:rPr>
          <w:color w:val="212121"/>
          <w:spacing w:val="-4"/>
        </w:rPr>
        <w:t>普通股利息－转换费用）×（1-所得税率）]/（S</w:t>
      </w:r>
      <w:r>
        <w:rPr>
          <w:color w:val="212121"/>
          <w:spacing w:val="-4"/>
          <w:position w:val="-1"/>
          <w:sz w:val="12"/>
          <w:szCs w:val="12"/>
        </w:rPr>
        <w:t>0</w:t>
      </w:r>
      <w:r>
        <w:rPr>
          <w:color w:val="212121"/>
          <w:spacing w:val="-4"/>
        </w:rPr>
        <w:t>＋S</w:t>
      </w:r>
      <w:r>
        <w:rPr>
          <w:color w:val="212121"/>
          <w:spacing w:val="-4"/>
          <w:position w:val="-1"/>
          <w:sz w:val="12"/>
          <w:szCs w:val="12"/>
        </w:rPr>
        <w:t>1</w:t>
      </w:r>
      <w:r>
        <w:rPr>
          <w:color w:val="212121"/>
          <w:spacing w:val="-4"/>
        </w:rPr>
        <w:t>＋S</w:t>
      </w:r>
      <w:r>
        <w:rPr>
          <w:color w:val="212121"/>
          <w:spacing w:val="-4"/>
          <w:position w:val="-1"/>
          <w:sz w:val="12"/>
          <w:szCs w:val="12"/>
        </w:rPr>
        <w:t>i</w:t>
      </w:r>
      <w:r>
        <w:rPr>
          <w:color w:val="212121"/>
          <w:spacing w:val="-4"/>
        </w:rPr>
        <w:t>×M</w:t>
      </w:r>
      <w:r>
        <w:rPr>
          <w:color w:val="212121"/>
          <w:spacing w:val="-4"/>
          <w:position w:val="-1"/>
          <w:sz w:val="12"/>
          <w:szCs w:val="12"/>
        </w:rPr>
        <w:t>i</w:t>
      </w:r>
      <w:r>
        <w:rPr>
          <w:color w:val="212121"/>
          <w:spacing w:val="-4"/>
        </w:rPr>
        <w:t>÷M</w:t>
      </w:r>
      <w:r>
        <w:rPr>
          <w:color w:val="212121"/>
          <w:spacing w:val="-4"/>
          <w:position w:val="-1"/>
          <w:sz w:val="12"/>
          <w:szCs w:val="12"/>
        </w:rPr>
        <w:t>0</w:t>
      </w:r>
      <w:r>
        <w:rPr>
          <w:color w:val="212121"/>
          <w:spacing w:val="-4"/>
        </w:rPr>
        <w:t>-S</w:t>
      </w:r>
      <w:r>
        <w:rPr>
          <w:color w:val="212121"/>
          <w:spacing w:val="-4"/>
          <w:position w:val="-1"/>
          <w:sz w:val="12"/>
          <w:szCs w:val="12"/>
        </w:rPr>
        <w:t>j</w:t>
      </w:r>
      <w:r>
        <w:rPr>
          <w:color w:val="212121"/>
          <w:spacing w:val="-4"/>
        </w:rPr>
        <w:t>×M</w:t>
      </w:r>
      <w:r>
        <w:rPr>
          <w:color w:val="212121"/>
          <w:spacing w:val="-4"/>
          <w:position w:val="-1"/>
          <w:sz w:val="12"/>
          <w:szCs w:val="12"/>
        </w:rPr>
        <w:t>j</w:t>
      </w:r>
      <w:r>
        <w:rPr>
          <w:color w:val="212121"/>
          <w:spacing w:val="-4"/>
        </w:rPr>
        <w:t>÷M</w:t>
      </w:r>
      <w:r>
        <w:rPr>
          <w:color w:val="212121"/>
          <w:spacing w:val="-4"/>
          <w:position w:val="-1"/>
          <w:sz w:val="12"/>
          <w:szCs w:val="12"/>
        </w:rPr>
        <w:t>0</w:t>
      </w:r>
      <w:r>
        <w:rPr>
          <w:color w:val="212121"/>
          <w:spacing w:val="-4"/>
        </w:rPr>
        <w:t>-S</w:t>
      </w:r>
      <w:r>
        <w:rPr>
          <w:color w:val="212121"/>
          <w:spacing w:val="-4"/>
          <w:position w:val="-1"/>
          <w:sz w:val="12"/>
          <w:szCs w:val="12"/>
        </w:rPr>
        <w:t>k</w:t>
      </w:r>
      <w:r>
        <w:rPr>
          <w:color w:val="212121"/>
          <w:spacing w:val="-4"/>
        </w:rPr>
        <w:t>+</w:t>
      </w:r>
      <w:r>
        <w:rPr>
          <w:color w:val="212121"/>
          <w:spacing w:val="-81"/>
        </w:rPr>
        <w:t> </w:t>
      </w:r>
      <w:r>
        <w:rPr>
          <w:color w:val="212121"/>
          <w:spacing w:val="-81"/>
        </w:rPr>
      </w:r>
      <w:r>
        <w:rPr>
          <w:color w:val="212121"/>
        </w:rPr>
        <w:t>认股权证、股份期权、可转换债券等增加的普通股加权平均数）</w:t>
      </w:r>
      <w:r>
        <w:rPr/>
      </w:r>
    </w:p>
    <w:p>
      <w:pPr>
        <w:pStyle w:val="BodyText"/>
        <w:spacing w:line="333" w:lineRule="auto" w:before="32"/>
        <w:ind w:right="151" w:firstLine="480"/>
        <w:jc w:val="both"/>
      </w:pPr>
      <w:r>
        <w:rPr>
          <w:spacing w:val="-5"/>
        </w:rPr>
        <w:t>其中，S</w:t>
      </w:r>
      <w:r>
        <w:rPr>
          <w:spacing w:val="-5"/>
          <w:position w:val="-1"/>
          <w:sz w:val="12"/>
          <w:szCs w:val="12"/>
        </w:rPr>
        <w:t>0</w:t>
      </w:r>
      <w:r>
        <w:rPr>
          <w:spacing w:val="-28"/>
          <w:position w:val="-1"/>
          <w:sz w:val="12"/>
          <w:szCs w:val="12"/>
        </w:rPr>
        <w:t> </w:t>
      </w:r>
      <w:r>
        <w:rPr>
          <w:spacing w:val="-4"/>
        </w:rPr>
        <w:t>为期初股份总数；S</w:t>
      </w:r>
      <w:r>
        <w:rPr>
          <w:spacing w:val="-4"/>
          <w:position w:val="-1"/>
          <w:sz w:val="12"/>
          <w:szCs w:val="12"/>
        </w:rPr>
        <w:t>1</w:t>
      </w:r>
      <w:r>
        <w:rPr>
          <w:spacing w:val="-28"/>
          <w:position w:val="-1"/>
          <w:sz w:val="12"/>
          <w:szCs w:val="12"/>
        </w:rPr>
        <w:t> </w:t>
      </w:r>
      <w:r>
        <w:rPr/>
        <w:t>为报告期因公积金转增股本或股票股利分配等</w:t>
      </w:r>
      <w:r>
        <w:rPr>
          <w:spacing w:val="-2"/>
          <w:w w:val="100"/>
        </w:rPr>
        <w:t> </w:t>
      </w:r>
      <w:r>
        <w:rPr>
          <w:spacing w:val="-4"/>
        </w:rPr>
        <w:t>增加股份数；S</w:t>
      </w:r>
      <w:r>
        <w:rPr>
          <w:spacing w:val="-4"/>
          <w:position w:val="-1"/>
          <w:sz w:val="12"/>
          <w:szCs w:val="12"/>
        </w:rPr>
        <w:t>i</w:t>
      </w:r>
      <w:r>
        <w:rPr>
          <w:spacing w:val="-18"/>
          <w:position w:val="-1"/>
          <w:sz w:val="12"/>
          <w:szCs w:val="12"/>
        </w:rPr>
        <w:t> </w:t>
      </w:r>
      <w:r>
        <w:rPr>
          <w:spacing w:val="-3"/>
        </w:rPr>
        <w:t>为报告期因发行新股或债转股等增加股份数；S</w:t>
      </w:r>
      <w:r>
        <w:rPr>
          <w:spacing w:val="-3"/>
          <w:position w:val="-1"/>
          <w:sz w:val="12"/>
          <w:szCs w:val="12"/>
        </w:rPr>
        <w:t>j</w:t>
      </w:r>
      <w:r>
        <w:rPr>
          <w:spacing w:val="-18"/>
          <w:position w:val="-1"/>
          <w:sz w:val="12"/>
          <w:szCs w:val="12"/>
        </w:rPr>
        <w:t> </w:t>
      </w:r>
      <w:r>
        <w:rPr/>
        <w:t>为报告期因回购</w:t>
      </w:r>
      <w:r>
        <w:rPr>
          <w:spacing w:val="-104"/>
        </w:rPr>
        <w:t> </w:t>
      </w:r>
      <w:r>
        <w:rPr>
          <w:spacing w:val="-104"/>
        </w:rPr>
      </w:r>
      <w:r>
        <w:rPr/>
        <w:t>等减少股份数；</w:t>
      </w:r>
      <w:r>
        <w:rPr>
          <w:color w:val="212121"/>
        </w:rPr>
        <w:t>S</w:t>
      </w:r>
      <w:r>
        <w:rPr>
          <w:color w:val="212121"/>
          <w:position w:val="-1"/>
          <w:sz w:val="12"/>
          <w:szCs w:val="12"/>
        </w:rPr>
        <w:t>k</w:t>
      </w:r>
      <w:r>
        <w:rPr>
          <w:color w:val="212121"/>
          <w:spacing w:val="-36"/>
          <w:position w:val="-1"/>
          <w:sz w:val="12"/>
          <w:szCs w:val="12"/>
        </w:rPr>
        <w:t> </w:t>
      </w:r>
      <w:r>
        <w:rPr>
          <w:color w:val="212121"/>
        </w:rPr>
        <w:t>为报告期缩股数；</w:t>
      </w:r>
      <w:r>
        <w:rPr/>
        <w:t>M</w:t>
      </w:r>
      <w:r>
        <w:rPr>
          <w:position w:val="-1"/>
          <w:sz w:val="12"/>
          <w:szCs w:val="12"/>
        </w:rPr>
        <w:t>0</w:t>
      </w:r>
      <w:r>
        <w:rPr>
          <w:spacing w:val="-36"/>
          <w:position w:val="-1"/>
          <w:sz w:val="12"/>
          <w:szCs w:val="12"/>
        </w:rPr>
        <w:t> </w:t>
      </w:r>
      <w:r>
        <w:rPr/>
        <w:t>报告期月份数；M</w:t>
      </w:r>
      <w:r>
        <w:rPr>
          <w:position w:val="-1"/>
          <w:sz w:val="12"/>
          <w:szCs w:val="12"/>
        </w:rPr>
        <w:t>i</w:t>
      </w:r>
      <w:r>
        <w:rPr>
          <w:spacing w:val="-36"/>
          <w:position w:val="-1"/>
          <w:sz w:val="12"/>
          <w:szCs w:val="12"/>
        </w:rPr>
        <w:t> </w:t>
      </w:r>
      <w:r>
        <w:rPr/>
        <w:t>为增加股份下一月份起</w:t>
      </w:r>
      <w:r>
        <w:rPr>
          <w:spacing w:val="-2"/>
          <w:w w:val="100"/>
        </w:rPr>
        <w:t> </w:t>
      </w:r>
      <w:r>
        <w:rPr>
          <w:spacing w:val="-2"/>
        </w:rPr>
        <w:t>至报告期期末的月份数；M</w:t>
      </w:r>
      <w:r>
        <w:rPr>
          <w:spacing w:val="-2"/>
          <w:position w:val="-1"/>
          <w:sz w:val="12"/>
          <w:szCs w:val="12"/>
        </w:rPr>
        <w:t>j</w:t>
      </w:r>
      <w:r>
        <w:rPr>
          <w:spacing w:val="9"/>
          <w:position w:val="-1"/>
          <w:sz w:val="12"/>
          <w:szCs w:val="12"/>
        </w:rPr>
        <w:t> </w:t>
      </w:r>
      <w:r>
        <w:rPr>
          <w:spacing w:val="-2"/>
        </w:rPr>
        <w:t>为减少股份下一月份起至报告期期末的月份数。</w:t>
      </w:r>
      <w:r>
        <w:rPr/>
      </w:r>
    </w:p>
    <w:p>
      <w:pPr>
        <w:pStyle w:val="Heading3"/>
        <w:spacing w:line="369" w:lineRule="exact"/>
        <w:ind w:left="619" w:right="0"/>
        <w:jc w:val="left"/>
        <w:rPr>
          <w:b w:val="0"/>
          <w:bCs w:val="0"/>
        </w:rPr>
      </w:pPr>
      <w:r>
        <w:rPr/>
        <w:t>40、收到其它与经营活动有关的现金</w:t>
      </w:r>
      <w:r>
        <w:rPr>
          <w:b w:val="0"/>
          <w:bCs w:val="0"/>
        </w:rPr>
      </w:r>
    </w:p>
    <w:p>
      <w:pPr>
        <w:pStyle w:val="BodyText"/>
        <w:spacing w:line="240" w:lineRule="auto" w:before="99"/>
        <w:ind w:left="677" w:right="0"/>
        <w:jc w:val="left"/>
      </w:pPr>
      <w:r>
        <w:rPr/>
        <w:t>本公司“收到其它与经营活动有关的现金”中价值较大的项目列示如下：</w:t>
      </w:r>
    </w:p>
    <w:p>
      <w:pPr>
        <w:spacing w:after="0" w:line="240" w:lineRule="auto"/>
        <w:jc w:val="left"/>
        <w:sectPr>
          <w:headerReference w:type="default" r:id="rId55"/>
          <w:footerReference w:type="default" r:id="rId56"/>
          <w:pgSz w:w="11910" w:h="16840"/>
          <w:pgMar w:header="840" w:footer="1712" w:top="1160" w:bottom="1900" w:left="1660" w:right="1640"/>
          <w:pgNumType w:start="120"/>
        </w:sectPr>
      </w:pPr>
    </w:p>
    <w:p>
      <w:pPr>
        <w:spacing w:line="240" w:lineRule="auto" w:before="1"/>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994"/>
        <w:gridCol w:w="507"/>
        <w:gridCol w:w="2470"/>
        <w:gridCol w:w="507"/>
        <w:gridCol w:w="2470"/>
      </w:tblGrid>
      <w:tr>
        <w:trPr>
          <w:trHeight w:val="365" w:hRule="exact"/>
        </w:trPr>
        <w:tc>
          <w:tcPr>
            <w:tcW w:w="2994"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14"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13"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16"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80" w:hRule="exact"/>
        </w:trPr>
        <w:tc>
          <w:tcPr>
            <w:tcW w:w="2994" w:type="dxa"/>
            <w:tcBorders>
              <w:top w:val="single" w:sz="8" w:space="0" w:color="000000"/>
              <w:left w:val="nil" w:sz="6" w:space="0" w:color="auto"/>
              <w:bottom w:val="nil" w:sz="6" w:space="0" w:color="auto"/>
              <w:right w:val="nil" w:sz="6" w:space="0" w:color="auto"/>
            </w:tcBorders>
          </w:tcPr>
          <w:p>
            <w:pPr>
              <w:pStyle w:val="TableParagraph"/>
              <w:spacing w:line="240" w:lineRule="auto" w:before="43"/>
              <w:ind w:left="33" w:right="0"/>
              <w:jc w:val="left"/>
              <w:rPr>
                <w:rFonts w:ascii="宋体" w:hAnsi="宋体" w:cs="宋体" w:eastAsia="宋体" w:hint="default"/>
                <w:sz w:val="18"/>
                <w:szCs w:val="18"/>
              </w:rPr>
            </w:pPr>
            <w:r>
              <w:rPr>
                <w:rFonts w:ascii="宋体" w:hAnsi="宋体" w:cs="宋体" w:eastAsia="宋体" w:hint="default"/>
                <w:sz w:val="18"/>
                <w:szCs w:val="18"/>
              </w:rPr>
              <w:t>收押金</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right="80"/>
              <w:jc w:val="right"/>
              <w:rPr>
                <w:rFonts w:ascii="Times New Roman" w:hAnsi="Times New Roman" w:cs="Times New Roman" w:eastAsia="Times New Roman" w:hint="default"/>
                <w:sz w:val="18"/>
                <w:szCs w:val="18"/>
              </w:rPr>
            </w:pPr>
            <w:r>
              <w:rPr>
                <w:rFonts w:ascii="Times New Roman"/>
                <w:sz w:val="18"/>
              </w:rPr>
              <w:t>100,000.00</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right="81"/>
              <w:jc w:val="right"/>
              <w:rPr>
                <w:rFonts w:ascii="Times New Roman" w:hAnsi="Times New Roman" w:cs="Times New Roman" w:eastAsia="Times New Roman" w:hint="default"/>
                <w:sz w:val="18"/>
                <w:szCs w:val="18"/>
              </w:rPr>
            </w:pPr>
            <w:r>
              <w:rPr>
                <w:rFonts w:ascii="Times New Roman"/>
                <w:w w:val="95"/>
                <w:sz w:val="18"/>
              </w:rPr>
              <w:t>74,200.00</w:t>
            </w:r>
            <w:r>
              <w:rPr>
                <w:rFonts w:ascii="Times New Roman"/>
                <w:sz w:val="18"/>
              </w:rPr>
            </w:r>
          </w:p>
        </w:tc>
      </w:tr>
      <w:tr>
        <w:trPr>
          <w:trHeight w:val="369"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3" w:right="0"/>
              <w:jc w:val="left"/>
              <w:rPr>
                <w:rFonts w:ascii="宋体" w:hAnsi="宋体" w:cs="宋体" w:eastAsia="宋体" w:hint="default"/>
                <w:sz w:val="18"/>
                <w:szCs w:val="18"/>
              </w:rPr>
            </w:pPr>
            <w:r>
              <w:rPr>
                <w:rFonts w:ascii="宋体" w:hAnsi="宋体" w:cs="宋体" w:eastAsia="宋体" w:hint="default"/>
                <w:sz w:val="18"/>
                <w:szCs w:val="18"/>
              </w:rPr>
              <w:t>收招标保证金</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0"/>
              <w:jc w:val="right"/>
              <w:rPr>
                <w:rFonts w:ascii="Times New Roman" w:hAnsi="Times New Roman" w:cs="Times New Roman" w:eastAsia="Times New Roman" w:hint="default"/>
                <w:sz w:val="18"/>
                <w:szCs w:val="18"/>
              </w:rPr>
            </w:pPr>
            <w:r>
              <w:rPr>
                <w:rFonts w:ascii="Times New Roman"/>
                <w:sz w:val="18"/>
              </w:rPr>
              <w:t>277,544.94</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2"/>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369"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3" w:right="0"/>
              <w:jc w:val="left"/>
              <w:rPr>
                <w:rFonts w:ascii="宋体" w:hAnsi="宋体" w:cs="宋体" w:eastAsia="宋体" w:hint="default"/>
                <w:sz w:val="18"/>
                <w:szCs w:val="18"/>
              </w:rPr>
            </w:pPr>
            <w:r>
              <w:rPr>
                <w:rFonts w:ascii="宋体" w:hAnsi="宋体" w:cs="宋体" w:eastAsia="宋体" w:hint="default"/>
                <w:sz w:val="18"/>
                <w:szCs w:val="18"/>
              </w:rPr>
              <w:t>收回违约金、罚款</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0"/>
              <w:jc w:val="right"/>
              <w:rPr>
                <w:rFonts w:ascii="Times New Roman" w:hAnsi="Times New Roman" w:cs="Times New Roman" w:eastAsia="Times New Roman" w:hint="default"/>
                <w:sz w:val="18"/>
                <w:szCs w:val="18"/>
              </w:rPr>
            </w:pPr>
            <w:r>
              <w:rPr>
                <w:rFonts w:ascii="Times New Roman"/>
                <w:sz w:val="18"/>
              </w:rPr>
              <w:t>78,112.03</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1"/>
              <w:jc w:val="right"/>
              <w:rPr>
                <w:rFonts w:ascii="Times New Roman" w:hAnsi="Times New Roman" w:cs="Times New Roman" w:eastAsia="Times New Roman" w:hint="default"/>
                <w:sz w:val="18"/>
                <w:szCs w:val="18"/>
              </w:rPr>
            </w:pPr>
            <w:r>
              <w:rPr>
                <w:rFonts w:ascii="Times New Roman"/>
                <w:w w:val="95"/>
                <w:sz w:val="18"/>
              </w:rPr>
              <w:t>65,208.24</w:t>
            </w:r>
            <w:r>
              <w:rPr>
                <w:rFonts w:ascii="Times New Roman"/>
                <w:sz w:val="18"/>
              </w:rPr>
            </w:r>
          </w:p>
        </w:tc>
      </w:tr>
      <w:tr>
        <w:trPr>
          <w:trHeight w:val="369"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3" w:right="0"/>
              <w:jc w:val="left"/>
              <w:rPr>
                <w:rFonts w:ascii="宋体" w:hAnsi="宋体" w:cs="宋体" w:eastAsia="宋体" w:hint="default"/>
                <w:sz w:val="18"/>
                <w:szCs w:val="18"/>
              </w:rPr>
            </w:pPr>
            <w:r>
              <w:rPr>
                <w:rFonts w:ascii="宋体" w:hAnsi="宋体" w:cs="宋体" w:eastAsia="宋体" w:hint="default"/>
                <w:sz w:val="18"/>
                <w:szCs w:val="18"/>
              </w:rPr>
              <w:t>收保险公司赔款</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2"/>
              <w:jc w:val="right"/>
              <w:rPr>
                <w:rFonts w:ascii="Times New Roman" w:hAnsi="Times New Roman" w:cs="Times New Roman" w:eastAsia="Times New Roman" w:hint="default"/>
                <w:sz w:val="18"/>
                <w:szCs w:val="18"/>
              </w:rPr>
            </w:pPr>
            <w:r>
              <w:rPr>
                <w:rFonts w:ascii="Times New Roman"/>
                <w:spacing w:val="-1"/>
                <w:sz w:val="18"/>
              </w:rPr>
              <w:t>149,654.16</w:t>
            </w:r>
          </w:p>
        </w:tc>
      </w:tr>
      <w:tr>
        <w:trPr>
          <w:trHeight w:val="369"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3" w:right="0"/>
              <w:jc w:val="left"/>
              <w:rPr>
                <w:rFonts w:ascii="宋体" w:hAnsi="宋体" w:cs="宋体" w:eastAsia="宋体" w:hint="default"/>
                <w:sz w:val="18"/>
                <w:szCs w:val="18"/>
              </w:rPr>
            </w:pPr>
            <w:r>
              <w:rPr>
                <w:rFonts w:ascii="宋体" w:hAnsi="宋体" w:cs="宋体" w:eastAsia="宋体" w:hint="default"/>
                <w:sz w:val="18"/>
                <w:szCs w:val="18"/>
              </w:rPr>
              <w:t>收回保证金利息</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2"/>
              <w:jc w:val="right"/>
              <w:rPr>
                <w:rFonts w:ascii="Times New Roman" w:hAnsi="Times New Roman" w:cs="Times New Roman" w:eastAsia="Times New Roman" w:hint="default"/>
                <w:sz w:val="18"/>
                <w:szCs w:val="18"/>
              </w:rPr>
            </w:pPr>
            <w:r>
              <w:rPr>
                <w:rFonts w:ascii="Times New Roman"/>
                <w:spacing w:val="-1"/>
                <w:sz w:val="18"/>
              </w:rPr>
              <w:t>343,102.71</w:t>
            </w:r>
          </w:p>
        </w:tc>
      </w:tr>
      <w:tr>
        <w:trPr>
          <w:trHeight w:val="369"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3"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2"/>
              <w:jc w:val="right"/>
              <w:rPr>
                <w:rFonts w:ascii="Times New Roman" w:hAnsi="Times New Roman" w:cs="Times New Roman" w:eastAsia="Times New Roman" w:hint="default"/>
                <w:sz w:val="18"/>
                <w:szCs w:val="18"/>
              </w:rPr>
            </w:pPr>
            <w:r>
              <w:rPr>
                <w:rFonts w:ascii="Times New Roman"/>
                <w:spacing w:val="-1"/>
                <w:sz w:val="18"/>
              </w:rPr>
              <w:t>444,231.66</w:t>
            </w:r>
          </w:p>
        </w:tc>
      </w:tr>
      <w:tr>
        <w:trPr>
          <w:trHeight w:val="369"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3" w:right="0"/>
              <w:jc w:val="left"/>
              <w:rPr>
                <w:rFonts w:ascii="宋体" w:hAnsi="宋体" w:cs="宋体" w:eastAsia="宋体" w:hint="default"/>
                <w:sz w:val="18"/>
                <w:szCs w:val="18"/>
              </w:rPr>
            </w:pPr>
            <w:r>
              <w:rPr>
                <w:rFonts w:ascii="宋体" w:hAnsi="宋体" w:cs="宋体" w:eastAsia="宋体" w:hint="default"/>
                <w:sz w:val="18"/>
                <w:szCs w:val="18"/>
              </w:rPr>
              <w:t>收到的利息</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0"/>
              <w:jc w:val="right"/>
              <w:rPr>
                <w:rFonts w:ascii="Times New Roman" w:hAnsi="Times New Roman" w:cs="Times New Roman" w:eastAsia="Times New Roman" w:hint="default"/>
                <w:sz w:val="18"/>
                <w:szCs w:val="18"/>
              </w:rPr>
            </w:pPr>
            <w:r>
              <w:rPr>
                <w:rFonts w:ascii="Times New Roman"/>
                <w:sz w:val="18"/>
              </w:rPr>
              <w:t>1,423,476.89</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9"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3"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2"/>
              <w:jc w:val="right"/>
              <w:rPr>
                <w:rFonts w:ascii="Times New Roman" w:hAnsi="Times New Roman" w:cs="Times New Roman" w:eastAsia="Times New Roman" w:hint="default"/>
                <w:sz w:val="18"/>
                <w:szCs w:val="18"/>
              </w:rPr>
            </w:pPr>
            <w:r>
              <w:rPr>
                <w:rFonts w:ascii="Times New Roman"/>
                <w:sz w:val="18"/>
              </w:rPr>
              <w:t>929,449.41</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9"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3"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2"/>
              <w:jc w:val="right"/>
              <w:rPr>
                <w:rFonts w:ascii="Times New Roman" w:hAnsi="Times New Roman" w:cs="Times New Roman" w:eastAsia="Times New Roman" w:hint="default"/>
                <w:sz w:val="18"/>
                <w:szCs w:val="18"/>
              </w:rPr>
            </w:pPr>
            <w:r>
              <w:rPr>
                <w:rFonts w:ascii="Times New Roman"/>
                <w:sz w:val="18"/>
              </w:rPr>
              <w:t>908,261.50</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8"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3" w:right="0"/>
              <w:jc w:val="left"/>
              <w:rPr>
                <w:rFonts w:ascii="宋体" w:hAnsi="宋体" w:cs="宋体" w:eastAsia="宋体" w:hint="default"/>
                <w:sz w:val="18"/>
                <w:szCs w:val="18"/>
              </w:rPr>
            </w:pPr>
            <w:r>
              <w:rPr>
                <w:rFonts w:ascii="宋体" w:hAnsi="宋体" w:cs="宋体" w:eastAsia="宋体" w:hint="default"/>
                <w:sz w:val="18"/>
                <w:szCs w:val="18"/>
              </w:rPr>
              <w:t>收到的政府奖励</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2"/>
              <w:jc w:val="right"/>
              <w:rPr>
                <w:rFonts w:ascii="Times New Roman" w:hAnsi="Times New Roman" w:cs="Times New Roman" w:eastAsia="Times New Roman" w:hint="default"/>
                <w:sz w:val="18"/>
                <w:szCs w:val="18"/>
              </w:rPr>
            </w:pPr>
            <w:r>
              <w:rPr>
                <w:rFonts w:ascii="Times New Roman"/>
                <w:sz w:val="18"/>
              </w:rPr>
              <w:t>200,000.00</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9"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3" w:right="0"/>
              <w:jc w:val="left"/>
              <w:rPr>
                <w:rFonts w:ascii="宋体" w:hAnsi="宋体" w:cs="宋体" w:eastAsia="宋体" w:hint="default"/>
                <w:sz w:val="18"/>
                <w:szCs w:val="18"/>
              </w:rPr>
            </w:pPr>
            <w:r>
              <w:rPr>
                <w:rFonts w:ascii="宋体" w:hAnsi="宋体" w:cs="宋体" w:eastAsia="宋体" w:hint="default"/>
                <w:sz w:val="18"/>
                <w:szCs w:val="18"/>
              </w:rPr>
              <w:t>员工交回备用金</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2"/>
              <w:jc w:val="right"/>
              <w:rPr>
                <w:rFonts w:ascii="Times New Roman" w:hAnsi="Times New Roman" w:cs="Times New Roman" w:eastAsia="Times New Roman" w:hint="default"/>
                <w:sz w:val="18"/>
                <w:szCs w:val="18"/>
              </w:rPr>
            </w:pPr>
            <w:r>
              <w:rPr>
                <w:rFonts w:ascii="Times New Roman"/>
                <w:sz w:val="18"/>
              </w:rPr>
              <w:t>112,031.95</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9"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3" w:right="0"/>
              <w:jc w:val="left"/>
              <w:rPr>
                <w:rFonts w:ascii="宋体" w:hAnsi="宋体" w:cs="宋体" w:eastAsia="宋体" w:hint="default"/>
                <w:sz w:val="18"/>
                <w:szCs w:val="18"/>
              </w:rPr>
            </w:pPr>
            <w:r>
              <w:rPr>
                <w:rFonts w:ascii="宋体" w:hAnsi="宋体" w:cs="宋体" w:eastAsia="宋体" w:hint="default"/>
                <w:sz w:val="18"/>
                <w:szCs w:val="18"/>
              </w:rPr>
              <w:t>收家具公司退回款</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0"/>
              <w:jc w:val="right"/>
              <w:rPr>
                <w:rFonts w:ascii="Times New Roman" w:hAnsi="Times New Roman" w:cs="Times New Roman" w:eastAsia="Times New Roman" w:hint="default"/>
                <w:sz w:val="18"/>
                <w:szCs w:val="18"/>
              </w:rPr>
            </w:pPr>
            <w:r>
              <w:rPr>
                <w:rFonts w:ascii="Times New Roman"/>
                <w:sz w:val="18"/>
              </w:rPr>
              <w:t>28,062.00</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9"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3" w:right="0"/>
              <w:jc w:val="left"/>
              <w:rPr>
                <w:rFonts w:ascii="宋体" w:hAnsi="宋体" w:cs="宋体" w:eastAsia="宋体" w:hint="default"/>
                <w:sz w:val="18"/>
                <w:szCs w:val="18"/>
              </w:rPr>
            </w:pPr>
            <w:r>
              <w:rPr>
                <w:rFonts w:ascii="宋体" w:hAnsi="宋体" w:cs="宋体" w:eastAsia="宋体" w:hint="default"/>
                <w:sz w:val="18"/>
                <w:szCs w:val="18"/>
              </w:rPr>
              <w:t>废品款</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0"/>
              <w:jc w:val="right"/>
              <w:rPr>
                <w:rFonts w:ascii="Times New Roman" w:hAnsi="Times New Roman" w:cs="Times New Roman" w:eastAsia="Times New Roman" w:hint="default"/>
                <w:sz w:val="18"/>
                <w:szCs w:val="18"/>
              </w:rPr>
            </w:pPr>
            <w:r>
              <w:rPr>
                <w:rFonts w:ascii="Times New Roman"/>
                <w:sz w:val="18"/>
              </w:rPr>
              <w:t>12,265.70</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8"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3" w:right="0"/>
              <w:jc w:val="left"/>
              <w:rPr>
                <w:rFonts w:ascii="宋体" w:hAnsi="宋体" w:cs="宋体" w:eastAsia="宋体" w:hint="default"/>
                <w:sz w:val="18"/>
                <w:szCs w:val="18"/>
              </w:rPr>
            </w:pPr>
            <w:r>
              <w:rPr>
                <w:rFonts w:ascii="宋体" w:hAnsi="宋体" w:cs="宋体" w:eastAsia="宋体" w:hint="default"/>
                <w:sz w:val="18"/>
                <w:szCs w:val="18"/>
              </w:rPr>
              <w:t>2006年度残疾人康复经费</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80"/>
              <w:jc w:val="right"/>
              <w:rPr>
                <w:rFonts w:ascii="Times New Roman" w:hAnsi="Times New Roman" w:cs="Times New Roman" w:eastAsia="Times New Roman" w:hint="default"/>
                <w:sz w:val="18"/>
                <w:szCs w:val="18"/>
              </w:rPr>
            </w:pPr>
            <w:r>
              <w:rPr>
                <w:rFonts w:ascii="Times New Roman"/>
                <w:sz w:val="18"/>
              </w:rPr>
              <w:t>10,500.00</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2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4"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47"/>
                <w:sz w:val="18"/>
                <w:szCs w:val="18"/>
              </w:rPr>
              <w:t> </w:t>
            </w:r>
            <w:r>
              <w:rPr>
                <w:rFonts w:ascii="宋体" w:hAnsi="宋体" w:cs="宋体" w:eastAsia="宋体" w:hint="default"/>
                <w:sz w:val="18"/>
                <w:szCs w:val="18"/>
              </w:rPr>
              <w:t>计</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81"/>
              <w:jc w:val="right"/>
              <w:rPr>
                <w:rFonts w:ascii="Times New Roman" w:hAnsi="Times New Roman" w:cs="Times New Roman" w:eastAsia="Times New Roman" w:hint="default"/>
                <w:sz w:val="18"/>
                <w:szCs w:val="18"/>
              </w:rPr>
            </w:pPr>
            <w:r>
              <w:rPr>
                <w:rFonts w:ascii="Times New Roman"/>
                <w:sz w:val="18"/>
              </w:rPr>
              <w:t>4,079,704.42</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single" w:sz="8" w:space="0" w:color="000000"/>
              <w:left w:val="nil" w:sz="6" w:space="0" w:color="auto"/>
              <w:bottom w:val="single" w:sz="8" w:space="0" w:color="000000"/>
              <w:right w:val="nil" w:sz="6" w:space="0" w:color="auto"/>
            </w:tcBorders>
          </w:tcPr>
          <w:p>
            <w:pPr>
              <w:pStyle w:val="TableParagraph"/>
              <w:spacing w:line="240" w:lineRule="auto" w:before="77"/>
              <w:ind w:right="82"/>
              <w:jc w:val="right"/>
              <w:rPr>
                <w:rFonts w:ascii="Times New Roman" w:hAnsi="Times New Roman" w:cs="Times New Roman" w:eastAsia="Times New Roman" w:hint="default"/>
                <w:sz w:val="18"/>
                <w:szCs w:val="18"/>
              </w:rPr>
            </w:pPr>
            <w:r>
              <w:rPr>
                <w:rFonts w:ascii="Times New Roman"/>
                <w:spacing w:val="-1"/>
                <w:sz w:val="18"/>
              </w:rPr>
              <w:t>1,276,396.77</w:t>
            </w:r>
          </w:p>
        </w:tc>
      </w:tr>
    </w:tbl>
    <w:p>
      <w:pPr>
        <w:tabs>
          <w:tab w:pos="6617" w:val="left" w:leader="none"/>
        </w:tabs>
        <w:spacing w:line="20" w:lineRule="exact"/>
        <w:ind w:left="3640" w:right="0" w:firstLine="0"/>
        <w:rPr>
          <w:rFonts w:ascii="宋体" w:hAnsi="宋体" w:cs="宋体" w:eastAsia="宋体" w:hint="default"/>
          <w:sz w:val="2"/>
          <w:szCs w:val="2"/>
        </w:rPr>
      </w:pPr>
      <w:r>
        <w:rPr>
          <w:rFonts w:ascii="宋体"/>
          <w:sz w:val="2"/>
        </w:rPr>
        <w:pict>
          <v:group style="width:124.45pt;height:1pt;mso-position-horizontal-relative:char;mso-position-vertical-relative:line" coordorigin="0,0" coordsize="2489,20">
            <v:group style="position:absolute;left:10;top:10;width:2470;height:2" coordorigin="10,10" coordsize="2470,2">
              <v:shape style="position:absolute;left:10;top:10;width:2470;height:2" coordorigin="10,10" coordsize="2470,0" path="m10,10l2479,10e" filled="false" stroked="true" strokeweight=".95999pt" strokecolor="#000000">
                <v:path arrowok="t"/>
              </v:shape>
            </v:group>
          </v:group>
        </w:pict>
      </w:r>
      <w:r>
        <w:rPr>
          <w:rFonts w:ascii="宋体"/>
          <w:sz w:val="2"/>
        </w:rPr>
      </w:r>
      <w:r>
        <w:rPr>
          <w:rFonts w:ascii="宋体"/>
          <w:sz w:val="2"/>
        </w:rPr>
        <w:tab/>
      </w:r>
      <w:r>
        <w:rPr>
          <w:rFonts w:ascii="宋体"/>
          <w:sz w:val="2"/>
        </w:rPr>
        <w:pict>
          <v:group style="width:124.45pt;height:1pt;mso-position-horizontal-relative:char;mso-position-vertical-relative:line" coordorigin="0,0" coordsize="2489,20">
            <v:group style="position:absolute;left:10;top:10;width:2470;height:2" coordorigin="10,10" coordsize="2470,2">
              <v:shape style="position:absolute;left:10;top:10;width:2470;height:2" coordorigin="10,10" coordsize="2470,0" path="m10,10l2479,10e" filled="false" stroked="true" strokeweight=".95999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368" w:lineRule="exact"/>
        <w:ind w:right="388"/>
        <w:jc w:val="left"/>
        <w:rPr>
          <w:b w:val="0"/>
          <w:bCs w:val="0"/>
        </w:rPr>
      </w:pPr>
      <w:r>
        <w:rPr/>
        <w:t>41、支付其它与经营活动有关的现金</w:t>
      </w:r>
      <w:r>
        <w:rPr>
          <w:b w:val="0"/>
          <w:bCs w:val="0"/>
        </w:rPr>
      </w:r>
    </w:p>
    <w:p>
      <w:pPr>
        <w:pStyle w:val="BodyText"/>
        <w:spacing w:line="240" w:lineRule="auto" w:before="98"/>
        <w:ind w:left="617" w:right="388"/>
        <w:jc w:val="left"/>
      </w:pPr>
      <w:r>
        <w:rPr/>
        <w:t>本公司“支付其它与经营活动有关的现金”中价值较大的项目列示如下：</w:t>
      </w:r>
    </w:p>
    <w:p>
      <w:pPr>
        <w:spacing w:after="0" w:line="240" w:lineRule="auto"/>
        <w:jc w:val="left"/>
        <w:sectPr>
          <w:pgSz w:w="11910" w:h="16840"/>
          <w:pgMar w:header="840" w:footer="1712" w:top="1160" w:bottom="1900" w:left="1660" w:right="1020"/>
        </w:sectPr>
      </w:pPr>
    </w:p>
    <w:p>
      <w:pPr>
        <w:spacing w:line="240" w:lineRule="auto" w:before="1"/>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531"/>
        <w:gridCol w:w="1463"/>
        <w:gridCol w:w="507"/>
        <w:gridCol w:w="2470"/>
        <w:gridCol w:w="507"/>
        <w:gridCol w:w="2470"/>
      </w:tblGrid>
      <w:tr>
        <w:trPr>
          <w:trHeight w:val="365" w:hRule="exact"/>
        </w:trPr>
        <w:tc>
          <w:tcPr>
            <w:tcW w:w="1531"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right="116"/>
              <w:jc w:val="right"/>
              <w:rPr>
                <w:rFonts w:ascii="宋体" w:hAnsi="宋体" w:cs="宋体" w:eastAsia="宋体" w:hint="default"/>
                <w:sz w:val="18"/>
                <w:szCs w:val="18"/>
              </w:rPr>
            </w:pPr>
            <w:r>
              <w:rPr>
                <w:rFonts w:ascii="宋体" w:hAnsi="宋体" w:cs="宋体" w:eastAsia="宋体" w:hint="default"/>
                <w:w w:val="99"/>
                <w:sz w:val="18"/>
                <w:szCs w:val="18"/>
              </w:rPr>
              <w:t>项</w:t>
            </w:r>
            <w:r>
              <w:rPr>
                <w:rFonts w:ascii="宋体" w:hAnsi="宋体" w:cs="宋体" w:eastAsia="宋体" w:hint="default"/>
                <w:sz w:val="18"/>
                <w:szCs w:val="18"/>
              </w:rPr>
            </w:r>
          </w:p>
        </w:tc>
        <w:tc>
          <w:tcPr>
            <w:tcW w:w="1463"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65" w:right="0"/>
              <w:jc w:val="left"/>
              <w:rPr>
                <w:rFonts w:ascii="宋体" w:hAnsi="宋体" w:cs="宋体" w:eastAsia="宋体" w:hint="default"/>
                <w:sz w:val="18"/>
                <w:szCs w:val="18"/>
              </w:rPr>
            </w:pPr>
            <w:r>
              <w:rPr>
                <w:rFonts w:ascii="宋体" w:hAnsi="宋体" w:cs="宋体" w:eastAsia="宋体" w:hint="default"/>
                <w:w w:val="99"/>
                <w:sz w:val="18"/>
                <w:szCs w:val="18"/>
              </w:rPr>
              <w:t>目</w:t>
            </w:r>
            <w:r>
              <w:rPr>
                <w:rFonts w:ascii="宋体" w:hAnsi="宋体" w:cs="宋体" w:eastAsia="宋体" w:hint="default"/>
                <w:sz w:val="18"/>
                <w:szCs w:val="18"/>
              </w:rPr>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13"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16"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95" w:hRule="exact"/>
        </w:trPr>
        <w:tc>
          <w:tcPr>
            <w:tcW w:w="1531" w:type="dxa"/>
            <w:tcBorders>
              <w:top w:val="single" w:sz="8" w:space="0" w:color="000000"/>
              <w:left w:val="nil" w:sz="6" w:space="0" w:color="auto"/>
              <w:bottom w:val="nil" w:sz="6" w:space="0" w:color="auto"/>
              <w:right w:val="nil" w:sz="6" w:space="0" w:color="auto"/>
            </w:tcBorders>
          </w:tcPr>
          <w:p>
            <w:pPr>
              <w:pStyle w:val="TableParagraph"/>
              <w:spacing w:line="240" w:lineRule="auto" w:before="50"/>
              <w:ind w:left="33" w:right="0"/>
              <w:jc w:val="left"/>
              <w:rPr>
                <w:rFonts w:ascii="宋体" w:hAnsi="宋体" w:cs="宋体" w:eastAsia="宋体" w:hint="default"/>
                <w:sz w:val="18"/>
                <w:szCs w:val="18"/>
              </w:rPr>
            </w:pPr>
            <w:r>
              <w:rPr>
                <w:rFonts w:ascii="宋体" w:hAnsi="宋体" w:cs="宋体" w:eastAsia="宋体" w:hint="default"/>
                <w:sz w:val="18"/>
                <w:szCs w:val="18"/>
              </w:rPr>
              <w:t>支付的运费</w:t>
            </w:r>
          </w:p>
        </w:tc>
        <w:tc>
          <w:tcPr>
            <w:tcW w:w="1463" w:type="dxa"/>
            <w:tcBorders>
              <w:top w:val="single" w:sz="8" w:space="0" w:color="000000"/>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80"/>
              <w:jc w:val="right"/>
              <w:rPr>
                <w:rFonts w:ascii="Times New Roman" w:hAnsi="Times New Roman" w:cs="Times New Roman" w:eastAsia="Times New Roman" w:hint="default"/>
                <w:sz w:val="18"/>
                <w:szCs w:val="18"/>
              </w:rPr>
            </w:pPr>
            <w:r>
              <w:rPr>
                <w:rFonts w:ascii="Times New Roman"/>
                <w:sz w:val="18"/>
              </w:rPr>
              <w:t>14,372,391.32</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right="37"/>
              <w:jc w:val="right"/>
              <w:rPr>
                <w:rFonts w:ascii="Times New Roman" w:hAnsi="Times New Roman" w:cs="Times New Roman" w:eastAsia="Times New Roman" w:hint="default"/>
                <w:sz w:val="18"/>
                <w:szCs w:val="18"/>
              </w:rPr>
            </w:pPr>
            <w:r>
              <w:rPr>
                <w:rFonts w:ascii="Times New Roman"/>
                <w:w w:val="95"/>
                <w:sz w:val="18"/>
              </w:rPr>
              <w:t>10,639,634.77</w:t>
            </w:r>
            <w:r>
              <w:rPr>
                <w:rFonts w:ascii="Times New Roman"/>
                <w:sz w:val="18"/>
              </w:rPr>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支付的办公费</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7,846,492.34</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8"/>
              <w:jc w:val="right"/>
              <w:rPr>
                <w:rFonts w:ascii="Times New Roman" w:hAnsi="Times New Roman" w:cs="Times New Roman" w:eastAsia="Times New Roman" w:hint="default"/>
                <w:sz w:val="18"/>
                <w:szCs w:val="18"/>
              </w:rPr>
            </w:pPr>
            <w:r>
              <w:rPr>
                <w:rFonts w:ascii="Times New Roman"/>
                <w:spacing w:val="-1"/>
                <w:sz w:val="18"/>
              </w:rPr>
              <w:t>8,422,258.69</w:t>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支付的差旅费用</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18"/>
                <w:szCs w:val="18"/>
              </w:rPr>
            </w:pPr>
            <w:r>
              <w:rPr>
                <w:rFonts w:ascii="Times New Roman"/>
                <w:sz w:val="18"/>
              </w:rPr>
              <w:t>7,427,722.05</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8"/>
              <w:jc w:val="right"/>
              <w:rPr>
                <w:rFonts w:ascii="Times New Roman" w:hAnsi="Times New Roman" w:cs="Times New Roman" w:eastAsia="Times New Roman" w:hint="default"/>
                <w:sz w:val="18"/>
                <w:szCs w:val="18"/>
              </w:rPr>
            </w:pPr>
            <w:r>
              <w:rPr>
                <w:rFonts w:ascii="Times New Roman"/>
                <w:spacing w:val="-1"/>
                <w:sz w:val="18"/>
              </w:rPr>
              <w:t>6,384,210.85</w:t>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代上海纳华垫付款</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9"/>
              <w:jc w:val="right"/>
              <w:rPr>
                <w:rFonts w:ascii="Times New Roman" w:hAnsi="Times New Roman" w:cs="Times New Roman" w:eastAsia="Times New Roman" w:hint="default"/>
                <w:sz w:val="18"/>
                <w:szCs w:val="18"/>
              </w:rPr>
            </w:pPr>
            <w:r>
              <w:rPr>
                <w:rFonts w:ascii="Times New Roman"/>
                <w:spacing w:val="-1"/>
                <w:sz w:val="18"/>
              </w:rPr>
              <w:t>5,050,000.00</w:t>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支付的交际费用</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18"/>
                <w:szCs w:val="18"/>
              </w:rPr>
            </w:pPr>
            <w:r>
              <w:rPr>
                <w:rFonts w:ascii="Times New Roman"/>
                <w:sz w:val="18"/>
              </w:rPr>
              <w:t>6,732,452.03</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8"/>
              <w:jc w:val="right"/>
              <w:rPr>
                <w:rFonts w:ascii="Times New Roman" w:hAnsi="Times New Roman" w:cs="Times New Roman" w:eastAsia="Times New Roman" w:hint="default"/>
                <w:sz w:val="18"/>
                <w:szCs w:val="18"/>
              </w:rPr>
            </w:pPr>
            <w:r>
              <w:rPr>
                <w:rFonts w:ascii="Times New Roman"/>
                <w:spacing w:val="-1"/>
                <w:sz w:val="18"/>
              </w:rPr>
              <w:t>4,740,777.70</w:t>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支付的业务宣传费</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6,971,224.51</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8"/>
              <w:jc w:val="right"/>
              <w:rPr>
                <w:rFonts w:ascii="Times New Roman" w:hAnsi="Times New Roman" w:cs="Times New Roman" w:eastAsia="Times New Roman" w:hint="default"/>
                <w:sz w:val="18"/>
                <w:szCs w:val="18"/>
              </w:rPr>
            </w:pPr>
            <w:r>
              <w:rPr>
                <w:rFonts w:ascii="Times New Roman"/>
                <w:spacing w:val="-1"/>
                <w:sz w:val="18"/>
              </w:rPr>
              <w:t>2,110,095.91</w:t>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支付的备用金</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18"/>
                <w:szCs w:val="18"/>
              </w:rPr>
            </w:pPr>
            <w:r>
              <w:rPr>
                <w:rFonts w:ascii="Times New Roman"/>
                <w:sz w:val="18"/>
              </w:rPr>
              <w:t>2,752,688.95</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8"/>
              <w:jc w:val="right"/>
              <w:rPr>
                <w:rFonts w:ascii="Times New Roman" w:hAnsi="Times New Roman" w:cs="Times New Roman" w:eastAsia="Times New Roman" w:hint="default"/>
                <w:sz w:val="18"/>
                <w:szCs w:val="18"/>
              </w:rPr>
            </w:pPr>
            <w:r>
              <w:rPr>
                <w:rFonts w:ascii="Times New Roman"/>
                <w:spacing w:val="-1"/>
                <w:sz w:val="18"/>
              </w:rPr>
              <w:t>2,051,601.18</w:t>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支付的顾问费</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1,117,440.53</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8"/>
              <w:jc w:val="right"/>
              <w:rPr>
                <w:rFonts w:ascii="Times New Roman" w:hAnsi="Times New Roman" w:cs="Times New Roman" w:eastAsia="Times New Roman" w:hint="default"/>
                <w:sz w:val="18"/>
                <w:szCs w:val="18"/>
              </w:rPr>
            </w:pPr>
            <w:r>
              <w:rPr>
                <w:rFonts w:ascii="Times New Roman"/>
                <w:spacing w:val="-1"/>
                <w:sz w:val="18"/>
              </w:rPr>
              <w:t>1,050,944.00</w:t>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支付的租赁费用</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18"/>
                <w:szCs w:val="18"/>
              </w:rPr>
            </w:pPr>
            <w:r>
              <w:rPr>
                <w:rFonts w:ascii="Times New Roman"/>
                <w:sz w:val="18"/>
              </w:rPr>
              <w:t>1,411,533.85</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8"/>
              <w:jc w:val="right"/>
              <w:rPr>
                <w:rFonts w:ascii="Times New Roman" w:hAnsi="Times New Roman" w:cs="Times New Roman" w:eastAsia="Times New Roman" w:hint="default"/>
                <w:sz w:val="18"/>
                <w:szCs w:val="18"/>
              </w:rPr>
            </w:pPr>
            <w:r>
              <w:rPr>
                <w:rFonts w:ascii="Times New Roman"/>
                <w:spacing w:val="-1"/>
                <w:sz w:val="18"/>
              </w:rPr>
              <w:t>1,039,488.75</w:t>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758,000.00</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18"/>
                <w:szCs w:val="18"/>
              </w:rPr>
            </w:pPr>
            <w:r>
              <w:rPr>
                <w:rFonts w:ascii="Times New Roman"/>
                <w:sz w:val="18"/>
              </w:rPr>
              <w:t>662,319.00</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汽修费</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679,229.61</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支付的董事会费</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18"/>
                <w:szCs w:val="18"/>
              </w:rPr>
            </w:pPr>
            <w:r>
              <w:rPr>
                <w:rFonts w:ascii="Times New Roman"/>
                <w:sz w:val="18"/>
              </w:rPr>
              <w:t>304,761.88</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支付投标保证金</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1,128,185.00</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139,168.17</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质量赔款</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18"/>
                <w:szCs w:val="18"/>
              </w:rPr>
            </w:pPr>
            <w:r>
              <w:rPr>
                <w:rFonts w:ascii="Times New Roman"/>
                <w:sz w:val="18"/>
              </w:rPr>
              <w:t>138,293.10</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2,534,977.96</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代广州东港垫支款</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18"/>
                <w:szCs w:val="18"/>
              </w:rPr>
            </w:pPr>
            <w:r>
              <w:rPr>
                <w:rFonts w:ascii="Times New Roman"/>
                <w:sz w:val="18"/>
              </w:rPr>
              <w:t>2,902,314.78</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117,535.00</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食堂</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18"/>
                <w:szCs w:val="18"/>
              </w:rPr>
            </w:pPr>
            <w:r>
              <w:rPr>
                <w:rFonts w:ascii="Times New Roman"/>
                <w:sz w:val="18"/>
              </w:rPr>
              <w:t>485,536.28</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3"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395,015.09</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2"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3" w:right="0"/>
              <w:jc w:val="left"/>
              <w:rPr>
                <w:rFonts w:ascii="宋体" w:hAnsi="宋体" w:cs="宋体" w:eastAsia="宋体" w:hint="default"/>
                <w:sz w:val="18"/>
                <w:szCs w:val="18"/>
              </w:rPr>
            </w:pPr>
            <w:r>
              <w:rPr>
                <w:rFonts w:ascii="宋体" w:hAnsi="宋体" w:cs="宋体" w:eastAsia="宋体" w:hint="default"/>
                <w:sz w:val="18"/>
                <w:szCs w:val="18"/>
              </w:rPr>
              <w:t>付水电费</w:t>
            </w:r>
          </w:p>
        </w:tc>
        <w:tc>
          <w:tcPr>
            <w:tcW w:w="1463" w:type="dxa"/>
            <w:tcBorders>
              <w:top w:val="nil" w:sz="6" w:space="0" w:color="auto"/>
              <w:left w:val="nil" w:sz="6" w:space="0" w:color="auto"/>
              <w:bottom w:val="nil" w:sz="6" w:space="0" w:color="auto"/>
              <w:right w:val="nil" w:sz="6" w:space="0" w:color="auto"/>
            </w:tcBorders>
          </w:tcPr>
          <w:p>
            <w:pP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single" w:sz="8" w:space="0" w:color="000000"/>
              <w:right w:val="nil" w:sz="6" w:space="0" w:color="auto"/>
            </w:tcBorders>
          </w:tcPr>
          <w:p>
            <w:pPr>
              <w:pStyle w:val="TableParagraph"/>
              <w:spacing w:line="240" w:lineRule="auto" w:before="75"/>
              <w:ind w:right="80"/>
              <w:jc w:val="right"/>
              <w:rPr>
                <w:rFonts w:ascii="Times New Roman" w:hAnsi="Times New Roman" w:cs="Times New Roman" w:eastAsia="Times New Roman" w:hint="default"/>
                <w:sz w:val="18"/>
                <w:szCs w:val="18"/>
              </w:rPr>
            </w:pPr>
            <w:r>
              <w:rPr>
                <w:rFonts w:ascii="Times New Roman"/>
                <w:sz w:val="18"/>
              </w:rPr>
              <w:t>108,866.38</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single" w:sz="8" w:space="0" w:color="000000"/>
              <w:right w:val="nil" w:sz="6" w:space="0" w:color="auto"/>
            </w:tcBorders>
          </w:tcPr>
          <w:p>
            <w:pPr>
              <w:pStyle w:val="TableParagraph"/>
              <w:spacing w:line="240" w:lineRule="auto" w:before="75"/>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4"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4"/>
              <w:jc w:val="right"/>
              <w:rPr>
                <w:rFonts w:ascii="宋体" w:hAnsi="宋体" w:cs="宋体" w:eastAsia="宋体" w:hint="default"/>
                <w:sz w:val="18"/>
                <w:szCs w:val="18"/>
              </w:rPr>
            </w:pPr>
            <w:r>
              <w:rPr>
                <w:rFonts w:ascii="宋体" w:hAnsi="宋体" w:cs="宋体" w:eastAsia="宋体" w:hint="default"/>
                <w:w w:val="99"/>
                <w:sz w:val="18"/>
                <w:szCs w:val="18"/>
              </w:rPr>
              <w:t>合</w:t>
            </w:r>
            <w:r>
              <w:rPr>
                <w:rFonts w:ascii="宋体" w:hAnsi="宋体" w:cs="宋体" w:eastAsia="宋体" w:hint="default"/>
                <w:sz w:val="18"/>
                <w:szCs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1" w:right="0"/>
              <w:jc w:val="left"/>
              <w:rPr>
                <w:rFonts w:ascii="宋体" w:hAnsi="宋体" w:cs="宋体" w:eastAsia="宋体" w:hint="default"/>
                <w:sz w:val="18"/>
                <w:szCs w:val="18"/>
              </w:rPr>
            </w:pPr>
            <w:r>
              <w:rPr>
                <w:rFonts w:ascii="宋体" w:hAnsi="宋体" w:cs="宋体" w:eastAsia="宋体" w:hint="default"/>
                <w:w w:val="99"/>
                <w:sz w:val="18"/>
                <w:szCs w:val="18"/>
              </w:rPr>
              <w:t>计</w:t>
            </w:r>
            <w:r>
              <w:rPr>
                <w:rFonts w:ascii="宋体" w:hAnsi="宋体" w:cs="宋体" w:eastAsia="宋体" w:hint="default"/>
                <w:sz w:val="18"/>
                <w:szCs w:val="18"/>
              </w:rPr>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single" w:sz="8" w:space="0" w:color="000000"/>
              <w:left w:val="nil" w:sz="6" w:space="0" w:color="auto"/>
              <w:bottom w:val="single" w:sz="8" w:space="0" w:color="000000"/>
              <w:right w:val="nil" w:sz="6" w:space="0" w:color="auto"/>
            </w:tcBorders>
          </w:tcPr>
          <w:p>
            <w:pPr>
              <w:pStyle w:val="TableParagraph"/>
              <w:spacing w:line="240" w:lineRule="auto" w:before="76"/>
              <w:ind w:right="80"/>
              <w:jc w:val="right"/>
              <w:rPr>
                <w:rFonts w:ascii="Times New Roman" w:hAnsi="Times New Roman" w:cs="Times New Roman" w:eastAsia="Times New Roman" w:hint="default"/>
                <w:sz w:val="18"/>
                <w:szCs w:val="18"/>
              </w:rPr>
            </w:pPr>
            <w:r>
              <w:rPr>
                <w:rFonts w:ascii="Times New Roman"/>
                <w:sz w:val="18"/>
              </w:rPr>
              <w:t>58,986,147.83</w:t>
            </w:r>
          </w:p>
        </w:tc>
        <w:tc>
          <w:tcPr>
            <w:tcW w:w="507" w:type="dxa"/>
            <w:tcBorders>
              <w:top w:val="nil" w:sz="6" w:space="0" w:color="auto"/>
              <w:left w:val="nil" w:sz="6" w:space="0" w:color="auto"/>
              <w:bottom w:val="nil" w:sz="6" w:space="0" w:color="auto"/>
              <w:right w:val="nil" w:sz="6" w:space="0" w:color="auto"/>
            </w:tcBorders>
          </w:tcPr>
          <w:p>
            <w:pPr/>
          </w:p>
        </w:tc>
        <w:tc>
          <w:tcPr>
            <w:tcW w:w="2470" w:type="dxa"/>
            <w:tcBorders>
              <w:top w:val="single" w:sz="8" w:space="0" w:color="000000"/>
              <w:left w:val="nil" w:sz="6" w:space="0" w:color="auto"/>
              <w:bottom w:val="single" w:sz="8" w:space="0" w:color="000000"/>
              <w:right w:val="nil" w:sz="6" w:space="0" w:color="auto"/>
            </w:tcBorders>
          </w:tcPr>
          <w:p>
            <w:pPr>
              <w:pStyle w:val="TableParagraph"/>
              <w:spacing w:line="240" w:lineRule="auto" w:before="76"/>
              <w:ind w:right="82"/>
              <w:jc w:val="right"/>
              <w:rPr>
                <w:rFonts w:ascii="Times New Roman" w:hAnsi="Times New Roman" w:cs="Times New Roman" w:eastAsia="Times New Roman" w:hint="default"/>
                <w:sz w:val="18"/>
                <w:szCs w:val="18"/>
              </w:rPr>
            </w:pPr>
            <w:r>
              <w:rPr>
                <w:rFonts w:ascii="Times New Roman"/>
                <w:w w:val="95"/>
                <w:sz w:val="18"/>
              </w:rPr>
              <w:t>41,489,011.85</w:t>
            </w:r>
            <w:r>
              <w:rPr>
                <w:rFonts w:ascii="Times New Roman"/>
                <w:sz w:val="18"/>
              </w:rPr>
            </w:r>
          </w:p>
        </w:tc>
      </w:tr>
    </w:tbl>
    <w:p>
      <w:pPr>
        <w:tabs>
          <w:tab w:pos="6617" w:val="left" w:leader="none"/>
        </w:tabs>
        <w:spacing w:line="20" w:lineRule="exact"/>
        <w:ind w:left="3640" w:right="0" w:firstLine="0"/>
        <w:rPr>
          <w:rFonts w:ascii="宋体" w:hAnsi="宋体" w:cs="宋体" w:eastAsia="宋体" w:hint="default"/>
          <w:sz w:val="2"/>
          <w:szCs w:val="2"/>
        </w:rPr>
      </w:pPr>
      <w:r>
        <w:rPr>
          <w:rFonts w:ascii="宋体"/>
          <w:sz w:val="2"/>
        </w:rPr>
        <w:pict>
          <v:group style="width:124.45pt;height:1pt;mso-position-horizontal-relative:char;mso-position-vertical-relative:line" coordorigin="0,0" coordsize="2489,20">
            <v:group style="position:absolute;left:10;top:10;width:2470;height:2" coordorigin="10,10" coordsize="2470,2">
              <v:shape style="position:absolute;left:10;top:10;width:2470;height:2" coordorigin="10,10" coordsize="2470,0" path="m10,10l2479,10e" filled="false" stroked="true" strokeweight=".95999pt" strokecolor="#000000">
                <v:path arrowok="t"/>
              </v:shape>
            </v:group>
          </v:group>
        </w:pict>
      </w:r>
      <w:r>
        <w:rPr>
          <w:rFonts w:ascii="宋体"/>
          <w:sz w:val="2"/>
        </w:rPr>
      </w:r>
      <w:r>
        <w:rPr>
          <w:rFonts w:ascii="宋体"/>
          <w:sz w:val="2"/>
        </w:rPr>
        <w:tab/>
      </w:r>
      <w:r>
        <w:rPr>
          <w:rFonts w:ascii="宋体"/>
          <w:sz w:val="2"/>
        </w:rPr>
        <w:pict>
          <v:group style="width:124.45pt;height:1pt;mso-position-horizontal-relative:char;mso-position-vertical-relative:line" coordorigin="0,0" coordsize="2489,20">
            <v:group style="position:absolute;left:10;top:10;width:2470;height:2" coordorigin="10,10" coordsize="2470,2">
              <v:shape style="position:absolute;left:10;top:10;width:2470;height:2" coordorigin="10,10" coordsize="2470,0" path="m10,10l2479,10e" filled="false" stroked="true" strokeweight=".95999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3"/>
        <w:spacing w:line="368" w:lineRule="exact"/>
        <w:ind w:right="388"/>
        <w:jc w:val="left"/>
        <w:rPr>
          <w:b w:val="0"/>
          <w:bCs w:val="0"/>
        </w:rPr>
      </w:pPr>
      <w:r>
        <w:rPr/>
        <w:t>42、收到其它与投资活动有关的现金</w:t>
      </w:r>
      <w:r>
        <w:rPr>
          <w:b w:val="0"/>
          <w:bCs w:val="0"/>
        </w:rPr>
      </w:r>
    </w:p>
    <w:p>
      <w:pPr>
        <w:pStyle w:val="BodyText"/>
        <w:spacing w:line="240" w:lineRule="auto" w:before="99"/>
        <w:ind w:left="677" w:right="388"/>
        <w:jc w:val="left"/>
      </w:pPr>
      <w:r>
        <w:rPr/>
        <w:t>本公司“收到其它与投资活动有关的现金”中价值较大的项目列示如下：</w:t>
      </w:r>
    </w:p>
    <w:p>
      <w:pPr>
        <w:tabs>
          <w:tab w:pos="4573" w:val="left" w:leader="none"/>
          <w:tab w:pos="5082" w:val="left" w:leader="none"/>
          <w:tab w:pos="7551" w:val="left" w:leader="none"/>
          <w:tab w:pos="8773" w:val="left" w:leader="none"/>
        </w:tabs>
        <w:spacing w:line="381" w:lineRule="auto" w:before="124"/>
        <w:ind w:left="182" w:right="388" w:firstLine="1198"/>
        <w:jc w:val="left"/>
        <w:rPr>
          <w:rFonts w:ascii="Times New Roman" w:hAnsi="Times New Roman" w:cs="Times New Roman" w:eastAsia="Times New Roman" w:hint="default"/>
          <w:sz w:val="18"/>
          <w:szCs w:val="18"/>
        </w:rPr>
      </w:pPr>
      <w:r>
        <w:rPr/>
        <w:pict>
          <v:group style="position:absolute;margin-left:89.939995pt;margin-top:21.842012pt;width:150.7pt;height:1pt;mso-position-horizontal-relative:page;mso-position-vertical-relative:paragraph;z-index:-587872" coordorigin="1799,437" coordsize="3014,20">
            <v:group style="position:absolute;left:1808;top:437;width:2994;height:2" coordorigin="1808,437" coordsize="2994,2">
              <v:shape style="position:absolute;left:1808;top:437;width:2994;height:2" coordorigin="1808,437" coordsize="2994,0" path="m1808,437l4802,437e" filled="false" stroked="true" strokeweight=".06pt" strokecolor="#000000">
                <v:path arrowok="t"/>
              </v:shape>
            </v:group>
            <v:group style="position:absolute;left:1808;top:447;width:2994;height:2" coordorigin="1808,447" coordsize="2994,2">
              <v:shape style="position:absolute;left:1808;top:447;width:2994;height:2" coordorigin="1808,447" coordsize="2994,0" path="m1808,447l4802,447e" filled="false" stroked="true" strokeweight=".96001pt" strokecolor="#000000">
                <v:path arrowok="t"/>
              </v:shape>
            </v:group>
            <w10:wrap type="none"/>
          </v:group>
        </w:pict>
      </w:r>
      <w:r>
        <w:rPr/>
        <w:pict>
          <v:group style="position:absolute;margin-left:265.019989pt;margin-top:21.842012pt;width:124.45pt;height:1pt;mso-position-horizontal-relative:page;mso-position-vertical-relative:paragraph;z-index:-587848" coordorigin="5300,437" coordsize="2489,20">
            <v:group style="position:absolute;left:5309;top:437;width:2471;height:2" coordorigin="5309,437" coordsize="2471,2">
              <v:shape style="position:absolute;left:5309;top:437;width:2471;height:2" coordorigin="5309,437" coordsize="2471,0" path="m5309,437l7780,437e" filled="false" stroked="true" strokeweight=".06pt" strokecolor="#000000">
                <v:path arrowok="t"/>
              </v:shape>
            </v:group>
            <v:group style="position:absolute;left:5310;top:447;width:2470;height:2" coordorigin="5310,447" coordsize="2470,2">
              <v:shape style="position:absolute;left:5310;top:447;width:2470;height:2" coordorigin="5310,447" coordsize="2470,0" path="m5310,447l7780,447e" filled="false" stroked="true" strokeweight=".96001pt" strokecolor="#000000">
                <v:path arrowok="t"/>
              </v:shape>
            </v:group>
            <w10:wrap type="none"/>
          </v:group>
        </w:pict>
      </w:r>
      <w:r>
        <w:rPr/>
        <w:pict>
          <v:group style="position:absolute;margin-left:265.02002pt;margin-top:40.262012pt;width:124.45pt;height:1.05pt;mso-position-horizontal-relative:page;mso-position-vertical-relative:paragraph;z-index:-587824" coordorigin="5300,805" coordsize="2489,21">
            <v:group style="position:absolute;left:5309;top:806;width:2471;height:2" coordorigin="5309,806" coordsize="2471,2">
              <v:shape style="position:absolute;left:5309;top:806;width:2471;height:2" coordorigin="5309,806" coordsize="2471,0" path="m5309,806l7780,806e" filled="false" stroked="true" strokeweight=".06pt" strokecolor="#000000">
                <v:path arrowok="t"/>
              </v:shape>
            </v:group>
            <v:group style="position:absolute;left:5310;top:817;width:2470;height:2" coordorigin="5310,817" coordsize="2470,2">
              <v:shape style="position:absolute;left:5310;top:817;width:2470;height:2" coordorigin="5310,817" coordsize="2470,0" path="m5310,817l7780,817e" filled="false" stroked="true" strokeweight=".95999pt" strokecolor="#000000">
                <v:path arrowok="t"/>
              </v:shape>
            </v:group>
            <w10:wrap type="none"/>
          </v:group>
        </w:pict>
      </w:r>
      <w:r>
        <w:rPr/>
        <w:pict>
          <v:group style="position:absolute;margin-left:413.880005pt;margin-top:21.842012pt;width:124.45pt;height:1pt;mso-position-horizontal-relative:page;mso-position-vertical-relative:paragraph;z-index:-587800" coordorigin="8278,437" coordsize="2489,20">
            <v:group style="position:absolute;left:8286;top:437;width:2471;height:2" coordorigin="8286,437" coordsize="2471,2">
              <v:shape style="position:absolute;left:8286;top:437;width:2471;height:2" coordorigin="8286,437" coordsize="2471,0" path="m8286,437l10757,437e" filled="false" stroked="true" strokeweight=".06pt" strokecolor="#000000">
                <v:path arrowok="t"/>
              </v:shape>
            </v:group>
            <v:group style="position:absolute;left:8287;top:447;width:2470;height:2" coordorigin="8287,447" coordsize="2470,2">
              <v:shape style="position:absolute;left:8287;top:447;width:2470;height:2" coordorigin="8287,447" coordsize="2470,0" path="m8287,447l10757,447e" filled="false" stroked="true" strokeweight=".96001pt" strokecolor="#000000">
                <v:path arrowok="t"/>
              </v:shape>
            </v:group>
            <w10:wrap type="none"/>
          </v:group>
        </w:pict>
      </w:r>
      <w:r>
        <w:rPr/>
        <w:pict>
          <v:group style="position:absolute;margin-left:413.880005pt;margin-top:40.262012pt;width:124.45pt;height:1.05pt;mso-position-horizontal-relative:page;mso-position-vertical-relative:paragraph;z-index:-587776" coordorigin="8278,805" coordsize="2489,21">
            <v:group style="position:absolute;left:8286;top:806;width:2471;height:2" coordorigin="8286,806" coordsize="2471,2">
              <v:shape style="position:absolute;left:8286;top:806;width:2471;height:2" coordorigin="8286,806" coordsize="2471,0" path="m8286,806l10757,806e" filled="false" stroked="true" strokeweight=".06pt" strokecolor="#000000">
                <v:path arrowok="t"/>
              </v:shape>
            </v:group>
            <v:group style="position:absolute;left:8287;top:817;width:2470;height:2" coordorigin="8287,817" coordsize="2470,2">
              <v:shape style="position:absolute;left:8287;top:817;width:2470;height:2" coordorigin="8287,817" coordsize="2470,0" path="m8287,817l10757,817e" filled="false" stroked="true" strokeweight=".95999pt" strokecolor="#000000">
                <v:path arrowok="t"/>
              </v:shape>
            </v:group>
            <w10:wrap type="none"/>
          </v:group>
        </w:pict>
      </w: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tab/>
        <w:t>本年数</w:t>
        <w:tab/>
        <w:t>上年数</w:t>
      </w:r>
      <w:r>
        <w:rPr>
          <w:rFonts w:ascii="宋体" w:hAnsi="宋体" w:cs="宋体" w:eastAsia="宋体" w:hint="default"/>
          <w:w w:val="99"/>
          <w:sz w:val="18"/>
          <w:szCs w:val="18"/>
        </w:rPr>
        <w:t> </w:t>
      </w:r>
      <w:r>
        <w:rPr>
          <w:rFonts w:ascii="宋体" w:hAnsi="宋体" w:cs="宋体" w:eastAsia="宋体" w:hint="default"/>
          <w:sz w:val="18"/>
          <w:szCs w:val="18"/>
        </w:rPr>
        <w:t>工程施工押金（广州）</w:t>
        <w:tab/>
        <w:tab/>
      </w:r>
      <w:r>
        <w:rPr>
          <w:rFonts w:ascii="Times New Roman" w:hAnsi="Times New Roman" w:cs="Times New Roman" w:eastAsia="Times New Roman" w:hint="default"/>
          <w:position w:val="2"/>
          <w:sz w:val="18"/>
          <w:szCs w:val="18"/>
        </w:rPr>
        <w:t>2,969,886.54</w:t>
        <w:tab/>
        <w:tab/>
        <w:t>-</w:t>
      </w:r>
      <w:r>
        <w:rPr>
          <w:rFonts w:ascii="Times New Roman" w:hAnsi="Times New Roman" w:cs="Times New Roman" w:eastAsia="Times New Roman" w:hint="default"/>
          <w:sz w:val="18"/>
          <w:szCs w:val="18"/>
        </w:rPr>
      </w:r>
    </w:p>
    <w:p>
      <w:pPr>
        <w:tabs>
          <w:tab w:pos="5082" w:val="left" w:leader="none"/>
          <w:tab w:pos="8773" w:val="left" w:leader="none"/>
        </w:tabs>
        <w:spacing w:before="10"/>
        <w:ind w:left="140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r>
      <w:r>
        <w:rPr>
          <w:rFonts w:ascii="宋体" w:hAnsi="宋体" w:cs="宋体" w:eastAsia="宋体" w:hint="default"/>
          <w:spacing w:val="47"/>
          <w:sz w:val="18"/>
          <w:szCs w:val="18"/>
        </w:rPr>
        <w:t> </w:t>
      </w:r>
      <w:r>
        <w:rPr>
          <w:rFonts w:ascii="宋体" w:hAnsi="宋体" w:cs="宋体" w:eastAsia="宋体" w:hint="default"/>
          <w:sz w:val="18"/>
          <w:szCs w:val="18"/>
        </w:rPr>
        <w:t>计</w:t>
        <w:tab/>
      </w:r>
      <w:r>
        <w:rPr>
          <w:rFonts w:ascii="Times New Roman" w:hAnsi="Times New Roman" w:cs="Times New Roman" w:eastAsia="Times New Roman" w:hint="default"/>
          <w:position w:val="1"/>
          <w:sz w:val="18"/>
          <w:szCs w:val="18"/>
        </w:rPr>
        <w:t>2,969,886.54</w:t>
        <w:tab/>
        <w:t>-</w:t>
      </w:r>
      <w:r>
        <w:rPr>
          <w:rFonts w:ascii="Times New Roman" w:hAnsi="Times New Roman" w:cs="Times New Roman" w:eastAsia="Times New Roman" w:hint="default"/>
          <w:sz w:val="18"/>
          <w:szCs w:val="18"/>
        </w:rPr>
      </w:r>
    </w:p>
    <w:p>
      <w:pPr>
        <w:spacing w:line="240" w:lineRule="auto" w:before="7"/>
        <w:rPr>
          <w:rFonts w:ascii="Times New Roman" w:hAnsi="Times New Roman" w:cs="Times New Roman" w:eastAsia="Times New Roman" w:hint="default"/>
          <w:sz w:val="5"/>
          <w:szCs w:val="5"/>
        </w:rPr>
      </w:pPr>
    </w:p>
    <w:p>
      <w:pPr>
        <w:tabs>
          <w:tab w:pos="6617" w:val="left" w:leader="none"/>
        </w:tabs>
        <w:spacing w:line="57" w:lineRule="exact"/>
        <w:ind w:left="3640" w:right="0" w:firstLine="0"/>
        <w:rPr>
          <w:rFonts w:ascii="Times New Roman" w:hAnsi="Times New Roman" w:cs="Times New Roman" w:eastAsia="Times New Roman" w:hint="default"/>
          <w:sz w:val="5"/>
          <w:szCs w:val="5"/>
        </w:rPr>
      </w:pPr>
      <w:r>
        <w:rPr>
          <w:rFonts w:ascii="Times New Roman"/>
          <w:position w:val="0"/>
          <w:sz w:val="5"/>
        </w:rPr>
        <w:pict>
          <v:group style="width:124.45pt;height:2.9pt;mso-position-horizontal-relative:char;mso-position-vertical-relative:line" coordorigin="0,0" coordsize="2489,58">
            <v:group style="position:absolute;left:10;top:10;width:2470;height:2" coordorigin="10,10" coordsize="2470,2">
              <v:shape style="position:absolute;left:10;top:10;width:2470;height:2" coordorigin="10,10" coordsize="2470,0" path="m10,10l2479,10e" filled="false" stroked="true" strokeweight=".96001pt" strokecolor="#000000">
                <v:path arrowok="t"/>
              </v:shape>
            </v:group>
            <v:group style="position:absolute;left:10;top:48;width:2470;height:2" coordorigin="10,48" coordsize="2470,2">
              <v:shape style="position:absolute;left:10;top:48;width:2470;height:2" coordorigin="10,48" coordsize="2470,0" path="m10,48l2479,48e" filled="false" stroked="true" strokeweight=".96001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124.45pt;height:2.9pt;mso-position-horizontal-relative:char;mso-position-vertical-relative:line" coordorigin="0,0" coordsize="2489,58">
            <v:group style="position:absolute;left:10;top:10;width:2470;height:2" coordorigin="10,10" coordsize="2470,2">
              <v:shape style="position:absolute;left:10;top:10;width:2470;height:2" coordorigin="10,10" coordsize="2470,0" path="m10,10l2479,10e" filled="false" stroked="true" strokeweight=".96001pt" strokecolor="#000000">
                <v:path arrowok="t"/>
              </v:shape>
            </v:group>
            <v:group style="position:absolute;left:10;top:48;width:2470;height:2" coordorigin="10,48" coordsize="2470,2">
              <v:shape style="position:absolute;left:10;top:48;width:2470;height:2" coordorigin="10,48" coordsize="2470,0" path="m10,48l2479,48e" filled="false" stroked="true" strokeweight=".96001pt" strokecolor="#000000">
                <v:path arrowok="t"/>
              </v:shape>
            </v:group>
          </v:group>
        </w:pict>
      </w:r>
      <w:r>
        <w:rPr>
          <w:rFonts w:ascii="Times New Roman"/>
          <w:position w:val="0"/>
          <w:sz w:val="5"/>
        </w:rPr>
      </w:r>
    </w:p>
    <w:p>
      <w:pPr>
        <w:spacing w:after="0" w:line="57" w:lineRule="exact"/>
        <w:rPr>
          <w:rFonts w:ascii="Times New Roman" w:hAnsi="Times New Roman" w:cs="Times New Roman" w:eastAsia="Times New Roman" w:hint="default"/>
          <w:sz w:val="5"/>
          <w:szCs w:val="5"/>
        </w:rPr>
        <w:sectPr>
          <w:pgSz w:w="11910" w:h="16840"/>
          <w:pgMar w:header="840" w:footer="1712" w:top="1160" w:bottom="1900" w:left="1660" w:right="1020"/>
        </w:sectPr>
      </w:pPr>
    </w:p>
    <w:p>
      <w:pPr>
        <w:spacing w:line="297" w:lineRule="auto" w:before="0"/>
        <w:ind w:left="617" w:right="388"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43、支付其它与筹资活动有关的现金</w:t>
      </w:r>
      <w:r>
        <w:rPr>
          <w:rFonts w:ascii="Microsoft JhengHei" w:hAnsi="Microsoft JhengHei" w:cs="Microsoft JhengHei" w:eastAsia="Microsoft JhengHei" w:hint="default"/>
          <w:b/>
          <w:bCs/>
          <w:spacing w:val="-1"/>
          <w:w w:val="99"/>
          <w:sz w:val="24"/>
          <w:szCs w:val="24"/>
        </w:rPr>
        <w:t> </w:t>
      </w:r>
      <w:r>
        <w:rPr>
          <w:rFonts w:ascii="宋体" w:hAnsi="宋体" w:cs="宋体" w:eastAsia="宋体" w:hint="default"/>
          <w:spacing w:val="-2"/>
          <w:sz w:val="24"/>
          <w:szCs w:val="24"/>
        </w:rPr>
        <w:t>本公司“支付其它与筹资活动有关的现金”中价值较大的项目列示如下：</w:t>
      </w:r>
      <w:r>
        <w:rPr>
          <w:rFonts w:ascii="宋体" w:hAnsi="宋体" w:cs="宋体" w:eastAsia="宋体" w:hint="default"/>
          <w:sz w:val="24"/>
          <w:szCs w:val="24"/>
        </w:rPr>
      </w:r>
    </w:p>
    <w:p>
      <w:pPr>
        <w:tabs>
          <w:tab w:pos="4619" w:val="left" w:leader="none"/>
          <w:tab w:pos="5082" w:val="left" w:leader="none"/>
          <w:tab w:pos="7596" w:val="left" w:leader="none"/>
          <w:tab w:pos="8773" w:val="left" w:leader="none"/>
        </w:tabs>
        <w:spacing w:line="381" w:lineRule="auto" w:before="65"/>
        <w:ind w:left="182" w:right="388" w:firstLine="1198"/>
        <w:jc w:val="left"/>
        <w:rPr>
          <w:rFonts w:ascii="Times New Roman" w:hAnsi="Times New Roman" w:cs="Times New Roman" w:eastAsia="Times New Roman" w:hint="default"/>
          <w:sz w:val="18"/>
          <w:szCs w:val="18"/>
        </w:rPr>
      </w:pPr>
      <w:r>
        <w:rPr/>
        <w:pict>
          <v:group style="position:absolute;margin-left:89.939987pt;margin-top:18.891996pt;width:150.7pt;height:1pt;mso-position-horizontal-relative:page;mso-position-vertical-relative:paragraph;z-index:-587752" coordorigin="1799,378" coordsize="3014,20">
            <v:group style="position:absolute;left:1808;top:378;width:2994;height:2" coordorigin="1808,378" coordsize="2994,2">
              <v:shape style="position:absolute;left:1808;top:378;width:2994;height:2" coordorigin="1808,378" coordsize="2994,0" path="m1808,378l4802,378e" filled="false" stroked="true" strokeweight=".06pt" strokecolor="#000000">
                <v:path arrowok="t"/>
              </v:shape>
            </v:group>
            <v:group style="position:absolute;left:1808;top:388;width:2994;height:2" coordorigin="1808,388" coordsize="2994,2">
              <v:shape style="position:absolute;left:1808;top:388;width:2994;height:2" coordorigin="1808,388" coordsize="2994,0" path="m1808,388l4802,388e" filled="false" stroked="true" strokeweight=".96002pt" strokecolor="#000000">
                <v:path arrowok="t"/>
              </v:shape>
            </v:group>
            <w10:wrap type="none"/>
          </v:group>
        </w:pict>
      </w:r>
      <w:r>
        <w:rPr/>
        <w:pict>
          <v:group style="position:absolute;margin-left:265.019989pt;margin-top:18.891996pt;width:124.45pt;height:1pt;mso-position-horizontal-relative:page;mso-position-vertical-relative:paragraph;z-index:-587728" coordorigin="5300,378" coordsize="2489,20">
            <v:group style="position:absolute;left:5309;top:378;width:2471;height:2" coordorigin="5309,378" coordsize="2471,2">
              <v:shape style="position:absolute;left:5309;top:378;width:2471;height:2" coordorigin="5309,378" coordsize="2471,0" path="m5309,378l7780,378e" filled="false" stroked="true" strokeweight=".06pt" strokecolor="#000000">
                <v:path arrowok="t"/>
              </v:shape>
            </v:group>
            <v:group style="position:absolute;left:5310;top:388;width:2470;height:2" coordorigin="5310,388" coordsize="2470,2">
              <v:shape style="position:absolute;left:5310;top:388;width:2470;height:2" coordorigin="5310,388" coordsize="2470,0" path="m5310,388l7780,388e" filled="false" stroked="true" strokeweight=".96002pt" strokecolor="#000000">
                <v:path arrowok="t"/>
              </v:shape>
            </v:group>
            <w10:wrap type="none"/>
          </v:group>
        </w:pict>
      </w:r>
      <w:r>
        <w:rPr/>
        <w:pict>
          <v:group style="position:absolute;margin-left:265.02002pt;margin-top:37.311996pt;width:124.45pt;height:1.05pt;mso-position-horizontal-relative:page;mso-position-vertical-relative:paragraph;z-index:-587704" coordorigin="5300,746" coordsize="2489,21">
            <v:group style="position:absolute;left:5309;top:747;width:2471;height:2" coordorigin="5309,747" coordsize="2471,2">
              <v:shape style="position:absolute;left:5309;top:747;width:2471;height:2" coordorigin="5309,747" coordsize="2471,0" path="m5309,747l7780,747e" filled="false" stroked="true" strokeweight=".06pt" strokecolor="#000000">
                <v:path arrowok="t"/>
              </v:shape>
            </v:group>
            <v:group style="position:absolute;left:5310;top:758;width:2470;height:2" coordorigin="5310,758" coordsize="2470,2">
              <v:shape style="position:absolute;left:5310;top:758;width:2470;height:2" coordorigin="5310,758" coordsize="2470,0" path="m5310,758l7780,758e" filled="false" stroked="true" strokeweight=".95996pt" strokecolor="#000000">
                <v:path arrowok="t"/>
              </v:shape>
            </v:group>
            <w10:wrap type="none"/>
          </v:group>
        </w:pict>
      </w:r>
      <w:r>
        <w:rPr/>
        <w:pict>
          <v:group style="position:absolute;margin-left:413.880005pt;margin-top:18.891996pt;width:124.45pt;height:1pt;mso-position-horizontal-relative:page;mso-position-vertical-relative:paragraph;z-index:-587656" coordorigin="8278,378" coordsize="2489,20">
            <v:group style="position:absolute;left:8286;top:378;width:2471;height:2" coordorigin="8286,378" coordsize="2471,2">
              <v:shape style="position:absolute;left:8286;top:378;width:2471;height:2" coordorigin="8286,378" coordsize="2471,0" path="m8286,378l10757,378e" filled="false" stroked="true" strokeweight=".06pt" strokecolor="#000000">
                <v:path arrowok="t"/>
              </v:shape>
            </v:group>
            <v:group style="position:absolute;left:8287;top:388;width:2470;height:2" coordorigin="8287,388" coordsize="2470,2">
              <v:shape style="position:absolute;left:8287;top:388;width:2470;height:2" coordorigin="8287,388" coordsize="2470,0" path="m8287,388l10757,388e" filled="false" stroked="true" strokeweight=".96002pt" strokecolor="#000000">
                <v:path arrowok="t"/>
              </v:shape>
            </v:group>
            <w10:wrap type="none"/>
          </v:group>
        </w:pict>
      </w:r>
      <w:r>
        <w:rPr/>
        <w:pict>
          <v:group style="position:absolute;margin-left:413.880005pt;margin-top:37.311996pt;width:124.45pt;height:1.05pt;mso-position-horizontal-relative:page;mso-position-vertical-relative:paragraph;z-index:-587632" coordorigin="8278,746" coordsize="2489,21">
            <v:group style="position:absolute;left:8286;top:747;width:2471;height:2" coordorigin="8286,747" coordsize="2471,2">
              <v:shape style="position:absolute;left:8286;top:747;width:2471;height:2" coordorigin="8286,747" coordsize="2471,0" path="m8286,747l10757,747e" filled="false" stroked="true" strokeweight=".06pt" strokecolor="#000000">
                <v:path arrowok="t"/>
              </v:shape>
            </v:group>
            <v:group style="position:absolute;left:8287;top:758;width:2470;height:2" coordorigin="8287,758" coordsize="2470,2">
              <v:shape style="position:absolute;left:8287;top:758;width:2470;height:2" coordorigin="8287,758" coordsize="2470,0" path="m8287,758l10757,758e" filled="false" stroked="true" strokeweight=".95996pt" strokecolor="#000000">
                <v:path arrowok="t"/>
              </v:shape>
            </v:group>
            <w10:wrap type="none"/>
          </v:group>
        </w:pict>
      </w: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tab/>
        <w:t>本年数</w:t>
        <w:tab/>
        <w:t>上年数</w:t>
      </w:r>
      <w:r>
        <w:rPr>
          <w:rFonts w:ascii="宋体" w:hAnsi="宋体" w:cs="宋体" w:eastAsia="宋体" w:hint="default"/>
          <w:spacing w:val="2"/>
          <w:w w:val="99"/>
          <w:sz w:val="18"/>
          <w:szCs w:val="18"/>
        </w:rPr>
        <w:t> </w:t>
      </w:r>
      <w:r>
        <w:rPr>
          <w:rFonts w:ascii="宋体" w:hAnsi="宋体" w:cs="宋体" w:eastAsia="宋体" w:hint="default"/>
          <w:sz w:val="18"/>
          <w:szCs w:val="18"/>
        </w:rPr>
        <w:t>首次发行费用（母公司）</w:t>
        <w:tab/>
        <w:tab/>
      </w:r>
      <w:r>
        <w:rPr>
          <w:rFonts w:ascii="Times New Roman" w:hAnsi="Times New Roman" w:cs="Times New Roman" w:eastAsia="Times New Roman" w:hint="default"/>
          <w:position w:val="2"/>
          <w:sz w:val="18"/>
          <w:szCs w:val="18"/>
        </w:rPr>
        <w:t>1,949,944.45</w:t>
        <w:tab/>
        <w:tab/>
        <w:t>-</w:t>
      </w:r>
      <w:r>
        <w:rPr>
          <w:rFonts w:ascii="Times New Roman" w:hAnsi="Times New Roman" w:cs="Times New Roman" w:eastAsia="Times New Roman" w:hint="default"/>
          <w:sz w:val="18"/>
          <w:szCs w:val="18"/>
        </w:rPr>
      </w:r>
    </w:p>
    <w:p>
      <w:pPr>
        <w:tabs>
          <w:tab w:pos="5082" w:val="left" w:leader="none"/>
          <w:tab w:pos="8773" w:val="left" w:leader="none"/>
        </w:tabs>
        <w:spacing w:before="10"/>
        <w:ind w:left="140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w:t>
      </w:r>
      <w:r>
        <w:rPr>
          <w:rFonts w:ascii="宋体" w:hAnsi="宋体" w:cs="宋体" w:eastAsia="宋体" w:hint="default"/>
          <w:spacing w:val="47"/>
          <w:sz w:val="18"/>
          <w:szCs w:val="18"/>
        </w:rPr>
        <w:t> </w:t>
      </w:r>
      <w:r>
        <w:rPr>
          <w:rFonts w:ascii="宋体" w:hAnsi="宋体" w:cs="宋体" w:eastAsia="宋体" w:hint="default"/>
          <w:sz w:val="18"/>
          <w:szCs w:val="18"/>
        </w:rPr>
        <w:t>计</w:t>
        <w:tab/>
      </w:r>
      <w:r>
        <w:rPr>
          <w:rFonts w:ascii="Times New Roman" w:hAnsi="Times New Roman" w:cs="Times New Roman" w:eastAsia="Times New Roman" w:hint="default"/>
          <w:position w:val="1"/>
          <w:sz w:val="18"/>
          <w:szCs w:val="18"/>
        </w:rPr>
        <w:t>1,949,944.45</w:t>
        <w:tab/>
        <w:t>-</w:t>
      </w:r>
      <w:r>
        <w:rPr>
          <w:rFonts w:ascii="Times New Roman" w:hAnsi="Times New Roman" w:cs="Times New Roman" w:eastAsia="Times New Roman" w:hint="default"/>
          <w:sz w:val="18"/>
          <w:szCs w:val="18"/>
        </w:rPr>
      </w:r>
    </w:p>
    <w:p>
      <w:pPr>
        <w:pStyle w:val="Heading3"/>
        <w:spacing w:line="240" w:lineRule="auto" w:before="80"/>
        <w:ind w:left="737" w:right="388"/>
        <w:jc w:val="left"/>
        <w:rPr>
          <w:b w:val="0"/>
          <w:bCs w:val="0"/>
        </w:rPr>
      </w:pPr>
      <w:r>
        <w:rPr/>
        <w:pict>
          <v:group style="position:absolute;margin-left:265.019989pt;margin-top:3.233924pt;width:124.45pt;height:2.9pt;mso-position-horizontal-relative:page;mso-position-vertical-relative:paragraph;z-index:9088" coordorigin="5300,65" coordsize="2489,58">
            <v:group style="position:absolute;left:5310;top:74;width:2470;height:2" coordorigin="5310,74" coordsize="2470,2">
              <v:shape style="position:absolute;left:5310;top:74;width:2470;height:2" coordorigin="5310,74" coordsize="2470,0" path="m5310,74l7780,74e" filled="false" stroked="true" strokeweight=".96002pt" strokecolor="#000000">
                <v:path arrowok="t"/>
              </v:shape>
            </v:group>
            <v:group style="position:absolute;left:5310;top:113;width:2470;height:2" coordorigin="5310,113" coordsize="2470,2">
              <v:shape style="position:absolute;left:5310;top:113;width:2470;height:2" coordorigin="5310,113" coordsize="2470,0" path="m5310,113l7780,113e" filled="false" stroked="true" strokeweight=".95996pt" strokecolor="#000000">
                <v:path arrowok="t"/>
              </v:shape>
            </v:group>
            <w10:wrap type="none"/>
          </v:group>
        </w:pict>
      </w:r>
      <w:r>
        <w:rPr/>
        <w:pict>
          <v:group style="position:absolute;margin-left:413.880005pt;margin-top:3.233924pt;width:124.45pt;height:2.9pt;mso-position-horizontal-relative:page;mso-position-vertical-relative:paragraph;z-index:9160" coordorigin="8278,65" coordsize="2489,58">
            <v:group style="position:absolute;left:8287;top:74;width:2470;height:2" coordorigin="8287,74" coordsize="2470,2">
              <v:shape style="position:absolute;left:8287;top:74;width:2470;height:2" coordorigin="8287,74" coordsize="2470,0" path="m8287,74l10757,74e" filled="false" stroked="true" strokeweight=".96002pt" strokecolor="#000000">
                <v:path arrowok="t"/>
              </v:shape>
            </v:group>
            <v:group style="position:absolute;left:8287;top:113;width:2470;height:2" coordorigin="8287,113" coordsize="2470,2">
              <v:shape style="position:absolute;left:8287;top:113;width:2470;height:2" coordorigin="8287,113" coordsize="2470,0" path="m8287,113l10757,113e" filled="false" stroked="true" strokeweight=".95996pt" strokecolor="#000000">
                <v:path arrowok="t"/>
              </v:shape>
            </v:group>
            <w10:wrap type="none"/>
          </v:group>
        </w:pict>
      </w:r>
      <w:r>
        <w:rPr/>
        <w:t>44、现金流量表补充资料</w:t>
      </w:r>
      <w:r>
        <w:rPr>
          <w:b w:val="0"/>
          <w:bCs w:val="0"/>
        </w:rPr>
      </w:r>
    </w:p>
    <w:p>
      <w:pPr>
        <w:pStyle w:val="BodyText"/>
        <w:spacing w:line="240" w:lineRule="auto" w:before="81"/>
        <w:ind w:left="617" w:right="388"/>
        <w:jc w:val="left"/>
      </w:pPr>
      <w:r>
        <w:rPr/>
        <w:t>（1）将净利润调节为经营活动现金流量的信息</w:t>
      </w:r>
    </w:p>
    <w:p>
      <w:pPr>
        <w:spacing w:after="0" w:line="240" w:lineRule="auto"/>
        <w:jc w:val="left"/>
        <w:sectPr>
          <w:pgSz w:w="11910" w:h="16840"/>
          <w:pgMar w:header="840" w:footer="1712" w:top="1160" w:bottom="1900" w:left="1660" w:right="1020"/>
        </w:sectPr>
      </w:pPr>
    </w:p>
    <w:p>
      <w:pPr>
        <w:spacing w:line="240" w:lineRule="auto" w:before="1"/>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3325"/>
        <w:gridCol w:w="490"/>
        <w:gridCol w:w="2309"/>
        <w:gridCol w:w="490"/>
        <w:gridCol w:w="2309"/>
      </w:tblGrid>
      <w:tr>
        <w:trPr>
          <w:trHeight w:val="351" w:hRule="exact"/>
        </w:trPr>
        <w:tc>
          <w:tcPr>
            <w:tcW w:w="3325" w:type="dxa"/>
            <w:tcBorders>
              <w:top w:val="nil" w:sz="6" w:space="0" w:color="auto"/>
              <w:left w:val="nil" w:sz="6" w:space="0" w:color="auto"/>
              <w:bottom w:val="single" w:sz="8" w:space="0" w:color="000000"/>
              <w:right w:val="nil" w:sz="6" w:space="0" w:color="auto"/>
            </w:tcBorders>
          </w:tcPr>
          <w:p>
            <w:pPr>
              <w:pStyle w:val="TableParagraph"/>
              <w:tabs>
                <w:tab w:pos="468" w:val="left" w:leader="none"/>
              </w:tabs>
              <w:spacing w:line="240" w:lineRule="auto" w:before="35"/>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14"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12"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24" w:hRule="exact"/>
        </w:trPr>
        <w:tc>
          <w:tcPr>
            <w:tcW w:w="3325" w:type="dxa"/>
            <w:tcBorders>
              <w:top w:val="single" w:sz="8" w:space="0" w:color="000000"/>
              <w:left w:val="nil" w:sz="6" w:space="0" w:color="auto"/>
              <w:bottom w:val="nil" w:sz="6" w:space="0" w:color="auto"/>
              <w:right w:val="nil" w:sz="6" w:space="0" w:color="auto"/>
            </w:tcBorders>
          </w:tcPr>
          <w:p>
            <w:pPr>
              <w:pStyle w:val="TableParagraph"/>
              <w:spacing w:line="240" w:lineRule="auto" w:before="84"/>
              <w:ind w:left="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1、将净利润调节为经营活动现金流量：</w:t>
            </w:r>
            <w:r>
              <w:rPr>
                <w:rFonts w:ascii="Microsoft JhengHei" w:hAnsi="Microsoft JhengHei" w:cs="Microsoft JhengHei" w:eastAsia="Microsoft JhengHei" w:hint="default"/>
                <w:spacing w:val="3"/>
                <w:sz w:val="18"/>
                <w:szCs w:val="18"/>
              </w:rPr>
            </w: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single" w:sz="8" w:space="0" w:color="000000"/>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single" w:sz="8" w:space="0" w:color="000000"/>
              <w:left w:val="nil" w:sz="6" w:space="0" w:color="auto"/>
              <w:bottom w:val="nil" w:sz="6" w:space="0" w:color="auto"/>
              <w:right w:val="nil" w:sz="6" w:space="0" w:color="auto"/>
            </w:tcBorders>
          </w:tcPr>
          <w:p>
            <w:pPr/>
          </w:p>
        </w:tc>
      </w:tr>
      <w:tr>
        <w:trPr>
          <w:trHeight w:val="406"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2"/>
                <w:sz w:val="18"/>
                <w:szCs w:val="18"/>
              </w:rPr>
              <w:t>净利润</w:t>
            </w:r>
            <w:r>
              <w:rPr>
                <w:rFonts w:ascii="Microsoft JhengHei" w:hAnsi="Microsoft JhengHei" w:cs="Microsoft JhengHei" w:eastAsia="Microsoft JhengHei" w:hint="default"/>
                <w:spacing w:val="2"/>
                <w:sz w:val="18"/>
                <w:szCs w:val="18"/>
              </w:rPr>
            </w: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9"/>
              <w:jc w:val="right"/>
              <w:rPr>
                <w:rFonts w:ascii="Times New Roman" w:hAnsi="Times New Roman" w:cs="Times New Roman" w:eastAsia="Times New Roman" w:hint="default"/>
                <w:sz w:val="18"/>
                <w:szCs w:val="18"/>
              </w:rPr>
            </w:pPr>
            <w:r>
              <w:rPr>
                <w:rFonts w:ascii="Times New Roman"/>
                <w:sz w:val="18"/>
              </w:rPr>
              <w:t>62,856,456.32</w:t>
            </w: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2"/>
              <w:jc w:val="right"/>
              <w:rPr>
                <w:rFonts w:ascii="Times New Roman" w:hAnsi="Times New Roman" w:cs="Times New Roman" w:eastAsia="Times New Roman" w:hint="default"/>
                <w:sz w:val="18"/>
                <w:szCs w:val="18"/>
              </w:rPr>
            </w:pPr>
            <w:r>
              <w:rPr>
                <w:rFonts w:ascii="Times New Roman"/>
                <w:w w:val="95"/>
                <w:sz w:val="18"/>
              </w:rPr>
              <w:t>58,565,342.26</w:t>
            </w:r>
            <w:r>
              <w:rPr>
                <w:rFonts w:ascii="Times New Roman"/>
                <w:sz w:val="18"/>
              </w:rPr>
            </w:r>
          </w:p>
        </w:tc>
      </w:tr>
      <w:tr>
        <w:trPr>
          <w:trHeight w:val="352"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9"/>
              <w:jc w:val="right"/>
              <w:rPr>
                <w:rFonts w:ascii="Times New Roman" w:hAnsi="Times New Roman" w:cs="Times New Roman" w:eastAsia="Times New Roman" w:hint="default"/>
                <w:sz w:val="18"/>
                <w:szCs w:val="18"/>
              </w:rPr>
            </w:pPr>
            <w:r>
              <w:rPr>
                <w:rFonts w:ascii="Times New Roman"/>
                <w:sz w:val="18"/>
              </w:rPr>
              <w:t>-688,552.43</w:t>
            </w: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1"/>
              <w:jc w:val="right"/>
              <w:rPr>
                <w:rFonts w:ascii="Times New Roman" w:hAnsi="Times New Roman" w:cs="Times New Roman" w:eastAsia="Times New Roman" w:hint="default"/>
                <w:sz w:val="18"/>
                <w:szCs w:val="18"/>
              </w:rPr>
            </w:pPr>
            <w:r>
              <w:rPr>
                <w:rFonts w:ascii="Times New Roman"/>
                <w:w w:val="95"/>
                <w:sz w:val="18"/>
              </w:rPr>
              <w:t>3,402,463.85</w:t>
            </w:r>
            <w:r>
              <w:rPr>
                <w:rFonts w:ascii="Times New Roman"/>
                <w:sz w:val="18"/>
              </w:rPr>
            </w:r>
          </w:p>
        </w:tc>
      </w:tr>
      <w:tr>
        <w:trPr>
          <w:trHeight w:val="352"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7"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9"/>
              <w:jc w:val="right"/>
              <w:rPr>
                <w:rFonts w:ascii="Times New Roman" w:hAnsi="Times New Roman" w:cs="Times New Roman" w:eastAsia="Times New Roman" w:hint="default"/>
                <w:sz w:val="18"/>
                <w:szCs w:val="18"/>
              </w:rPr>
            </w:pPr>
            <w:r>
              <w:rPr>
                <w:rFonts w:ascii="Times New Roman"/>
                <w:sz w:val="18"/>
              </w:rPr>
              <w:t>30,711,203.16</w:t>
            </w: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w w:val="95"/>
                <w:sz w:val="18"/>
              </w:rPr>
              <w:t>22,321,832.41</w:t>
            </w:r>
            <w:r>
              <w:rPr>
                <w:rFonts w:ascii="Times New Roman"/>
                <w:sz w:val="18"/>
              </w:rPr>
            </w:r>
          </w:p>
        </w:tc>
      </w:tr>
      <w:tr>
        <w:trPr>
          <w:trHeight w:val="352"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9"/>
              <w:jc w:val="right"/>
              <w:rPr>
                <w:rFonts w:ascii="Times New Roman" w:hAnsi="Times New Roman" w:cs="Times New Roman" w:eastAsia="Times New Roman" w:hint="default"/>
                <w:sz w:val="18"/>
                <w:szCs w:val="18"/>
              </w:rPr>
            </w:pPr>
            <w:r>
              <w:rPr>
                <w:rFonts w:ascii="Times New Roman"/>
                <w:sz w:val="18"/>
              </w:rPr>
              <w:t>1,358,146.14</w:t>
            </w: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1"/>
              <w:jc w:val="right"/>
              <w:rPr>
                <w:rFonts w:ascii="Times New Roman" w:hAnsi="Times New Roman" w:cs="Times New Roman" w:eastAsia="Times New Roman" w:hint="default"/>
                <w:sz w:val="18"/>
                <w:szCs w:val="18"/>
              </w:rPr>
            </w:pPr>
            <w:r>
              <w:rPr>
                <w:rFonts w:ascii="Times New Roman"/>
                <w:w w:val="95"/>
                <w:sz w:val="18"/>
              </w:rPr>
              <w:t>1,329,764.55</w:t>
            </w:r>
            <w:r>
              <w:rPr>
                <w:rFonts w:ascii="Times New Roman"/>
                <w:sz w:val="18"/>
              </w:rPr>
            </w:r>
          </w:p>
        </w:tc>
      </w:tr>
      <w:tr>
        <w:trPr>
          <w:trHeight w:val="331"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9"/>
              <w:jc w:val="right"/>
              <w:rPr>
                <w:rFonts w:ascii="Times New Roman" w:hAnsi="Times New Roman" w:cs="Times New Roman" w:eastAsia="Times New Roman" w:hint="default"/>
                <w:sz w:val="18"/>
                <w:szCs w:val="18"/>
              </w:rPr>
            </w:pPr>
            <w:r>
              <w:rPr>
                <w:rFonts w:ascii="Times New Roman"/>
                <w:sz w:val="18"/>
              </w:rPr>
              <w:t>360,387.43</w:t>
            </w: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2"/>
              <w:jc w:val="right"/>
              <w:rPr>
                <w:rFonts w:ascii="Times New Roman" w:hAnsi="Times New Roman" w:cs="Times New Roman" w:eastAsia="Times New Roman" w:hint="default"/>
                <w:sz w:val="18"/>
                <w:szCs w:val="18"/>
              </w:rPr>
            </w:pPr>
            <w:r>
              <w:rPr>
                <w:rFonts w:ascii="Times New Roman"/>
                <w:spacing w:val="-1"/>
                <w:sz w:val="18"/>
              </w:rPr>
              <w:t>273,309.74</w:t>
            </w:r>
          </w:p>
        </w:tc>
      </w:tr>
      <w:tr>
        <w:trPr>
          <w:trHeight w:val="490"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26" w:lineRule="exact" w:before="35"/>
              <w:ind w:left="33" w:right="196" w:firstLine="36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w:t>
            </w:r>
            <w:r>
              <w:rPr>
                <w:rFonts w:ascii="宋体" w:hAnsi="宋体" w:cs="宋体" w:eastAsia="宋体" w:hint="default"/>
                <w:spacing w:val="2"/>
                <w:w w:val="99"/>
                <w:sz w:val="18"/>
                <w:szCs w:val="18"/>
              </w:rPr>
              <w:t> </w:t>
            </w:r>
            <w:r>
              <w:rPr>
                <w:rFonts w:ascii="宋体" w:hAnsi="宋体" w:cs="宋体" w:eastAsia="宋体" w:hint="default"/>
                <w:sz w:val="18"/>
                <w:szCs w:val="18"/>
              </w:rPr>
              <w:t>期资产的损失（收益以“－ </w:t>
            </w:r>
            <w:r>
              <w:rPr>
                <w:rFonts w:ascii="宋体" w:hAnsi="宋体" w:cs="宋体" w:eastAsia="宋体" w:hint="default"/>
                <w:spacing w:val="21"/>
                <w:sz w:val="18"/>
                <w:szCs w:val="18"/>
              </w:rPr>
              <w:t> </w:t>
            </w:r>
            <w:r>
              <w:rPr>
                <w:rFonts w:ascii="宋体" w:hAnsi="宋体" w:cs="宋体" w:eastAsia="宋体" w:hint="default"/>
                <w:sz w:val="18"/>
                <w:szCs w:val="18"/>
              </w:rPr>
              <w:t>”号填</w:t>
            </w: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377,472.44</w:t>
            </w: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spacing w:val="-1"/>
                <w:sz w:val="18"/>
              </w:rPr>
              <w:t>214,615.65</w:t>
            </w:r>
          </w:p>
        </w:tc>
      </w:tr>
      <w:tr>
        <w:trPr>
          <w:trHeight w:val="303"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03" w:lineRule="exact"/>
              <w:ind w:left="3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nil" w:sz="6" w:space="0" w:color="auto"/>
              <w:right w:val="nil" w:sz="6" w:space="0" w:color="auto"/>
            </w:tcBorders>
          </w:tcPr>
          <w:p>
            <w:pPr/>
          </w:p>
        </w:tc>
      </w:tr>
    </w:tbl>
    <w:p>
      <w:pPr>
        <w:spacing w:line="160" w:lineRule="exact" w:before="0"/>
        <w:ind w:left="544" w:right="537" w:firstLine="0"/>
        <w:jc w:val="left"/>
        <w:rPr>
          <w:rFonts w:ascii="宋体" w:hAnsi="宋体" w:cs="宋体" w:eastAsia="宋体" w:hint="default"/>
          <w:sz w:val="18"/>
          <w:szCs w:val="18"/>
        </w:rPr>
      </w:pPr>
      <w:r>
        <w:rPr>
          <w:rFonts w:ascii="宋体" w:hAnsi="宋体" w:cs="宋体" w:eastAsia="宋体" w:hint="default"/>
          <w:sz w:val="18"/>
          <w:szCs w:val="18"/>
        </w:rPr>
        <w:t>固定资产报废损失（收益以“－”</w:t>
      </w:r>
    </w:p>
    <w:p>
      <w:pPr>
        <w:tabs>
          <w:tab w:pos="5947" w:val="left" w:leader="none"/>
          <w:tab w:pos="8745" w:val="left" w:leader="none"/>
        </w:tabs>
        <w:spacing w:line="274" w:lineRule="exact" w:before="0"/>
        <w:ind w:left="180" w:right="31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号填列）</w:t>
        <w:tab/>
      </w:r>
      <w:r>
        <w:rPr>
          <w:rFonts w:ascii="Times New Roman" w:hAnsi="Times New Roman" w:cs="Times New Roman" w:eastAsia="Times New Roman" w:hint="default"/>
          <w:w w:val="95"/>
          <w:position w:val="13"/>
          <w:sz w:val="18"/>
          <w:szCs w:val="18"/>
        </w:rPr>
        <w:t>-</w:t>
        <w:tab/>
      </w:r>
      <w:r>
        <w:rPr>
          <w:rFonts w:ascii="Times New Roman" w:hAnsi="Times New Roman" w:cs="Times New Roman" w:eastAsia="Times New Roman" w:hint="default"/>
          <w:position w:val="13"/>
          <w:sz w:val="18"/>
          <w:szCs w:val="18"/>
        </w:rPr>
        <w:t>-</w:t>
      </w:r>
      <w:r>
        <w:rPr>
          <w:rFonts w:ascii="Times New Roman" w:hAnsi="Times New Roman" w:cs="Times New Roman" w:eastAsia="Times New Roman" w:hint="default"/>
          <w:sz w:val="18"/>
          <w:szCs w:val="18"/>
        </w:rPr>
      </w:r>
    </w:p>
    <w:p>
      <w:pPr>
        <w:spacing w:line="187" w:lineRule="exact" w:before="113"/>
        <w:ind w:left="544" w:right="537" w:firstLine="0"/>
        <w:jc w:val="left"/>
        <w:rPr>
          <w:rFonts w:ascii="宋体" w:hAnsi="宋体" w:cs="宋体" w:eastAsia="宋体" w:hint="default"/>
          <w:sz w:val="18"/>
          <w:szCs w:val="18"/>
        </w:rPr>
      </w:pPr>
      <w:r>
        <w:rPr>
          <w:rFonts w:ascii="宋体" w:hAnsi="宋体" w:cs="宋体" w:eastAsia="宋体" w:hint="default"/>
          <w:sz w:val="18"/>
          <w:szCs w:val="18"/>
        </w:rPr>
        <w:t>公允价值变动损失（收益以“－”</w:t>
      </w:r>
    </w:p>
    <w:p>
      <w:pPr>
        <w:tabs>
          <w:tab w:pos="5947" w:val="left" w:leader="none"/>
          <w:tab w:pos="8745" w:val="left" w:leader="none"/>
        </w:tabs>
        <w:spacing w:line="274" w:lineRule="exact" w:before="0"/>
        <w:ind w:left="180" w:right="31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号填列）</w:t>
        <w:tab/>
      </w:r>
      <w:r>
        <w:rPr>
          <w:rFonts w:ascii="Times New Roman" w:hAnsi="Times New Roman" w:cs="Times New Roman" w:eastAsia="Times New Roman" w:hint="default"/>
          <w:w w:val="95"/>
          <w:position w:val="13"/>
          <w:sz w:val="18"/>
          <w:szCs w:val="18"/>
        </w:rPr>
        <w:t>-</w:t>
        <w:tab/>
      </w:r>
      <w:r>
        <w:rPr>
          <w:rFonts w:ascii="Times New Roman" w:hAnsi="Times New Roman" w:cs="Times New Roman" w:eastAsia="Times New Roman" w:hint="default"/>
          <w:position w:val="13"/>
          <w:sz w:val="18"/>
          <w:szCs w:val="18"/>
        </w:rPr>
        <w:t>-</w:t>
      </w:r>
      <w:r>
        <w:rPr>
          <w:rFonts w:ascii="Times New Roman" w:hAnsi="Times New Roman" w:cs="Times New Roman" w:eastAsia="Times New Roman" w:hint="default"/>
          <w:sz w:val="18"/>
          <w:szCs w:val="18"/>
        </w:rPr>
      </w:r>
    </w:p>
    <w:p>
      <w:pPr>
        <w:tabs>
          <w:tab w:pos="5233" w:val="left" w:leader="none"/>
          <w:tab w:pos="8032" w:val="left" w:leader="none"/>
        </w:tabs>
        <w:spacing w:before="112"/>
        <w:ind w:left="54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财务费用（收益以“－”号填列）</w:t>
        <w:tab/>
      </w:r>
      <w:r>
        <w:rPr>
          <w:rFonts w:ascii="Times New Roman" w:hAnsi="Times New Roman" w:cs="Times New Roman" w:eastAsia="Times New Roman" w:hint="default"/>
          <w:position w:val="2"/>
          <w:sz w:val="18"/>
          <w:szCs w:val="18"/>
        </w:rPr>
        <w:t>3,739,613.60</w:t>
        <w:tab/>
        <w:t>5,475,211.50</w:t>
      </w:r>
      <w:r>
        <w:rPr>
          <w:rFonts w:ascii="Times New Roman" w:hAnsi="Times New Roman" w:cs="Times New Roman" w:eastAsia="Times New Roman" w:hint="default"/>
          <w:sz w:val="18"/>
          <w:szCs w:val="18"/>
        </w:rPr>
      </w:r>
    </w:p>
    <w:p>
      <w:pPr>
        <w:tabs>
          <w:tab w:pos="5947" w:val="left" w:leader="none"/>
        </w:tabs>
        <w:spacing w:before="116"/>
        <w:ind w:left="544" w:right="53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投资损失（收益以“－”号填列）</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spacing w:line="187" w:lineRule="exact" w:before="112"/>
        <w:ind w:left="544" w:right="537" w:firstLine="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tabs>
          <w:tab w:pos="5310" w:val="left" w:leader="none"/>
          <w:tab w:pos="8169" w:val="left" w:leader="none"/>
        </w:tabs>
        <w:spacing w:line="275" w:lineRule="exact" w:before="0"/>
        <w:ind w:left="180" w:right="0" w:firstLine="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”号填列）</w:t>
        <w:tab/>
      </w:r>
      <w:r>
        <w:rPr>
          <w:rFonts w:ascii="Times New Roman" w:hAnsi="Times New Roman" w:cs="Times New Roman" w:eastAsia="Times New Roman" w:hint="default"/>
          <w:sz w:val="18"/>
          <w:szCs w:val="18"/>
        </w:rPr>
        <w:t>-434,787.37</w:t>
        <w:tab/>
        <w:t>313,301.20</w:t>
      </w:r>
    </w:p>
    <w:p>
      <w:pPr>
        <w:spacing w:line="187" w:lineRule="exact" w:before="143"/>
        <w:ind w:left="544" w:right="537" w:firstLine="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tabs>
          <w:tab w:pos="5947" w:val="left" w:leader="none"/>
          <w:tab w:pos="8745" w:val="left" w:leader="none"/>
        </w:tabs>
        <w:spacing w:line="274" w:lineRule="exact" w:before="0"/>
        <w:ind w:left="180" w:right="31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”号填列）</w:t>
        <w:tab/>
      </w:r>
      <w:r>
        <w:rPr>
          <w:rFonts w:ascii="Times New Roman" w:hAnsi="Times New Roman" w:cs="Times New Roman" w:eastAsia="Times New Roman" w:hint="default"/>
          <w:w w:val="95"/>
          <w:position w:val="13"/>
          <w:sz w:val="18"/>
          <w:szCs w:val="18"/>
        </w:rPr>
        <w:t>-</w:t>
        <w:tab/>
      </w:r>
      <w:r>
        <w:rPr>
          <w:rFonts w:ascii="Times New Roman" w:hAnsi="Times New Roman" w:cs="Times New Roman" w:eastAsia="Times New Roman" w:hint="default"/>
          <w:position w:val="13"/>
          <w:sz w:val="18"/>
          <w:szCs w:val="18"/>
        </w:rPr>
        <w:t>-</w:t>
      </w:r>
      <w:r>
        <w:rPr>
          <w:rFonts w:ascii="Times New Roman" w:hAnsi="Times New Roman" w:cs="Times New Roman" w:eastAsia="Times New Roman" w:hint="default"/>
          <w:sz w:val="18"/>
          <w:szCs w:val="18"/>
        </w:rPr>
      </w:r>
    </w:p>
    <w:p>
      <w:pPr>
        <w:spacing w:line="226" w:lineRule="exact" w:before="121"/>
        <w:ind w:left="180" w:right="5781" w:firstLine="363"/>
        <w:jc w:val="left"/>
        <w:rPr>
          <w:rFonts w:ascii="宋体" w:hAnsi="宋体" w:cs="宋体" w:eastAsia="宋体" w:hint="default"/>
          <w:sz w:val="18"/>
          <w:szCs w:val="18"/>
        </w:rPr>
      </w:pPr>
      <w:r>
        <w:rPr/>
        <w:pict>
          <v:shape style="position:absolute;margin-left:335.387299pt;margin-top:7.719979pt;width:198.65pt;height:63.5pt;mso-position-horizontal-relative:page;mso-position-vertical-relative:paragraph;z-index:9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8"/>
                    <w:gridCol w:w="1985"/>
                  </w:tblGrid>
                  <w:tr>
                    <w:trPr>
                      <w:trHeight w:val="435"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44"/>
                          <w:jc w:val="right"/>
                          <w:rPr>
                            <w:rFonts w:ascii="Times New Roman" w:hAnsi="Times New Roman" w:cs="Times New Roman" w:eastAsia="Times New Roman" w:hint="default"/>
                            <w:sz w:val="18"/>
                            <w:szCs w:val="18"/>
                          </w:rPr>
                        </w:pPr>
                        <w:r>
                          <w:rPr>
                            <w:rFonts w:ascii="Times New Roman"/>
                            <w:sz w:val="18"/>
                          </w:rPr>
                          <w:t>-20,842,459.74</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w w:val="95"/>
                            <w:sz w:val="18"/>
                          </w:rPr>
                          <w:t>6,477,068.10</w:t>
                        </w:r>
                        <w:r>
                          <w:rPr>
                            <w:rFonts w:ascii="Times New Roman"/>
                            <w:sz w:val="18"/>
                          </w:rPr>
                        </w:r>
                      </w:p>
                    </w:tc>
                  </w:tr>
                  <w:tr>
                    <w:trPr>
                      <w:trHeight w:val="495"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843"/>
                          <w:jc w:val="right"/>
                          <w:rPr>
                            <w:rFonts w:ascii="Times New Roman" w:hAnsi="Times New Roman" w:cs="Times New Roman" w:eastAsia="Times New Roman" w:hint="default"/>
                            <w:sz w:val="18"/>
                            <w:szCs w:val="18"/>
                          </w:rPr>
                        </w:pPr>
                        <w:r>
                          <w:rPr>
                            <w:rFonts w:ascii="Times New Roman"/>
                            <w:sz w:val="18"/>
                          </w:rPr>
                          <w:t>7,584,534.35</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Times New Roman" w:hAnsi="Times New Roman" w:cs="Times New Roman" w:eastAsia="Times New Roman" w:hint="default"/>
                            <w:sz w:val="18"/>
                            <w:szCs w:val="18"/>
                          </w:rPr>
                        </w:pPr>
                        <w:r>
                          <w:rPr>
                            <w:rFonts w:ascii="Times New Roman"/>
                            <w:w w:val="95"/>
                            <w:sz w:val="18"/>
                          </w:rPr>
                          <w:t>-54,596,410.85</w:t>
                        </w:r>
                        <w:r>
                          <w:rPr>
                            <w:rFonts w:ascii="Times New Roman"/>
                            <w:sz w:val="18"/>
                          </w:rPr>
                        </w:r>
                      </w:p>
                    </w:tc>
                  </w:tr>
                  <w:tr>
                    <w:trPr>
                      <w:trHeight w:val="339"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844"/>
                          <w:jc w:val="right"/>
                          <w:rPr>
                            <w:rFonts w:ascii="Times New Roman" w:hAnsi="Times New Roman" w:cs="Times New Roman" w:eastAsia="Times New Roman" w:hint="default"/>
                            <w:sz w:val="18"/>
                            <w:szCs w:val="18"/>
                          </w:rPr>
                        </w:pPr>
                        <w:r>
                          <w:rPr>
                            <w:rFonts w:ascii="Times New Roman"/>
                            <w:sz w:val="18"/>
                          </w:rPr>
                          <w:t>-11,239,520.17</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Times New Roman" w:hAnsi="Times New Roman" w:cs="Times New Roman" w:eastAsia="Times New Roman" w:hint="default"/>
                            <w:sz w:val="18"/>
                            <w:szCs w:val="18"/>
                          </w:rPr>
                        </w:pPr>
                        <w:r>
                          <w:rPr>
                            <w:rFonts w:ascii="Times New Roman"/>
                            <w:w w:val="95"/>
                            <w:sz w:val="18"/>
                          </w:rPr>
                          <w:t>32,395,449.57</w:t>
                        </w:r>
                        <w:r>
                          <w:rPr>
                            <w:rFonts w:ascii="Times New Roman"/>
                            <w:sz w:val="18"/>
                          </w:rPr>
                        </w:r>
                      </w:p>
                    </w:tc>
                  </w:tr>
                </w:tbl>
                <w:p>
                  <w:pPr/>
                </w:p>
              </w:txbxContent>
            </v:textbox>
            <w10:wrap type="none"/>
          </v:shape>
        </w:pict>
      </w:r>
      <w:r>
        <w:rPr>
          <w:rFonts w:ascii="宋体" w:hAnsi="宋体" w:cs="宋体" w:eastAsia="宋体" w:hint="default"/>
          <w:sz w:val="18"/>
          <w:szCs w:val="18"/>
        </w:rPr>
        <w:t>存货的减少（增加以“－”号填</w:t>
      </w:r>
      <w:r>
        <w:rPr>
          <w:rFonts w:ascii="宋体" w:hAnsi="宋体" w:cs="宋体" w:eastAsia="宋体" w:hint="default"/>
          <w:spacing w:val="2"/>
          <w:w w:val="99"/>
          <w:sz w:val="18"/>
          <w:szCs w:val="18"/>
        </w:rPr>
        <w:t> </w:t>
      </w:r>
      <w:r>
        <w:rPr>
          <w:rFonts w:ascii="宋体" w:hAnsi="宋体" w:cs="宋体" w:eastAsia="宋体" w:hint="default"/>
          <w:sz w:val="18"/>
          <w:szCs w:val="18"/>
        </w:rPr>
        <w:t>列）</w:t>
      </w:r>
    </w:p>
    <w:p>
      <w:pPr>
        <w:spacing w:line="231" w:lineRule="exact" w:before="9"/>
        <w:ind w:left="544" w:right="537" w:firstLine="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spacing w:line="231" w:lineRule="exact" w:before="0"/>
        <w:ind w:left="180" w:right="537" w:firstLine="0"/>
        <w:jc w:val="left"/>
        <w:rPr>
          <w:rFonts w:ascii="宋体" w:hAnsi="宋体" w:cs="宋体" w:eastAsia="宋体" w:hint="default"/>
          <w:sz w:val="18"/>
          <w:szCs w:val="18"/>
        </w:rPr>
      </w:pPr>
      <w:r>
        <w:rPr>
          <w:rFonts w:ascii="宋体" w:hAnsi="宋体" w:cs="宋体" w:eastAsia="宋体" w:hint="default"/>
          <w:sz w:val="18"/>
          <w:szCs w:val="18"/>
        </w:rPr>
        <w:t>－”号填列）</w:t>
      </w:r>
    </w:p>
    <w:p>
      <w:pPr>
        <w:spacing w:line="230" w:lineRule="exact" w:before="38"/>
        <w:ind w:left="544" w:right="537" w:firstLine="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spacing w:line="230" w:lineRule="exact" w:before="0"/>
        <w:ind w:left="180" w:right="537" w:firstLine="0"/>
        <w:jc w:val="left"/>
        <w:rPr>
          <w:rFonts w:ascii="宋体" w:hAnsi="宋体" w:cs="宋体" w:eastAsia="宋体" w:hint="default"/>
          <w:sz w:val="18"/>
          <w:szCs w:val="18"/>
        </w:rPr>
      </w:pPr>
      <w:r>
        <w:rPr>
          <w:rFonts w:ascii="宋体" w:hAnsi="宋体" w:cs="宋体" w:eastAsia="宋体" w:hint="default"/>
          <w:sz w:val="18"/>
          <w:szCs w:val="18"/>
        </w:rPr>
        <w:t>－”号填列）</w:t>
      </w:r>
    </w:p>
    <w:p>
      <w:pPr>
        <w:tabs>
          <w:tab w:pos="5947" w:val="left" w:leader="none"/>
          <w:tab w:pos="8745" w:val="left" w:leader="none"/>
        </w:tabs>
        <w:spacing w:before="76"/>
        <w:ind w:left="544" w:right="31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tab/>
      </w:r>
      <w:r>
        <w:rPr>
          <w:rFonts w:ascii="Times New Roman" w:hAnsi="Times New Roman" w:cs="Times New Roman" w:eastAsia="Times New Roman" w:hint="default"/>
          <w:w w:val="95"/>
          <w:position w:val="2"/>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spacing w:line="240" w:lineRule="auto" w:before="1"/>
        <w:rPr>
          <w:rFonts w:ascii="Times New Roman" w:hAnsi="Times New Roman" w:cs="Times New Roman" w:eastAsia="Times New Roman" w:hint="default"/>
          <w:sz w:val="6"/>
          <w:szCs w:val="6"/>
        </w:rPr>
      </w:pPr>
    </w:p>
    <w:p>
      <w:pPr>
        <w:tabs>
          <w:tab w:pos="6752" w:val="left" w:leader="none"/>
        </w:tabs>
        <w:spacing w:line="21" w:lineRule="exact"/>
        <w:ind w:left="3953" w:right="0" w:firstLine="0"/>
        <w:rPr>
          <w:rFonts w:ascii="Times New Roman" w:hAnsi="Times New Roman" w:cs="Times New Roman" w:eastAsia="Times New Roman" w:hint="default"/>
          <w:sz w:val="2"/>
          <w:szCs w:val="2"/>
        </w:rPr>
      </w:pPr>
      <w:r>
        <w:rPr>
          <w:rFonts w:ascii="Times New Roman"/>
          <w:sz w:val="2"/>
        </w:rPr>
        <w:pict>
          <v:group style="width:116.35pt;height:1.05pt;mso-position-horizontal-relative:char;mso-position-vertical-relative:line" coordorigin="0,0" coordsize="2327,21">
            <v:group style="position:absolute;left:8;top:1;width:2308;height:2" coordorigin="8,1" coordsize="2308,2">
              <v:shape style="position:absolute;left:8;top:1;width:2308;height:2" coordorigin="8,1" coordsize="2308,0" path="m8,1l2316,1e" filled="false" stroked="true" strokeweight=".06pt" strokecolor="#000000">
                <v:path arrowok="t"/>
              </v:shape>
            </v:group>
            <v:group style="position:absolute;left:10;top:11;width:2308;height:2" coordorigin="10,11" coordsize="2308,2">
              <v:shape style="position:absolute;left:10;top:11;width:2308;height:2" coordorigin="10,11" coordsize="2308,0" path="m10,11l2317,11e" filled="false" stroked="true" strokeweight=".95999pt" strokecolor="#000000">
                <v:path arrowok="t"/>
              </v:shape>
            </v:group>
          </v:group>
        </w:pict>
      </w:r>
      <w:r>
        <w:rPr>
          <w:rFonts w:ascii="Times New Roman"/>
          <w:sz w:val="2"/>
        </w:rPr>
      </w:r>
      <w:r>
        <w:rPr>
          <w:rFonts w:ascii="Times New Roman"/>
          <w:sz w:val="2"/>
        </w:rPr>
        <w:tab/>
      </w:r>
      <w:r>
        <w:rPr>
          <w:rFonts w:ascii="Times New Roman"/>
          <w:sz w:val="2"/>
        </w:rPr>
        <w:pict>
          <v:group style="width:116.35pt;height:1.05pt;mso-position-horizontal-relative:char;mso-position-vertical-relative:line" coordorigin="0,0" coordsize="2327,21">
            <v:group style="position:absolute;left:8;top:1;width:2308;height:2" coordorigin="8,1" coordsize="2308,2">
              <v:shape style="position:absolute;left:8;top:1;width:2308;height:2" coordorigin="8,1" coordsize="2308,0" path="m8,1l2316,1e" filled="false" stroked="true" strokeweight=".06pt" strokecolor="#000000">
                <v:path arrowok="t"/>
              </v:shape>
            </v:group>
            <v:group style="position:absolute;left:10;top:11;width:2308;height:2" coordorigin="10,11" coordsize="2308,2">
              <v:shape style="position:absolute;left:10;top:11;width:2308;height:2" coordorigin="10,11" coordsize="2308,0" path="m10,11l2317,11e" filled="false" stroked="true" strokeweight=".95999pt" strokecolor="#000000">
                <v:path arrowok="t"/>
              </v:shape>
            </v:group>
          </v:group>
        </w:pict>
      </w:r>
      <w:r>
        <w:rPr>
          <w:rFonts w:ascii="Times New Roman"/>
          <w:sz w:val="2"/>
        </w:rPr>
      </w:r>
    </w:p>
    <w:p>
      <w:pPr>
        <w:tabs>
          <w:tab w:pos="5142" w:val="left" w:leader="none"/>
          <w:tab w:pos="7941" w:val="left" w:leader="none"/>
        </w:tabs>
        <w:spacing w:before="0"/>
        <w:ind w:left="180" w:right="0" w:firstLine="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pacing w:val="3"/>
          <w:sz w:val="18"/>
          <w:szCs w:val="18"/>
        </w:rPr>
        <w:t>经营活动产生的现金流量净额</w:t>
        <w:tab/>
      </w:r>
      <w:r>
        <w:rPr>
          <w:rFonts w:ascii="Times New Roman" w:hAnsi="Times New Roman" w:cs="Times New Roman" w:eastAsia="Times New Roman" w:hint="default"/>
          <w:position w:val="2"/>
          <w:sz w:val="18"/>
          <w:szCs w:val="18"/>
        </w:rPr>
        <w:t>73,782,493.73</w:t>
        <w:tab/>
        <w:t>76,171,947.98</w:t>
      </w:r>
      <w:r>
        <w:rPr>
          <w:rFonts w:ascii="Times New Roman" w:hAnsi="Times New Roman" w:cs="Times New Roman" w:eastAsia="Times New Roman" w:hint="default"/>
          <w:sz w:val="18"/>
          <w:szCs w:val="18"/>
        </w:rPr>
      </w:r>
    </w:p>
    <w:p>
      <w:pPr>
        <w:spacing w:line="240" w:lineRule="auto" w:before="9"/>
        <w:rPr>
          <w:rFonts w:ascii="Times New Roman" w:hAnsi="Times New Roman" w:cs="Times New Roman" w:eastAsia="Times New Roman" w:hint="default"/>
          <w:sz w:val="2"/>
          <w:szCs w:val="2"/>
        </w:rPr>
      </w:pPr>
    </w:p>
    <w:p>
      <w:pPr>
        <w:tabs>
          <w:tab w:pos="6752" w:val="left" w:leader="none"/>
        </w:tabs>
        <w:spacing w:line="57" w:lineRule="exact"/>
        <w:ind w:left="3953" w:right="0" w:firstLine="0"/>
        <w:rPr>
          <w:rFonts w:ascii="Times New Roman" w:hAnsi="Times New Roman" w:cs="Times New Roman" w:eastAsia="Times New Roman" w:hint="default"/>
          <w:sz w:val="5"/>
          <w:szCs w:val="5"/>
        </w:rPr>
      </w:pPr>
      <w:r>
        <w:rPr>
          <w:rFonts w:ascii="Times New Roman"/>
          <w:position w:val="0"/>
          <w:sz w:val="5"/>
        </w:rPr>
        <w:pict>
          <v:group style="width:116.35pt;height:2.9pt;mso-position-horizontal-relative:char;mso-position-vertical-relative:line" coordorigin="0,0" coordsize="2327,58">
            <v:group style="position:absolute;left:10;top:10;width:2308;height:2" coordorigin="10,10" coordsize="2308,2">
              <v:shape style="position:absolute;left:10;top:10;width:2308;height:2" coordorigin="10,10" coordsize="2308,0" path="m10,10l2317,10e" filled="false" stroked="true" strokeweight=".96002pt" strokecolor="#000000">
                <v:path arrowok="t"/>
              </v:shape>
            </v:group>
            <v:group style="position:absolute;left:10;top:48;width:2308;height:2" coordorigin="10,48" coordsize="2308,2">
              <v:shape style="position:absolute;left:10;top:48;width:2308;height:2" coordorigin="10,48" coordsize="2308,0" path="m10,48l2317,48e" filled="false" stroked="true" strokeweight=".95999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116.35pt;height:2.9pt;mso-position-horizontal-relative:char;mso-position-vertical-relative:line" coordorigin="0,0" coordsize="2327,58">
            <v:group style="position:absolute;left:10;top:10;width:2308;height:2" coordorigin="10,10" coordsize="2308,2">
              <v:shape style="position:absolute;left:10;top:10;width:2308;height:2" coordorigin="10,10" coordsize="2308,0" path="m10,10l2317,10e" filled="false" stroked="true" strokeweight=".96002pt" strokecolor="#000000">
                <v:path arrowok="t"/>
              </v:shape>
            </v:group>
            <v:group style="position:absolute;left:10;top:48;width:2308;height:2" coordorigin="10,48" coordsize="2308,2">
              <v:shape style="position:absolute;left:10;top:48;width:2308;height:2" coordorigin="10,48" coordsize="2308,0" path="m10,48l2317,48e" filled="false" stroked="true" strokeweight=".95999pt" strokecolor="#000000">
                <v:path arrowok="t"/>
              </v:shape>
            </v:group>
          </v:group>
        </w:pict>
      </w:r>
      <w:r>
        <w:rPr>
          <w:rFonts w:ascii="Times New Roman"/>
          <w:position w:val="0"/>
          <w:sz w:val="5"/>
        </w:rPr>
      </w:r>
    </w:p>
    <w:p>
      <w:pPr>
        <w:spacing w:line="172" w:lineRule="auto" w:before="0"/>
        <w:ind w:left="180" w:right="576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2、不涉及现金收支的重大投资和筹资活</w:t>
      </w:r>
      <w:r>
        <w:rPr>
          <w:rFonts w:ascii="Microsoft JhengHei" w:hAnsi="Microsoft JhengHei" w:cs="Microsoft JhengHei" w:eastAsia="Microsoft JhengHei" w:hint="default"/>
          <w:b/>
          <w:bCs/>
          <w:w w:val="99"/>
          <w:sz w:val="18"/>
          <w:szCs w:val="18"/>
        </w:rPr>
        <w:t> </w:t>
      </w:r>
      <w:r>
        <w:rPr>
          <w:rFonts w:ascii="Microsoft JhengHei" w:hAnsi="Microsoft JhengHei" w:cs="Microsoft JhengHei" w:eastAsia="Microsoft JhengHei" w:hint="default"/>
          <w:b/>
          <w:bCs/>
          <w:spacing w:val="5"/>
          <w:sz w:val="18"/>
          <w:szCs w:val="18"/>
        </w:rPr>
        <w:t>动：</w:t>
      </w:r>
      <w:r>
        <w:rPr>
          <w:rFonts w:ascii="Microsoft JhengHei" w:hAnsi="Microsoft JhengHei" w:cs="Microsoft JhengHei" w:eastAsia="Microsoft JhengHei" w:hint="default"/>
          <w:sz w:val="18"/>
          <w:szCs w:val="18"/>
        </w:rPr>
      </w:r>
    </w:p>
    <w:p>
      <w:pPr>
        <w:tabs>
          <w:tab w:pos="5947" w:val="left" w:leader="none"/>
          <w:tab w:pos="8745" w:val="left" w:leader="none"/>
        </w:tabs>
        <w:spacing w:before="72"/>
        <w:ind w:left="180" w:right="31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债务转为资本</w:t>
        <w:tab/>
      </w:r>
      <w:r>
        <w:rPr>
          <w:rFonts w:ascii="Times New Roman" w:hAnsi="Times New Roman" w:cs="Times New Roman" w:eastAsia="Times New Roman" w:hint="default"/>
          <w:w w:val="95"/>
          <w:position w:val="2"/>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5947" w:val="left" w:leader="none"/>
          <w:tab w:pos="8745" w:val="left" w:leader="none"/>
        </w:tabs>
        <w:spacing w:before="117"/>
        <w:ind w:left="180" w:right="31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一年内到期的可转换公司债券</w:t>
        <w:tab/>
      </w:r>
      <w:r>
        <w:rPr>
          <w:rFonts w:ascii="Times New Roman" w:hAnsi="Times New Roman" w:cs="Times New Roman" w:eastAsia="Times New Roman" w:hint="default"/>
          <w:w w:val="95"/>
          <w:position w:val="2"/>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5947" w:val="left" w:leader="none"/>
          <w:tab w:pos="8745" w:val="left" w:leader="none"/>
        </w:tabs>
        <w:spacing w:before="116"/>
        <w:ind w:left="180" w:right="31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融资租入固定资产</w:t>
        <w:tab/>
      </w:r>
      <w:r>
        <w:rPr>
          <w:rFonts w:ascii="Times New Roman" w:hAnsi="Times New Roman" w:cs="Times New Roman" w:eastAsia="Times New Roman" w:hint="default"/>
          <w:w w:val="95"/>
          <w:position w:val="2"/>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spacing w:before="60"/>
        <w:ind w:left="180" w:right="537"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3、现金及现金等价物净变动情况：</w:t>
      </w:r>
      <w:r>
        <w:rPr>
          <w:rFonts w:ascii="Microsoft JhengHei" w:hAnsi="Microsoft JhengHei" w:cs="Microsoft JhengHei" w:eastAsia="Microsoft JhengHei" w:hint="default"/>
          <w:spacing w:val="3"/>
          <w:sz w:val="18"/>
          <w:szCs w:val="18"/>
        </w:rPr>
      </w:r>
    </w:p>
    <w:p>
      <w:pPr>
        <w:tabs>
          <w:tab w:pos="5051" w:val="left" w:leader="none"/>
          <w:tab w:pos="7941" w:val="left" w:leader="none"/>
        </w:tabs>
        <w:spacing w:before="95"/>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现金的期末余额</w:t>
        <w:tab/>
      </w:r>
      <w:r>
        <w:rPr>
          <w:rFonts w:ascii="Times New Roman" w:hAnsi="Times New Roman" w:cs="Times New Roman" w:eastAsia="Times New Roman" w:hint="default"/>
          <w:position w:val="2"/>
          <w:sz w:val="18"/>
          <w:szCs w:val="18"/>
        </w:rPr>
        <w:t>178,471,201.10</w:t>
        <w:tab/>
        <w:t>75,389,695.93</w:t>
      </w:r>
      <w:r>
        <w:rPr>
          <w:rFonts w:ascii="Times New Roman" w:hAnsi="Times New Roman" w:cs="Times New Roman" w:eastAsia="Times New Roman" w:hint="default"/>
          <w:sz w:val="18"/>
          <w:szCs w:val="18"/>
        </w:rPr>
      </w:r>
    </w:p>
    <w:p>
      <w:pPr>
        <w:tabs>
          <w:tab w:pos="5142" w:val="left" w:leader="none"/>
          <w:tab w:pos="7941" w:val="left" w:leader="none"/>
        </w:tabs>
        <w:spacing w:before="117"/>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减：现金的期初余额</w:t>
        <w:tab/>
      </w:r>
      <w:r>
        <w:rPr>
          <w:rFonts w:ascii="Times New Roman" w:hAnsi="Times New Roman" w:cs="Times New Roman" w:eastAsia="Times New Roman" w:hint="default"/>
          <w:position w:val="2"/>
          <w:sz w:val="18"/>
          <w:szCs w:val="18"/>
        </w:rPr>
        <w:t>75,389,695.93</w:t>
        <w:tab/>
        <w:t>62,411,687.59</w:t>
      </w:r>
      <w:r>
        <w:rPr>
          <w:rFonts w:ascii="Times New Roman" w:hAnsi="Times New Roman" w:cs="Times New Roman" w:eastAsia="Times New Roman" w:hint="default"/>
          <w:sz w:val="18"/>
          <w:szCs w:val="18"/>
        </w:rPr>
      </w:r>
    </w:p>
    <w:p>
      <w:pPr>
        <w:tabs>
          <w:tab w:pos="5947" w:val="left" w:leader="none"/>
          <w:tab w:pos="8745" w:val="left" w:leader="none"/>
        </w:tabs>
        <w:spacing w:before="116"/>
        <w:ind w:left="180" w:right="31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加：现金等价物的期末余额</w:t>
        <w:tab/>
      </w:r>
      <w:r>
        <w:rPr>
          <w:rFonts w:ascii="Times New Roman" w:hAnsi="Times New Roman" w:cs="Times New Roman" w:eastAsia="Times New Roman" w:hint="default"/>
          <w:w w:val="95"/>
          <w:position w:val="2"/>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5947" w:val="left" w:leader="none"/>
          <w:tab w:pos="8745" w:val="left" w:leader="none"/>
        </w:tabs>
        <w:spacing w:before="117"/>
        <w:ind w:left="180" w:right="31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减：现金等价物的期初余额</w:t>
        <w:tab/>
      </w:r>
      <w:r>
        <w:rPr>
          <w:rFonts w:ascii="Times New Roman" w:hAnsi="Times New Roman" w:cs="Times New Roman" w:eastAsia="Times New Roman" w:hint="default"/>
          <w:w w:val="95"/>
          <w:position w:val="2"/>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spacing w:line="240" w:lineRule="auto" w:before="5"/>
        <w:rPr>
          <w:rFonts w:ascii="Times New Roman" w:hAnsi="Times New Roman" w:cs="Times New Roman" w:eastAsia="Times New Roman" w:hint="default"/>
          <w:sz w:val="5"/>
          <w:szCs w:val="5"/>
        </w:rPr>
      </w:pPr>
    </w:p>
    <w:p>
      <w:pPr>
        <w:tabs>
          <w:tab w:pos="6752" w:val="left" w:leader="none"/>
        </w:tabs>
        <w:spacing w:line="20" w:lineRule="exact"/>
        <w:ind w:left="3954" w:right="0" w:firstLine="0"/>
        <w:rPr>
          <w:rFonts w:ascii="Times New Roman" w:hAnsi="Times New Roman" w:cs="Times New Roman" w:eastAsia="Times New Roman" w:hint="default"/>
          <w:sz w:val="2"/>
          <w:szCs w:val="2"/>
        </w:rPr>
      </w:pPr>
      <w:r>
        <w:rPr>
          <w:rFonts w:ascii="Times New Roman"/>
          <w:sz w:val="2"/>
        </w:rPr>
        <w:pict>
          <v:group style="width:116.3pt;height:1pt;mso-position-horizontal-relative:char;mso-position-vertical-relative:line" coordorigin="0,0" coordsize="2326,20">
            <v:group style="position:absolute;left:8;top:1;width:2308;height:2" coordorigin="8,1" coordsize="2308,2">
              <v:shape style="position:absolute;left:8;top:1;width:2308;height:2" coordorigin="8,1" coordsize="2308,0" path="m8,1l2315,1e" filled="false" stroked="true" strokeweight=".06pt" strokecolor="#000000">
                <v:path arrowok="t"/>
              </v:shape>
            </v:group>
            <v:group style="position:absolute;left:9;top:11;width:2308;height:2" coordorigin="9,11" coordsize="2308,2">
              <v:shape style="position:absolute;left:9;top:11;width:2308;height:2" coordorigin="9,11" coordsize="2308,0" path="m9,11l2317,11e" filled="false" stroked="true" strokeweight=".89999pt" strokecolor="#000000">
                <v:path arrowok="t"/>
              </v:shape>
            </v:group>
          </v:group>
        </w:pict>
      </w:r>
      <w:r>
        <w:rPr>
          <w:rFonts w:ascii="Times New Roman"/>
          <w:sz w:val="2"/>
        </w:rPr>
      </w:r>
      <w:r>
        <w:rPr>
          <w:rFonts w:ascii="Times New Roman"/>
          <w:sz w:val="2"/>
        </w:rPr>
        <w:tab/>
      </w:r>
      <w:r>
        <w:rPr>
          <w:rFonts w:ascii="Times New Roman"/>
          <w:sz w:val="2"/>
        </w:rPr>
        <w:pict>
          <v:group style="width:116.3pt;height:1pt;mso-position-horizontal-relative:char;mso-position-vertical-relative:line" coordorigin="0,0" coordsize="2326,20">
            <v:group style="position:absolute;left:8;top:1;width:2308;height:2" coordorigin="8,1" coordsize="2308,2">
              <v:shape style="position:absolute;left:8;top:1;width:2308;height:2" coordorigin="8,1" coordsize="2308,0" path="m8,1l2315,1e" filled="false" stroked="true" strokeweight=".06pt" strokecolor="#000000">
                <v:path arrowok="t"/>
              </v:shape>
            </v:group>
            <v:group style="position:absolute;left:9;top:11;width:2308;height:2" coordorigin="9,11" coordsize="2308,2">
              <v:shape style="position:absolute;left:9;top:11;width:2308;height:2" coordorigin="9,11" coordsize="2308,0" path="m9,11l2317,11e" filled="false" stroked="true" strokeweight=".89999pt" strokecolor="#000000">
                <v:path arrowok="t"/>
              </v:shape>
            </v:group>
          </v:group>
        </w:pict>
      </w:r>
      <w:r>
        <w:rPr>
          <w:rFonts w:ascii="Times New Roman"/>
          <w:sz w:val="2"/>
        </w:rPr>
      </w:r>
    </w:p>
    <w:p>
      <w:pPr>
        <w:tabs>
          <w:tab w:pos="5051" w:val="left" w:leader="none"/>
          <w:tab w:pos="7941" w:val="left" w:leader="none"/>
        </w:tabs>
        <w:spacing w:before="33"/>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现金及现金等价物净增加额</w:t>
        <w:tab/>
      </w:r>
      <w:r>
        <w:rPr>
          <w:rFonts w:ascii="Times New Roman" w:hAnsi="Times New Roman" w:cs="Times New Roman" w:eastAsia="Times New Roman" w:hint="default"/>
          <w:position w:val="2"/>
          <w:sz w:val="18"/>
          <w:szCs w:val="18"/>
        </w:rPr>
        <w:t>103,081,505.17</w:t>
        <w:tab/>
        <w:t>12,978,008.34</w:t>
      </w:r>
      <w:r>
        <w:rPr>
          <w:rFonts w:ascii="Times New Roman" w:hAnsi="Times New Roman" w:cs="Times New Roman" w:eastAsia="Times New Roman" w:hint="default"/>
          <w:sz w:val="18"/>
          <w:szCs w:val="18"/>
        </w:rPr>
      </w:r>
    </w:p>
    <w:p>
      <w:pPr>
        <w:spacing w:line="240" w:lineRule="auto" w:before="11"/>
        <w:rPr>
          <w:rFonts w:ascii="Times New Roman" w:hAnsi="Times New Roman" w:cs="Times New Roman" w:eastAsia="Times New Roman" w:hint="default"/>
          <w:sz w:val="3"/>
          <w:szCs w:val="3"/>
        </w:rPr>
      </w:pPr>
    </w:p>
    <w:p>
      <w:pPr>
        <w:tabs>
          <w:tab w:pos="6752" w:val="left" w:leader="none"/>
        </w:tabs>
        <w:spacing w:line="57" w:lineRule="exact"/>
        <w:ind w:left="3953" w:right="0" w:firstLine="0"/>
        <w:rPr>
          <w:rFonts w:ascii="Times New Roman" w:hAnsi="Times New Roman" w:cs="Times New Roman" w:eastAsia="Times New Roman" w:hint="default"/>
          <w:sz w:val="5"/>
          <w:szCs w:val="5"/>
        </w:rPr>
      </w:pPr>
      <w:r>
        <w:rPr>
          <w:rFonts w:ascii="Times New Roman"/>
          <w:position w:val="0"/>
          <w:sz w:val="5"/>
        </w:rPr>
        <w:pict>
          <v:group style="width:116.35pt;height:2.9pt;mso-position-horizontal-relative:char;mso-position-vertical-relative:line" coordorigin="0,0" coordsize="2327,58">
            <v:group style="position:absolute;left:10;top:10;width:2308;height:2" coordorigin="10,10" coordsize="2308,2">
              <v:shape style="position:absolute;left:10;top:10;width:2308;height:2" coordorigin="10,10" coordsize="2308,0" path="m10,10l2317,10e" filled="false" stroked="true" strokeweight=".96001pt" strokecolor="#000000">
                <v:path arrowok="t"/>
              </v:shape>
            </v:group>
            <v:group style="position:absolute;left:10;top:48;width:2308;height:2" coordorigin="10,48" coordsize="2308,2">
              <v:shape style="position:absolute;left:10;top:48;width:2308;height:2" coordorigin="10,48" coordsize="2308,0" path="m10,48l2317,48e" filled="false" stroked="true" strokeweight=".95999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116.35pt;height:2.9pt;mso-position-horizontal-relative:char;mso-position-vertical-relative:line" coordorigin="0,0" coordsize="2327,58">
            <v:group style="position:absolute;left:10;top:10;width:2308;height:2" coordorigin="10,10" coordsize="2308,2">
              <v:shape style="position:absolute;left:10;top:10;width:2308;height:2" coordorigin="10,10" coordsize="2308,0" path="m10,10l2317,10e" filled="false" stroked="true" strokeweight=".96001pt" strokecolor="#000000">
                <v:path arrowok="t"/>
              </v:shape>
            </v:group>
            <v:group style="position:absolute;left:10;top:48;width:2308;height:2" coordorigin="10,48" coordsize="2308,2">
              <v:shape style="position:absolute;left:10;top:48;width:2308;height:2" coordorigin="10,48" coordsize="2308,0" path="m10,48l2317,48e" filled="false" stroked="true" strokeweight=".95999pt" strokecolor="#000000">
                <v:path arrowok="t"/>
              </v:shape>
            </v:group>
          </v:group>
        </w:pict>
      </w:r>
      <w:r>
        <w:rPr>
          <w:rFonts w:ascii="Times New Roman"/>
          <w:position w:val="0"/>
          <w:sz w:val="5"/>
        </w:rPr>
      </w:r>
    </w:p>
    <w:p>
      <w:pPr>
        <w:spacing w:line="240" w:lineRule="auto" w:before="0"/>
        <w:rPr>
          <w:rFonts w:ascii="Times New Roman" w:hAnsi="Times New Roman" w:cs="Times New Roman" w:eastAsia="Times New Roman" w:hint="default"/>
          <w:sz w:val="20"/>
          <w:szCs w:val="20"/>
        </w:rPr>
      </w:pPr>
    </w:p>
    <w:p>
      <w:pPr>
        <w:pStyle w:val="BodyText"/>
        <w:spacing w:line="240" w:lineRule="auto" w:before="161"/>
        <w:ind w:left="617" w:right="537"/>
        <w:jc w:val="left"/>
      </w:pPr>
      <w:r>
        <w:rPr/>
        <w:t>（2）现金及现金等价物的信息</w:t>
      </w:r>
    </w:p>
    <w:p>
      <w:pPr>
        <w:spacing w:after="0" w:line="240" w:lineRule="auto"/>
        <w:jc w:val="left"/>
        <w:sectPr>
          <w:pgSz w:w="11910" w:h="16840"/>
          <w:pgMar w:header="840" w:footer="1712" w:top="1160" w:bottom="1900" w:left="1660" w:right="1060"/>
        </w:sectPr>
      </w:pPr>
    </w:p>
    <w:p>
      <w:pPr>
        <w:spacing w:line="240" w:lineRule="auto" w:before="10"/>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4297"/>
        <w:gridCol w:w="506"/>
        <w:gridCol w:w="1799"/>
        <w:gridCol w:w="506"/>
        <w:gridCol w:w="1799"/>
      </w:tblGrid>
      <w:tr>
        <w:trPr>
          <w:trHeight w:val="429" w:hRule="exact"/>
        </w:trPr>
        <w:tc>
          <w:tcPr>
            <w:tcW w:w="4297" w:type="dxa"/>
            <w:tcBorders>
              <w:top w:val="nil" w:sz="6" w:space="0" w:color="auto"/>
              <w:left w:val="nil" w:sz="6" w:space="0" w:color="auto"/>
              <w:bottom w:val="single" w:sz="8" w:space="0" w:color="000000"/>
              <w:right w:val="nil" w:sz="6" w:space="0" w:color="auto"/>
            </w:tcBorders>
          </w:tcPr>
          <w:p>
            <w:pPr>
              <w:pStyle w:val="TableParagraph"/>
              <w:tabs>
                <w:tab w:pos="468" w:val="left" w:leader="none"/>
              </w:tabs>
              <w:spacing w:line="240" w:lineRule="auto" w:before="44"/>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50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8" w:right="0"/>
              <w:jc w:val="center"/>
              <w:rPr>
                <w:rFonts w:ascii="宋体" w:hAnsi="宋体" w:cs="宋体" w:eastAsia="宋体" w:hint="default"/>
                <w:sz w:val="18"/>
                <w:szCs w:val="18"/>
              </w:rPr>
            </w:pPr>
            <w:r>
              <w:rPr>
                <w:rFonts w:ascii="宋体" w:hAnsi="宋体" w:cs="宋体" w:eastAsia="宋体" w:hint="default"/>
                <w:spacing w:val="2"/>
                <w:sz w:val="18"/>
                <w:szCs w:val="18"/>
              </w:rPr>
              <w:t>本年数</w:t>
            </w:r>
            <w:r>
              <w:rPr>
                <w:rFonts w:ascii="宋体" w:hAnsi="宋体" w:cs="宋体" w:eastAsia="宋体" w:hint="default"/>
                <w:sz w:val="18"/>
                <w:szCs w:val="18"/>
              </w:rPr>
            </w:r>
          </w:p>
        </w:tc>
        <w:tc>
          <w:tcPr>
            <w:tcW w:w="50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6"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82" w:hRule="exact"/>
        </w:trPr>
        <w:tc>
          <w:tcPr>
            <w:tcW w:w="4297" w:type="dxa"/>
            <w:tcBorders>
              <w:top w:val="single" w:sz="8" w:space="0" w:color="000000"/>
              <w:left w:val="nil" w:sz="6" w:space="0" w:color="auto"/>
              <w:bottom w:val="nil" w:sz="6" w:space="0" w:color="auto"/>
              <w:right w:val="nil" w:sz="6" w:space="0" w:color="auto"/>
            </w:tcBorders>
          </w:tcPr>
          <w:p>
            <w:pPr>
              <w:pStyle w:val="TableParagraph"/>
              <w:spacing w:line="310"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一、现金</w:t>
            </w:r>
            <w:r>
              <w:rPr>
                <w:rFonts w:ascii="Microsoft JhengHei" w:hAnsi="Microsoft JhengHei" w:cs="Microsoft JhengHei" w:eastAsia="Microsoft JhengHei" w:hint="default"/>
                <w:sz w:val="20"/>
                <w:szCs w:val="20"/>
              </w:rPr>
            </w:r>
          </w:p>
        </w:tc>
        <w:tc>
          <w:tcPr>
            <w:tcW w:w="506" w:type="dxa"/>
            <w:tcBorders>
              <w:top w:val="nil" w:sz="6" w:space="0" w:color="auto"/>
              <w:left w:val="nil" w:sz="6" w:space="0" w:color="auto"/>
              <w:bottom w:val="nil" w:sz="6" w:space="0" w:color="auto"/>
              <w:right w:val="nil" w:sz="6" w:space="0" w:color="auto"/>
            </w:tcBorders>
          </w:tcPr>
          <w:p>
            <w:pPr/>
          </w:p>
        </w:tc>
        <w:tc>
          <w:tcPr>
            <w:tcW w:w="1799"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right="80"/>
              <w:jc w:val="right"/>
              <w:rPr>
                <w:rFonts w:ascii="Times New Roman" w:hAnsi="Times New Roman" w:cs="Times New Roman" w:eastAsia="Times New Roman" w:hint="default"/>
                <w:sz w:val="18"/>
                <w:szCs w:val="18"/>
              </w:rPr>
            </w:pPr>
            <w:r>
              <w:rPr>
                <w:rFonts w:ascii="Times New Roman"/>
                <w:sz w:val="18"/>
              </w:rPr>
              <w:t>178,471,201.10</w:t>
            </w:r>
          </w:p>
        </w:tc>
        <w:tc>
          <w:tcPr>
            <w:tcW w:w="506" w:type="dxa"/>
            <w:tcBorders>
              <w:top w:val="nil" w:sz="6" w:space="0" w:color="auto"/>
              <w:left w:val="nil" w:sz="6" w:space="0" w:color="auto"/>
              <w:bottom w:val="nil" w:sz="6" w:space="0" w:color="auto"/>
              <w:right w:val="nil" w:sz="6" w:space="0" w:color="auto"/>
            </w:tcBorders>
          </w:tcPr>
          <w:p>
            <w:pPr/>
          </w:p>
        </w:tc>
        <w:tc>
          <w:tcPr>
            <w:tcW w:w="1799"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right="80"/>
              <w:jc w:val="right"/>
              <w:rPr>
                <w:rFonts w:ascii="Times New Roman" w:hAnsi="Times New Roman" w:cs="Times New Roman" w:eastAsia="Times New Roman" w:hint="default"/>
                <w:sz w:val="18"/>
                <w:szCs w:val="18"/>
              </w:rPr>
            </w:pPr>
            <w:r>
              <w:rPr>
                <w:rFonts w:ascii="Times New Roman"/>
                <w:w w:val="95"/>
                <w:sz w:val="18"/>
              </w:rPr>
              <w:t>75,389,695.93</w:t>
            </w:r>
            <w:r>
              <w:rPr>
                <w:rFonts w:ascii="Times New Roman"/>
                <w:sz w:val="18"/>
              </w:rPr>
            </w:r>
          </w:p>
        </w:tc>
      </w:tr>
      <w:tr>
        <w:trPr>
          <w:trHeight w:val="369"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39"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50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sz w:val="18"/>
              </w:rPr>
              <w:t>194,753.01</w:t>
            </w:r>
          </w:p>
        </w:tc>
        <w:tc>
          <w:tcPr>
            <w:tcW w:w="50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3"/>
              <w:jc w:val="right"/>
              <w:rPr>
                <w:rFonts w:ascii="Times New Roman" w:hAnsi="Times New Roman" w:cs="Times New Roman" w:eastAsia="Times New Roman" w:hint="default"/>
                <w:sz w:val="18"/>
                <w:szCs w:val="18"/>
              </w:rPr>
            </w:pPr>
            <w:r>
              <w:rPr>
                <w:rFonts w:ascii="Times New Roman"/>
                <w:w w:val="95"/>
                <w:sz w:val="18"/>
              </w:rPr>
              <w:t>163,935.30</w:t>
            </w:r>
            <w:r>
              <w:rPr>
                <w:rFonts w:ascii="Times New Roman"/>
                <w:sz w:val="18"/>
              </w:rPr>
            </w:r>
          </w:p>
        </w:tc>
      </w:tr>
      <w:tr>
        <w:trPr>
          <w:trHeight w:val="369"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2"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50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sz w:val="18"/>
              </w:rPr>
              <w:t>161,404,434.73</w:t>
            </w:r>
          </w:p>
        </w:tc>
        <w:tc>
          <w:tcPr>
            <w:tcW w:w="50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w w:val="95"/>
                <w:sz w:val="18"/>
              </w:rPr>
              <w:t>51,779,816.12</w:t>
            </w:r>
            <w:r>
              <w:rPr>
                <w:rFonts w:ascii="Times New Roman"/>
                <w:sz w:val="18"/>
              </w:rPr>
            </w:r>
          </w:p>
        </w:tc>
      </w:tr>
      <w:tr>
        <w:trPr>
          <w:trHeight w:val="368"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2" w:right="0"/>
              <w:jc w:val="left"/>
              <w:rPr>
                <w:rFonts w:ascii="宋体" w:hAnsi="宋体" w:cs="宋体" w:eastAsia="宋体" w:hint="default"/>
                <w:sz w:val="20"/>
                <w:szCs w:val="20"/>
              </w:rPr>
            </w:pPr>
            <w:r>
              <w:rPr>
                <w:rFonts w:ascii="宋体" w:hAnsi="宋体" w:cs="宋体" w:eastAsia="宋体" w:hint="default"/>
                <w:sz w:val="20"/>
                <w:szCs w:val="20"/>
              </w:rPr>
              <w:t>可随时用于支付的其他货币资金</w:t>
            </w:r>
          </w:p>
        </w:tc>
        <w:tc>
          <w:tcPr>
            <w:tcW w:w="50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sz w:val="18"/>
              </w:rPr>
              <w:t>16,872,013.36</w:t>
            </w:r>
          </w:p>
        </w:tc>
        <w:tc>
          <w:tcPr>
            <w:tcW w:w="50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w w:val="95"/>
                <w:sz w:val="18"/>
              </w:rPr>
              <w:t>23,445,944.51</w:t>
            </w:r>
            <w:r>
              <w:rPr>
                <w:rFonts w:ascii="Times New Roman"/>
                <w:sz w:val="18"/>
              </w:rPr>
            </w:r>
          </w:p>
        </w:tc>
      </w:tr>
      <w:tr>
        <w:trPr>
          <w:trHeight w:val="368"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307"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sz w:val="20"/>
                <w:szCs w:val="20"/>
              </w:rPr>
              <w:t>二、现金等价物</w:t>
            </w:r>
            <w:r>
              <w:rPr>
                <w:rFonts w:ascii="Microsoft JhengHei" w:hAnsi="Microsoft JhengHei" w:cs="Microsoft JhengHei" w:eastAsia="Microsoft JhengHei" w:hint="default"/>
                <w:spacing w:val="3"/>
                <w:sz w:val="20"/>
                <w:szCs w:val="20"/>
              </w:rPr>
            </w:r>
          </w:p>
        </w:tc>
        <w:tc>
          <w:tcPr>
            <w:tcW w:w="50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9"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38" w:right="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tc>
        <w:tc>
          <w:tcPr>
            <w:tcW w:w="50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307"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sz w:val="20"/>
                <w:szCs w:val="20"/>
              </w:rPr>
              <w:t>三、期末现金及现金等价物余额</w:t>
            </w:r>
            <w:r>
              <w:rPr>
                <w:rFonts w:ascii="Microsoft JhengHei" w:hAnsi="Microsoft JhengHei" w:cs="Microsoft JhengHei" w:eastAsia="Microsoft JhengHei" w:hint="default"/>
                <w:spacing w:val="3"/>
                <w:sz w:val="20"/>
                <w:szCs w:val="20"/>
              </w:rPr>
            </w:r>
          </w:p>
        </w:tc>
        <w:tc>
          <w:tcPr>
            <w:tcW w:w="50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sz w:val="18"/>
              </w:rPr>
              <w:t>178,471,201.10</w:t>
            </w:r>
          </w:p>
        </w:tc>
        <w:tc>
          <w:tcPr>
            <w:tcW w:w="506"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w w:val="95"/>
                <w:sz w:val="18"/>
              </w:rPr>
              <w:t>75,389,695.93</w:t>
            </w:r>
            <w:r>
              <w:rPr>
                <w:rFonts w:ascii="Times New Roman"/>
                <w:sz w:val="18"/>
              </w:rPr>
            </w:r>
          </w:p>
        </w:tc>
      </w:tr>
    </w:tbl>
    <w:p>
      <w:pPr>
        <w:tabs>
          <w:tab w:pos="6426" w:val="left" w:leader="none"/>
          <w:tab w:pos="8731" w:val="left" w:leader="none"/>
        </w:tabs>
        <w:spacing w:line="274" w:lineRule="exact" w:before="0"/>
        <w:ind w:left="686" w:right="59" w:firstLine="0"/>
        <w:jc w:val="left"/>
        <w:rPr>
          <w:rFonts w:ascii="Times New Roman" w:hAnsi="Times New Roman" w:cs="Times New Roman" w:eastAsia="Times New Roman" w:hint="default"/>
          <w:sz w:val="18"/>
          <w:szCs w:val="18"/>
        </w:rPr>
      </w:pPr>
      <w:r>
        <w:rPr>
          <w:rFonts w:ascii="宋体" w:hAnsi="宋体" w:cs="宋体" w:eastAsia="宋体" w:hint="default"/>
          <w:sz w:val="20"/>
          <w:szCs w:val="20"/>
        </w:rPr>
        <w:t>其中：母公司或集团内子公司使用受限制</w:t>
        <w:tab/>
      </w:r>
      <w:r>
        <w:rPr>
          <w:rFonts w:ascii="Times New Roman" w:hAnsi="Times New Roman" w:cs="Times New Roman" w:eastAsia="Times New Roman" w:hint="default"/>
          <w:w w:val="95"/>
          <w:position w:val="-9"/>
          <w:sz w:val="18"/>
          <w:szCs w:val="18"/>
        </w:rPr>
        <w:t>-</w:t>
        <w:tab/>
      </w:r>
      <w:r>
        <w:rPr>
          <w:rFonts w:ascii="Times New Roman" w:hAnsi="Times New Roman" w:cs="Times New Roman" w:eastAsia="Times New Roman" w:hint="default"/>
          <w:position w:val="-9"/>
          <w:sz w:val="18"/>
          <w:szCs w:val="18"/>
        </w:rPr>
        <w:t>-</w:t>
      </w:r>
      <w:r>
        <w:rPr>
          <w:rFonts w:ascii="Times New Roman" w:hAnsi="Times New Roman" w:cs="Times New Roman" w:eastAsia="Times New Roman" w:hint="default"/>
          <w:sz w:val="18"/>
          <w:szCs w:val="18"/>
        </w:rPr>
      </w:r>
    </w:p>
    <w:p>
      <w:pPr>
        <w:spacing w:line="199" w:lineRule="exact" w:before="0"/>
        <w:ind w:left="183" w:right="59" w:firstLine="0"/>
        <w:jc w:val="left"/>
        <w:rPr>
          <w:rFonts w:ascii="宋体" w:hAnsi="宋体" w:cs="宋体" w:eastAsia="宋体" w:hint="default"/>
          <w:sz w:val="20"/>
          <w:szCs w:val="20"/>
        </w:rPr>
      </w:pPr>
      <w:r>
        <w:rPr>
          <w:rFonts w:ascii="宋体" w:hAnsi="宋体" w:cs="宋体" w:eastAsia="宋体" w:hint="default"/>
          <w:sz w:val="20"/>
          <w:szCs w:val="20"/>
        </w:rPr>
        <w:t>的现金和现金等价物</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40" w:footer="1712" w:top="1160" w:bottom="1900" w:left="1660" w:right="1080"/>
        </w:sectPr>
      </w:pPr>
    </w:p>
    <w:p>
      <w:pPr>
        <w:pStyle w:val="Heading3"/>
        <w:spacing w:line="368" w:lineRule="exact"/>
        <w:ind w:right="0"/>
        <w:jc w:val="left"/>
        <w:rPr>
          <w:b w:val="0"/>
          <w:bCs w:val="0"/>
        </w:rPr>
      </w:pPr>
      <w:r>
        <w:rPr/>
        <w:t>八、母公司财务报表主要项目注释</w:t>
      </w:r>
      <w:r>
        <w:rPr>
          <w:b w:val="0"/>
          <w:bCs w:val="0"/>
        </w:rPr>
      </w:r>
    </w:p>
    <w:p>
      <w:pPr>
        <w:pStyle w:val="Heading3"/>
        <w:spacing w:line="240" w:lineRule="auto" w:before="22"/>
        <w:ind w:right="0"/>
        <w:jc w:val="left"/>
        <w:rPr>
          <w:b w:val="0"/>
          <w:bCs w:val="0"/>
        </w:rPr>
      </w:pPr>
      <w:r>
        <w:rPr/>
        <w:t>1、应收账款</w:t>
      </w:r>
      <w:r>
        <w:rPr>
          <w:b w:val="0"/>
          <w:bCs w:val="0"/>
        </w:rPr>
      </w:r>
    </w:p>
    <w:p>
      <w:pPr>
        <w:pStyle w:val="BodyText"/>
        <w:spacing w:line="240" w:lineRule="auto" w:before="99"/>
        <w:ind w:left="617" w:right="0"/>
        <w:jc w:val="left"/>
      </w:pPr>
      <w:r>
        <w:rPr>
          <w:spacing w:val="-2"/>
        </w:rPr>
        <w:t>（1）按类别列示应收账款明细情况</w:t>
      </w:r>
      <w:r>
        <w:rPr/>
      </w:r>
    </w:p>
    <w:p>
      <w:pPr>
        <w:spacing w:line="240" w:lineRule="auto" w:before="7"/>
        <w:rPr>
          <w:rFonts w:ascii="宋体" w:hAnsi="宋体" w:cs="宋体" w:eastAsia="宋体" w:hint="default"/>
          <w:sz w:val="24"/>
          <w:szCs w:val="24"/>
        </w:rPr>
      </w:pPr>
    </w:p>
    <w:p>
      <w:pPr>
        <w:tabs>
          <w:tab w:pos="403" w:val="left" w:leader="none"/>
        </w:tabs>
        <w:spacing w:line="247" w:lineRule="exact" w:before="0"/>
        <w:ind w:left="0" w:right="463" w:firstLine="0"/>
        <w:jc w:val="center"/>
        <w:rPr>
          <w:rFonts w:ascii="宋体" w:hAnsi="宋体" w:cs="宋体" w:eastAsia="宋体" w:hint="default"/>
          <w:sz w:val="20"/>
          <w:szCs w:val="20"/>
        </w:rPr>
      </w:pPr>
      <w:r>
        <w:rPr/>
        <w:pict>
          <v:group style="position:absolute;margin-left:278.190002pt;margin-top:6.67pt;width:252.75pt;height:.7pt;mso-position-horizontal-relative:page;mso-position-vertical-relative:paragraph;z-index:9832" coordorigin="5564,133" coordsize="5055,14">
            <v:group style="position:absolute;left:5570;top:134;width:5042;height:2" coordorigin="5570,134" coordsize="5042,2">
              <v:shape style="position:absolute;left:5570;top:134;width:5042;height:2" coordorigin="5570,134" coordsize="5042,0" path="m5570,134l10612,134e" filled="false" stroked="true" strokeweight=".06pt" strokecolor="#000000">
                <v:path arrowok="t"/>
              </v:shape>
            </v:group>
            <v:group style="position:absolute;left:5570;top:141;width:5042;height:2" coordorigin="5570,141" coordsize="5042,2">
              <v:shape style="position:absolute;left:5570;top:141;width:5042;height:2" coordorigin="5570,141" coordsize="5042,0" path="m5570,141l10612,141e" filled="false" stroked="true" strokeweight=".66pt" strokecolor="#000000">
                <v:path arrowok="t"/>
              </v:shape>
            </v:group>
            <w10:wrap type="none"/>
          </v:group>
        </w:pict>
      </w:r>
      <w:r>
        <w:rPr>
          <w:rFonts w:ascii="宋体" w:hAnsi="宋体" w:cs="宋体" w:eastAsia="宋体" w:hint="default"/>
          <w:w w:val="95"/>
          <w:sz w:val="20"/>
          <w:szCs w:val="20"/>
        </w:rPr>
        <w:t>项</w:t>
        <w:tab/>
      </w:r>
      <w:r>
        <w:rPr>
          <w:rFonts w:ascii="宋体" w:hAnsi="宋体" w:cs="宋体" w:eastAsia="宋体" w:hint="default"/>
          <w:sz w:val="20"/>
          <w:szCs w:val="20"/>
        </w:rPr>
        <w:t>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0"/>
        <w:ind w:left="617" w:right="0" w:firstLine="0"/>
        <w:jc w:val="left"/>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43"/>
          <w:sz w:val="20"/>
          <w:szCs w:val="20"/>
        </w:rPr>
        <w:t> </w:t>
      </w:r>
      <w:r>
        <w:rPr>
          <w:rFonts w:ascii="宋体" w:hAnsi="宋体" w:cs="宋体" w:eastAsia="宋体" w:hint="default"/>
          <w:sz w:val="20"/>
          <w:szCs w:val="20"/>
        </w:rPr>
        <w:t>末</w:t>
      </w:r>
      <w:r>
        <w:rPr>
          <w:rFonts w:ascii="宋体" w:hAnsi="宋体" w:cs="宋体" w:eastAsia="宋体" w:hint="default"/>
          <w:spacing w:val="-43"/>
          <w:sz w:val="20"/>
          <w:szCs w:val="20"/>
        </w:rPr>
        <w:t> </w:t>
      </w:r>
      <w:r>
        <w:rPr>
          <w:rFonts w:ascii="宋体" w:hAnsi="宋体" w:cs="宋体" w:eastAsia="宋体" w:hint="default"/>
          <w:sz w:val="20"/>
          <w:szCs w:val="20"/>
        </w:rPr>
        <w:t>数</w:t>
      </w:r>
    </w:p>
    <w:p>
      <w:pPr>
        <w:spacing w:after="0"/>
        <w:jc w:val="left"/>
        <w:rPr>
          <w:rFonts w:ascii="宋体" w:hAnsi="宋体" w:cs="宋体" w:eastAsia="宋体" w:hint="default"/>
          <w:sz w:val="20"/>
          <w:szCs w:val="20"/>
        </w:rPr>
        <w:sectPr>
          <w:type w:val="continuous"/>
          <w:pgSz w:w="11910" w:h="16840"/>
          <w:pgMar w:top="1060" w:bottom="1460" w:left="1660" w:right="1080"/>
          <w:cols w:num="2" w:equalWidth="0">
            <w:col w:w="4338" w:space="1131"/>
            <w:col w:w="3701"/>
          </w:cols>
        </w:sectPr>
      </w:pPr>
    </w:p>
    <w:p>
      <w:pPr>
        <w:tabs>
          <w:tab w:pos="4703" w:val="left" w:leader="none"/>
          <w:tab w:pos="5581" w:val="left" w:leader="none"/>
          <w:tab w:pos="6503" w:val="left" w:leader="none"/>
          <w:tab w:pos="8087" w:val="left" w:leader="none"/>
        </w:tabs>
        <w:spacing w:line="199" w:lineRule="exact" w:before="0"/>
        <w:ind w:left="4286" w:right="59" w:firstLine="0"/>
        <w:jc w:val="left"/>
        <w:rPr>
          <w:rFonts w:ascii="宋体" w:hAnsi="宋体" w:cs="宋体" w:eastAsia="宋体" w:hint="default"/>
          <w:sz w:val="20"/>
          <w:szCs w:val="20"/>
        </w:rPr>
      </w:pPr>
      <w:r>
        <w:rPr>
          <w:rFonts w:ascii="宋体" w:hAnsi="宋体" w:cs="宋体" w:eastAsia="宋体" w:hint="default"/>
          <w:w w:val="95"/>
          <w:sz w:val="20"/>
          <w:szCs w:val="20"/>
        </w:rPr>
        <w:t>余</w:t>
        <w:tab/>
        <w:t>额</w:t>
        <w:tab/>
      </w:r>
      <w:r>
        <w:rPr>
          <w:rFonts w:ascii="宋体" w:hAnsi="宋体" w:cs="宋体" w:eastAsia="宋体" w:hint="default"/>
          <w:sz w:val="20"/>
          <w:szCs w:val="20"/>
        </w:rPr>
        <w:t>比例</w:t>
        <w:tab/>
      </w:r>
      <w:r>
        <w:rPr>
          <w:rFonts w:ascii="宋体" w:hAnsi="宋体" w:cs="宋体" w:eastAsia="宋体" w:hint="default"/>
          <w:spacing w:val="5"/>
          <w:w w:val="95"/>
          <w:sz w:val="20"/>
          <w:szCs w:val="20"/>
        </w:rPr>
        <w:t>坏账准备</w:t>
        <w:tab/>
      </w:r>
      <w:r>
        <w:rPr>
          <w:rFonts w:ascii="宋体" w:hAnsi="宋体" w:cs="宋体" w:eastAsia="宋体" w:hint="default"/>
          <w:spacing w:val="3"/>
          <w:sz w:val="20"/>
          <w:szCs w:val="20"/>
        </w:rPr>
        <w:t>净额</w:t>
      </w:r>
      <w:r>
        <w:rPr>
          <w:rFonts w:ascii="宋体" w:hAnsi="宋体" w:cs="宋体" w:eastAsia="宋体" w:hint="default"/>
          <w:sz w:val="20"/>
          <w:szCs w:val="20"/>
        </w:rPr>
      </w:r>
    </w:p>
    <w:p>
      <w:pPr>
        <w:spacing w:line="240" w:lineRule="auto" w:before="5"/>
        <w:rPr>
          <w:rFonts w:ascii="宋体" w:hAnsi="宋体" w:cs="宋体" w:eastAsia="宋体" w:hint="default"/>
          <w:sz w:val="5"/>
          <w:szCs w:val="5"/>
        </w:rPr>
      </w:pPr>
    </w:p>
    <w:p>
      <w:pPr>
        <w:spacing w:line="20" w:lineRule="exact"/>
        <w:ind w:left="145" w:right="0" w:firstLine="0"/>
        <w:rPr>
          <w:rFonts w:ascii="宋体" w:hAnsi="宋体" w:cs="宋体" w:eastAsia="宋体" w:hint="default"/>
          <w:sz w:val="2"/>
          <w:szCs w:val="2"/>
        </w:rPr>
      </w:pPr>
      <w:r>
        <w:rPr>
          <w:rFonts w:ascii="宋体"/>
          <w:sz w:val="2"/>
        </w:rPr>
        <w:pict>
          <v:group style="width:179.25pt;height:.7pt;mso-position-horizontal-relative:char;mso-position-vertical-relative:line" coordorigin="0,0" coordsize="3585,14">
            <v:group style="position:absolute;left:7;top:1;width:3572;height:2" coordorigin="7,1" coordsize="3572,2">
              <v:shape style="position:absolute;left:7;top:1;width:3572;height:2" coordorigin="7,1" coordsize="3572,0" path="m7,1l3578,1e" filled="false" stroked="true" strokeweight=".06pt" strokecolor="#000000">
                <v:path arrowok="t"/>
              </v:shape>
            </v:group>
            <v:group style="position:absolute;left:7;top:7;width:3572;height:2" coordorigin="7,7" coordsize="3572,2">
              <v:shape style="position:absolute;left:7;top:7;width:3572;height:2" coordorigin="7,7" coordsize="3572,0" path="m7,7l3578,7e" filled="false" stroked="true" strokeweight=".66pt" strokecolor="#000000">
                <v:path arrowok="t"/>
              </v:shape>
            </v:group>
          </v:group>
        </w:pict>
      </w:r>
      <w:r>
        <w:rPr>
          <w:rFonts w:ascii="宋体"/>
          <w:sz w:val="2"/>
        </w:rPr>
      </w:r>
      <w:r>
        <w:rPr>
          <w:rFonts w:ascii="Times New Roman"/>
          <w:spacing w:val="164"/>
          <w:sz w:val="2"/>
        </w:rPr>
        <w:t> </w:t>
      </w:r>
      <w:r>
        <w:rPr>
          <w:rFonts w:ascii="宋体"/>
          <w:spacing w:val="164"/>
          <w:sz w:val="2"/>
        </w:rPr>
        <w:pict>
          <v:group style="width:68.4pt;height:.7pt;mso-position-horizontal-relative:char;mso-position-vertical-relative:line" coordorigin="0,0" coordsize="1368,14">
            <v:group style="position:absolute;left:7;top:1;width:1355;height:2" coordorigin="7,1" coordsize="1355,2">
              <v:shape style="position:absolute;left:7;top:1;width:1355;height:2" coordorigin="7,1" coordsize="1355,0" path="m7,1l1361,1e" filled="false" stroked="true" strokeweight=".06pt" strokecolor="#000000">
                <v:path arrowok="t"/>
              </v:shape>
            </v:group>
            <v:group style="position:absolute;left:7;top:7;width:1355;height:2" coordorigin="7,7" coordsize="1355,2">
              <v:shape style="position:absolute;left:7;top:7;width:1355;height:2" coordorigin="7,7" coordsize="1355,0" path="m7,7l1361,7e" filled="false" stroked="true" strokeweight=".66pt" strokecolor="#000000">
                <v:path arrowok="t"/>
              </v:shape>
            </v:group>
          </v:group>
        </w:pict>
      </w:r>
      <w:r>
        <w:rPr>
          <w:rFonts w:ascii="宋体"/>
          <w:spacing w:val="164"/>
          <w:sz w:val="2"/>
        </w:rPr>
      </w:r>
      <w:r>
        <w:rPr>
          <w:rFonts w:ascii="Times New Roman"/>
          <w:spacing w:val="64"/>
          <w:sz w:val="2"/>
        </w:rPr>
        <w:t> </w:t>
      </w:r>
      <w:r>
        <w:rPr>
          <w:rFonts w:ascii="宋体"/>
          <w:spacing w:val="64"/>
          <w:sz w:val="2"/>
        </w:rPr>
        <w:pict>
          <v:group style="width:43.15pt;height:.7pt;mso-position-horizontal-relative:char;mso-position-vertical-relative:line" coordorigin="0,0" coordsize="863,14">
            <v:group style="position:absolute;left:7;top:1;width:850;height:2" coordorigin="7,1" coordsize="850,2">
              <v:shape style="position:absolute;left:7;top:1;width:850;height:2" coordorigin="7,1" coordsize="850,0" path="m7,1l856,1e" filled="false" stroked="true" strokeweight=".06pt" strokecolor="#000000">
                <v:path arrowok="t"/>
              </v:shape>
            </v:group>
            <v:group style="position:absolute;left:7;top:7;width:850;height:2" coordorigin="7,7" coordsize="850,2">
              <v:shape style="position:absolute;left:7;top:7;width:850;height:2" coordorigin="7,7" coordsize="850,0" path="m7,7l856,7e" filled="false" stroked="true" strokeweight=".66pt" strokecolor="#000000">
                <v:path arrowok="t"/>
              </v:shape>
            </v:group>
          </v:group>
        </w:pict>
      </w:r>
      <w:r>
        <w:rPr>
          <w:rFonts w:ascii="宋体"/>
          <w:spacing w:val="64"/>
          <w:sz w:val="2"/>
        </w:rPr>
      </w:r>
      <w:r>
        <w:rPr>
          <w:rFonts w:ascii="Times New Roman"/>
          <w:spacing w:val="64"/>
          <w:sz w:val="2"/>
        </w:rPr>
        <w:t> </w:t>
      </w:r>
      <w:r>
        <w:rPr>
          <w:rFonts w:ascii="宋体"/>
          <w:spacing w:val="64"/>
          <w:sz w:val="2"/>
        </w:rPr>
        <w:pict>
          <v:group style="width:62.6pt;height:.7pt;mso-position-horizontal-relative:char;mso-position-vertical-relative:line" coordorigin="0,0" coordsize="1252,14">
            <v:group style="position:absolute;left:7;top:1;width:1239;height:2" coordorigin="7,1" coordsize="1239,2">
              <v:shape style="position:absolute;left:7;top:1;width:1239;height:2" coordorigin="7,1" coordsize="1239,0" path="m7,1l1245,1e" filled="false" stroked="true" strokeweight=".06pt" strokecolor="#000000">
                <v:path arrowok="t"/>
              </v:shape>
            </v:group>
            <v:group style="position:absolute;left:7;top:7;width:1239;height:2" coordorigin="7,7" coordsize="1239,2">
              <v:shape style="position:absolute;left:7;top:7;width:1239;height:2" coordorigin="7,7" coordsize="1239,0" path="m7,7l1245,7e" filled="false" stroked="true" strokeweight=".66pt" strokecolor="#000000">
                <v:path arrowok="t"/>
              </v:shape>
            </v:group>
          </v:group>
        </w:pict>
      </w:r>
      <w:r>
        <w:rPr>
          <w:rFonts w:ascii="宋体"/>
          <w:spacing w:val="64"/>
          <w:sz w:val="2"/>
        </w:rPr>
      </w:r>
      <w:r>
        <w:rPr>
          <w:rFonts w:ascii="Times New Roman"/>
          <w:spacing w:val="64"/>
          <w:sz w:val="2"/>
        </w:rPr>
        <w:t> </w:t>
      </w:r>
      <w:r>
        <w:rPr>
          <w:rFonts w:ascii="宋体"/>
          <w:spacing w:val="64"/>
          <w:sz w:val="2"/>
        </w:rPr>
        <w:pict>
          <v:group style="width:67.650pt;height:.7pt;mso-position-horizontal-relative:char;mso-position-vertical-relative:line" coordorigin="0,0" coordsize="1353,14">
            <v:group style="position:absolute;left:7;top:1;width:1340;height:2" coordorigin="7,1" coordsize="1340,2">
              <v:shape style="position:absolute;left:7;top:1;width:1340;height:2" coordorigin="7,1" coordsize="1340,0" path="m7,1l1346,1e" filled="false" stroked="true" strokeweight=".06pt" strokecolor="#000000">
                <v:path arrowok="t"/>
              </v:shape>
            </v:group>
            <v:group style="position:absolute;left:7;top:7;width:1340;height:2" coordorigin="7,7" coordsize="1340,2">
              <v:shape style="position:absolute;left:7;top:7;width:1340;height:2" coordorigin="7,7" coordsize="1340,0" path="m7,7l1346,7e" filled="false" stroked="true" strokeweight=".66pt" strokecolor="#000000">
                <v:path arrowok="t"/>
              </v:shape>
            </v:group>
          </v:group>
        </w:pict>
      </w:r>
      <w:r>
        <w:rPr>
          <w:rFonts w:ascii="宋体"/>
          <w:spacing w:val="64"/>
          <w:sz w:val="2"/>
        </w:rPr>
      </w:r>
    </w:p>
    <w:p>
      <w:pPr>
        <w:tabs>
          <w:tab w:pos="3996" w:val="left" w:leader="none"/>
          <w:tab w:pos="5538" w:val="left" w:leader="none"/>
          <w:tab w:pos="7684" w:val="left" w:leader="none"/>
        </w:tabs>
        <w:spacing w:before="85"/>
        <w:ind w:left="180" w:right="59" w:firstLine="0"/>
        <w:jc w:val="left"/>
        <w:rPr>
          <w:rFonts w:ascii="Times New Roman" w:hAnsi="Times New Roman" w:cs="Times New Roman" w:eastAsia="Times New Roman" w:hint="default"/>
          <w:sz w:val="20"/>
          <w:szCs w:val="20"/>
        </w:rPr>
      </w:pPr>
      <w:r>
        <w:rPr>
          <w:rFonts w:ascii="宋体" w:hAnsi="宋体" w:cs="宋体" w:eastAsia="宋体" w:hint="default"/>
          <w:spacing w:val="5"/>
          <w:w w:val="95"/>
          <w:position w:val="-1"/>
          <w:sz w:val="20"/>
          <w:szCs w:val="20"/>
        </w:rPr>
        <w:t>单项金额重大的应收账款</w:t>
        <w:tab/>
      </w:r>
      <w:r>
        <w:rPr>
          <w:rFonts w:ascii="Times New Roman" w:hAnsi="Times New Roman" w:cs="Times New Roman" w:eastAsia="Times New Roman" w:hint="default"/>
          <w:sz w:val="20"/>
          <w:szCs w:val="20"/>
        </w:rPr>
        <w:t>23,361,048.29</w:t>
        <w:tab/>
        <w:t>37.01%  </w:t>
      </w:r>
      <w:r>
        <w:rPr>
          <w:rFonts w:ascii="Times New Roman" w:hAnsi="Times New Roman" w:cs="Times New Roman" w:eastAsia="Times New Roman" w:hint="default"/>
          <w:spacing w:val="47"/>
          <w:sz w:val="20"/>
          <w:szCs w:val="20"/>
        </w:rPr>
        <w:t> </w:t>
      </w:r>
      <w:r>
        <w:rPr>
          <w:rFonts w:ascii="Times New Roman" w:hAnsi="Times New Roman" w:cs="Times New Roman" w:eastAsia="Times New Roman" w:hint="default"/>
          <w:spacing w:val="2"/>
          <w:sz w:val="20"/>
          <w:szCs w:val="20"/>
        </w:rPr>
        <w:t>1,168,052.41</w:t>
        <w:tab/>
        <w:t>22,192,995.88</w:t>
      </w:r>
      <w:r>
        <w:rPr>
          <w:rFonts w:ascii="Times New Roman" w:hAnsi="Times New Roman" w:cs="Times New Roman" w:eastAsia="Times New Roman" w:hint="default"/>
          <w:sz w:val="20"/>
          <w:szCs w:val="20"/>
        </w:rPr>
      </w:r>
    </w:p>
    <w:p>
      <w:pPr>
        <w:spacing w:line="178" w:lineRule="exact" w:before="109"/>
        <w:ind w:left="180" w:right="59" w:firstLine="0"/>
        <w:jc w:val="left"/>
        <w:rPr>
          <w:rFonts w:ascii="宋体" w:hAnsi="宋体" w:cs="宋体" w:eastAsia="宋体" w:hint="default"/>
          <w:sz w:val="20"/>
          <w:szCs w:val="20"/>
        </w:rPr>
      </w:pPr>
      <w:r>
        <w:rPr>
          <w:rFonts w:ascii="宋体" w:hAnsi="宋体" w:cs="宋体" w:eastAsia="宋体" w:hint="default"/>
          <w:spacing w:val="5"/>
          <w:sz w:val="20"/>
          <w:szCs w:val="20"/>
        </w:rPr>
        <w:t>单项金额不重大但按信用风险特征组合</w:t>
      </w:r>
      <w:r>
        <w:rPr>
          <w:rFonts w:ascii="宋体" w:hAnsi="宋体" w:cs="宋体" w:eastAsia="宋体" w:hint="default"/>
          <w:sz w:val="20"/>
          <w:szCs w:val="20"/>
        </w:rPr>
      </w:r>
    </w:p>
    <w:p>
      <w:pPr>
        <w:tabs>
          <w:tab w:pos="5841" w:val="left" w:leader="none"/>
          <w:tab w:pos="7165" w:val="left" w:leader="none"/>
          <w:tab w:pos="8591" w:val="left" w:leader="none"/>
        </w:tabs>
        <w:spacing w:line="203" w:lineRule="exact" w:before="0"/>
        <w:ind w:left="4905" w:right="59" w:firstLine="0"/>
        <w:jc w:val="left"/>
        <w:rPr>
          <w:rFonts w:ascii="Times New Roman" w:hAnsi="Times New Roman" w:cs="Times New Roman" w:eastAsia="Times New Roman" w:hint="default"/>
          <w:sz w:val="20"/>
          <w:szCs w:val="20"/>
        </w:rPr>
      </w:pPr>
      <w:r>
        <w:rPr/>
        <w:pict>
          <v:shape style="position:absolute;margin-left:90.288841pt;margin-top:6.297359pt;width:440.3pt;height:58.2pt;mso-position-horizontal-relative:page;mso-position-vertical-relative:paragraph;z-index:9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65"/>
                    <w:gridCol w:w="1355"/>
                    <w:gridCol w:w="86"/>
                    <w:gridCol w:w="850"/>
                    <w:gridCol w:w="86"/>
                    <w:gridCol w:w="1238"/>
                    <w:gridCol w:w="86"/>
                    <w:gridCol w:w="1339"/>
                  </w:tblGrid>
                  <w:tr>
                    <w:trPr>
                      <w:trHeight w:val="701"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199" w:lineRule="exact"/>
                          <w:ind w:left="35" w:right="0"/>
                          <w:jc w:val="left"/>
                          <w:rPr>
                            <w:rFonts w:ascii="宋体" w:hAnsi="宋体" w:cs="宋体" w:eastAsia="宋体" w:hint="default"/>
                            <w:sz w:val="20"/>
                            <w:szCs w:val="20"/>
                          </w:rPr>
                        </w:pPr>
                        <w:r>
                          <w:rPr>
                            <w:rFonts w:ascii="宋体" w:hAnsi="宋体" w:cs="宋体" w:eastAsia="宋体" w:hint="default"/>
                            <w:spacing w:val="5"/>
                            <w:sz w:val="20"/>
                            <w:szCs w:val="20"/>
                          </w:rPr>
                          <w:t>后该组合的风险较大的应收账款</w:t>
                        </w:r>
                      </w:p>
                      <w:p>
                        <w:pPr>
                          <w:pStyle w:val="TableParagraph"/>
                          <w:spacing w:line="240" w:lineRule="auto" w:before="106"/>
                          <w:ind w:left="35" w:right="0"/>
                          <w:jc w:val="left"/>
                          <w:rPr>
                            <w:rFonts w:ascii="宋体" w:hAnsi="宋体" w:cs="宋体" w:eastAsia="宋体" w:hint="default"/>
                            <w:sz w:val="20"/>
                            <w:szCs w:val="20"/>
                          </w:rPr>
                        </w:pPr>
                        <w:r>
                          <w:rPr>
                            <w:rFonts w:ascii="宋体" w:hAnsi="宋体" w:cs="宋体" w:eastAsia="宋体" w:hint="default"/>
                            <w:spacing w:val="6"/>
                            <w:sz w:val="20"/>
                            <w:szCs w:val="20"/>
                          </w:rPr>
                          <w:t>其他不重大应收账款</w:t>
                        </w:r>
                        <w:r>
                          <w:rPr>
                            <w:rFonts w:ascii="宋体" w:hAnsi="宋体" w:cs="宋体" w:eastAsia="宋体" w:hint="default"/>
                            <w:sz w:val="20"/>
                            <w:szCs w:val="20"/>
                          </w:rPr>
                        </w:r>
                      </w:p>
                    </w:tc>
                    <w:tc>
                      <w:tcPr>
                        <w:tcW w:w="1355" w:type="dxa"/>
                        <w:tcBorders>
                          <w:top w:val="nil" w:sz="6" w:space="0" w:color="auto"/>
                          <w:left w:val="nil" w:sz="6" w:space="0" w:color="auto"/>
                          <w:bottom w:val="single" w:sz="5"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86" w:right="0"/>
                          <w:jc w:val="left"/>
                          <w:rPr>
                            <w:rFonts w:ascii="Times New Roman" w:hAnsi="Times New Roman" w:cs="Times New Roman" w:eastAsia="Times New Roman" w:hint="default"/>
                            <w:sz w:val="20"/>
                            <w:szCs w:val="20"/>
                          </w:rPr>
                        </w:pPr>
                        <w:r>
                          <w:rPr>
                            <w:rFonts w:ascii="Times New Roman"/>
                            <w:sz w:val="20"/>
                          </w:rPr>
                          <w:t>39,755,238.64</w:t>
                        </w:r>
                      </w:p>
                    </w:tc>
                    <w:tc>
                      <w:tcPr>
                        <w:tcW w:w="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5"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32"/>
                          <w:jc w:val="right"/>
                          <w:rPr>
                            <w:rFonts w:ascii="Times New Roman" w:hAnsi="Times New Roman" w:cs="Times New Roman" w:eastAsia="Times New Roman" w:hint="default"/>
                            <w:sz w:val="20"/>
                            <w:szCs w:val="20"/>
                          </w:rPr>
                        </w:pPr>
                        <w:r>
                          <w:rPr>
                            <w:rFonts w:ascii="Times New Roman"/>
                            <w:sz w:val="20"/>
                          </w:rPr>
                          <w:t>62.99%</w:t>
                        </w:r>
                      </w:p>
                    </w:tc>
                    <w:tc>
                      <w:tcPr>
                        <w:tcW w:w="86"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5"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84"/>
                          <w:jc w:val="right"/>
                          <w:rPr>
                            <w:rFonts w:ascii="Times New Roman" w:hAnsi="Times New Roman" w:cs="Times New Roman" w:eastAsia="Times New Roman" w:hint="default"/>
                            <w:sz w:val="20"/>
                            <w:szCs w:val="20"/>
                          </w:rPr>
                        </w:pPr>
                        <w:r>
                          <w:rPr>
                            <w:rFonts w:ascii="Times New Roman"/>
                            <w:spacing w:val="2"/>
                            <w:w w:val="95"/>
                            <w:sz w:val="20"/>
                          </w:rPr>
                          <w:t>600,599.83</w:t>
                        </w:r>
                        <w:r>
                          <w:rPr>
                            <w:rFonts w:ascii="Times New Roman"/>
                            <w:sz w:val="20"/>
                          </w:rPr>
                        </w:r>
                      </w:p>
                    </w:tc>
                    <w:tc>
                      <w:tcPr>
                        <w:tcW w:w="8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5"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2"/>
                          <w:jc w:val="center"/>
                          <w:rPr>
                            <w:rFonts w:ascii="Times New Roman" w:hAnsi="Times New Roman" w:cs="Times New Roman" w:eastAsia="Times New Roman" w:hint="default"/>
                            <w:sz w:val="20"/>
                            <w:szCs w:val="20"/>
                          </w:rPr>
                        </w:pPr>
                        <w:r>
                          <w:rPr>
                            <w:rFonts w:ascii="Times New Roman"/>
                            <w:spacing w:val="2"/>
                            <w:sz w:val="20"/>
                          </w:rPr>
                          <w:t>39,154,638.81</w:t>
                        </w:r>
                        <w:r>
                          <w:rPr>
                            <w:rFonts w:ascii="Times New Roman"/>
                            <w:sz w:val="20"/>
                          </w:rPr>
                        </w:r>
                      </w:p>
                    </w:tc>
                  </w:tr>
                  <w:tr>
                    <w:trPr>
                      <w:trHeight w:val="462" w:hRule="exact"/>
                    </w:trPr>
                    <w:tc>
                      <w:tcPr>
                        <w:tcW w:w="376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67"/>
                          <w:jc w:val="center"/>
                          <w:rPr>
                            <w:rFonts w:ascii="宋体" w:hAnsi="宋体" w:cs="宋体" w:eastAsia="宋体" w:hint="default"/>
                            <w:sz w:val="20"/>
                            <w:szCs w:val="20"/>
                          </w:rPr>
                        </w:pPr>
                        <w:r>
                          <w:rPr>
                            <w:rFonts w:ascii="宋体" w:hAnsi="宋体" w:cs="宋体" w:eastAsia="宋体" w:hint="default"/>
                            <w:sz w:val="20"/>
                            <w:szCs w:val="20"/>
                          </w:rPr>
                          <w:t>合 计</w:t>
                        </w:r>
                      </w:p>
                    </w:tc>
                    <w:tc>
                      <w:tcPr>
                        <w:tcW w:w="1355" w:type="dxa"/>
                        <w:tcBorders>
                          <w:top w:val="single" w:sz="5" w:space="0" w:color="000000"/>
                          <w:left w:val="nil" w:sz="6" w:space="0" w:color="auto"/>
                          <w:bottom w:val="nil" w:sz="6" w:space="0" w:color="auto"/>
                          <w:right w:val="nil" w:sz="6" w:space="0" w:color="auto"/>
                        </w:tcBorders>
                      </w:tcPr>
                      <w:p>
                        <w:pPr>
                          <w:pStyle w:val="TableParagraph"/>
                          <w:spacing w:line="240" w:lineRule="auto" w:before="118"/>
                          <w:ind w:left="86" w:right="0"/>
                          <w:jc w:val="left"/>
                          <w:rPr>
                            <w:rFonts w:ascii="Times New Roman" w:hAnsi="Times New Roman" w:cs="Times New Roman" w:eastAsia="Times New Roman" w:hint="default"/>
                            <w:sz w:val="20"/>
                            <w:szCs w:val="20"/>
                          </w:rPr>
                        </w:pPr>
                        <w:r>
                          <w:rPr>
                            <w:rFonts w:ascii="Times New Roman"/>
                            <w:sz w:val="20"/>
                          </w:rPr>
                          <w:t>63,116,286.93</w:t>
                        </w:r>
                      </w:p>
                    </w:tc>
                    <w:tc>
                      <w:tcPr>
                        <w:tcW w:w="86" w:type="dxa"/>
                        <w:tcBorders>
                          <w:top w:val="nil" w:sz="6" w:space="0" w:color="auto"/>
                          <w:left w:val="nil" w:sz="6" w:space="0" w:color="auto"/>
                          <w:bottom w:val="nil" w:sz="6" w:space="0" w:color="auto"/>
                          <w:right w:val="nil" w:sz="6" w:space="0" w:color="auto"/>
                        </w:tcBorders>
                      </w:tcPr>
                      <w:p>
                        <w:pPr/>
                      </w:p>
                    </w:tc>
                    <w:tc>
                      <w:tcPr>
                        <w:tcW w:w="850" w:type="dxa"/>
                        <w:tcBorders>
                          <w:top w:val="single" w:sz="5" w:space="0" w:color="000000"/>
                          <w:left w:val="nil" w:sz="6" w:space="0" w:color="auto"/>
                          <w:bottom w:val="nil" w:sz="6" w:space="0" w:color="auto"/>
                          <w:right w:val="nil" w:sz="6" w:space="0" w:color="auto"/>
                        </w:tcBorders>
                      </w:tcPr>
                      <w:p>
                        <w:pPr>
                          <w:pStyle w:val="TableParagraph"/>
                          <w:spacing w:line="240" w:lineRule="auto" w:before="118"/>
                          <w:ind w:right="32"/>
                          <w:jc w:val="right"/>
                          <w:rPr>
                            <w:rFonts w:ascii="Times New Roman" w:hAnsi="Times New Roman" w:cs="Times New Roman" w:eastAsia="Times New Roman" w:hint="default"/>
                            <w:sz w:val="20"/>
                            <w:szCs w:val="20"/>
                          </w:rPr>
                        </w:pPr>
                        <w:r>
                          <w:rPr>
                            <w:rFonts w:ascii="Times New Roman"/>
                            <w:sz w:val="20"/>
                          </w:rPr>
                          <w:t>100.00%</w:t>
                        </w:r>
                      </w:p>
                    </w:tc>
                    <w:tc>
                      <w:tcPr>
                        <w:tcW w:w="86" w:type="dxa"/>
                        <w:tcBorders>
                          <w:top w:val="nil" w:sz="6" w:space="0" w:color="auto"/>
                          <w:left w:val="nil" w:sz="6" w:space="0" w:color="auto"/>
                          <w:bottom w:val="nil" w:sz="6" w:space="0" w:color="auto"/>
                          <w:right w:val="nil" w:sz="6" w:space="0" w:color="auto"/>
                        </w:tcBorders>
                      </w:tcPr>
                      <w:p>
                        <w:pPr/>
                      </w:p>
                    </w:tc>
                    <w:tc>
                      <w:tcPr>
                        <w:tcW w:w="1238" w:type="dxa"/>
                        <w:tcBorders>
                          <w:top w:val="single" w:sz="5" w:space="0" w:color="000000"/>
                          <w:left w:val="nil" w:sz="6" w:space="0" w:color="auto"/>
                          <w:bottom w:val="nil" w:sz="6" w:space="0" w:color="auto"/>
                          <w:right w:val="nil" w:sz="6" w:space="0" w:color="auto"/>
                        </w:tcBorders>
                      </w:tcPr>
                      <w:p>
                        <w:pPr>
                          <w:pStyle w:val="TableParagraph"/>
                          <w:spacing w:line="240" w:lineRule="auto" w:before="118"/>
                          <w:ind w:right="84"/>
                          <w:jc w:val="right"/>
                          <w:rPr>
                            <w:rFonts w:ascii="Times New Roman" w:hAnsi="Times New Roman" w:cs="Times New Roman" w:eastAsia="Times New Roman" w:hint="default"/>
                            <w:sz w:val="20"/>
                            <w:szCs w:val="20"/>
                          </w:rPr>
                        </w:pPr>
                        <w:r>
                          <w:rPr>
                            <w:rFonts w:ascii="Times New Roman"/>
                            <w:spacing w:val="2"/>
                            <w:w w:val="95"/>
                            <w:sz w:val="20"/>
                          </w:rPr>
                          <w:t>1,768,652.24</w:t>
                        </w:r>
                        <w:r>
                          <w:rPr>
                            <w:rFonts w:ascii="Times New Roman"/>
                            <w:sz w:val="20"/>
                          </w:rPr>
                        </w:r>
                      </w:p>
                    </w:tc>
                    <w:tc>
                      <w:tcPr>
                        <w:tcW w:w="86" w:type="dxa"/>
                        <w:tcBorders>
                          <w:top w:val="nil" w:sz="6" w:space="0" w:color="auto"/>
                          <w:left w:val="nil" w:sz="6" w:space="0" w:color="auto"/>
                          <w:bottom w:val="nil" w:sz="6" w:space="0" w:color="auto"/>
                          <w:right w:val="nil" w:sz="6" w:space="0" w:color="auto"/>
                        </w:tcBorders>
                      </w:tcPr>
                      <w:p>
                        <w:pPr/>
                      </w:p>
                    </w:tc>
                    <w:tc>
                      <w:tcPr>
                        <w:tcW w:w="1339" w:type="dxa"/>
                        <w:tcBorders>
                          <w:top w:val="single" w:sz="5" w:space="0" w:color="000000"/>
                          <w:left w:val="nil" w:sz="6" w:space="0" w:color="auto"/>
                          <w:bottom w:val="nil" w:sz="6" w:space="0" w:color="auto"/>
                          <w:right w:val="nil" w:sz="6" w:space="0" w:color="auto"/>
                        </w:tcBorders>
                      </w:tcPr>
                      <w:p>
                        <w:pPr>
                          <w:pStyle w:val="TableParagraph"/>
                          <w:spacing w:line="240" w:lineRule="auto" w:before="118"/>
                          <w:ind w:right="12"/>
                          <w:jc w:val="center"/>
                          <w:rPr>
                            <w:rFonts w:ascii="Times New Roman" w:hAnsi="Times New Roman" w:cs="Times New Roman" w:eastAsia="Times New Roman" w:hint="default"/>
                            <w:sz w:val="20"/>
                            <w:szCs w:val="20"/>
                          </w:rPr>
                        </w:pPr>
                        <w:r>
                          <w:rPr>
                            <w:rFonts w:ascii="Times New Roman"/>
                            <w:spacing w:val="2"/>
                            <w:sz w:val="20"/>
                          </w:rPr>
                          <w:t>61,347,634.69</w:t>
                        </w:r>
                        <w:r>
                          <w:rPr>
                            <w:rFonts w:ascii="Times New Roman"/>
                            <w:sz w:val="20"/>
                          </w:rPr>
                        </w:r>
                      </w:p>
                    </w:tc>
                  </w:tr>
                </w:tbl>
                <w:p>
                  <w:pPr/>
                </w:p>
              </w:txbxContent>
            </v:textbox>
            <w10:wrap type="none"/>
          </v:shape>
        </w:pict>
      </w:r>
      <w:r>
        <w:rPr>
          <w:rFonts w:ascii="Times New Roman"/>
          <w:w w:val="95"/>
          <w:sz w:val="20"/>
        </w:rPr>
        <w:t>-</w:t>
        <w:tab/>
        <w:t>-</w:t>
        <w:tab/>
        <w:t>-</w:t>
        <w:tab/>
      </w:r>
      <w:r>
        <w:rPr>
          <w:rFonts w:ascii="Times New Roman"/>
          <w:sz w:val="20"/>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4"/>
          <w:szCs w:val="14"/>
        </w:rPr>
      </w:pPr>
    </w:p>
    <w:p>
      <w:pPr>
        <w:spacing w:line="56" w:lineRule="exact"/>
        <w:ind w:left="3896" w:right="0" w:firstLine="0"/>
        <w:rPr>
          <w:rFonts w:ascii="Times New Roman" w:hAnsi="Times New Roman" w:cs="Times New Roman" w:eastAsia="Times New Roman" w:hint="default"/>
          <w:sz w:val="5"/>
          <w:szCs w:val="5"/>
        </w:rPr>
      </w:pPr>
      <w:r>
        <w:rPr>
          <w:rFonts w:ascii="Times New Roman"/>
          <w:position w:val="0"/>
          <w:sz w:val="5"/>
        </w:rPr>
        <w:pict>
          <v:group style="width:69.150pt;height:2.85pt;mso-position-horizontal-relative:char;mso-position-vertical-relative:line" coordorigin="0,0" coordsize="1383,57">
            <v:group style="position:absolute;left:14;top:14;width:1355;height:2" coordorigin="14,14" coordsize="1355,2">
              <v:shape style="position:absolute;left:14;top:14;width:1355;height:2" coordorigin="14,14" coordsize="1355,0" path="m14,14l1369,14e" filled="false" stroked="true" strokeweight="1.38pt" strokecolor="#000000">
                <v:path arrowok="t"/>
              </v:shape>
            </v:group>
            <v:group style="position:absolute;left:14;top:49;width:1355;height:2" coordorigin="14,49" coordsize="1355,2">
              <v:shape style="position:absolute;left:14;top:49;width:1355;height:2" coordorigin="14,49" coordsize="1355,0" path="m14,49l1369,49e" filled="false" stroked="true" strokeweight=".72pt" strokecolor="#000000">
                <v:path arrowok="t"/>
              </v:shape>
            </v:group>
          </v:group>
        </w:pict>
      </w:r>
      <w:r>
        <w:rPr>
          <w:rFonts w:ascii="Times New Roman"/>
          <w:position w:val="0"/>
          <w:sz w:val="5"/>
        </w:rPr>
      </w:r>
      <w:r>
        <w:rPr>
          <w:rFonts w:ascii="Times New Roman"/>
          <w:spacing w:val="53"/>
          <w:position w:val="0"/>
          <w:sz w:val="5"/>
        </w:rPr>
        <w:t> </w:t>
      </w:r>
      <w:r>
        <w:rPr>
          <w:rFonts w:ascii="Times New Roman"/>
          <w:spacing w:val="53"/>
          <w:position w:val="0"/>
          <w:sz w:val="5"/>
        </w:rPr>
        <w:pict>
          <v:group style="width:43.9pt;height:2.85pt;mso-position-horizontal-relative:char;mso-position-vertical-relative:line" coordorigin="0,0" coordsize="878,57">
            <v:group style="position:absolute;left:14;top:14;width:850;height:2" coordorigin="14,14" coordsize="850,2">
              <v:shape style="position:absolute;left:14;top:14;width:850;height:2" coordorigin="14,14" coordsize="850,0" path="m14,14l863,14e" filled="false" stroked="true" strokeweight="1.38pt" strokecolor="#000000">
                <v:path arrowok="t"/>
              </v:shape>
            </v:group>
            <v:group style="position:absolute;left:14;top:49;width:850;height:2" coordorigin="14,49" coordsize="850,2">
              <v:shape style="position:absolute;left:14;top:49;width:850;height:2" coordorigin="14,49" coordsize="850,0" path="m14,49l863,49e" filled="false" stroked="true" strokeweight=".72pt" strokecolor="#000000">
                <v:path arrowok="t"/>
              </v:shape>
            </v:group>
          </v:group>
        </w:pict>
      </w:r>
      <w:r>
        <w:rPr>
          <w:rFonts w:ascii="Times New Roman"/>
          <w:spacing w:val="53"/>
          <w:position w:val="0"/>
          <w:sz w:val="5"/>
        </w:rPr>
      </w:r>
      <w:r>
        <w:rPr>
          <w:rFonts w:ascii="Times New Roman"/>
          <w:spacing w:val="53"/>
          <w:position w:val="0"/>
          <w:sz w:val="5"/>
        </w:rPr>
        <w:t> </w:t>
      </w:r>
      <w:r>
        <w:rPr>
          <w:rFonts w:ascii="Times New Roman"/>
          <w:spacing w:val="53"/>
          <w:position w:val="0"/>
          <w:sz w:val="5"/>
        </w:rPr>
        <w:pict>
          <v:group style="width:63.3pt;height:2.85pt;mso-position-horizontal-relative:char;mso-position-vertical-relative:line" coordorigin="0,0" coordsize="1266,57">
            <v:group style="position:absolute;left:14;top:14;width:1239;height:2" coordorigin="14,14" coordsize="1239,2">
              <v:shape style="position:absolute;left:14;top:14;width:1239;height:2" coordorigin="14,14" coordsize="1239,0" path="m14,14l1252,14e" filled="false" stroked="true" strokeweight="1.38pt" strokecolor="#000000">
                <v:path arrowok="t"/>
              </v:shape>
            </v:group>
            <v:group style="position:absolute;left:14;top:49;width:1239;height:2" coordorigin="14,49" coordsize="1239,2">
              <v:shape style="position:absolute;left:14;top:49;width:1239;height:2" coordorigin="14,49" coordsize="1239,0" path="m14,49l1252,49e" filled="false" stroked="true" strokeweight=".72pt" strokecolor="#000000">
                <v:path arrowok="t"/>
              </v:shape>
            </v:group>
          </v:group>
        </w:pict>
      </w:r>
      <w:r>
        <w:rPr>
          <w:rFonts w:ascii="Times New Roman"/>
          <w:spacing w:val="53"/>
          <w:position w:val="0"/>
          <w:sz w:val="5"/>
        </w:rPr>
      </w:r>
      <w:r>
        <w:rPr>
          <w:rFonts w:ascii="Times New Roman"/>
          <w:spacing w:val="54"/>
          <w:position w:val="0"/>
          <w:sz w:val="5"/>
        </w:rPr>
        <w:t> </w:t>
      </w:r>
      <w:r>
        <w:rPr>
          <w:rFonts w:ascii="Times New Roman"/>
          <w:spacing w:val="54"/>
          <w:position w:val="0"/>
          <w:sz w:val="5"/>
        </w:rPr>
        <w:pict>
          <v:group style="width:68.350pt;height:2.85pt;mso-position-horizontal-relative:char;mso-position-vertical-relative:line" coordorigin="0,0" coordsize="1367,57">
            <v:group style="position:absolute;left:14;top:14;width:1340;height:2" coordorigin="14,14" coordsize="1340,2">
              <v:shape style="position:absolute;left:14;top:14;width:1340;height:2" coordorigin="14,14" coordsize="1340,0" path="m14,14l1353,14e" filled="false" stroked="true" strokeweight="1.38pt" strokecolor="#000000">
                <v:path arrowok="t"/>
              </v:shape>
            </v:group>
            <v:group style="position:absolute;left:14;top:49;width:1340;height:2" coordorigin="14,49" coordsize="1340,2">
              <v:shape style="position:absolute;left:14;top:49;width:1340;height:2" coordorigin="14,49" coordsize="1340,0" path="m14,49l1353,49e" filled="false" stroked="true" strokeweight=".72pt" strokecolor="#000000">
                <v:path arrowok="t"/>
              </v:shape>
            </v:group>
          </v:group>
        </w:pict>
      </w:r>
      <w:r>
        <w:rPr>
          <w:rFonts w:ascii="Times New Roman"/>
          <w:spacing w:val="54"/>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spacing w:before="48"/>
        <w:ind w:left="3694" w:right="0" w:firstLine="0"/>
        <w:jc w:val="center"/>
        <w:rPr>
          <w:rFonts w:ascii="宋体" w:hAnsi="宋体" w:cs="宋体" w:eastAsia="宋体" w:hint="default"/>
          <w:sz w:val="19"/>
          <w:szCs w:val="19"/>
        </w:rPr>
      </w:pPr>
      <w:r>
        <w:rPr>
          <w:rFonts w:ascii="宋体" w:hAnsi="宋体" w:cs="宋体" w:eastAsia="宋体" w:hint="default"/>
          <w:w w:val="105"/>
          <w:sz w:val="19"/>
          <w:szCs w:val="19"/>
        </w:rPr>
        <w:t>年</w:t>
      </w:r>
      <w:r>
        <w:rPr>
          <w:rFonts w:ascii="宋体" w:hAnsi="宋体" w:cs="宋体" w:eastAsia="宋体" w:hint="default"/>
          <w:spacing w:val="-42"/>
          <w:w w:val="105"/>
          <w:sz w:val="19"/>
          <w:szCs w:val="19"/>
        </w:rPr>
        <w:t> </w:t>
      </w:r>
      <w:r>
        <w:rPr>
          <w:rFonts w:ascii="宋体" w:hAnsi="宋体" w:cs="宋体" w:eastAsia="宋体" w:hint="default"/>
          <w:w w:val="105"/>
          <w:sz w:val="19"/>
          <w:szCs w:val="19"/>
        </w:rPr>
        <w:t>初</w:t>
      </w:r>
      <w:r>
        <w:rPr>
          <w:rFonts w:ascii="宋体" w:hAnsi="宋体" w:cs="宋体" w:eastAsia="宋体" w:hint="default"/>
          <w:spacing w:val="-42"/>
          <w:w w:val="105"/>
          <w:sz w:val="19"/>
          <w:szCs w:val="19"/>
        </w:rPr>
        <w:t> </w:t>
      </w:r>
      <w:r>
        <w:rPr>
          <w:rFonts w:ascii="宋体" w:hAnsi="宋体" w:cs="宋体" w:eastAsia="宋体" w:hint="default"/>
          <w:w w:val="105"/>
          <w:sz w:val="19"/>
          <w:szCs w:val="19"/>
        </w:rPr>
        <w:t>数</w:t>
      </w:r>
      <w:r>
        <w:rPr>
          <w:rFonts w:ascii="宋体" w:hAnsi="宋体" w:cs="宋体" w:eastAsia="宋体" w:hint="default"/>
          <w:sz w:val="19"/>
          <w:szCs w:val="19"/>
        </w:rPr>
      </w:r>
    </w:p>
    <w:p>
      <w:pPr>
        <w:tabs>
          <w:tab w:pos="2038" w:val="left" w:leader="none"/>
        </w:tabs>
        <w:spacing w:line="238" w:lineRule="exact" w:before="33"/>
        <w:ind w:left="1635" w:right="59" w:firstLine="0"/>
        <w:jc w:val="left"/>
        <w:rPr>
          <w:rFonts w:ascii="宋体" w:hAnsi="宋体" w:cs="宋体" w:eastAsia="宋体" w:hint="default"/>
          <w:sz w:val="19"/>
          <w:szCs w:val="19"/>
        </w:rPr>
      </w:pPr>
      <w:r>
        <w:rPr/>
        <w:pict>
          <v:group style="position:absolute;margin-left:277.170013pt;margin-top:6.355013pt;width:253.45pt;height:1.45pt;mso-position-horizontal-relative:page;mso-position-vertical-relative:paragraph;z-index:9856" coordorigin="5543,127" coordsize="5069,29">
            <v:group style="position:absolute;left:5557;top:128;width:5042;height:2" coordorigin="5557,128" coordsize="5042,2">
              <v:shape style="position:absolute;left:5557;top:128;width:5042;height:2" coordorigin="5557,128" coordsize="5042,0" path="m5557,128l10598,128e" filled="false" stroked="true" strokeweight=".06pt" strokecolor="#000000">
                <v:path arrowok="t"/>
              </v:shape>
            </v:group>
            <v:group style="position:absolute;left:5557;top:142;width:5042;height:2" coordorigin="5557,142" coordsize="5042,2">
              <v:shape style="position:absolute;left:5557;top:142;width:5042;height:2" coordorigin="5557,142" coordsize="5042,0" path="m5557,142l10598,142e" filled="false" stroked="true" strokeweight="1.38pt" strokecolor="#000000">
                <v:path arrowok="t"/>
              </v:shape>
            </v:group>
            <w10:wrap type="none"/>
          </v:group>
        </w:pict>
      </w:r>
      <w:r>
        <w:rPr>
          <w:rFonts w:ascii="宋体" w:hAnsi="宋体" w:cs="宋体" w:eastAsia="宋体" w:hint="default"/>
          <w:sz w:val="19"/>
          <w:szCs w:val="19"/>
        </w:rPr>
        <w:t>项</w:t>
        <w:tab/>
      </w:r>
      <w:r>
        <w:rPr>
          <w:rFonts w:ascii="宋体" w:hAnsi="宋体" w:cs="宋体" w:eastAsia="宋体" w:hint="default"/>
          <w:w w:val="105"/>
          <w:sz w:val="19"/>
          <w:szCs w:val="19"/>
        </w:rPr>
        <w:t>目</w:t>
      </w:r>
      <w:r>
        <w:rPr>
          <w:rFonts w:ascii="宋体" w:hAnsi="宋体" w:cs="宋体" w:eastAsia="宋体" w:hint="default"/>
          <w:sz w:val="19"/>
          <w:szCs w:val="19"/>
        </w:rPr>
      </w:r>
    </w:p>
    <w:p>
      <w:pPr>
        <w:tabs>
          <w:tab w:pos="4002" w:val="left" w:leader="none"/>
          <w:tab w:pos="4880" w:val="left" w:leader="none"/>
          <w:tab w:pos="5802" w:val="left" w:leader="none"/>
          <w:tab w:pos="7387" w:val="left" w:leader="none"/>
        </w:tabs>
        <w:spacing w:line="238" w:lineRule="exact" w:before="0"/>
        <w:ind w:left="3584" w:right="0" w:firstLine="0"/>
        <w:jc w:val="center"/>
        <w:rPr>
          <w:rFonts w:ascii="宋体" w:hAnsi="宋体" w:cs="宋体" w:eastAsia="宋体" w:hint="default"/>
          <w:sz w:val="19"/>
          <w:szCs w:val="19"/>
        </w:rPr>
      </w:pPr>
      <w:r>
        <w:rPr>
          <w:rFonts w:ascii="宋体" w:hAnsi="宋体" w:cs="宋体" w:eastAsia="宋体" w:hint="default"/>
          <w:sz w:val="19"/>
          <w:szCs w:val="19"/>
        </w:rPr>
        <w:t>余</w:t>
        <w:tab/>
        <w:t>额</w:t>
        <w:tab/>
        <w:t>比例</w:t>
        <w:tab/>
      </w:r>
      <w:r>
        <w:rPr>
          <w:rFonts w:ascii="宋体" w:hAnsi="宋体" w:cs="宋体" w:eastAsia="宋体" w:hint="default"/>
          <w:spacing w:val="5"/>
          <w:sz w:val="19"/>
          <w:szCs w:val="19"/>
        </w:rPr>
        <w:t>坏账准备</w:t>
        <w:tab/>
      </w:r>
      <w:r>
        <w:rPr>
          <w:rFonts w:ascii="宋体" w:hAnsi="宋体" w:cs="宋体" w:eastAsia="宋体" w:hint="default"/>
          <w:w w:val="105"/>
          <w:sz w:val="19"/>
          <w:szCs w:val="19"/>
        </w:rPr>
        <w:t>净额</w:t>
      </w:r>
      <w:r>
        <w:rPr>
          <w:rFonts w:ascii="宋体" w:hAnsi="宋体" w:cs="宋体" w:eastAsia="宋体" w:hint="default"/>
          <w:sz w:val="19"/>
          <w:szCs w:val="19"/>
        </w:rPr>
      </w:r>
    </w:p>
    <w:p>
      <w:pPr>
        <w:spacing w:line="240" w:lineRule="auto" w:before="10"/>
        <w:rPr>
          <w:rFonts w:ascii="宋体" w:hAnsi="宋体" w:cs="宋体" w:eastAsia="宋体" w:hint="default"/>
          <w:sz w:val="10"/>
          <w:szCs w:val="10"/>
        </w:rPr>
      </w:pPr>
    </w:p>
    <w:p>
      <w:pPr>
        <w:spacing w:line="29" w:lineRule="exact"/>
        <w:ind w:left="137" w:right="0" w:firstLine="0"/>
        <w:rPr>
          <w:rFonts w:ascii="宋体" w:hAnsi="宋体" w:cs="宋体" w:eastAsia="宋体" w:hint="default"/>
          <w:sz w:val="2"/>
          <w:szCs w:val="2"/>
        </w:rPr>
      </w:pPr>
      <w:r>
        <w:rPr>
          <w:rFonts w:ascii="宋体"/>
          <w:position w:val="0"/>
          <w:sz w:val="2"/>
        </w:rPr>
        <w:pict>
          <v:group style="width:179.35pt;height:1.5pt;mso-position-horizontal-relative:char;mso-position-vertical-relative:line" coordorigin="0,0" coordsize="3587,30">
            <v:group style="position:absolute;left:14;top:1;width:3558;height:2" coordorigin="14,1" coordsize="3558,2">
              <v:shape style="position:absolute;left:14;top:1;width:3558;height:2" coordorigin="14,1" coordsize="3558,0" path="m14,1l3572,1e" filled="false" stroked="true" strokeweight=".06pt" strokecolor="#000000">
                <v:path arrowok="t"/>
              </v:shape>
            </v:group>
            <v:group style="position:absolute;left:14;top:15;width:3558;height:2" coordorigin="14,15" coordsize="3558,2">
              <v:shape style="position:absolute;left:14;top:15;width:3558;height:2" coordorigin="14,15" coordsize="3558,0" path="m14,15l3572,15e" filled="false" stroked="true" strokeweight="1.44pt" strokecolor="#000000">
                <v:path arrowok="t"/>
              </v:shape>
            </v:group>
          </v:group>
        </w:pict>
      </w:r>
      <w:r>
        <w:rPr>
          <w:rFonts w:ascii="宋体"/>
          <w:position w:val="0"/>
          <w:sz w:val="2"/>
        </w:rPr>
      </w:r>
      <w:r>
        <w:rPr>
          <w:rFonts w:ascii="Times New Roman"/>
          <w:spacing w:val="162"/>
          <w:position w:val="0"/>
          <w:sz w:val="2"/>
        </w:rPr>
        <w:t> </w:t>
      </w:r>
      <w:r>
        <w:rPr>
          <w:rFonts w:ascii="宋体"/>
          <w:spacing w:val="162"/>
          <w:position w:val="0"/>
          <w:sz w:val="2"/>
        </w:rPr>
        <w:pict>
          <v:group style="width:69.150pt;height:1.5pt;mso-position-horizontal-relative:char;mso-position-vertical-relative:line" coordorigin="0,0" coordsize="1383,30">
            <v:group style="position:absolute;left:14;top:1;width:1354;height:2" coordorigin="14,1" coordsize="1354,2">
              <v:shape style="position:absolute;left:14;top:1;width:1354;height:2" coordorigin="14,1" coordsize="1354,0" path="m14,1l1368,1e" filled="false" stroked="true" strokeweight=".06pt" strokecolor="#000000">
                <v:path arrowok="t"/>
              </v:shape>
            </v:group>
            <v:group style="position:absolute;left:14;top:15;width:1354;height:2" coordorigin="14,15" coordsize="1354,2">
              <v:shape style="position:absolute;left:14;top:15;width:1354;height:2" coordorigin="14,15" coordsize="1354,0" path="m14,15l1368,15e" filled="false" stroked="true" strokeweight="1.44pt" strokecolor="#000000">
                <v:path arrowok="t"/>
              </v:shape>
            </v:group>
          </v:group>
        </w:pict>
      </w:r>
      <w:r>
        <w:rPr>
          <w:rFonts w:ascii="宋体"/>
          <w:spacing w:val="162"/>
          <w:position w:val="0"/>
          <w:sz w:val="2"/>
        </w:rPr>
      </w:r>
      <w:r>
        <w:rPr>
          <w:rFonts w:ascii="Times New Roman"/>
          <w:spacing w:val="61"/>
          <w:position w:val="0"/>
          <w:sz w:val="2"/>
        </w:rPr>
        <w:t> </w:t>
      </w:r>
      <w:r>
        <w:rPr>
          <w:rFonts w:ascii="宋体"/>
          <w:spacing w:val="61"/>
          <w:position w:val="0"/>
          <w:sz w:val="2"/>
        </w:rPr>
        <w:pict>
          <v:group style="width:43.95pt;height:1.5pt;mso-position-horizontal-relative:char;mso-position-vertical-relative:line" coordorigin="0,0" coordsize="879,30">
            <v:group style="position:absolute;left:14;top:1;width:850;height:2" coordorigin="14,1" coordsize="850,2">
              <v:shape style="position:absolute;left:14;top:1;width:850;height:2" coordorigin="14,1" coordsize="850,0" path="m14,1l864,1e" filled="false" stroked="true" strokeweight=".06pt" strokecolor="#000000">
                <v:path arrowok="t"/>
              </v:shape>
            </v:group>
            <v:group style="position:absolute;left:14;top:15;width:850;height:2" coordorigin="14,15" coordsize="850,2">
              <v:shape style="position:absolute;left:14;top:15;width:850;height:2" coordorigin="14,15" coordsize="850,0" path="m14,15l864,15e" filled="false" stroked="true" strokeweight="1.44pt" strokecolor="#000000">
                <v:path arrowok="t"/>
              </v:shape>
            </v:group>
          </v:group>
        </w:pict>
      </w:r>
      <w:r>
        <w:rPr>
          <w:rFonts w:ascii="宋体"/>
          <w:spacing w:val="61"/>
          <w:position w:val="0"/>
          <w:sz w:val="2"/>
        </w:rPr>
      </w:r>
      <w:r>
        <w:rPr>
          <w:rFonts w:ascii="Times New Roman"/>
          <w:spacing w:val="61"/>
          <w:position w:val="0"/>
          <w:sz w:val="2"/>
        </w:rPr>
        <w:t> </w:t>
      </w:r>
      <w:r>
        <w:rPr>
          <w:rFonts w:ascii="宋体"/>
          <w:spacing w:val="61"/>
          <w:position w:val="0"/>
          <w:sz w:val="2"/>
        </w:rPr>
        <w:pict>
          <v:group style="width:63.45pt;height:1.5pt;mso-position-horizontal-relative:char;mso-position-vertical-relative:line" coordorigin="0,0" coordsize="1269,30">
            <v:group style="position:absolute;left:14;top:1;width:1240;height:2" coordorigin="14,1" coordsize="1240,2">
              <v:shape style="position:absolute;left:14;top:1;width:1240;height:2" coordorigin="14,1" coordsize="1240,0" path="m14,1l1254,1e" filled="false" stroked="true" strokeweight=".06pt" strokecolor="#000000">
                <v:path arrowok="t"/>
              </v:shape>
            </v:group>
            <v:group style="position:absolute;left:14;top:15;width:1240;height:2" coordorigin="14,15" coordsize="1240,2">
              <v:shape style="position:absolute;left:14;top:15;width:1240;height:2" coordorigin="14,15" coordsize="1240,0" path="m14,15l1254,15e" filled="false" stroked="true" strokeweight="1.44pt" strokecolor="#000000">
                <v:path arrowok="t"/>
              </v:shape>
            </v:group>
          </v:group>
        </w:pict>
      </w:r>
      <w:r>
        <w:rPr>
          <w:rFonts w:ascii="宋体"/>
          <w:spacing w:val="61"/>
          <w:position w:val="0"/>
          <w:sz w:val="2"/>
        </w:rPr>
      </w:r>
      <w:r>
        <w:rPr>
          <w:rFonts w:ascii="Times New Roman"/>
          <w:spacing w:val="61"/>
          <w:position w:val="0"/>
          <w:sz w:val="2"/>
        </w:rPr>
        <w:t> </w:t>
      </w:r>
      <w:r>
        <w:rPr>
          <w:rFonts w:ascii="宋体"/>
          <w:spacing w:val="61"/>
          <w:position w:val="0"/>
          <w:sz w:val="2"/>
        </w:rPr>
        <w:pict>
          <v:group style="width:68.4pt;height:1.5pt;mso-position-horizontal-relative:char;mso-position-vertical-relative:line" coordorigin="0,0" coordsize="1368,30">
            <v:group style="position:absolute;left:14;top:1;width:1340;height:2" coordorigin="14,1" coordsize="1340,2">
              <v:shape style="position:absolute;left:14;top:1;width:1340;height:2" coordorigin="14,1" coordsize="1340,0" path="m14,1l1354,1e" filled="false" stroked="true" strokeweight=".06pt" strokecolor="#000000">
                <v:path arrowok="t"/>
              </v:shape>
            </v:group>
            <v:group style="position:absolute;left:14;top:15;width:1340;height:2" coordorigin="14,15" coordsize="1340,2">
              <v:shape style="position:absolute;left:14;top:15;width:1340;height:2" coordorigin="14,15" coordsize="1340,0" path="m14,15l1354,15e" filled="false" stroked="true" strokeweight="1.44pt" strokecolor="#000000">
                <v:path arrowok="t"/>
              </v:shape>
            </v:group>
          </v:group>
        </w:pict>
      </w:r>
      <w:r>
        <w:rPr>
          <w:rFonts w:ascii="宋体"/>
          <w:spacing w:val="61"/>
          <w:position w:val="0"/>
          <w:sz w:val="2"/>
        </w:rPr>
      </w:r>
    </w:p>
    <w:p>
      <w:pPr>
        <w:tabs>
          <w:tab w:pos="3983" w:val="left" w:leader="none"/>
          <w:tab w:pos="5524" w:val="left" w:leader="none"/>
          <w:tab w:pos="7671" w:val="left" w:leader="none"/>
        </w:tabs>
        <w:spacing w:before="103"/>
        <w:ind w:left="180" w:right="59" w:firstLine="0"/>
        <w:jc w:val="left"/>
        <w:rPr>
          <w:rFonts w:ascii="Times New Roman" w:hAnsi="Times New Roman" w:cs="Times New Roman" w:eastAsia="Times New Roman" w:hint="default"/>
          <w:sz w:val="19"/>
          <w:szCs w:val="19"/>
        </w:rPr>
      </w:pPr>
      <w:r>
        <w:rPr>
          <w:rFonts w:ascii="宋体" w:hAnsi="宋体" w:cs="宋体" w:eastAsia="宋体" w:hint="default"/>
          <w:spacing w:val="4"/>
          <w:sz w:val="19"/>
          <w:szCs w:val="19"/>
        </w:rPr>
        <w:t>单项金额重大的应收账款</w:t>
        <w:tab/>
      </w:r>
      <w:r>
        <w:rPr>
          <w:rFonts w:ascii="Times New Roman" w:hAnsi="Times New Roman" w:cs="Times New Roman" w:eastAsia="Times New Roman" w:hint="default"/>
          <w:w w:val="105"/>
          <w:position w:val="1"/>
          <w:sz w:val="19"/>
          <w:szCs w:val="19"/>
        </w:rPr>
        <w:t>31,868,793.23</w:t>
        <w:tab/>
        <w:t>63.05%   </w:t>
      </w:r>
      <w:r>
        <w:rPr>
          <w:rFonts w:ascii="Times New Roman" w:hAnsi="Times New Roman" w:cs="Times New Roman" w:eastAsia="Times New Roman" w:hint="default"/>
          <w:spacing w:val="25"/>
          <w:w w:val="105"/>
          <w:position w:val="1"/>
          <w:sz w:val="19"/>
          <w:szCs w:val="19"/>
        </w:rPr>
        <w:t> </w:t>
      </w:r>
      <w:r>
        <w:rPr>
          <w:rFonts w:ascii="Times New Roman" w:hAnsi="Times New Roman" w:cs="Times New Roman" w:eastAsia="Times New Roman" w:hint="default"/>
          <w:w w:val="105"/>
          <w:position w:val="1"/>
          <w:sz w:val="19"/>
          <w:szCs w:val="19"/>
        </w:rPr>
        <w:t>1,332,211.04</w:t>
        <w:tab/>
        <w:t>30,536,582.19</w:t>
      </w:r>
      <w:r>
        <w:rPr>
          <w:rFonts w:ascii="Times New Roman" w:hAnsi="Times New Roman" w:cs="Times New Roman" w:eastAsia="Times New Roman" w:hint="default"/>
          <w:sz w:val="19"/>
          <w:szCs w:val="19"/>
        </w:rPr>
      </w:r>
    </w:p>
    <w:p>
      <w:pPr>
        <w:spacing w:line="240" w:lineRule="auto" w:before="5"/>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460" w:left="1660" w:right="1080"/>
        </w:sectPr>
      </w:pPr>
    </w:p>
    <w:p>
      <w:pPr>
        <w:spacing w:before="48"/>
        <w:ind w:left="180" w:right="-7" w:firstLine="0"/>
        <w:jc w:val="left"/>
        <w:rPr>
          <w:rFonts w:ascii="宋体" w:hAnsi="宋体" w:cs="宋体" w:eastAsia="宋体" w:hint="default"/>
          <w:sz w:val="19"/>
          <w:szCs w:val="19"/>
        </w:rPr>
      </w:pPr>
      <w:r>
        <w:rPr>
          <w:rFonts w:ascii="宋体" w:hAnsi="宋体" w:cs="宋体" w:eastAsia="宋体" w:hint="default"/>
          <w:spacing w:val="4"/>
          <w:w w:val="105"/>
          <w:sz w:val="19"/>
          <w:szCs w:val="19"/>
        </w:rPr>
        <w:t>单项金额不重大但按信用风险特征组合</w:t>
      </w:r>
      <w:r>
        <w:rPr>
          <w:rFonts w:ascii="宋体" w:hAnsi="宋体" w:cs="宋体" w:eastAsia="宋体" w:hint="default"/>
          <w:sz w:val="19"/>
          <w:szCs w:val="19"/>
        </w:rPr>
      </w:r>
    </w:p>
    <w:p>
      <w:pPr>
        <w:spacing w:line="240" w:lineRule="auto" w:before="2"/>
        <w:rPr>
          <w:rFonts w:ascii="宋体" w:hAnsi="宋体" w:cs="宋体" w:eastAsia="宋体" w:hint="default"/>
          <w:sz w:val="15"/>
          <w:szCs w:val="15"/>
        </w:rPr>
      </w:pPr>
      <w:r>
        <w:rPr/>
        <w:br w:type="column"/>
      </w:r>
      <w:r>
        <w:rPr>
          <w:rFonts w:ascii="宋体"/>
          <w:sz w:val="15"/>
        </w:rPr>
      </w:r>
    </w:p>
    <w:p>
      <w:pPr>
        <w:tabs>
          <w:tab w:pos="1116" w:val="left" w:leader="none"/>
          <w:tab w:pos="2442" w:val="left" w:leader="none"/>
          <w:tab w:pos="3868" w:val="left" w:leader="none"/>
        </w:tabs>
        <w:spacing w:before="0"/>
        <w:ind w:left="180" w:right="0" w:firstLine="0"/>
        <w:jc w:val="left"/>
        <w:rPr>
          <w:rFonts w:ascii="Times New Roman" w:hAnsi="Times New Roman" w:cs="Times New Roman" w:eastAsia="Times New Roman" w:hint="default"/>
          <w:sz w:val="19"/>
          <w:szCs w:val="19"/>
        </w:rPr>
      </w:pPr>
      <w:r>
        <w:rPr/>
        <w:pict>
          <v:shape style="position:absolute;margin-left:90.288933pt;margin-top:7.093921pt;width:439.65pt;height:60.8pt;mso-position-horizontal-relative:page;mso-position-vertical-relative:paragraph;z-index:9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51"/>
                    <w:gridCol w:w="1354"/>
                    <w:gridCol w:w="86"/>
                    <w:gridCol w:w="850"/>
                    <w:gridCol w:w="86"/>
                    <w:gridCol w:w="1240"/>
                    <w:gridCol w:w="86"/>
                    <w:gridCol w:w="1339"/>
                  </w:tblGrid>
                  <w:tr>
                    <w:trPr>
                      <w:trHeight w:val="741" w:hRule="exact"/>
                    </w:trPr>
                    <w:tc>
                      <w:tcPr>
                        <w:tcW w:w="3751"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宋体" w:hAnsi="宋体" w:cs="宋体" w:eastAsia="宋体" w:hint="default"/>
                            <w:sz w:val="19"/>
                            <w:szCs w:val="19"/>
                          </w:rPr>
                        </w:pPr>
                        <w:r>
                          <w:rPr>
                            <w:rFonts w:ascii="宋体" w:hAnsi="宋体" w:cs="宋体" w:eastAsia="宋体" w:hint="default"/>
                            <w:spacing w:val="5"/>
                            <w:w w:val="105"/>
                            <w:sz w:val="19"/>
                            <w:szCs w:val="19"/>
                          </w:rPr>
                          <w:t>后该组合的风险较大的应收账款</w:t>
                        </w:r>
                        <w:r>
                          <w:rPr>
                            <w:rFonts w:ascii="宋体" w:hAnsi="宋体" w:cs="宋体" w:eastAsia="宋体" w:hint="default"/>
                            <w:spacing w:val="5"/>
                            <w:sz w:val="19"/>
                            <w:szCs w:val="19"/>
                          </w:rPr>
                        </w:r>
                      </w:p>
                      <w:p>
                        <w:pPr>
                          <w:pStyle w:val="TableParagraph"/>
                          <w:spacing w:line="240" w:lineRule="auto" w:before="147"/>
                          <w:ind w:left="35" w:right="0"/>
                          <w:jc w:val="left"/>
                          <w:rPr>
                            <w:rFonts w:ascii="宋体" w:hAnsi="宋体" w:cs="宋体" w:eastAsia="宋体" w:hint="default"/>
                            <w:sz w:val="19"/>
                            <w:szCs w:val="19"/>
                          </w:rPr>
                        </w:pPr>
                        <w:r>
                          <w:rPr>
                            <w:rFonts w:ascii="宋体" w:hAnsi="宋体" w:cs="宋体" w:eastAsia="宋体" w:hint="default"/>
                            <w:spacing w:val="5"/>
                            <w:w w:val="105"/>
                            <w:sz w:val="19"/>
                            <w:szCs w:val="19"/>
                          </w:rPr>
                          <w:t>其他不重大应收账款</w:t>
                        </w:r>
                        <w:r>
                          <w:rPr>
                            <w:rFonts w:ascii="宋体" w:hAnsi="宋体" w:cs="宋体" w:eastAsia="宋体" w:hint="default"/>
                            <w:sz w:val="19"/>
                            <w:szCs w:val="19"/>
                          </w:rPr>
                        </w:r>
                      </w:p>
                    </w:tc>
                    <w:tc>
                      <w:tcPr>
                        <w:tcW w:w="1354"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19"/>
                            <w:szCs w:val="19"/>
                          </w:rPr>
                        </w:pPr>
                        <w:r>
                          <w:rPr>
                            <w:rFonts w:ascii="Times New Roman"/>
                            <w:w w:val="105"/>
                            <w:sz w:val="19"/>
                          </w:rPr>
                          <w:t>18,680,061.52</w:t>
                        </w:r>
                        <w:r>
                          <w:rPr>
                            <w:rFonts w:ascii="Times New Roman"/>
                            <w:sz w:val="19"/>
                          </w:rPr>
                        </w:r>
                      </w:p>
                    </w:tc>
                    <w:tc>
                      <w:tcPr>
                        <w:tcW w:w="8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33"/>
                          <w:jc w:val="right"/>
                          <w:rPr>
                            <w:rFonts w:ascii="Times New Roman" w:hAnsi="Times New Roman" w:cs="Times New Roman" w:eastAsia="Times New Roman" w:hint="default"/>
                            <w:sz w:val="19"/>
                            <w:szCs w:val="19"/>
                          </w:rPr>
                        </w:pPr>
                        <w:r>
                          <w:rPr>
                            <w:rFonts w:ascii="Times New Roman"/>
                            <w:w w:val="105"/>
                            <w:sz w:val="19"/>
                          </w:rPr>
                          <w:t>36.95%</w:t>
                        </w:r>
                        <w:r>
                          <w:rPr>
                            <w:rFonts w:ascii="Times New Roman"/>
                            <w:sz w:val="19"/>
                          </w:rPr>
                        </w:r>
                      </w:p>
                    </w:tc>
                    <w:tc>
                      <w:tcPr>
                        <w:tcW w:w="86"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12"/>
                          <w:jc w:val="center"/>
                          <w:rPr>
                            <w:rFonts w:ascii="Times New Roman" w:hAnsi="Times New Roman" w:cs="Times New Roman" w:eastAsia="Times New Roman" w:hint="default"/>
                            <w:sz w:val="19"/>
                            <w:szCs w:val="19"/>
                          </w:rPr>
                        </w:pPr>
                        <w:r>
                          <w:rPr>
                            <w:rFonts w:ascii="Times New Roman"/>
                            <w:w w:val="105"/>
                            <w:sz w:val="19"/>
                          </w:rPr>
                          <w:t>1,213,750.36</w:t>
                        </w:r>
                        <w:r>
                          <w:rPr>
                            <w:rFonts w:ascii="Times New Roman"/>
                            <w:sz w:val="19"/>
                          </w:rPr>
                        </w:r>
                      </w:p>
                    </w:tc>
                    <w:tc>
                      <w:tcPr>
                        <w:tcW w:w="8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right="12"/>
                          <w:jc w:val="center"/>
                          <w:rPr>
                            <w:rFonts w:ascii="Times New Roman" w:hAnsi="Times New Roman" w:cs="Times New Roman" w:eastAsia="Times New Roman" w:hint="default"/>
                            <w:sz w:val="19"/>
                            <w:szCs w:val="19"/>
                          </w:rPr>
                        </w:pPr>
                        <w:r>
                          <w:rPr>
                            <w:rFonts w:ascii="Times New Roman"/>
                            <w:w w:val="105"/>
                            <w:sz w:val="19"/>
                          </w:rPr>
                          <w:t>17,466,311.16</w:t>
                        </w:r>
                        <w:r>
                          <w:rPr>
                            <w:rFonts w:ascii="Times New Roman"/>
                            <w:sz w:val="19"/>
                          </w:rPr>
                        </w:r>
                      </w:p>
                    </w:tc>
                  </w:tr>
                  <w:tr>
                    <w:trPr>
                      <w:trHeight w:val="475" w:hRule="exact"/>
                    </w:trPr>
                    <w:tc>
                      <w:tcPr>
                        <w:tcW w:w="375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84"/>
                          <w:jc w:val="center"/>
                          <w:rPr>
                            <w:rFonts w:ascii="宋体" w:hAnsi="宋体" w:cs="宋体" w:eastAsia="宋体" w:hint="default"/>
                            <w:sz w:val="19"/>
                            <w:szCs w:val="19"/>
                          </w:rPr>
                        </w:pPr>
                        <w:r>
                          <w:rPr>
                            <w:rFonts w:ascii="宋体" w:hAnsi="宋体" w:cs="宋体" w:eastAsia="宋体" w:hint="default"/>
                            <w:w w:val="105"/>
                            <w:sz w:val="19"/>
                            <w:szCs w:val="19"/>
                          </w:rPr>
                          <w:t>合 计</w:t>
                        </w:r>
                        <w:r>
                          <w:rPr>
                            <w:rFonts w:ascii="宋体" w:hAnsi="宋体" w:cs="宋体" w:eastAsia="宋体" w:hint="default"/>
                            <w:sz w:val="19"/>
                            <w:szCs w:val="19"/>
                          </w:rPr>
                        </w:r>
                      </w:p>
                    </w:tc>
                    <w:tc>
                      <w:tcPr>
                        <w:tcW w:w="1354" w:type="dxa"/>
                        <w:tcBorders>
                          <w:top w:val="single" w:sz="6" w:space="0" w:color="000000"/>
                          <w:left w:val="nil" w:sz="6" w:space="0" w:color="auto"/>
                          <w:bottom w:val="nil" w:sz="6" w:space="0" w:color="auto"/>
                          <w:right w:val="nil" w:sz="6" w:space="0" w:color="auto"/>
                        </w:tcBorders>
                      </w:tcPr>
                      <w:p>
                        <w:pPr>
                          <w:pStyle w:val="TableParagraph"/>
                          <w:spacing w:line="240" w:lineRule="auto" w:before="141"/>
                          <w:ind w:right="100"/>
                          <w:jc w:val="right"/>
                          <w:rPr>
                            <w:rFonts w:ascii="Times New Roman" w:hAnsi="Times New Roman" w:cs="Times New Roman" w:eastAsia="Times New Roman" w:hint="default"/>
                            <w:sz w:val="19"/>
                            <w:szCs w:val="19"/>
                          </w:rPr>
                        </w:pPr>
                        <w:r>
                          <w:rPr>
                            <w:rFonts w:ascii="Times New Roman"/>
                            <w:w w:val="105"/>
                            <w:sz w:val="19"/>
                          </w:rPr>
                          <w:t>50,548,854.75</w:t>
                        </w:r>
                        <w:r>
                          <w:rPr>
                            <w:rFonts w:ascii="Times New Roman"/>
                            <w:sz w:val="19"/>
                          </w:rPr>
                        </w:r>
                      </w:p>
                    </w:tc>
                    <w:tc>
                      <w:tcPr>
                        <w:tcW w:w="86" w:type="dxa"/>
                        <w:tcBorders>
                          <w:top w:val="nil" w:sz="6" w:space="0" w:color="auto"/>
                          <w:left w:val="nil" w:sz="6" w:space="0" w:color="auto"/>
                          <w:bottom w:val="nil" w:sz="6" w:space="0" w:color="auto"/>
                          <w:right w:val="nil" w:sz="6" w:space="0" w:color="auto"/>
                        </w:tcBorders>
                      </w:tcPr>
                      <w:p>
                        <w:pPr/>
                      </w:p>
                    </w:tc>
                    <w:tc>
                      <w:tcPr>
                        <w:tcW w:w="850" w:type="dxa"/>
                        <w:tcBorders>
                          <w:top w:val="single" w:sz="6" w:space="0" w:color="000000"/>
                          <w:left w:val="nil" w:sz="6" w:space="0" w:color="auto"/>
                          <w:bottom w:val="nil" w:sz="6" w:space="0" w:color="auto"/>
                          <w:right w:val="nil" w:sz="6" w:space="0" w:color="auto"/>
                        </w:tcBorders>
                      </w:tcPr>
                      <w:p>
                        <w:pPr>
                          <w:pStyle w:val="TableParagraph"/>
                          <w:spacing w:line="240" w:lineRule="auto" w:before="141"/>
                          <w:ind w:right="33"/>
                          <w:jc w:val="right"/>
                          <w:rPr>
                            <w:rFonts w:ascii="Times New Roman" w:hAnsi="Times New Roman" w:cs="Times New Roman" w:eastAsia="Times New Roman" w:hint="default"/>
                            <w:sz w:val="19"/>
                            <w:szCs w:val="19"/>
                          </w:rPr>
                        </w:pPr>
                        <w:r>
                          <w:rPr>
                            <w:rFonts w:ascii="Times New Roman"/>
                            <w:w w:val="105"/>
                            <w:sz w:val="19"/>
                          </w:rPr>
                          <w:t>100.00%</w:t>
                        </w:r>
                        <w:r>
                          <w:rPr>
                            <w:rFonts w:ascii="Times New Roman"/>
                            <w:sz w:val="19"/>
                          </w:rPr>
                        </w:r>
                      </w:p>
                    </w:tc>
                    <w:tc>
                      <w:tcPr>
                        <w:tcW w:w="86" w:type="dxa"/>
                        <w:tcBorders>
                          <w:top w:val="nil" w:sz="6" w:space="0" w:color="auto"/>
                          <w:left w:val="nil" w:sz="6" w:space="0" w:color="auto"/>
                          <w:bottom w:val="nil" w:sz="6" w:space="0" w:color="auto"/>
                          <w:right w:val="nil" w:sz="6" w:space="0" w:color="auto"/>
                        </w:tcBorders>
                      </w:tcPr>
                      <w:p>
                        <w:pPr/>
                      </w:p>
                    </w:tc>
                    <w:tc>
                      <w:tcPr>
                        <w:tcW w:w="1240" w:type="dxa"/>
                        <w:tcBorders>
                          <w:top w:val="single" w:sz="6" w:space="0" w:color="000000"/>
                          <w:left w:val="nil" w:sz="6" w:space="0" w:color="auto"/>
                          <w:bottom w:val="nil" w:sz="6" w:space="0" w:color="auto"/>
                          <w:right w:val="nil" w:sz="6" w:space="0" w:color="auto"/>
                        </w:tcBorders>
                      </w:tcPr>
                      <w:p>
                        <w:pPr>
                          <w:pStyle w:val="TableParagraph"/>
                          <w:spacing w:line="240" w:lineRule="auto" w:before="141"/>
                          <w:ind w:right="12"/>
                          <w:jc w:val="center"/>
                          <w:rPr>
                            <w:rFonts w:ascii="Times New Roman" w:hAnsi="Times New Roman" w:cs="Times New Roman" w:eastAsia="Times New Roman" w:hint="default"/>
                            <w:sz w:val="19"/>
                            <w:szCs w:val="19"/>
                          </w:rPr>
                        </w:pPr>
                        <w:r>
                          <w:rPr>
                            <w:rFonts w:ascii="Times New Roman"/>
                            <w:w w:val="105"/>
                            <w:sz w:val="19"/>
                          </w:rPr>
                          <w:t>2,545,961.40</w:t>
                        </w:r>
                        <w:r>
                          <w:rPr>
                            <w:rFonts w:ascii="Times New Roman"/>
                            <w:sz w:val="19"/>
                          </w:rPr>
                        </w:r>
                      </w:p>
                    </w:tc>
                    <w:tc>
                      <w:tcPr>
                        <w:tcW w:w="86" w:type="dxa"/>
                        <w:tcBorders>
                          <w:top w:val="nil" w:sz="6" w:space="0" w:color="auto"/>
                          <w:left w:val="nil" w:sz="6" w:space="0" w:color="auto"/>
                          <w:bottom w:val="nil" w:sz="6" w:space="0" w:color="auto"/>
                          <w:right w:val="nil" w:sz="6" w:space="0" w:color="auto"/>
                        </w:tcBorders>
                      </w:tcPr>
                      <w:p>
                        <w:pPr/>
                      </w:p>
                    </w:tc>
                    <w:tc>
                      <w:tcPr>
                        <w:tcW w:w="1339" w:type="dxa"/>
                        <w:tcBorders>
                          <w:top w:val="single" w:sz="6" w:space="0" w:color="000000"/>
                          <w:left w:val="nil" w:sz="6" w:space="0" w:color="auto"/>
                          <w:bottom w:val="nil" w:sz="6" w:space="0" w:color="auto"/>
                          <w:right w:val="nil" w:sz="6" w:space="0" w:color="auto"/>
                        </w:tcBorders>
                      </w:tcPr>
                      <w:p>
                        <w:pPr>
                          <w:pStyle w:val="TableParagraph"/>
                          <w:spacing w:line="240" w:lineRule="auto" w:before="141"/>
                          <w:ind w:right="12"/>
                          <w:jc w:val="center"/>
                          <w:rPr>
                            <w:rFonts w:ascii="Times New Roman" w:hAnsi="Times New Roman" w:cs="Times New Roman" w:eastAsia="Times New Roman" w:hint="default"/>
                            <w:sz w:val="19"/>
                            <w:szCs w:val="19"/>
                          </w:rPr>
                        </w:pPr>
                        <w:r>
                          <w:rPr>
                            <w:rFonts w:ascii="Times New Roman"/>
                            <w:w w:val="105"/>
                            <w:sz w:val="19"/>
                          </w:rPr>
                          <w:t>48,002,893.35</w:t>
                        </w:r>
                        <w:r>
                          <w:rPr>
                            <w:rFonts w:ascii="Times New Roman"/>
                            <w:sz w:val="19"/>
                          </w:rPr>
                        </w:r>
                      </w:p>
                    </w:tc>
                  </w:tr>
                </w:tbl>
                <w:p>
                  <w:pPr/>
                </w:p>
              </w:txbxContent>
            </v:textbox>
            <w10:wrap type="none"/>
          </v:shape>
        </w:pict>
      </w:r>
      <w:r>
        <w:rPr>
          <w:rFonts w:ascii="Times New Roman"/>
          <w:sz w:val="19"/>
        </w:rPr>
        <w:t>-</w:t>
        <w:tab/>
        <w:t>-</w:t>
        <w:tab/>
        <w:t>-</w:t>
        <w:tab/>
      </w:r>
      <w:r>
        <w:rPr>
          <w:rFonts w:ascii="Times New Roman"/>
          <w:w w:val="105"/>
          <w:sz w:val="19"/>
        </w:rPr>
        <w:t>-</w:t>
      </w:r>
      <w:r>
        <w:rPr>
          <w:rFonts w:ascii="Times New Roman"/>
          <w:sz w:val="19"/>
        </w:rPr>
      </w:r>
    </w:p>
    <w:p>
      <w:pPr>
        <w:spacing w:after="0"/>
        <w:jc w:val="left"/>
        <w:rPr>
          <w:rFonts w:ascii="Times New Roman" w:hAnsi="Times New Roman" w:cs="Times New Roman" w:eastAsia="Times New Roman" w:hint="default"/>
          <w:sz w:val="19"/>
          <w:szCs w:val="19"/>
        </w:rPr>
        <w:sectPr>
          <w:type w:val="continuous"/>
          <w:pgSz w:w="11910" w:h="16840"/>
          <w:pgMar w:top="1060" w:bottom="1460" w:left="1660" w:right="1080"/>
          <w:cols w:num="2" w:equalWidth="0">
            <w:col w:w="3653" w:space="1057"/>
            <w:col w:w="4460"/>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0"/>
          <w:szCs w:val="20"/>
        </w:rPr>
      </w:pPr>
    </w:p>
    <w:p>
      <w:pPr>
        <w:spacing w:line="56" w:lineRule="exact"/>
        <w:ind w:left="3882" w:right="0" w:firstLine="0"/>
        <w:rPr>
          <w:rFonts w:ascii="Times New Roman" w:hAnsi="Times New Roman" w:cs="Times New Roman" w:eastAsia="Times New Roman" w:hint="default"/>
          <w:sz w:val="5"/>
          <w:szCs w:val="5"/>
        </w:rPr>
      </w:pPr>
      <w:r>
        <w:rPr>
          <w:rFonts w:ascii="Times New Roman"/>
          <w:position w:val="0"/>
          <w:sz w:val="5"/>
        </w:rPr>
        <w:pict>
          <v:group style="width:69.150pt;height:2.85pt;mso-position-horizontal-relative:char;mso-position-vertical-relative:line" coordorigin="0,0" coordsize="1383,57">
            <v:group style="position:absolute;left:14;top:14;width:1354;height:2" coordorigin="14,14" coordsize="1354,2">
              <v:shape style="position:absolute;left:14;top:14;width:1354;height:2" coordorigin="14,14" coordsize="1354,0" path="m14,14l1368,14e" filled="false" stroked="true" strokeweight="1.44pt" strokecolor="#000000">
                <v:path arrowok="t"/>
              </v:shape>
            </v:group>
            <v:group style="position:absolute;left:14;top:50;width:1354;height:2" coordorigin="14,50" coordsize="1354,2">
              <v:shape style="position:absolute;left:14;top:50;width:1354;height:2" coordorigin="14,50" coordsize="1354,0" path="m14,50l1368,50e" filled="false" stroked="true" strokeweight=".65999pt" strokecolor="#000000">
                <v:path arrowok="t"/>
              </v:shape>
            </v:group>
          </v:group>
        </w:pict>
      </w:r>
      <w:r>
        <w:rPr>
          <w:rFonts w:ascii="Times New Roman"/>
          <w:position w:val="0"/>
          <w:sz w:val="5"/>
        </w:rPr>
      </w:r>
      <w:r>
        <w:rPr>
          <w:rFonts w:ascii="Times New Roman"/>
          <w:spacing w:val="53"/>
          <w:position w:val="0"/>
          <w:sz w:val="5"/>
        </w:rPr>
        <w:t> </w:t>
      </w:r>
      <w:r>
        <w:rPr>
          <w:rFonts w:ascii="Times New Roman"/>
          <w:spacing w:val="53"/>
          <w:position w:val="0"/>
          <w:sz w:val="5"/>
        </w:rPr>
        <w:pict>
          <v:group style="width:43.95pt;height:2.85pt;mso-position-horizontal-relative:char;mso-position-vertical-relative:line" coordorigin="0,0" coordsize="879,57">
            <v:group style="position:absolute;left:14;top:14;width:850;height:2" coordorigin="14,14" coordsize="850,2">
              <v:shape style="position:absolute;left:14;top:14;width:850;height:2" coordorigin="14,14" coordsize="850,0" path="m14,14l864,14e" filled="false" stroked="true" strokeweight="1.44pt" strokecolor="#000000">
                <v:path arrowok="t"/>
              </v:shape>
            </v:group>
            <v:group style="position:absolute;left:14;top:50;width:850;height:2" coordorigin="14,50" coordsize="850,2">
              <v:shape style="position:absolute;left:14;top:50;width:850;height:2" coordorigin="14,50" coordsize="850,0" path="m14,50l864,50e" filled="false" stroked="true" strokeweight=".65999pt" strokecolor="#000000">
                <v:path arrowok="t"/>
              </v:shape>
            </v:group>
          </v:group>
        </w:pict>
      </w:r>
      <w:r>
        <w:rPr>
          <w:rFonts w:ascii="Times New Roman"/>
          <w:spacing w:val="53"/>
          <w:position w:val="0"/>
          <w:sz w:val="5"/>
        </w:rPr>
      </w:r>
      <w:r>
        <w:rPr>
          <w:rFonts w:ascii="Times New Roman"/>
          <w:spacing w:val="53"/>
          <w:position w:val="0"/>
          <w:sz w:val="5"/>
        </w:rPr>
        <w:t> </w:t>
      </w:r>
      <w:r>
        <w:rPr>
          <w:rFonts w:ascii="Times New Roman"/>
          <w:spacing w:val="53"/>
          <w:position w:val="0"/>
          <w:sz w:val="5"/>
        </w:rPr>
        <w:pict>
          <v:group style="width:63.45pt;height:2.85pt;mso-position-horizontal-relative:char;mso-position-vertical-relative:line" coordorigin="0,0" coordsize="1269,57">
            <v:group style="position:absolute;left:14;top:14;width:1240;height:2" coordorigin="14,14" coordsize="1240,2">
              <v:shape style="position:absolute;left:14;top:14;width:1240;height:2" coordorigin="14,14" coordsize="1240,0" path="m14,14l1254,14e" filled="false" stroked="true" strokeweight="1.44pt" strokecolor="#000000">
                <v:path arrowok="t"/>
              </v:shape>
            </v:group>
            <v:group style="position:absolute;left:14;top:50;width:1240;height:2" coordorigin="14,50" coordsize="1240,2">
              <v:shape style="position:absolute;left:14;top:50;width:1240;height:2" coordorigin="14,50" coordsize="1240,0" path="m14,50l1254,50e" filled="false" stroked="true" strokeweight=".65999pt" strokecolor="#000000">
                <v:path arrowok="t"/>
              </v:shape>
            </v:group>
          </v:group>
        </w:pict>
      </w:r>
      <w:r>
        <w:rPr>
          <w:rFonts w:ascii="Times New Roman"/>
          <w:spacing w:val="53"/>
          <w:position w:val="0"/>
          <w:sz w:val="5"/>
        </w:rPr>
      </w:r>
      <w:r>
        <w:rPr>
          <w:rFonts w:ascii="Times New Roman"/>
          <w:spacing w:val="53"/>
          <w:position w:val="0"/>
          <w:sz w:val="5"/>
        </w:rPr>
        <w:t> </w:t>
      </w:r>
      <w:r>
        <w:rPr>
          <w:rFonts w:ascii="Times New Roman"/>
          <w:spacing w:val="53"/>
          <w:position w:val="0"/>
          <w:sz w:val="5"/>
        </w:rPr>
        <w:pict>
          <v:group style="width:68.4pt;height:2.85pt;mso-position-horizontal-relative:char;mso-position-vertical-relative:line" coordorigin="0,0" coordsize="1368,57">
            <v:group style="position:absolute;left:14;top:14;width:1340;height:2" coordorigin="14,14" coordsize="1340,2">
              <v:shape style="position:absolute;left:14;top:14;width:1340;height:2" coordorigin="14,14" coordsize="1340,0" path="m14,14l1354,14e" filled="false" stroked="true" strokeweight="1.44pt" strokecolor="#000000">
                <v:path arrowok="t"/>
              </v:shape>
            </v:group>
            <v:group style="position:absolute;left:14;top:50;width:1340;height:2" coordorigin="14,50" coordsize="1340,2">
              <v:shape style="position:absolute;left:14;top:50;width:1340;height:2" coordorigin="14,50" coordsize="1340,0" path="m14,50l1354,50e" filled="false" stroked="true" strokeweight=".65999pt" strokecolor="#000000">
                <v:path arrowok="t"/>
              </v:shape>
            </v:group>
          </v:group>
        </w:pict>
      </w:r>
      <w:r>
        <w:rPr>
          <w:rFonts w:ascii="Times New Roman"/>
          <w:spacing w:val="53"/>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pStyle w:val="BodyText"/>
        <w:spacing w:line="240" w:lineRule="auto" w:before="27"/>
        <w:ind w:left="617" w:right="59"/>
        <w:jc w:val="left"/>
      </w:pPr>
      <w:r>
        <w:rPr/>
        <w:t>单项金额重大的应收账款，为期末余额大于</w:t>
      </w:r>
      <w:r>
        <w:rPr>
          <w:spacing w:val="-73"/>
        </w:rPr>
        <w:t> </w:t>
      </w:r>
      <w:r>
        <w:rPr/>
        <w:t>50</w:t>
      </w:r>
      <w:r>
        <w:rPr>
          <w:spacing w:val="-72"/>
        </w:rPr>
        <w:t> </w:t>
      </w:r>
      <w:r>
        <w:rPr/>
        <w:t>万的应收账款。</w:t>
      </w:r>
    </w:p>
    <w:p>
      <w:pPr>
        <w:pStyle w:val="BodyText"/>
        <w:spacing w:line="240" w:lineRule="auto" w:before="186"/>
        <w:ind w:left="617" w:right="59"/>
        <w:jc w:val="left"/>
      </w:pPr>
      <w:r>
        <w:rPr/>
        <w:t>（2）按账龄列示应收账款明细情况</w:t>
      </w:r>
    </w:p>
    <w:p>
      <w:pPr>
        <w:spacing w:after="0" w:line="240" w:lineRule="auto"/>
        <w:jc w:val="left"/>
        <w:sectPr>
          <w:type w:val="continuous"/>
          <w:pgSz w:w="11910" w:h="16840"/>
          <w:pgMar w:top="1060" w:bottom="1460" w:left="1660" w:right="1080"/>
        </w:sectPr>
      </w:pPr>
    </w:p>
    <w:p>
      <w:pPr>
        <w:tabs>
          <w:tab w:pos="6463" w:val="left" w:leader="none"/>
          <w:tab w:pos="6867" w:val="left" w:leader="none"/>
          <w:tab w:pos="7269" w:val="left" w:leader="none"/>
        </w:tabs>
        <w:spacing w:before="51"/>
        <w:ind w:left="2577" w:right="0" w:firstLine="0"/>
        <w:jc w:val="left"/>
        <w:rPr>
          <w:rFonts w:ascii="宋体" w:hAnsi="宋体" w:cs="宋体" w:eastAsia="宋体" w:hint="default"/>
          <w:sz w:val="20"/>
          <w:szCs w:val="20"/>
        </w:rPr>
      </w:pPr>
      <w:r>
        <w:rPr>
          <w:rFonts w:ascii="宋体" w:hAnsi="宋体" w:cs="宋体" w:eastAsia="宋体" w:hint="default"/>
          <w:sz w:val="20"/>
          <w:szCs w:val="20"/>
        </w:rPr>
        <w:t>年 末 数</w:t>
        <w:tab/>
      </w:r>
      <w:r>
        <w:rPr>
          <w:rFonts w:ascii="宋体" w:hAnsi="宋体" w:cs="宋体" w:eastAsia="宋体" w:hint="default"/>
          <w:w w:val="95"/>
          <w:sz w:val="20"/>
          <w:szCs w:val="20"/>
        </w:rPr>
        <w:t>年</w:t>
        <w:tab/>
        <w:t>初</w:t>
        <w:tab/>
      </w:r>
      <w:r>
        <w:rPr>
          <w:rFonts w:ascii="宋体" w:hAnsi="宋体" w:cs="宋体" w:eastAsia="宋体" w:hint="default"/>
          <w:sz w:val="20"/>
          <w:szCs w:val="20"/>
        </w:rPr>
        <w:t>数</w:t>
      </w:r>
    </w:p>
    <w:p>
      <w:pPr>
        <w:spacing w:line="240" w:lineRule="auto" w:before="7"/>
        <w:rPr>
          <w:rFonts w:ascii="宋体" w:hAnsi="宋体" w:cs="宋体" w:eastAsia="宋体" w:hint="default"/>
          <w:sz w:val="6"/>
          <w:szCs w:val="6"/>
        </w:rPr>
      </w:pPr>
    </w:p>
    <w:p>
      <w:pPr>
        <w:spacing w:line="20" w:lineRule="exact"/>
        <w:ind w:left="1020" w:right="0" w:firstLine="0"/>
        <w:rPr>
          <w:rFonts w:ascii="宋体" w:hAnsi="宋体" w:cs="宋体" w:eastAsia="宋体" w:hint="default"/>
          <w:sz w:val="2"/>
          <w:szCs w:val="2"/>
        </w:rPr>
      </w:pPr>
      <w:r>
        <w:rPr>
          <w:rFonts w:ascii="宋体"/>
          <w:sz w:val="2"/>
        </w:rPr>
        <w:pict>
          <v:group style="width:195pt;height:1pt;mso-position-horizontal-relative:char;mso-position-vertical-relative:line" coordorigin="0,0" coordsize="3900,20">
            <v:group style="position:absolute;left:10;top:1;width:3880;height:2" coordorigin="10,1" coordsize="3880,2">
              <v:shape style="position:absolute;left:10;top:1;width:3880;height:2" coordorigin="10,1" coordsize="3880,0" path="m10,1l3889,1e" filled="false" stroked="true" strokeweight=".06pt" strokecolor="#000000">
                <v:path arrowok="t"/>
              </v:shape>
            </v:group>
            <v:group style="position:absolute;left:10;top:10;width:3881;height:2" coordorigin="10,10" coordsize="3881,2">
              <v:shape style="position:absolute;left:10;top:10;width:3881;height:2" coordorigin="10,10" coordsize="3881,0" path="m10,10l3890,10e" filled="false" stroked="true" strokeweight=".96002pt" strokecolor="#000000">
                <v:path arrowok="t"/>
              </v:shape>
            </v:group>
          </v:group>
        </w:pict>
      </w:r>
      <w:r>
        <w:rPr>
          <w:rFonts w:ascii="宋体"/>
          <w:sz w:val="2"/>
        </w:rPr>
      </w:r>
      <w:r>
        <w:rPr>
          <w:rFonts w:ascii="Times New Roman"/>
          <w:spacing w:val="80"/>
          <w:sz w:val="2"/>
        </w:rPr>
        <w:t> </w:t>
      </w:r>
      <w:r>
        <w:rPr>
          <w:rFonts w:ascii="宋体"/>
          <w:spacing w:val="80"/>
          <w:sz w:val="2"/>
        </w:rPr>
        <w:pict>
          <v:group style="width:195.5pt;height:1pt;mso-position-horizontal-relative:char;mso-position-vertical-relative:line" coordorigin="0,0" coordsize="3910,20">
            <v:group style="position:absolute;left:10;top:1;width:3891;height:2" coordorigin="10,1" coordsize="3891,2">
              <v:shape style="position:absolute;left:10;top:1;width:3891;height:2" coordorigin="10,1" coordsize="3891,0" path="m10,1l3900,1e" filled="false" stroked="true" strokeweight=".06pt" strokecolor="#000000">
                <v:path arrowok="t"/>
              </v:shape>
            </v:group>
            <v:group style="position:absolute;left:10;top:10;width:3891;height:2" coordorigin="10,10" coordsize="3891,2">
              <v:shape style="position:absolute;left:10;top:10;width:3891;height:2" coordorigin="10,10" coordsize="3891,0" path="m10,10l3900,10e" filled="false" stroked="true" strokeweight=".96002pt" strokecolor="#000000">
                <v:path arrowok="t"/>
              </v:shape>
            </v:group>
          </v:group>
        </w:pict>
      </w:r>
      <w:r>
        <w:rPr>
          <w:rFonts w:ascii="宋体"/>
          <w:spacing w:val="80"/>
          <w:sz w:val="2"/>
        </w:rPr>
      </w:r>
    </w:p>
    <w:p>
      <w:pPr>
        <w:spacing w:line="240" w:lineRule="auto" w:before="10"/>
        <w:rPr>
          <w:rFonts w:ascii="宋体" w:hAnsi="宋体" w:cs="宋体" w:eastAsia="宋体" w:hint="default"/>
          <w:sz w:val="4"/>
          <w:szCs w:val="4"/>
        </w:rPr>
      </w:pPr>
    </w:p>
    <w:p>
      <w:pPr>
        <w:spacing w:line="236" w:lineRule="exact" w:before="37"/>
        <w:ind w:left="310" w:right="0" w:firstLine="0"/>
        <w:jc w:val="left"/>
        <w:rPr>
          <w:rFonts w:ascii="宋体" w:hAnsi="宋体" w:cs="宋体" w:eastAsia="宋体" w:hint="default"/>
          <w:sz w:val="20"/>
          <w:szCs w:val="20"/>
        </w:rPr>
      </w:pPr>
      <w:r>
        <w:rPr>
          <w:rFonts w:ascii="宋体" w:hAnsi="宋体" w:cs="宋体" w:eastAsia="宋体" w:hint="default"/>
          <w:sz w:val="20"/>
          <w:szCs w:val="20"/>
        </w:rPr>
        <w:t>账</w:t>
      </w:r>
      <w:r>
        <w:rPr>
          <w:rFonts w:ascii="宋体" w:hAnsi="宋体" w:cs="宋体" w:eastAsia="宋体" w:hint="default"/>
          <w:spacing w:val="-1"/>
          <w:sz w:val="20"/>
          <w:szCs w:val="20"/>
        </w:rPr>
        <w:t> </w:t>
      </w:r>
      <w:r>
        <w:rPr>
          <w:rFonts w:ascii="宋体" w:hAnsi="宋体" w:cs="宋体" w:eastAsia="宋体" w:hint="default"/>
          <w:sz w:val="20"/>
          <w:szCs w:val="20"/>
        </w:rPr>
        <w:t>龄</w:t>
      </w:r>
    </w:p>
    <w:p>
      <w:pPr>
        <w:tabs>
          <w:tab w:pos="1894" w:val="left" w:leader="none"/>
          <w:tab w:pos="2856" w:val="left" w:leader="none"/>
          <w:tab w:pos="3840" w:val="left" w:leader="none"/>
          <w:tab w:pos="5447" w:val="left" w:leader="none"/>
          <w:tab w:pos="5849" w:val="left" w:leader="none"/>
          <w:tab w:pos="6763" w:val="left" w:leader="none"/>
          <w:tab w:pos="7783" w:val="left" w:leader="none"/>
        </w:tabs>
        <w:spacing w:line="236" w:lineRule="exact" w:before="0"/>
        <w:ind w:left="1492" w:right="0" w:firstLine="0"/>
        <w:jc w:val="left"/>
        <w:rPr>
          <w:rFonts w:ascii="宋体" w:hAnsi="宋体" w:cs="宋体" w:eastAsia="宋体" w:hint="default"/>
          <w:sz w:val="20"/>
          <w:szCs w:val="20"/>
        </w:rPr>
      </w:pPr>
      <w:r>
        <w:rPr>
          <w:rFonts w:ascii="宋体" w:hAnsi="宋体" w:cs="宋体" w:eastAsia="宋体" w:hint="default"/>
          <w:w w:val="95"/>
          <w:sz w:val="20"/>
          <w:szCs w:val="20"/>
        </w:rPr>
        <w:t>金</w:t>
        <w:tab/>
        <w:t>额</w:t>
        <w:tab/>
        <w:t>比例</w:t>
        <w:tab/>
      </w:r>
      <w:r>
        <w:rPr>
          <w:rFonts w:ascii="宋体" w:hAnsi="宋体" w:cs="宋体" w:eastAsia="宋体" w:hint="default"/>
          <w:sz w:val="20"/>
          <w:szCs w:val="20"/>
        </w:rPr>
        <w:t>坏账准备</w:t>
        <w:tab/>
      </w:r>
      <w:r>
        <w:rPr>
          <w:rFonts w:ascii="宋体" w:hAnsi="宋体" w:cs="宋体" w:eastAsia="宋体" w:hint="default"/>
          <w:w w:val="95"/>
          <w:sz w:val="20"/>
          <w:szCs w:val="20"/>
        </w:rPr>
        <w:t>金</w:t>
        <w:tab/>
        <w:t>额</w:t>
        <w:tab/>
        <w:t>比例</w:t>
        <w:tab/>
      </w:r>
      <w:r>
        <w:rPr>
          <w:rFonts w:ascii="宋体" w:hAnsi="宋体" w:cs="宋体" w:eastAsia="宋体" w:hint="default"/>
          <w:sz w:val="20"/>
          <w:szCs w:val="20"/>
        </w:rPr>
        <w:t>坏账准备</w:t>
      </w:r>
    </w:p>
    <w:p>
      <w:pPr>
        <w:spacing w:line="240" w:lineRule="auto" w:before="3"/>
        <w:rPr>
          <w:rFonts w:ascii="宋体" w:hAnsi="宋体" w:cs="宋体" w:eastAsia="宋体" w:hint="default"/>
          <w:sz w:val="26"/>
          <w:szCs w:val="26"/>
        </w:rPr>
      </w:pPr>
    </w:p>
    <w:p>
      <w:pPr>
        <w:spacing w:line="21" w:lineRule="exact"/>
        <w:ind w:left="137" w:right="0" w:firstLine="0"/>
        <w:rPr>
          <w:rFonts w:ascii="宋体" w:hAnsi="宋体" w:cs="宋体" w:eastAsia="宋体" w:hint="default"/>
          <w:sz w:val="2"/>
          <w:szCs w:val="2"/>
        </w:rPr>
      </w:pPr>
      <w:r>
        <w:rPr>
          <w:rFonts w:ascii="宋体"/>
          <w:sz w:val="2"/>
        </w:rPr>
        <w:pict>
          <v:group style="width:120.8pt;height:1.05pt;mso-position-horizontal-relative:char;mso-position-vertical-relative:line" coordorigin="0,0" coordsize="2416,21">
            <v:group style="position:absolute;left:10;top:1;width:812;height:2" coordorigin="10,1" coordsize="812,2">
              <v:shape style="position:absolute;left:10;top:1;width:812;height:2" coordorigin="10,1" coordsize="812,0" path="m10,1l821,1e" filled="false" stroked="true" strokeweight=".06pt" strokecolor="#000000">
                <v:path arrowok="t"/>
              </v:shape>
            </v:group>
            <v:group style="position:absolute;left:10;top:11;width:812;height:2" coordorigin="10,11" coordsize="812,2">
              <v:shape style="position:absolute;left:10;top:11;width:812;height:2" coordorigin="10,11" coordsize="812,0" path="m10,11l821,11e" filled="false" stroked="true" strokeweight=".96002pt" strokecolor="#000000">
                <v:path arrowok="t"/>
              </v:shape>
            </v:group>
            <v:group style="position:absolute;left:893;top:1;width:1512;height:2" coordorigin="893,1" coordsize="1512,2">
              <v:shape style="position:absolute;left:893;top:1;width:1512;height:2" coordorigin="893,1" coordsize="1512,0" path="m893,1l2405,1e" filled="false" stroked="true" strokeweight=".06pt" strokecolor="#000000">
                <v:path arrowok="t"/>
              </v:shape>
            </v:group>
            <v:group style="position:absolute;left:893;top:11;width:1514;height:2" coordorigin="893,11" coordsize="1514,2">
              <v:shape style="position:absolute;left:893;top:11;width:1514;height:2" coordorigin="893,11" coordsize="1514,0" path="m893,11l2406,11e" filled="false" stroked="true" strokeweight=".96002pt" strokecolor="#000000">
                <v:path arrowok="t"/>
              </v:shape>
            </v:group>
          </v:group>
        </w:pict>
      </w:r>
      <w:r>
        <w:rPr>
          <w:rFonts w:ascii="宋体"/>
          <w:sz w:val="2"/>
        </w:rPr>
      </w:r>
      <w:r>
        <w:rPr>
          <w:rFonts w:ascii="Times New Roman"/>
          <w:spacing w:val="64"/>
          <w:sz w:val="2"/>
        </w:rPr>
        <w:t> </w:t>
      </w:r>
      <w:r>
        <w:rPr>
          <w:rFonts w:ascii="宋体"/>
          <w:spacing w:val="64"/>
          <w:sz w:val="2"/>
        </w:rPr>
        <w:pict>
          <v:group style="width:43pt;height:1.05pt;mso-position-horizontal-relative:char;mso-position-vertical-relative:line" coordorigin="0,0" coordsize="860,21">
            <v:group style="position:absolute;left:8;top:1;width:840;height:2" coordorigin="8,1" coordsize="840,2">
              <v:shape style="position:absolute;left:8;top:1;width:840;height:2" coordorigin="8,1" coordsize="840,0" path="m8,1l848,1e" filled="false" stroked="true" strokeweight=".06pt" strokecolor="#000000">
                <v:path arrowok="t"/>
              </v:shape>
            </v:group>
            <v:group style="position:absolute;left:10;top:11;width:840;height:2" coordorigin="10,11" coordsize="840,2">
              <v:shape style="position:absolute;left:10;top:11;width:840;height:2" coordorigin="10,11" coordsize="840,0" path="m10,11l850,11e" filled="false" stroked="true" strokeweight=".96002pt" strokecolor="#000000">
                <v:path arrowok="t"/>
              </v:shape>
            </v:group>
          </v:group>
        </w:pict>
      </w:r>
      <w:r>
        <w:rPr>
          <w:rFonts w:ascii="宋体"/>
          <w:spacing w:val="64"/>
          <w:sz w:val="2"/>
        </w:rPr>
      </w:r>
      <w:r>
        <w:rPr>
          <w:rFonts w:ascii="Times New Roman"/>
          <w:spacing w:val="63"/>
          <w:sz w:val="2"/>
        </w:rPr>
        <w:t> </w:t>
      </w:r>
      <w:r>
        <w:rPr>
          <w:rFonts w:ascii="宋体"/>
          <w:spacing w:val="63"/>
          <w:sz w:val="2"/>
        </w:rPr>
        <w:pict>
          <v:group style="width:68.5pt;height:1.05pt;mso-position-horizontal-relative:char;mso-position-vertical-relative:line" coordorigin="0,0" coordsize="1370,21">
            <v:group style="position:absolute;left:8;top:1;width:1350;height:2" coordorigin="8,1" coordsize="1350,2">
              <v:shape style="position:absolute;left:8;top:1;width:1350;height:2" coordorigin="8,1" coordsize="1350,0" path="m8,1l1358,1e" filled="false" stroked="true" strokeweight=".06pt" strokecolor="#000000">
                <v:path arrowok="t"/>
              </v:shape>
            </v:group>
            <v:group style="position:absolute;left:10;top:11;width:1350;height:2" coordorigin="10,11" coordsize="1350,2">
              <v:shape style="position:absolute;left:10;top:11;width:1350;height:2" coordorigin="10,11" coordsize="1350,0" path="m10,11l1360,11e" filled="false" stroked="true" strokeweight=".96002pt" strokecolor="#000000">
                <v:path arrowok="t"/>
              </v:shape>
            </v:group>
          </v:group>
        </w:pict>
      </w:r>
      <w:r>
        <w:rPr>
          <w:rFonts w:ascii="宋体"/>
          <w:spacing w:val="63"/>
          <w:sz w:val="2"/>
        </w:rPr>
      </w:r>
      <w:r>
        <w:rPr>
          <w:rFonts w:ascii="Times New Roman"/>
          <w:spacing w:val="77"/>
          <w:sz w:val="2"/>
        </w:rPr>
        <w:t> </w:t>
      </w:r>
      <w:r>
        <w:rPr>
          <w:rFonts w:ascii="宋体"/>
          <w:spacing w:val="77"/>
          <w:sz w:val="2"/>
        </w:rPr>
        <w:pict>
          <v:group style="width:195.5pt;height:1.05pt;mso-position-horizontal-relative:char;mso-position-vertical-relative:line" coordorigin="0,0" coordsize="3910,21">
            <v:group style="position:absolute;left:10;top:1;width:1454;height:2" coordorigin="10,1" coordsize="1454,2">
              <v:shape style="position:absolute;left:10;top:1;width:1454;height:2" coordorigin="10,1" coordsize="1454,0" path="m10,1l1463,1e" filled="false" stroked="true" strokeweight=".06pt" strokecolor="#000000">
                <v:path arrowok="t"/>
              </v:shape>
            </v:group>
            <v:group style="position:absolute;left:10;top:11;width:1454;height:2" coordorigin="10,11" coordsize="1454,2">
              <v:shape style="position:absolute;left:10;top:11;width:1454;height:2" coordorigin="10,11" coordsize="1454,0" path="m10,11l1463,11e" filled="false" stroked="true" strokeweight=".96002pt" strokecolor="#000000">
                <v:path arrowok="t"/>
              </v:shape>
            </v:group>
            <v:group style="position:absolute;left:1535;top:1;width:840;height:2" coordorigin="1535,1" coordsize="840,2">
              <v:shape style="position:absolute;left:1535;top:1;width:840;height:2" coordorigin="1535,1" coordsize="840,0" path="m1535,1l2375,1e" filled="false" stroked="true" strokeweight=".06pt" strokecolor="#000000">
                <v:path arrowok="t"/>
              </v:shape>
            </v:group>
            <v:group style="position:absolute;left:1535;top:11;width:840;height:2" coordorigin="1535,11" coordsize="840,2">
              <v:shape style="position:absolute;left:1535;top:11;width:840;height:2" coordorigin="1535,11" coordsize="840,0" path="m1535,11l2375,11e" filled="false" stroked="true" strokeweight=".96002pt" strokecolor="#000000">
                <v:path arrowok="t"/>
              </v:shape>
            </v:group>
            <v:group style="position:absolute;left:2447;top:1;width:1454;height:2" coordorigin="2447,1" coordsize="1454,2">
              <v:shape style="position:absolute;left:2447;top:1;width:1454;height:2" coordorigin="2447,1" coordsize="1454,0" path="m2447,1l3900,1e" filled="false" stroked="true" strokeweight=".06pt" strokecolor="#000000">
                <v:path arrowok="t"/>
              </v:shape>
            </v:group>
            <v:group style="position:absolute;left:2447;top:11;width:1454;height:2" coordorigin="2447,11" coordsize="1454,2">
              <v:shape style="position:absolute;left:2447;top:11;width:1454;height:2" coordorigin="2447,11" coordsize="1454,0" path="m2447,11l3900,11e" filled="false" stroked="true" strokeweight=".96002pt" strokecolor="#000000">
                <v:path arrowok="t"/>
              </v:shape>
            </v:group>
          </v:group>
        </w:pict>
      </w:r>
      <w:r>
        <w:rPr>
          <w:rFonts w:ascii="宋体"/>
          <w:spacing w:val="77"/>
          <w:sz w:val="2"/>
        </w:rPr>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944"/>
        <w:gridCol w:w="1544"/>
        <w:gridCol w:w="965"/>
        <w:gridCol w:w="1421"/>
        <w:gridCol w:w="1529"/>
        <w:gridCol w:w="1000"/>
        <w:gridCol w:w="1299"/>
      </w:tblGrid>
      <w:tr>
        <w:trPr>
          <w:trHeight w:val="431"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0"/>
                <w:szCs w:val="20"/>
              </w:rPr>
            </w:pPr>
            <w:r>
              <w:rPr>
                <w:rFonts w:ascii="宋体" w:hAnsi="宋体" w:cs="宋体" w:eastAsia="宋体" w:hint="default"/>
                <w:sz w:val="20"/>
                <w:szCs w:val="20"/>
              </w:rPr>
              <w:t>1年以内</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8"/>
              <w:jc w:val="right"/>
              <w:rPr>
                <w:rFonts w:ascii="Times New Roman" w:hAnsi="Times New Roman" w:cs="Times New Roman" w:eastAsia="Times New Roman" w:hint="default"/>
                <w:sz w:val="20"/>
                <w:szCs w:val="20"/>
              </w:rPr>
            </w:pPr>
            <w:r>
              <w:rPr>
                <w:rFonts w:ascii="Times New Roman"/>
                <w:sz w:val="20"/>
              </w:rPr>
              <w:t>62,877,502.95</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3" w:right="0"/>
              <w:jc w:val="center"/>
              <w:rPr>
                <w:rFonts w:ascii="Times New Roman" w:hAnsi="Times New Roman" w:cs="Times New Roman" w:eastAsia="Times New Roman" w:hint="default"/>
                <w:sz w:val="20"/>
                <w:szCs w:val="20"/>
              </w:rPr>
            </w:pPr>
            <w:r>
              <w:rPr>
                <w:rFonts w:ascii="Times New Roman"/>
                <w:sz w:val="20"/>
              </w:rPr>
              <w:t>99.62%</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8"/>
              <w:jc w:val="right"/>
              <w:rPr>
                <w:rFonts w:ascii="Times New Roman" w:hAnsi="Times New Roman" w:cs="Times New Roman" w:eastAsia="Times New Roman" w:hint="default"/>
                <w:sz w:val="20"/>
                <w:szCs w:val="20"/>
              </w:rPr>
            </w:pPr>
            <w:r>
              <w:rPr>
                <w:rFonts w:ascii="Times New Roman"/>
                <w:sz w:val="20"/>
              </w:rPr>
              <w:t>1,744,773.85</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70"/>
              <w:jc w:val="right"/>
              <w:rPr>
                <w:rFonts w:ascii="Times New Roman" w:hAnsi="Times New Roman" w:cs="Times New Roman" w:eastAsia="Times New Roman" w:hint="default"/>
                <w:sz w:val="20"/>
                <w:szCs w:val="20"/>
              </w:rPr>
            </w:pPr>
            <w:r>
              <w:rPr>
                <w:rFonts w:ascii="Times New Roman"/>
                <w:sz w:val="20"/>
              </w:rPr>
              <w:t>50,282,745.54</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4"/>
              <w:jc w:val="center"/>
              <w:rPr>
                <w:rFonts w:ascii="Times New Roman" w:hAnsi="Times New Roman" w:cs="Times New Roman" w:eastAsia="Times New Roman" w:hint="default"/>
                <w:sz w:val="20"/>
                <w:szCs w:val="20"/>
              </w:rPr>
            </w:pPr>
            <w:r>
              <w:rPr>
                <w:rFonts w:ascii="Times New Roman"/>
                <w:sz w:val="20"/>
              </w:rPr>
              <w:t>99.47%</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20"/>
                <w:szCs w:val="20"/>
              </w:rPr>
            </w:pPr>
            <w:r>
              <w:rPr>
                <w:rFonts w:ascii="Times New Roman"/>
                <w:sz w:val="20"/>
              </w:rPr>
              <w:t>2,514,137.28</w:t>
            </w:r>
          </w:p>
        </w:tc>
      </w:tr>
      <w:tr>
        <w:trPr>
          <w:trHeight w:val="431" w:hRule="exact"/>
        </w:trPr>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5" w:right="0"/>
              <w:jc w:val="left"/>
              <w:rPr>
                <w:rFonts w:ascii="宋体" w:hAnsi="宋体" w:cs="宋体" w:eastAsia="宋体" w:hint="default"/>
                <w:sz w:val="20"/>
                <w:szCs w:val="20"/>
              </w:rPr>
            </w:pPr>
            <w:r>
              <w:rPr>
                <w:rFonts w:ascii="宋体" w:hAnsi="宋体" w:cs="宋体" w:eastAsia="宋体" w:hint="default"/>
                <w:sz w:val="20"/>
                <w:szCs w:val="20"/>
              </w:rPr>
              <w:t>1至2年</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78"/>
              <w:jc w:val="right"/>
              <w:rPr>
                <w:rFonts w:ascii="Times New Roman" w:hAnsi="Times New Roman" w:cs="Times New Roman" w:eastAsia="Times New Roman" w:hint="default"/>
                <w:sz w:val="20"/>
                <w:szCs w:val="20"/>
              </w:rPr>
            </w:pPr>
            <w:r>
              <w:rPr>
                <w:rFonts w:ascii="Times New Roman"/>
                <w:sz w:val="20"/>
              </w:rPr>
              <w:t>238,783.98</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15" w:right="0"/>
              <w:jc w:val="center"/>
              <w:rPr>
                <w:rFonts w:ascii="Times New Roman" w:hAnsi="Times New Roman" w:cs="Times New Roman" w:eastAsia="Times New Roman" w:hint="default"/>
                <w:sz w:val="20"/>
                <w:szCs w:val="20"/>
              </w:rPr>
            </w:pPr>
            <w:r>
              <w:rPr>
                <w:rFonts w:ascii="Times New Roman"/>
                <w:sz w:val="20"/>
              </w:rPr>
              <w:t>0.38%</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99"/>
              <w:jc w:val="right"/>
              <w:rPr>
                <w:rFonts w:ascii="Times New Roman" w:hAnsi="Times New Roman" w:cs="Times New Roman" w:eastAsia="Times New Roman" w:hint="default"/>
                <w:sz w:val="20"/>
                <w:szCs w:val="20"/>
              </w:rPr>
            </w:pPr>
            <w:r>
              <w:rPr>
                <w:rFonts w:ascii="Times New Roman"/>
                <w:w w:val="95"/>
                <w:sz w:val="20"/>
              </w:rPr>
              <w:t>23,878.39</w:t>
            </w:r>
            <w:r>
              <w:rPr>
                <w:rFonts w:ascii="Times New Roman"/>
                <w:sz w:val="20"/>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71"/>
              <w:jc w:val="right"/>
              <w:rPr>
                <w:rFonts w:ascii="Times New Roman" w:hAnsi="Times New Roman" w:cs="Times New Roman" w:eastAsia="Times New Roman" w:hint="default"/>
                <w:sz w:val="20"/>
                <w:szCs w:val="20"/>
              </w:rPr>
            </w:pPr>
            <w:r>
              <w:rPr>
                <w:rFonts w:ascii="Times New Roman"/>
                <w:w w:val="95"/>
                <w:sz w:val="20"/>
              </w:rPr>
              <w:t>213,977.19</w:t>
            </w:r>
            <w:r>
              <w:rPr>
                <w:rFonts w:ascii="Times New Roman"/>
                <w:sz w:val="20"/>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63" w:right="0"/>
              <w:jc w:val="center"/>
              <w:rPr>
                <w:rFonts w:ascii="Times New Roman" w:hAnsi="Times New Roman" w:cs="Times New Roman" w:eastAsia="Times New Roman" w:hint="default"/>
                <w:sz w:val="20"/>
                <w:szCs w:val="20"/>
              </w:rPr>
            </w:pPr>
            <w:r>
              <w:rPr>
                <w:rFonts w:ascii="Times New Roman"/>
                <w:sz w:val="20"/>
              </w:rPr>
              <w:t>0.43%</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4"/>
              <w:jc w:val="right"/>
              <w:rPr>
                <w:rFonts w:ascii="Times New Roman" w:hAnsi="Times New Roman" w:cs="Times New Roman" w:eastAsia="Times New Roman" w:hint="default"/>
                <w:sz w:val="20"/>
                <w:szCs w:val="20"/>
              </w:rPr>
            </w:pPr>
            <w:r>
              <w:rPr>
                <w:rFonts w:ascii="Times New Roman"/>
                <w:sz w:val="20"/>
              </w:rPr>
              <w:t>21,397.72</w:t>
            </w:r>
          </w:p>
        </w:tc>
      </w:tr>
    </w:tbl>
    <w:p>
      <w:pPr>
        <w:tabs>
          <w:tab w:pos="2006" w:val="left" w:leader="none"/>
          <w:tab w:pos="2934" w:val="left" w:leader="none"/>
          <w:tab w:pos="4372" w:val="left" w:leader="none"/>
          <w:tab w:pos="5390" w:val="left" w:leader="none"/>
          <w:tab w:pos="6640" w:val="left" w:leader="none"/>
          <w:tab w:pos="7826" w:val="left" w:leader="none"/>
        </w:tabs>
        <w:spacing w:before="98"/>
        <w:ind w:left="0" w:right="345" w:firstLine="0"/>
        <w:jc w:val="center"/>
        <w:rPr>
          <w:rFonts w:ascii="Times New Roman" w:hAnsi="Times New Roman" w:cs="Times New Roman" w:eastAsia="Times New Roman" w:hint="default"/>
          <w:sz w:val="20"/>
          <w:szCs w:val="20"/>
        </w:rPr>
      </w:pPr>
      <w:r>
        <w:rPr>
          <w:rFonts w:ascii="宋体" w:hAnsi="宋体" w:cs="宋体" w:eastAsia="宋体" w:hint="default"/>
          <w:w w:val="95"/>
          <w:sz w:val="20"/>
          <w:szCs w:val="20"/>
        </w:rPr>
        <w:t>2至3年</w:t>
        <w:tab/>
      </w:r>
      <w:r>
        <w:rPr>
          <w:rFonts w:ascii="Times New Roman" w:hAnsi="Times New Roman" w:cs="Times New Roman" w:eastAsia="Times New Roman" w:hint="default"/>
          <w:w w:val="95"/>
          <w:position w:val="1"/>
          <w:sz w:val="20"/>
          <w:szCs w:val="20"/>
        </w:rPr>
        <w:t>-</w:t>
        <w:tab/>
        <w:t>-</w:t>
        <w:tab/>
        <w:t>-</w:t>
        <w:tab/>
        <w:t>52,132.02</w:t>
        <w:tab/>
        <w:t>0.10%</w:t>
        <w:tab/>
      </w:r>
      <w:r>
        <w:rPr>
          <w:rFonts w:ascii="Times New Roman" w:hAnsi="Times New Roman" w:cs="Times New Roman" w:eastAsia="Times New Roman" w:hint="default"/>
          <w:position w:val="1"/>
          <w:sz w:val="20"/>
          <w:szCs w:val="20"/>
        </w:rPr>
        <w:t>10,426.40</w:t>
      </w:r>
      <w:r>
        <w:rPr>
          <w:rFonts w:ascii="Times New Roman" w:hAnsi="Times New Roman" w:cs="Times New Roman" w:eastAsia="Times New Roman" w:hint="default"/>
          <w:sz w:val="20"/>
          <w:szCs w:val="20"/>
        </w:rPr>
      </w:r>
    </w:p>
    <w:p>
      <w:pPr>
        <w:spacing w:line="240" w:lineRule="auto" w:before="10"/>
        <w:rPr>
          <w:rFonts w:ascii="Times New Roman" w:hAnsi="Times New Roman" w:cs="Times New Roman" w:eastAsia="Times New Roman" w:hint="default"/>
          <w:sz w:val="8"/>
          <w:szCs w:val="8"/>
        </w:rPr>
      </w:pPr>
    </w:p>
    <w:p>
      <w:pPr>
        <w:spacing w:line="21" w:lineRule="exact"/>
        <w:ind w:left="1020" w:right="0" w:firstLine="0"/>
        <w:rPr>
          <w:rFonts w:ascii="Times New Roman" w:hAnsi="Times New Roman" w:cs="Times New Roman" w:eastAsia="Times New Roman" w:hint="default"/>
          <w:sz w:val="2"/>
          <w:szCs w:val="2"/>
        </w:rPr>
      </w:pPr>
      <w:r>
        <w:rPr>
          <w:rFonts w:ascii="Times New Roman"/>
          <w:sz w:val="2"/>
        </w:rPr>
        <w:pict>
          <v:group style="width:76.650pt;height:1.05pt;mso-position-horizontal-relative:char;mso-position-vertical-relative:line" coordorigin="0,0" coordsize="1533,21">
            <v:group style="position:absolute;left:10;top:1;width:1512;height:2" coordorigin="10,1" coordsize="1512,2">
              <v:shape style="position:absolute;left:10;top:1;width:1512;height:2" coordorigin="10,1" coordsize="1512,0" path="m10,1l1522,1e" filled="false" stroked="true" strokeweight=".06pt" strokecolor="#000000">
                <v:path arrowok="t"/>
              </v:shape>
            </v:group>
            <v:group style="position:absolute;left:10;top:11;width:1514;height:2" coordorigin="10,11" coordsize="1514,2">
              <v:shape style="position:absolute;left:10;top:11;width:1514;height:2" coordorigin="10,11" coordsize="1514,0" path="m10,11l1523,11e" filled="false" stroked="true" strokeweight=".96002pt" strokecolor="#000000">
                <v:path arrowok="t"/>
              </v:shape>
            </v:group>
          </v:group>
        </w:pict>
      </w:r>
      <w:r>
        <w:rPr>
          <w:rFonts w:ascii="Times New Roman"/>
          <w:sz w:val="2"/>
        </w:rPr>
      </w:r>
      <w:r>
        <w:rPr>
          <w:rFonts w:ascii="Times New Roman"/>
          <w:spacing w:val="64"/>
          <w:sz w:val="2"/>
        </w:rPr>
        <w:t> </w:t>
      </w:r>
      <w:r>
        <w:rPr>
          <w:rFonts w:ascii="Times New Roman"/>
          <w:spacing w:val="64"/>
          <w:sz w:val="2"/>
        </w:rPr>
        <w:pict>
          <v:group style="width:43pt;height:1.05pt;mso-position-horizontal-relative:char;mso-position-vertical-relative:line" coordorigin="0,0" coordsize="860,21">
            <v:group style="position:absolute;left:8;top:1;width:840;height:2" coordorigin="8,1" coordsize="840,2">
              <v:shape style="position:absolute;left:8;top:1;width:840;height:2" coordorigin="8,1" coordsize="840,0" path="m8,1l848,1e" filled="false" stroked="true" strokeweight=".06pt" strokecolor="#000000">
                <v:path arrowok="t"/>
              </v:shape>
            </v:group>
            <v:group style="position:absolute;left:10;top:11;width:840;height:2" coordorigin="10,11" coordsize="840,2">
              <v:shape style="position:absolute;left:10;top:11;width:840;height:2" coordorigin="10,11" coordsize="840,0" path="m10,11l850,11e" filled="false" stroked="true" strokeweight=".96002pt" strokecolor="#000000">
                <v:path arrowok="t"/>
              </v:shape>
            </v:group>
          </v:group>
        </w:pict>
      </w:r>
      <w:r>
        <w:rPr>
          <w:rFonts w:ascii="Times New Roman"/>
          <w:spacing w:val="64"/>
          <w:sz w:val="2"/>
        </w:rPr>
      </w:r>
      <w:r>
        <w:rPr>
          <w:rFonts w:ascii="Times New Roman"/>
          <w:spacing w:val="63"/>
          <w:sz w:val="2"/>
        </w:rPr>
        <w:t> </w:t>
      </w:r>
      <w:r>
        <w:rPr>
          <w:rFonts w:ascii="Times New Roman"/>
          <w:spacing w:val="63"/>
          <w:sz w:val="2"/>
        </w:rPr>
        <w:pict>
          <v:group style="width:68.5pt;height:1.05pt;mso-position-horizontal-relative:char;mso-position-vertical-relative:line" coordorigin="0,0" coordsize="1370,21">
            <v:group style="position:absolute;left:8;top:1;width:1350;height:2" coordorigin="8,1" coordsize="1350,2">
              <v:shape style="position:absolute;left:8;top:1;width:1350;height:2" coordorigin="8,1" coordsize="1350,0" path="m8,1l1358,1e" filled="false" stroked="true" strokeweight=".06pt" strokecolor="#000000">
                <v:path arrowok="t"/>
              </v:shape>
            </v:group>
            <v:group style="position:absolute;left:10;top:11;width:1350;height:2" coordorigin="10,11" coordsize="1350,2">
              <v:shape style="position:absolute;left:10;top:11;width:1350;height:2" coordorigin="10,11" coordsize="1350,0" path="m10,11l1360,11e" filled="false" stroked="true" strokeweight=".96002pt" strokecolor="#000000">
                <v:path arrowok="t"/>
              </v:shape>
            </v:group>
          </v:group>
        </w:pict>
      </w:r>
      <w:r>
        <w:rPr>
          <w:rFonts w:ascii="Times New Roman"/>
          <w:spacing w:val="63"/>
          <w:sz w:val="2"/>
        </w:rPr>
      </w:r>
      <w:r>
        <w:rPr>
          <w:rFonts w:ascii="Times New Roman"/>
          <w:spacing w:val="77"/>
          <w:sz w:val="2"/>
        </w:rPr>
        <w:t> </w:t>
      </w:r>
      <w:r>
        <w:rPr>
          <w:rFonts w:ascii="Times New Roman"/>
          <w:spacing w:val="77"/>
          <w:sz w:val="2"/>
        </w:rPr>
        <w:pict>
          <v:group style="width:195.5pt;height:1.05pt;mso-position-horizontal-relative:char;mso-position-vertical-relative:line" coordorigin="0,0" coordsize="3910,21">
            <v:group style="position:absolute;left:10;top:1;width:1454;height:2" coordorigin="10,1" coordsize="1454,2">
              <v:shape style="position:absolute;left:10;top:1;width:1454;height:2" coordorigin="10,1" coordsize="1454,0" path="m10,1l1463,1e" filled="false" stroked="true" strokeweight=".06pt" strokecolor="#000000">
                <v:path arrowok="t"/>
              </v:shape>
            </v:group>
            <v:group style="position:absolute;left:10;top:11;width:1454;height:2" coordorigin="10,11" coordsize="1454,2">
              <v:shape style="position:absolute;left:10;top:11;width:1454;height:2" coordorigin="10,11" coordsize="1454,0" path="m10,11l1463,11e" filled="false" stroked="true" strokeweight=".96002pt" strokecolor="#000000">
                <v:path arrowok="t"/>
              </v:shape>
            </v:group>
            <v:group style="position:absolute;left:1535;top:1;width:840;height:2" coordorigin="1535,1" coordsize="840,2">
              <v:shape style="position:absolute;left:1535;top:1;width:840;height:2" coordorigin="1535,1" coordsize="840,0" path="m1535,1l2375,1e" filled="false" stroked="true" strokeweight=".06pt" strokecolor="#000000">
                <v:path arrowok="t"/>
              </v:shape>
            </v:group>
            <v:group style="position:absolute;left:1535;top:11;width:840;height:2" coordorigin="1535,11" coordsize="840,2">
              <v:shape style="position:absolute;left:1535;top:11;width:840;height:2" coordorigin="1535,11" coordsize="840,0" path="m1535,11l2375,11e" filled="false" stroked="true" strokeweight=".96002pt" strokecolor="#000000">
                <v:path arrowok="t"/>
              </v:shape>
            </v:group>
            <v:group style="position:absolute;left:2447;top:1;width:1454;height:2" coordorigin="2447,1" coordsize="1454,2">
              <v:shape style="position:absolute;left:2447;top:1;width:1454;height:2" coordorigin="2447,1" coordsize="1454,0" path="m2447,1l3900,1e" filled="false" stroked="true" strokeweight=".06pt" strokecolor="#000000">
                <v:path arrowok="t"/>
              </v:shape>
            </v:group>
            <v:group style="position:absolute;left:2447;top:11;width:1454;height:2" coordorigin="2447,11" coordsize="1454,2">
              <v:shape style="position:absolute;left:2447;top:11;width:1454;height:2" coordorigin="2447,11" coordsize="1454,0" path="m2447,11l3900,11e" filled="false" stroked="true" strokeweight=".96002pt" strokecolor="#000000">
                <v:path arrowok="t"/>
              </v:shape>
            </v:group>
          </v:group>
        </w:pict>
      </w:r>
      <w:r>
        <w:rPr>
          <w:rFonts w:ascii="Times New Roman"/>
          <w:spacing w:val="77"/>
          <w:sz w:val="2"/>
        </w:rPr>
      </w:r>
    </w:p>
    <w:p>
      <w:pPr>
        <w:tabs>
          <w:tab w:pos="988" w:val="left" w:leader="none"/>
          <w:tab w:pos="2404" w:val="left" w:leader="none"/>
          <w:tab w:pos="3455" w:val="left" w:leader="none"/>
          <w:tab w:pos="4911" w:val="left" w:leader="none"/>
          <w:tab w:pos="6297" w:val="left" w:leader="none"/>
          <w:tab w:pos="7449" w:val="left" w:leader="none"/>
        </w:tabs>
        <w:spacing w:before="71"/>
        <w:ind w:left="0" w:right="216" w:firstLine="0"/>
        <w:jc w:val="center"/>
        <w:rPr>
          <w:rFonts w:ascii="Times New Roman" w:hAnsi="Times New Roman" w:cs="Times New Roman" w:eastAsia="Times New Roman" w:hint="default"/>
          <w:sz w:val="20"/>
          <w:szCs w:val="20"/>
        </w:rPr>
      </w:pP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tab/>
      </w:r>
      <w:r>
        <w:rPr>
          <w:rFonts w:ascii="Times New Roman" w:hAnsi="Times New Roman" w:cs="Times New Roman" w:eastAsia="Times New Roman" w:hint="default"/>
          <w:position w:val="1"/>
          <w:sz w:val="20"/>
          <w:szCs w:val="20"/>
        </w:rPr>
        <w:t>63,116,286.93</w:t>
        <w:tab/>
        <w:t>100.00%</w:t>
        <w:tab/>
        <w:t>1,768,652.24</w:t>
        <w:tab/>
        <w:t>50,548,854.75</w:t>
        <w:tab/>
        <w:t>100.00%</w:t>
        <w:tab/>
        <w:t>2,545,961.40</w:t>
      </w:r>
      <w:r>
        <w:rPr>
          <w:rFonts w:ascii="Times New Roman" w:hAnsi="Times New Roman" w:cs="Times New Roman" w:eastAsia="Times New Roman" w:hint="default"/>
          <w:sz w:val="20"/>
          <w:szCs w:val="20"/>
        </w:rPr>
      </w:r>
    </w:p>
    <w:p>
      <w:pPr>
        <w:spacing w:line="240" w:lineRule="auto" w:before="3"/>
        <w:rPr>
          <w:rFonts w:ascii="Times New Roman" w:hAnsi="Times New Roman" w:cs="Times New Roman" w:eastAsia="Times New Roman" w:hint="default"/>
          <w:sz w:val="7"/>
          <w:szCs w:val="7"/>
        </w:rPr>
      </w:pPr>
    </w:p>
    <w:p>
      <w:pPr>
        <w:spacing w:line="57" w:lineRule="exact"/>
        <w:ind w:left="1020" w:right="0" w:firstLine="0"/>
        <w:rPr>
          <w:rFonts w:ascii="Times New Roman" w:hAnsi="Times New Roman" w:cs="Times New Roman" w:eastAsia="Times New Roman" w:hint="default"/>
          <w:sz w:val="5"/>
          <w:szCs w:val="5"/>
        </w:rPr>
      </w:pPr>
      <w:r>
        <w:rPr>
          <w:rFonts w:ascii="Times New Roman"/>
          <w:position w:val="0"/>
          <w:sz w:val="5"/>
        </w:rPr>
        <w:pict>
          <v:group style="width:76.650pt;height:2.9pt;mso-position-horizontal-relative:char;mso-position-vertical-relative:line" coordorigin="0,0" coordsize="1533,58">
            <v:group style="position:absolute;left:10;top:10;width:1514;height:2" coordorigin="10,10" coordsize="1514,2">
              <v:shape style="position:absolute;left:10;top:10;width:1514;height:2" coordorigin="10,10" coordsize="1514,0" path="m10,10l1523,10e" filled="false" stroked="true" strokeweight=".95996pt" strokecolor="#000000">
                <v:path arrowok="t"/>
              </v:shape>
            </v:group>
            <v:group style="position:absolute;left:10;top:48;width:1514;height:2" coordorigin="10,48" coordsize="1514,2">
              <v:shape style="position:absolute;left:10;top:48;width:1514;height:2" coordorigin="10,48" coordsize="1514,0" path="m10,48l1523,48e" filled="false" stroked="true" strokeweight=".96002pt" strokecolor="#000000">
                <v:path arrowok="t"/>
              </v:shape>
            </v:group>
          </v:group>
        </w:pict>
      </w:r>
      <w:r>
        <w:rPr>
          <w:rFonts w:ascii="Times New Roman"/>
          <w:position w:val="0"/>
          <w:sz w:val="5"/>
        </w:rPr>
      </w:r>
      <w:r>
        <w:rPr>
          <w:rFonts w:ascii="Times New Roman"/>
          <w:spacing w:val="56"/>
          <w:position w:val="0"/>
          <w:sz w:val="5"/>
        </w:rPr>
        <w:t> </w:t>
      </w:r>
      <w:r>
        <w:rPr>
          <w:rFonts w:ascii="Times New Roman"/>
          <w:spacing w:val="56"/>
          <w:position w:val="0"/>
          <w:sz w:val="5"/>
        </w:rPr>
        <w:pict>
          <v:group style="width:43pt;height:2.9pt;mso-position-horizontal-relative:char;mso-position-vertical-relative:line" coordorigin="0,0" coordsize="860,58">
            <v:group style="position:absolute;left:10;top:10;width:840;height:2" coordorigin="10,10" coordsize="840,2">
              <v:shape style="position:absolute;left:10;top:10;width:840;height:2" coordorigin="10,10" coordsize="840,0" path="m10,10l850,10e" filled="false" stroked="true" strokeweight=".95996pt" strokecolor="#000000">
                <v:path arrowok="t"/>
              </v:shape>
            </v:group>
            <v:group style="position:absolute;left:10;top:48;width:840;height:2" coordorigin="10,48" coordsize="840,2">
              <v:shape style="position:absolute;left:10;top:48;width:840;height:2" coordorigin="10,48" coordsize="840,0" path="m10,48l850,48e" filled="false" stroked="true" strokeweight=".96002pt" strokecolor="#000000">
                <v:path arrowok="t"/>
              </v:shape>
            </v:group>
          </v:group>
        </w:pict>
      </w:r>
      <w:r>
        <w:rPr>
          <w:rFonts w:ascii="Times New Roman"/>
          <w:spacing w:val="56"/>
          <w:position w:val="0"/>
          <w:sz w:val="5"/>
        </w:rPr>
      </w:r>
      <w:r>
        <w:rPr>
          <w:rFonts w:ascii="Times New Roman"/>
          <w:spacing w:val="56"/>
          <w:position w:val="0"/>
          <w:sz w:val="5"/>
        </w:rPr>
        <w:t> </w:t>
      </w:r>
      <w:r>
        <w:rPr>
          <w:rFonts w:ascii="Times New Roman"/>
          <w:spacing w:val="56"/>
          <w:position w:val="0"/>
          <w:sz w:val="5"/>
        </w:rPr>
        <w:pict>
          <v:group style="width:68.5pt;height:2.9pt;mso-position-horizontal-relative:char;mso-position-vertical-relative:line" coordorigin="0,0" coordsize="1370,58">
            <v:group style="position:absolute;left:10;top:10;width:1350;height:2" coordorigin="10,10" coordsize="1350,2">
              <v:shape style="position:absolute;left:10;top:10;width:1350;height:2" coordorigin="10,10" coordsize="1350,0" path="m10,10l1360,10e" filled="false" stroked="true" strokeweight=".95996pt" strokecolor="#000000">
                <v:path arrowok="t"/>
              </v:shape>
            </v:group>
            <v:group style="position:absolute;left:10;top:48;width:1350;height:2" coordorigin="10,48" coordsize="1350,2">
              <v:shape style="position:absolute;left:10;top:48;width:1350;height:2" coordorigin="10,48" coordsize="1350,0" path="m10,48l1360,48e" filled="false" stroked="true" strokeweight=".96002pt" strokecolor="#000000">
                <v:path arrowok="t"/>
              </v:shape>
            </v:group>
          </v:group>
        </w:pict>
      </w:r>
      <w:r>
        <w:rPr>
          <w:rFonts w:ascii="Times New Roman"/>
          <w:spacing w:val="56"/>
          <w:position w:val="0"/>
          <w:sz w:val="5"/>
        </w:rPr>
      </w:r>
      <w:r>
        <w:rPr>
          <w:rFonts w:ascii="Times New Roman"/>
          <w:spacing w:val="69"/>
          <w:position w:val="0"/>
          <w:sz w:val="5"/>
        </w:rPr>
        <w:t> </w:t>
      </w:r>
      <w:r>
        <w:rPr>
          <w:rFonts w:ascii="Times New Roman"/>
          <w:spacing w:val="69"/>
          <w:position w:val="0"/>
          <w:sz w:val="5"/>
        </w:rPr>
        <w:pict>
          <v:group style="width:195.5pt;height:2.9pt;mso-position-horizontal-relative:char;mso-position-vertical-relative:line" coordorigin="0,0" coordsize="3910,58">
            <v:group style="position:absolute;left:10;top:10;width:1454;height:2" coordorigin="10,10" coordsize="1454,2">
              <v:shape style="position:absolute;left:10;top:10;width:1454;height:2" coordorigin="10,10" coordsize="1454,0" path="m10,10l1463,10e" filled="false" stroked="true" strokeweight=".95996pt" strokecolor="#000000">
                <v:path arrowok="t"/>
              </v:shape>
            </v:group>
            <v:group style="position:absolute;left:10;top:48;width:1454;height:2" coordorigin="10,48" coordsize="1454,2">
              <v:shape style="position:absolute;left:10;top:48;width:1454;height:2" coordorigin="10,48" coordsize="1454,0" path="m10,48l1463,48e" filled="false" stroked="true" strokeweight=".96002pt" strokecolor="#000000">
                <v:path arrowok="t"/>
              </v:shape>
            </v:group>
            <v:group style="position:absolute;left:1535;top:10;width:840;height:2" coordorigin="1535,10" coordsize="840,2">
              <v:shape style="position:absolute;left:1535;top:10;width:840;height:2" coordorigin="1535,10" coordsize="840,0" path="m1535,10l2375,10e" filled="false" stroked="true" strokeweight=".95996pt" strokecolor="#000000">
                <v:path arrowok="t"/>
              </v:shape>
            </v:group>
            <v:group style="position:absolute;left:1535;top:48;width:840;height:2" coordorigin="1535,48" coordsize="840,2">
              <v:shape style="position:absolute;left:1535;top:48;width:840;height:2" coordorigin="1535,48" coordsize="840,0" path="m1535,48l2375,48e" filled="false" stroked="true" strokeweight=".96002pt" strokecolor="#000000">
                <v:path arrowok="t"/>
              </v:shape>
            </v:group>
            <v:group style="position:absolute;left:2447;top:10;width:1454;height:2" coordorigin="2447,10" coordsize="1454,2">
              <v:shape style="position:absolute;left:2447;top:10;width:1454;height:2" coordorigin="2447,10" coordsize="1454,0" path="m2447,10l3900,10e" filled="false" stroked="true" strokeweight=".95996pt" strokecolor="#000000">
                <v:path arrowok="t"/>
              </v:shape>
            </v:group>
            <v:group style="position:absolute;left:2447;top:48;width:1454;height:2" coordorigin="2447,48" coordsize="1454,2">
              <v:shape style="position:absolute;left:2447;top:48;width:1454;height:2" coordorigin="2447,48" coordsize="1454,0" path="m2447,48l3900,48e" filled="false" stroked="true" strokeweight=".96002pt" strokecolor="#000000">
                <v:path arrowok="t"/>
              </v:shape>
            </v:group>
          </v:group>
        </w:pict>
      </w:r>
      <w:r>
        <w:rPr>
          <w:rFonts w:ascii="Times New Roman"/>
          <w:spacing w:val="69"/>
          <w:position w:val="0"/>
          <w:sz w:val="5"/>
        </w:rPr>
      </w:r>
    </w:p>
    <w:p>
      <w:pPr>
        <w:spacing w:line="240" w:lineRule="auto" w:before="0"/>
        <w:rPr>
          <w:rFonts w:ascii="Times New Roman" w:hAnsi="Times New Roman" w:cs="Times New Roman" w:eastAsia="Times New Roman" w:hint="default"/>
          <w:sz w:val="20"/>
          <w:szCs w:val="20"/>
        </w:rPr>
      </w:pPr>
    </w:p>
    <w:p>
      <w:pPr>
        <w:pStyle w:val="BodyText"/>
        <w:spacing w:line="312" w:lineRule="exact" w:before="207"/>
        <w:ind w:right="879" w:firstLine="480"/>
        <w:jc w:val="left"/>
      </w:pPr>
      <w:r>
        <w:rPr/>
        <w:t>（3）应收账款期末欠款前五名总金额为 43,082,110.00</w:t>
      </w:r>
      <w:r>
        <w:rPr>
          <w:spacing w:val="-92"/>
        </w:rPr>
        <w:t> </w:t>
      </w:r>
      <w:r>
        <w:rPr/>
        <w:t>元，占期末应收账</w:t>
      </w:r>
      <w:r>
        <w:rPr>
          <w:spacing w:val="-1"/>
          <w:w w:val="100"/>
        </w:rPr>
        <w:t> </w:t>
      </w:r>
      <w:r>
        <w:rPr/>
        <w:t>款金额的</w:t>
      </w:r>
      <w:r>
        <w:rPr>
          <w:spacing w:val="-63"/>
        </w:rPr>
        <w:t> </w:t>
      </w:r>
      <w:r>
        <w:rPr/>
        <w:t>68.24%。</w:t>
      </w:r>
    </w:p>
    <w:p>
      <w:pPr>
        <w:pStyle w:val="BodyText"/>
        <w:spacing w:line="240" w:lineRule="auto" w:before="78"/>
        <w:ind w:left="617" w:right="0"/>
        <w:jc w:val="left"/>
      </w:pPr>
      <w:r>
        <w:rPr/>
        <w:t>（4）本年实际冲销的应收账款金额为</w:t>
      </w:r>
      <w:r>
        <w:rPr>
          <w:spacing w:val="-62"/>
        </w:rPr>
        <w:t> </w:t>
      </w:r>
      <w:r>
        <w:rPr/>
        <w:t>14,197.00</w:t>
      </w:r>
      <w:r>
        <w:rPr>
          <w:spacing w:val="-61"/>
        </w:rPr>
        <w:t> </w:t>
      </w:r>
      <w:r>
        <w:rPr/>
        <w:t>元。</w:t>
      </w:r>
    </w:p>
    <w:p>
      <w:pPr>
        <w:pStyle w:val="BodyText"/>
        <w:spacing w:line="336" w:lineRule="auto" w:before="126"/>
        <w:ind w:right="0" w:firstLine="480"/>
        <w:jc w:val="left"/>
      </w:pPr>
      <w:r>
        <w:rPr>
          <w:spacing w:val="22"/>
        </w:rPr>
        <w:t>（5）应收账款年末数包括应收关联方上海东港印刷有限公司的款项</w:t>
      </w:r>
      <w:r>
        <w:rPr>
          <w:spacing w:val="-96"/>
        </w:rPr>
        <w:t> </w:t>
      </w:r>
      <w:r>
        <w:rPr/>
        <w:t>27,981,987.90</w:t>
      </w:r>
      <w:r>
        <w:rPr>
          <w:spacing w:val="-64"/>
        </w:rPr>
        <w:t> </w:t>
      </w:r>
      <w:r>
        <w:rPr/>
        <w:t>元，占应收账款总额的比例为</w:t>
      </w:r>
      <w:r>
        <w:rPr>
          <w:spacing w:val="-65"/>
        </w:rPr>
        <w:t> </w:t>
      </w:r>
      <w:r>
        <w:rPr/>
        <w:t>44.33%。</w:t>
      </w:r>
    </w:p>
    <w:p>
      <w:pPr>
        <w:pStyle w:val="BodyText"/>
        <w:spacing w:line="240" w:lineRule="auto"/>
        <w:ind w:left="585" w:right="0"/>
        <w:jc w:val="left"/>
      </w:pPr>
      <w:r>
        <w:rPr>
          <w:spacing w:val="-17"/>
        </w:rPr>
        <w:t>（6）应收账款年末数中无持本公司 </w:t>
      </w:r>
      <w:r>
        <w:rPr>
          <w:spacing w:val="-9"/>
        </w:rPr>
        <w:t>5%（含</w:t>
      </w:r>
      <w:r>
        <w:rPr>
          <w:spacing w:val="-69"/>
        </w:rPr>
        <w:t> </w:t>
      </w:r>
      <w:r>
        <w:rPr>
          <w:spacing w:val="-17"/>
        </w:rPr>
        <w:t>5%）以上有表决权股份的股东单位欠</w:t>
      </w:r>
      <w:r>
        <w:rPr/>
      </w:r>
    </w:p>
    <w:p>
      <w:pPr>
        <w:pStyle w:val="BodyText"/>
        <w:spacing w:line="240" w:lineRule="auto" w:before="126"/>
        <w:ind w:right="0"/>
        <w:jc w:val="left"/>
      </w:pPr>
      <w:r>
        <w:rPr>
          <w:spacing w:val="-18"/>
        </w:rPr>
        <w:t>款。</w:t>
      </w:r>
      <w:r>
        <w:rPr/>
      </w:r>
    </w:p>
    <w:p>
      <w:pPr>
        <w:pStyle w:val="Heading3"/>
        <w:spacing w:line="240" w:lineRule="auto" w:before="48"/>
        <w:ind w:right="0"/>
        <w:jc w:val="left"/>
        <w:rPr>
          <w:b w:val="0"/>
          <w:bCs w:val="0"/>
        </w:rPr>
      </w:pPr>
      <w:r>
        <w:rPr/>
        <w:t>2、其它应收款</w:t>
      </w:r>
      <w:r>
        <w:rPr>
          <w:b w:val="0"/>
          <w:bCs w:val="0"/>
        </w:rPr>
      </w:r>
    </w:p>
    <w:p>
      <w:pPr>
        <w:pStyle w:val="BodyText"/>
        <w:spacing w:line="240" w:lineRule="auto" w:before="99"/>
        <w:ind w:left="617" w:right="0"/>
        <w:jc w:val="left"/>
      </w:pPr>
      <w:r>
        <w:rPr/>
        <w:t>（1）按类别列示其它应收款明细情况</w:t>
      </w:r>
    </w:p>
    <w:p>
      <w:pPr>
        <w:spacing w:line="230" w:lineRule="exact" w:before="136"/>
        <w:ind w:left="3609" w:right="345" w:firstLine="0"/>
        <w:jc w:val="center"/>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42"/>
          <w:sz w:val="20"/>
          <w:szCs w:val="20"/>
        </w:rPr>
        <w:t> </w:t>
      </w:r>
      <w:r>
        <w:rPr>
          <w:rFonts w:ascii="宋体" w:hAnsi="宋体" w:cs="宋体" w:eastAsia="宋体" w:hint="default"/>
          <w:sz w:val="20"/>
          <w:szCs w:val="20"/>
        </w:rPr>
        <w:t>末</w:t>
      </w:r>
      <w:r>
        <w:rPr>
          <w:rFonts w:ascii="宋体" w:hAnsi="宋体" w:cs="宋体" w:eastAsia="宋体" w:hint="default"/>
          <w:spacing w:val="-43"/>
          <w:sz w:val="20"/>
          <w:szCs w:val="20"/>
        </w:rPr>
        <w:t> </w:t>
      </w:r>
      <w:r>
        <w:rPr>
          <w:rFonts w:ascii="宋体" w:hAnsi="宋体" w:cs="宋体" w:eastAsia="宋体" w:hint="default"/>
          <w:sz w:val="20"/>
          <w:szCs w:val="20"/>
        </w:rPr>
        <w:t>数</w:t>
      </w:r>
    </w:p>
    <w:p>
      <w:pPr>
        <w:tabs>
          <w:tab w:pos="1809" w:val="left" w:leader="none"/>
        </w:tabs>
        <w:spacing w:line="199" w:lineRule="exact" w:before="0"/>
        <w:ind w:left="1391" w:right="0" w:firstLine="0"/>
        <w:jc w:val="left"/>
        <w:rPr>
          <w:rFonts w:ascii="宋体" w:hAnsi="宋体" w:cs="宋体" w:eastAsia="宋体" w:hint="default"/>
          <w:sz w:val="20"/>
          <w:szCs w:val="20"/>
        </w:rPr>
      </w:pPr>
      <w:r>
        <w:rPr/>
        <w:pict>
          <v:group style="position:absolute;margin-left:254.580002pt;margin-top:5.796816pt;width:286.8pt;height:.75pt;mso-position-horizontal-relative:page;mso-position-vertical-relative:paragraph;z-index:10600" coordorigin="5092,116" coordsize="5736,15">
            <v:group style="position:absolute;left:5099;top:117;width:5722;height:2" coordorigin="5099,117" coordsize="5722,2">
              <v:shape style="position:absolute;left:5099;top:117;width:5722;height:2" coordorigin="5099,117" coordsize="5722,0" path="m5099,117l10820,117e" filled="false" stroked="true" strokeweight=".06pt" strokecolor="#000000">
                <v:path arrowok="t"/>
              </v:shape>
            </v:group>
            <v:group style="position:absolute;left:5099;top:124;width:5722;height:2" coordorigin="5099,124" coordsize="5722,2">
              <v:shape style="position:absolute;left:5099;top:124;width:5722;height:2" coordorigin="5099,124" coordsize="5722,0" path="m5099,124l10820,124e" filled="false" stroked="true" strokeweight=".72pt" strokecolor="#000000">
                <v:path arrowok="t"/>
              </v:shape>
            </v:group>
            <w10:wrap type="none"/>
          </v:group>
        </w:pict>
      </w:r>
      <w:r>
        <w:rPr>
          <w:rFonts w:ascii="宋体" w:hAnsi="宋体" w:cs="宋体" w:eastAsia="宋体" w:hint="default"/>
          <w:w w:val="95"/>
          <w:sz w:val="20"/>
          <w:szCs w:val="20"/>
        </w:rPr>
        <w:t>项</w:t>
        <w:tab/>
      </w:r>
      <w:r>
        <w:rPr>
          <w:rFonts w:ascii="宋体" w:hAnsi="宋体" w:cs="宋体" w:eastAsia="宋体" w:hint="default"/>
          <w:sz w:val="20"/>
          <w:szCs w:val="20"/>
        </w:rPr>
        <w:t>目</w:t>
      </w:r>
    </w:p>
    <w:p>
      <w:pPr>
        <w:tabs>
          <w:tab w:pos="3541" w:val="left" w:leader="none"/>
          <w:tab w:pos="4579" w:val="left" w:leader="none"/>
          <w:tab w:pos="5732" w:val="left" w:leader="none"/>
          <w:tab w:pos="7505" w:val="left" w:leader="none"/>
        </w:tabs>
        <w:spacing w:line="230" w:lineRule="exact" w:before="0"/>
        <w:ind w:left="3138" w:right="0" w:firstLine="0"/>
        <w:jc w:val="center"/>
        <w:rPr>
          <w:rFonts w:ascii="宋体" w:hAnsi="宋体" w:cs="宋体" w:eastAsia="宋体" w:hint="default"/>
          <w:sz w:val="20"/>
          <w:szCs w:val="20"/>
        </w:rPr>
      </w:pPr>
      <w:r>
        <w:rPr>
          <w:rFonts w:ascii="宋体" w:hAnsi="宋体" w:cs="宋体" w:eastAsia="宋体" w:hint="default"/>
          <w:w w:val="95"/>
          <w:sz w:val="20"/>
          <w:szCs w:val="20"/>
        </w:rPr>
        <w:t>余</w:t>
        <w:tab/>
        <w:t>额</w:t>
        <w:tab/>
        <w:t>比例</w:t>
        <w:tab/>
      </w:r>
      <w:r>
        <w:rPr>
          <w:rFonts w:ascii="宋体" w:hAnsi="宋体" w:cs="宋体" w:eastAsia="宋体" w:hint="default"/>
          <w:spacing w:val="5"/>
          <w:w w:val="95"/>
          <w:sz w:val="20"/>
          <w:szCs w:val="20"/>
        </w:rPr>
        <w:t>坏账准备</w:t>
        <w:tab/>
      </w:r>
      <w:r>
        <w:rPr>
          <w:rFonts w:ascii="宋体" w:hAnsi="宋体" w:cs="宋体" w:eastAsia="宋体" w:hint="default"/>
          <w:spacing w:val="3"/>
          <w:sz w:val="20"/>
          <w:szCs w:val="20"/>
        </w:rPr>
        <w:t>净额</w:t>
      </w:r>
      <w:r>
        <w:rPr>
          <w:rFonts w:ascii="宋体" w:hAnsi="宋体" w:cs="宋体" w:eastAsia="宋体" w:hint="default"/>
          <w:sz w:val="20"/>
          <w:szCs w:val="20"/>
        </w:rPr>
      </w:r>
    </w:p>
    <w:p>
      <w:pPr>
        <w:spacing w:line="240" w:lineRule="auto" w:before="3"/>
        <w:rPr>
          <w:rFonts w:ascii="宋体" w:hAnsi="宋体" w:cs="宋体" w:eastAsia="宋体" w:hint="default"/>
          <w:sz w:val="4"/>
          <w:szCs w:val="4"/>
        </w:rPr>
      </w:pPr>
    </w:p>
    <w:p>
      <w:pPr>
        <w:spacing w:line="20" w:lineRule="exact"/>
        <w:ind w:left="144" w:right="0" w:firstLine="0"/>
        <w:rPr>
          <w:rFonts w:ascii="宋体" w:hAnsi="宋体" w:cs="宋体" w:eastAsia="宋体" w:hint="default"/>
          <w:sz w:val="2"/>
          <w:szCs w:val="2"/>
        </w:rPr>
      </w:pPr>
      <w:r>
        <w:rPr>
          <w:rFonts w:ascii="宋体"/>
          <w:sz w:val="2"/>
        </w:rPr>
        <w:pict>
          <v:group style="width:154.950pt;height:.75pt;mso-position-horizontal-relative:char;mso-position-vertical-relative:line" coordorigin="0,0" coordsize="3099,15">
            <v:group style="position:absolute;left:7;top:1;width:3084;height:2" coordorigin="7,1" coordsize="3084,2">
              <v:shape style="position:absolute;left:7;top:1;width:3084;height:2" coordorigin="7,1" coordsize="3084,0" path="m7,1l3091,1e" filled="false" stroked="true" strokeweight=".06pt" strokecolor="#000000">
                <v:path arrowok="t"/>
              </v:shape>
            </v:group>
            <v:group style="position:absolute;left:7;top:8;width:3084;height:2" coordorigin="7,8" coordsize="3084,2">
              <v:shape style="position:absolute;left:7;top:8;width:3084;height:2" coordorigin="7,8" coordsize="3084,0" path="m7,8l3091,8e" filled="false" stroked="true" strokeweight=".72pt" strokecolor="#000000">
                <v:path arrowok="t"/>
              </v:shape>
            </v:group>
          </v:group>
        </w:pict>
      </w:r>
      <w:r>
        <w:rPr>
          <w:rFonts w:ascii="宋体"/>
          <w:sz w:val="2"/>
        </w:rPr>
      </w:r>
      <w:r>
        <w:rPr>
          <w:rFonts w:ascii="Times New Roman"/>
          <w:spacing w:val="180"/>
          <w:sz w:val="2"/>
        </w:rPr>
        <w:t> </w:t>
      </w:r>
      <w:r>
        <w:rPr>
          <w:rFonts w:ascii="宋体"/>
          <w:spacing w:val="180"/>
          <w:sz w:val="2"/>
        </w:rPr>
        <w:pict>
          <v:group style="width:72.1pt;height:.75pt;mso-position-horizontal-relative:char;mso-position-vertical-relative:line" coordorigin="0,0" coordsize="1442,15">
            <v:group style="position:absolute;left:7;top:1;width:1427;height:2" coordorigin="7,1" coordsize="1427,2">
              <v:shape style="position:absolute;left:7;top:1;width:1427;height:2" coordorigin="7,1" coordsize="1427,0" path="m7,1l1434,1e" filled="false" stroked="true" strokeweight=".06pt" strokecolor="#000000">
                <v:path arrowok="t"/>
              </v:shape>
            </v:group>
            <v:group style="position:absolute;left:7;top:8;width:1427;height:2" coordorigin="7,8" coordsize="1427,2">
              <v:shape style="position:absolute;left:7;top:8;width:1427;height:2" coordorigin="7,8" coordsize="1427,0" path="m7,8l1434,8e" filled="false" stroked="true" strokeweight=".72pt" strokecolor="#000000">
                <v:path arrowok="t"/>
              </v:shape>
            </v:group>
          </v:group>
        </w:pict>
      </w:r>
      <w:r>
        <w:rPr>
          <w:rFonts w:ascii="宋体"/>
          <w:spacing w:val="180"/>
          <w:sz w:val="2"/>
        </w:rPr>
      </w:r>
      <w:r>
        <w:rPr>
          <w:rFonts w:ascii="Times New Roman"/>
          <w:spacing w:val="63"/>
          <w:sz w:val="2"/>
        </w:rPr>
        <w:t> </w:t>
      </w:r>
      <w:r>
        <w:rPr>
          <w:rFonts w:ascii="宋体"/>
          <w:spacing w:val="63"/>
          <w:sz w:val="2"/>
        </w:rPr>
        <w:pict>
          <v:group style="width:55.5pt;height:.75pt;mso-position-horizontal-relative:char;mso-position-vertical-relative:line" coordorigin="0,0" coordsize="1110,15">
            <v:group style="position:absolute;left:7;top:1;width:1096;height:2" coordorigin="7,1" coordsize="1096,2">
              <v:shape style="position:absolute;left:7;top:1;width:1096;height:2" coordorigin="7,1" coordsize="1096,0" path="m7,1l1103,1e" filled="false" stroked="true" strokeweight=".06pt" strokecolor="#000000">
                <v:path arrowok="t"/>
              </v:shape>
            </v:group>
            <v:group style="position:absolute;left:7;top:8;width:1096;height:2" coordorigin="7,8" coordsize="1096,2">
              <v:shape style="position:absolute;left:7;top:8;width:1096;height:2" coordorigin="7,8" coordsize="1096,0" path="m7,8l1103,8e" filled="false" stroked="true" strokeweight=".72pt" strokecolor="#000000">
                <v:path arrowok="t"/>
              </v:shape>
            </v:group>
          </v:group>
        </w:pict>
      </w:r>
      <w:r>
        <w:rPr>
          <w:rFonts w:ascii="宋体"/>
          <w:spacing w:val="63"/>
          <w:sz w:val="2"/>
        </w:rPr>
      </w:r>
      <w:r>
        <w:rPr>
          <w:rFonts w:ascii="Times New Roman"/>
          <w:spacing w:val="64"/>
          <w:sz w:val="2"/>
        </w:rPr>
        <w:t> </w:t>
      </w:r>
      <w:r>
        <w:rPr>
          <w:rFonts w:ascii="宋体"/>
          <w:spacing w:val="64"/>
          <w:sz w:val="2"/>
        </w:rPr>
        <w:pict>
          <v:group style="width:72.8pt;height:.75pt;mso-position-horizontal-relative:char;mso-position-vertical-relative:line" coordorigin="0,0" coordsize="1456,15">
            <v:group style="position:absolute;left:7;top:1;width:1442;height:2" coordorigin="7,1" coordsize="1442,2">
              <v:shape style="position:absolute;left:7;top:1;width:1442;height:2" coordorigin="7,1" coordsize="1442,0" path="m7,1l1448,1e" filled="false" stroked="true" strokeweight=".06pt" strokecolor="#000000">
                <v:path arrowok="t"/>
              </v:shape>
            </v:group>
            <v:group style="position:absolute;left:7;top:8;width:1442;height:2" coordorigin="7,8" coordsize="1442,2">
              <v:shape style="position:absolute;left:7;top:8;width:1442;height:2" coordorigin="7,8" coordsize="1442,0" path="m7,8l1448,8e" filled="false" stroked="true" strokeweight=".72pt" strokecolor="#000000">
                <v:path arrowok="t"/>
              </v:shape>
            </v:group>
          </v:group>
        </w:pict>
      </w:r>
      <w:r>
        <w:rPr>
          <w:rFonts w:ascii="宋体"/>
          <w:spacing w:val="64"/>
          <w:sz w:val="2"/>
        </w:rPr>
      </w:r>
      <w:r>
        <w:rPr>
          <w:rFonts w:ascii="Times New Roman"/>
          <w:spacing w:val="78"/>
          <w:sz w:val="2"/>
        </w:rPr>
        <w:t> </w:t>
      </w:r>
      <w:r>
        <w:rPr>
          <w:rFonts w:ascii="宋体"/>
          <w:spacing w:val="78"/>
          <w:sz w:val="2"/>
        </w:rPr>
        <w:pict>
          <v:group style="width:74.95pt;height:.75pt;mso-position-horizontal-relative:char;mso-position-vertical-relative:line" coordorigin="0,0" coordsize="1499,15">
            <v:group style="position:absolute;left:7;top:1;width:1485;height:2" coordorigin="7,1" coordsize="1485,2">
              <v:shape style="position:absolute;left:7;top:1;width:1485;height:2" coordorigin="7,1" coordsize="1485,0" path="m7,1l1492,1e" filled="false" stroked="true" strokeweight=".06pt" strokecolor="#000000">
                <v:path arrowok="t"/>
              </v:shape>
            </v:group>
            <v:group style="position:absolute;left:7;top:8;width:1485;height:2" coordorigin="7,8" coordsize="1485,2">
              <v:shape style="position:absolute;left:7;top:8;width:1485;height:2" coordorigin="7,8" coordsize="1485,0" path="m7,8l1492,8e" filled="false" stroked="true" strokeweight=".72pt" strokecolor="#000000">
                <v:path arrowok="t"/>
              </v:shape>
            </v:group>
          </v:group>
        </w:pict>
      </w:r>
      <w:r>
        <w:rPr>
          <w:rFonts w:ascii="宋体"/>
          <w:spacing w:val="78"/>
          <w:sz w:val="2"/>
        </w:rPr>
      </w:r>
    </w:p>
    <w:p>
      <w:pPr>
        <w:tabs>
          <w:tab w:pos="3597" w:val="left" w:leader="none"/>
          <w:tab w:pos="5369" w:val="left" w:leader="none"/>
          <w:tab w:pos="6421" w:val="left" w:leader="none"/>
          <w:tab w:pos="8007" w:val="left" w:leader="none"/>
        </w:tabs>
        <w:spacing w:before="70"/>
        <w:ind w:left="180" w:right="0" w:firstLine="0"/>
        <w:jc w:val="left"/>
        <w:rPr>
          <w:rFonts w:ascii="Times New Roman" w:hAnsi="Times New Roman" w:cs="Times New Roman" w:eastAsia="Times New Roman" w:hint="default"/>
          <w:sz w:val="20"/>
          <w:szCs w:val="20"/>
        </w:rPr>
      </w:pPr>
      <w:r>
        <w:rPr>
          <w:rFonts w:ascii="宋体" w:hAnsi="宋体" w:cs="宋体" w:eastAsia="宋体" w:hint="default"/>
          <w:spacing w:val="-1"/>
          <w:sz w:val="18"/>
          <w:szCs w:val="18"/>
        </w:rPr>
        <w:t>单项金额重大的其他应收款</w:t>
        <w:tab/>
      </w:r>
      <w:r>
        <w:rPr>
          <w:rFonts w:ascii="Times New Roman" w:hAnsi="Times New Roman" w:cs="Times New Roman" w:eastAsia="Times New Roman" w:hint="default"/>
          <w:spacing w:val="2"/>
          <w:w w:val="95"/>
          <w:position w:val="1"/>
          <w:sz w:val="20"/>
          <w:szCs w:val="20"/>
        </w:rPr>
        <w:t>17,046,388.53</w:t>
        <w:tab/>
      </w:r>
      <w:r>
        <w:rPr>
          <w:rFonts w:ascii="Times New Roman" w:hAnsi="Times New Roman" w:cs="Times New Roman" w:eastAsia="Times New Roman" w:hint="default"/>
          <w:spacing w:val="1"/>
          <w:position w:val="1"/>
          <w:sz w:val="20"/>
          <w:szCs w:val="20"/>
        </w:rPr>
        <w:t>42.48%</w:t>
        <w:tab/>
      </w:r>
      <w:r>
        <w:rPr>
          <w:rFonts w:ascii="Times New Roman" w:hAnsi="Times New Roman" w:cs="Times New Roman" w:eastAsia="Times New Roman" w:hint="default"/>
          <w:spacing w:val="1"/>
          <w:w w:val="95"/>
          <w:position w:val="1"/>
          <w:sz w:val="20"/>
          <w:szCs w:val="20"/>
        </w:rPr>
        <w:t>1,075,433.14</w:t>
        <w:tab/>
      </w:r>
      <w:r>
        <w:rPr>
          <w:rFonts w:ascii="Times New Roman" w:hAnsi="Times New Roman" w:cs="Times New Roman" w:eastAsia="Times New Roman" w:hint="default"/>
          <w:spacing w:val="1"/>
          <w:position w:val="1"/>
          <w:sz w:val="20"/>
          <w:szCs w:val="20"/>
        </w:rPr>
        <w:t>7,838,229.61</w:t>
      </w:r>
      <w:r>
        <w:rPr>
          <w:rFonts w:ascii="Times New Roman" w:hAnsi="Times New Roman" w:cs="Times New Roman" w:eastAsia="Times New Roman" w:hint="default"/>
          <w:sz w:val="20"/>
          <w:szCs w:val="20"/>
        </w:rPr>
      </w:r>
    </w:p>
    <w:p>
      <w:pPr>
        <w:spacing w:line="154" w:lineRule="exact" w:before="83"/>
        <w:ind w:left="180"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w:t>
      </w:r>
    </w:p>
    <w:p>
      <w:pPr>
        <w:tabs>
          <w:tab w:pos="5686" w:val="left" w:leader="none"/>
          <w:tab w:pos="7213" w:val="left" w:leader="none"/>
          <w:tab w:pos="8800" w:val="left" w:leader="none"/>
        </w:tabs>
        <w:spacing w:line="203" w:lineRule="exact" w:before="0"/>
        <w:ind w:left="4504" w:right="0" w:firstLine="0"/>
        <w:jc w:val="left"/>
        <w:rPr>
          <w:rFonts w:ascii="Times New Roman" w:hAnsi="Times New Roman" w:cs="Times New Roman" w:eastAsia="Times New Roman" w:hint="default"/>
          <w:sz w:val="20"/>
          <w:szCs w:val="20"/>
        </w:rPr>
      </w:pPr>
      <w:r>
        <w:rPr/>
        <w:pict>
          <v:shape style="position:absolute;margin-left:90.290001pt;margin-top:6.246023pt;width:450.75pt;height:51.45pt;mso-position-horizontal-relative:page;mso-position-vertical-relative:paragraph;z-index:10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93"/>
                    <w:gridCol w:w="1427"/>
                    <w:gridCol w:w="86"/>
                    <w:gridCol w:w="1096"/>
                    <w:gridCol w:w="86"/>
                    <w:gridCol w:w="1441"/>
                    <w:gridCol w:w="101"/>
                    <w:gridCol w:w="1484"/>
                  </w:tblGrid>
                  <w:tr>
                    <w:trPr>
                      <w:trHeight w:val="624"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8"/>
                            <w:szCs w:val="18"/>
                          </w:rPr>
                        </w:pPr>
                        <w:r>
                          <w:rPr>
                            <w:rFonts w:ascii="宋体" w:hAnsi="宋体" w:cs="宋体" w:eastAsia="宋体" w:hint="default"/>
                            <w:sz w:val="18"/>
                            <w:szCs w:val="18"/>
                          </w:rPr>
                          <w:t>合后该组合的风险较大的其他应收款</w:t>
                        </w:r>
                      </w:p>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427"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71" w:right="0"/>
                          <w:jc w:val="center"/>
                          <w:rPr>
                            <w:rFonts w:ascii="Times New Roman" w:hAnsi="Times New Roman" w:cs="Times New Roman" w:eastAsia="Times New Roman" w:hint="default"/>
                            <w:sz w:val="20"/>
                            <w:szCs w:val="20"/>
                          </w:rPr>
                        </w:pPr>
                        <w:r>
                          <w:rPr>
                            <w:rFonts w:ascii="Times New Roman"/>
                            <w:spacing w:val="2"/>
                            <w:sz w:val="20"/>
                          </w:rPr>
                          <w:t>3,937,973.98</w:t>
                        </w:r>
                      </w:p>
                    </w:tc>
                    <w:tc>
                      <w:tcPr>
                        <w:tcW w:w="8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48"/>
                          <w:jc w:val="right"/>
                          <w:rPr>
                            <w:rFonts w:ascii="Times New Roman" w:hAnsi="Times New Roman" w:cs="Times New Roman" w:eastAsia="Times New Roman" w:hint="default"/>
                            <w:sz w:val="20"/>
                            <w:szCs w:val="20"/>
                          </w:rPr>
                        </w:pPr>
                        <w:r>
                          <w:rPr>
                            <w:rFonts w:ascii="Times New Roman"/>
                            <w:sz w:val="20"/>
                          </w:rPr>
                          <w:t>57.52%</w:t>
                        </w:r>
                      </w:p>
                    </w:tc>
                    <w:tc>
                      <w:tcPr>
                        <w:tcW w:w="86"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4"/>
                          <w:jc w:val="right"/>
                          <w:rPr>
                            <w:rFonts w:ascii="Times New Roman" w:hAnsi="Times New Roman" w:cs="Times New Roman" w:eastAsia="Times New Roman" w:hint="default"/>
                            <w:sz w:val="20"/>
                            <w:szCs w:val="20"/>
                          </w:rPr>
                        </w:pPr>
                        <w:r>
                          <w:rPr>
                            <w:rFonts w:ascii="Times New Roman"/>
                            <w:spacing w:val="2"/>
                            <w:w w:val="95"/>
                            <w:sz w:val="20"/>
                          </w:rPr>
                          <w:t>240,169.35</w:t>
                        </w:r>
                        <w:r>
                          <w:rPr>
                            <w:rFonts w:ascii="Times New Roman"/>
                            <w:sz w:val="20"/>
                          </w:rPr>
                        </w:r>
                      </w:p>
                    </w:tc>
                    <w:tc>
                      <w:tcPr>
                        <w:tcW w:w="101"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84"/>
                          <w:jc w:val="right"/>
                          <w:rPr>
                            <w:rFonts w:ascii="Times New Roman" w:hAnsi="Times New Roman" w:cs="Times New Roman" w:eastAsia="Times New Roman" w:hint="default"/>
                            <w:sz w:val="20"/>
                            <w:szCs w:val="20"/>
                          </w:rPr>
                        </w:pPr>
                        <w:r>
                          <w:rPr>
                            <w:rFonts w:ascii="Times New Roman"/>
                            <w:spacing w:val="2"/>
                            <w:w w:val="95"/>
                            <w:sz w:val="20"/>
                          </w:rPr>
                          <w:t>11,830,530.41</w:t>
                        </w:r>
                        <w:r>
                          <w:rPr>
                            <w:rFonts w:ascii="Times New Roman"/>
                            <w:sz w:val="20"/>
                          </w:rPr>
                        </w:r>
                      </w:p>
                    </w:tc>
                  </w:tr>
                  <w:tr>
                    <w:trPr>
                      <w:trHeight w:val="390" w:hRule="exact"/>
                    </w:trPr>
                    <w:tc>
                      <w:tcPr>
                        <w:tcW w:w="329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3"/>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
                            <w:sz w:val="20"/>
                            <w:szCs w:val="20"/>
                          </w:rPr>
                          <w:t> </w:t>
                        </w:r>
                        <w:r>
                          <w:rPr>
                            <w:rFonts w:ascii="宋体" w:hAnsi="宋体" w:cs="宋体" w:eastAsia="宋体" w:hint="default"/>
                            <w:sz w:val="20"/>
                            <w:szCs w:val="20"/>
                          </w:rPr>
                          <w:t>计</w:t>
                        </w:r>
                      </w:p>
                    </w:tc>
                    <w:tc>
                      <w:tcPr>
                        <w:tcW w:w="1427" w:type="dxa"/>
                        <w:tcBorders>
                          <w:top w:val="single" w:sz="12" w:space="0" w:color="000000"/>
                          <w:left w:val="nil" w:sz="6" w:space="0" w:color="auto"/>
                          <w:bottom w:val="single" w:sz="6" w:space="0" w:color="000000"/>
                          <w:right w:val="nil" w:sz="6" w:space="0" w:color="auto"/>
                        </w:tcBorders>
                      </w:tcPr>
                      <w:p>
                        <w:pPr>
                          <w:pStyle w:val="TableParagraph"/>
                          <w:spacing w:line="240" w:lineRule="auto" w:before="74"/>
                          <w:ind w:left="70" w:right="0"/>
                          <w:jc w:val="center"/>
                          <w:rPr>
                            <w:rFonts w:ascii="Times New Roman" w:hAnsi="Times New Roman" w:cs="Times New Roman" w:eastAsia="Times New Roman" w:hint="default"/>
                            <w:sz w:val="20"/>
                            <w:szCs w:val="20"/>
                          </w:rPr>
                        </w:pPr>
                        <w:r>
                          <w:rPr>
                            <w:rFonts w:ascii="Times New Roman"/>
                            <w:spacing w:val="2"/>
                            <w:sz w:val="20"/>
                          </w:rPr>
                          <w:t>20,984,362.51</w:t>
                        </w:r>
                        <w:r>
                          <w:rPr>
                            <w:rFonts w:ascii="Times New Roman"/>
                            <w:sz w:val="20"/>
                          </w:rPr>
                        </w:r>
                      </w:p>
                    </w:tc>
                    <w:tc>
                      <w:tcPr>
                        <w:tcW w:w="86" w:type="dxa"/>
                        <w:tcBorders>
                          <w:top w:val="nil" w:sz="6" w:space="0" w:color="auto"/>
                          <w:left w:val="nil" w:sz="6" w:space="0" w:color="auto"/>
                          <w:bottom w:val="nil" w:sz="6" w:space="0" w:color="auto"/>
                          <w:right w:val="nil" w:sz="6" w:space="0" w:color="auto"/>
                        </w:tcBorders>
                      </w:tcPr>
                      <w:p>
                        <w:pPr/>
                      </w:p>
                    </w:tc>
                    <w:tc>
                      <w:tcPr>
                        <w:tcW w:w="1096" w:type="dxa"/>
                        <w:tcBorders>
                          <w:top w:val="single" w:sz="12" w:space="0" w:color="000000"/>
                          <w:left w:val="nil" w:sz="6" w:space="0" w:color="auto"/>
                          <w:bottom w:val="single" w:sz="6" w:space="0" w:color="000000"/>
                          <w:right w:val="nil" w:sz="6" w:space="0" w:color="auto"/>
                        </w:tcBorders>
                      </w:tcPr>
                      <w:p>
                        <w:pPr>
                          <w:pStyle w:val="TableParagraph"/>
                          <w:spacing w:line="240" w:lineRule="auto" w:before="74"/>
                          <w:ind w:right="48"/>
                          <w:jc w:val="right"/>
                          <w:rPr>
                            <w:rFonts w:ascii="Times New Roman" w:hAnsi="Times New Roman" w:cs="Times New Roman" w:eastAsia="Times New Roman" w:hint="default"/>
                            <w:sz w:val="20"/>
                            <w:szCs w:val="20"/>
                          </w:rPr>
                        </w:pPr>
                        <w:r>
                          <w:rPr>
                            <w:rFonts w:ascii="Times New Roman"/>
                            <w:sz w:val="20"/>
                          </w:rPr>
                          <w:t>100.00%</w:t>
                        </w:r>
                      </w:p>
                    </w:tc>
                    <w:tc>
                      <w:tcPr>
                        <w:tcW w:w="86" w:type="dxa"/>
                        <w:tcBorders>
                          <w:top w:val="nil" w:sz="6" w:space="0" w:color="auto"/>
                          <w:left w:val="nil" w:sz="6" w:space="0" w:color="auto"/>
                          <w:bottom w:val="nil" w:sz="6" w:space="0" w:color="auto"/>
                          <w:right w:val="nil" w:sz="6" w:space="0" w:color="auto"/>
                        </w:tcBorders>
                      </w:tcPr>
                      <w:p>
                        <w:pPr/>
                      </w:p>
                    </w:tc>
                    <w:tc>
                      <w:tcPr>
                        <w:tcW w:w="1441" w:type="dxa"/>
                        <w:tcBorders>
                          <w:top w:val="single" w:sz="12" w:space="0" w:color="000000"/>
                          <w:left w:val="nil" w:sz="6" w:space="0" w:color="auto"/>
                          <w:bottom w:val="single" w:sz="6" w:space="0" w:color="000000"/>
                          <w:right w:val="nil" w:sz="6" w:space="0" w:color="auto"/>
                        </w:tcBorders>
                      </w:tcPr>
                      <w:p>
                        <w:pPr>
                          <w:pStyle w:val="TableParagraph"/>
                          <w:spacing w:line="240" w:lineRule="auto" w:before="74"/>
                          <w:ind w:right="84"/>
                          <w:jc w:val="right"/>
                          <w:rPr>
                            <w:rFonts w:ascii="Times New Roman" w:hAnsi="Times New Roman" w:cs="Times New Roman" w:eastAsia="Times New Roman" w:hint="default"/>
                            <w:sz w:val="20"/>
                            <w:szCs w:val="20"/>
                          </w:rPr>
                        </w:pPr>
                        <w:r>
                          <w:rPr>
                            <w:rFonts w:ascii="Times New Roman"/>
                            <w:sz w:val="20"/>
                          </w:rPr>
                          <w:t>1,315,602.49</w:t>
                        </w:r>
                      </w:p>
                    </w:tc>
                    <w:tc>
                      <w:tcPr>
                        <w:tcW w:w="101" w:type="dxa"/>
                        <w:tcBorders>
                          <w:top w:val="nil" w:sz="6" w:space="0" w:color="auto"/>
                          <w:left w:val="nil" w:sz="6" w:space="0" w:color="auto"/>
                          <w:bottom w:val="nil" w:sz="6" w:space="0" w:color="auto"/>
                          <w:right w:val="nil" w:sz="6" w:space="0" w:color="auto"/>
                        </w:tcBorders>
                      </w:tcPr>
                      <w:p>
                        <w:pPr/>
                      </w:p>
                    </w:tc>
                    <w:tc>
                      <w:tcPr>
                        <w:tcW w:w="1484" w:type="dxa"/>
                        <w:tcBorders>
                          <w:top w:val="single" w:sz="12" w:space="0" w:color="000000"/>
                          <w:left w:val="nil" w:sz="6" w:space="0" w:color="auto"/>
                          <w:bottom w:val="single" w:sz="6" w:space="0" w:color="000000"/>
                          <w:right w:val="nil" w:sz="6" w:space="0" w:color="auto"/>
                        </w:tcBorders>
                      </w:tcPr>
                      <w:p>
                        <w:pPr>
                          <w:pStyle w:val="TableParagraph"/>
                          <w:spacing w:line="240" w:lineRule="auto" w:before="74"/>
                          <w:ind w:right="84"/>
                          <w:jc w:val="right"/>
                          <w:rPr>
                            <w:rFonts w:ascii="Times New Roman" w:hAnsi="Times New Roman" w:cs="Times New Roman" w:eastAsia="Times New Roman" w:hint="default"/>
                            <w:sz w:val="20"/>
                            <w:szCs w:val="20"/>
                          </w:rPr>
                        </w:pPr>
                        <w:r>
                          <w:rPr>
                            <w:rFonts w:ascii="Times New Roman"/>
                            <w:spacing w:val="2"/>
                            <w:w w:val="95"/>
                            <w:sz w:val="20"/>
                          </w:rPr>
                          <w:t>19,668,760.02</w:t>
                        </w:r>
                        <w:r>
                          <w:rPr>
                            <w:rFonts w:ascii="Times New Roman"/>
                            <w:sz w:val="20"/>
                          </w:rPr>
                        </w:r>
                      </w:p>
                    </w:tc>
                  </w:tr>
                </w:tbl>
                <w:p>
                  <w:pPr/>
                </w:p>
              </w:txbxContent>
            </v:textbox>
            <w10:wrap type="none"/>
          </v:shape>
        </w:pict>
      </w:r>
      <w:r>
        <w:rPr>
          <w:rFonts w:ascii="Times New Roman"/>
          <w:w w:val="95"/>
          <w:sz w:val="20"/>
        </w:rPr>
        <w:t>-</w:t>
        <w:tab/>
        <w:t>-</w:t>
        <w:tab/>
        <w:t>-</w:t>
        <w:tab/>
      </w:r>
      <w:r>
        <w:rPr>
          <w:rFonts w:ascii="Times New Roman"/>
          <w:sz w:val="20"/>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p>
      <w:pPr>
        <w:spacing w:line="20" w:lineRule="exact"/>
        <w:ind w:left="3431" w:right="0" w:firstLine="0"/>
        <w:rPr>
          <w:rFonts w:ascii="Times New Roman" w:hAnsi="Times New Roman" w:cs="Times New Roman" w:eastAsia="Times New Roman" w:hint="default"/>
          <w:sz w:val="2"/>
          <w:szCs w:val="2"/>
        </w:rPr>
      </w:pPr>
      <w:r>
        <w:rPr>
          <w:rFonts w:ascii="Times New Roman"/>
          <w:sz w:val="2"/>
        </w:rPr>
        <w:pict>
          <v:group style="width:72.1pt;height:.75pt;mso-position-horizontal-relative:char;mso-position-vertical-relative:line" coordorigin="0,0" coordsize="1442,15">
            <v:group style="position:absolute;left:7;top:7;width:1427;height:2" coordorigin="7,7" coordsize="1427,2">
              <v:shape style="position:absolute;left:7;top:7;width:1427;height:2" coordorigin="7,7" coordsize="1427,0" path="m7,7l1434,7e" filled="false" stroked="true" strokeweight=".72003pt" strokecolor="#000000">
                <v:path arrowok="t"/>
              </v:shape>
            </v:group>
          </v:group>
        </w:pict>
      </w:r>
      <w:r>
        <w:rPr>
          <w:rFonts w:ascii="Times New Roman"/>
          <w:sz w:val="2"/>
        </w:rPr>
      </w:r>
      <w:r>
        <w:rPr>
          <w:rFonts w:ascii="Times New Roman"/>
          <w:spacing w:val="63"/>
          <w:sz w:val="2"/>
        </w:rPr>
        <w:t> </w:t>
      </w:r>
      <w:r>
        <w:rPr>
          <w:rFonts w:ascii="Times New Roman"/>
          <w:spacing w:val="63"/>
          <w:sz w:val="2"/>
        </w:rPr>
        <w:pict>
          <v:group style="width:55.5pt;height:.75pt;mso-position-horizontal-relative:char;mso-position-vertical-relative:line" coordorigin="0,0" coordsize="1110,15">
            <v:group style="position:absolute;left:7;top:7;width:1096;height:2" coordorigin="7,7" coordsize="1096,2">
              <v:shape style="position:absolute;left:7;top:7;width:1096;height:2" coordorigin="7,7" coordsize="1096,0" path="m7,7l1103,7e" filled="false" stroked="true" strokeweight=".72003pt" strokecolor="#000000">
                <v:path arrowok="t"/>
              </v:shape>
            </v:group>
          </v:group>
        </w:pict>
      </w:r>
      <w:r>
        <w:rPr>
          <w:rFonts w:ascii="Times New Roman"/>
          <w:spacing w:val="63"/>
          <w:sz w:val="2"/>
        </w:rPr>
      </w:r>
      <w:r>
        <w:rPr>
          <w:rFonts w:ascii="Times New Roman"/>
          <w:spacing w:val="64"/>
          <w:sz w:val="2"/>
        </w:rPr>
        <w:t> </w:t>
      </w:r>
      <w:r>
        <w:rPr>
          <w:rFonts w:ascii="Times New Roman"/>
          <w:spacing w:val="64"/>
          <w:sz w:val="2"/>
        </w:rPr>
        <w:pict>
          <v:group style="width:72.8pt;height:.75pt;mso-position-horizontal-relative:char;mso-position-vertical-relative:line" coordorigin="0,0" coordsize="1456,15">
            <v:group style="position:absolute;left:7;top:7;width:1442;height:2" coordorigin="7,7" coordsize="1442,2">
              <v:shape style="position:absolute;left:7;top:7;width:1442;height:2" coordorigin="7,7" coordsize="1442,0" path="m7,7l1448,7e" filled="false" stroked="true" strokeweight=".72003pt" strokecolor="#000000">
                <v:path arrowok="t"/>
              </v:shape>
            </v:group>
          </v:group>
        </w:pict>
      </w:r>
      <w:r>
        <w:rPr>
          <w:rFonts w:ascii="Times New Roman"/>
          <w:spacing w:val="64"/>
          <w:sz w:val="2"/>
        </w:rPr>
      </w:r>
      <w:r>
        <w:rPr>
          <w:rFonts w:ascii="Times New Roman"/>
          <w:spacing w:val="78"/>
          <w:sz w:val="2"/>
        </w:rPr>
        <w:t> </w:t>
      </w:r>
      <w:r>
        <w:rPr>
          <w:rFonts w:ascii="Times New Roman"/>
          <w:spacing w:val="78"/>
          <w:sz w:val="2"/>
        </w:rPr>
        <w:pict>
          <v:group style="width:74.95pt;height:.75pt;mso-position-horizontal-relative:char;mso-position-vertical-relative:line" coordorigin="0,0" coordsize="1499,15">
            <v:group style="position:absolute;left:7;top:7;width:1485;height:2" coordorigin="7,7" coordsize="1485,2">
              <v:shape style="position:absolute;left:7;top:7;width:1485;height:2" coordorigin="7,7" coordsize="1485,0" path="m7,7l1492,7e" filled="false" stroked="true" strokeweight=".72003pt" strokecolor="#000000">
                <v:path arrowok="t"/>
              </v:shape>
            </v:group>
          </v:group>
        </w:pict>
      </w:r>
      <w:r>
        <w:rPr>
          <w:rFonts w:ascii="Times New Roman"/>
          <w:spacing w:val="78"/>
          <w:sz w:val="2"/>
        </w:rPr>
      </w:r>
    </w:p>
    <w:p>
      <w:pPr>
        <w:spacing w:line="230" w:lineRule="exact" w:before="87"/>
        <w:ind w:left="3715" w:right="345" w:firstLine="0"/>
        <w:jc w:val="center"/>
        <w:rPr>
          <w:rFonts w:ascii="宋体" w:hAnsi="宋体" w:cs="宋体" w:eastAsia="宋体" w:hint="default"/>
          <w:sz w:val="20"/>
          <w:szCs w:val="20"/>
        </w:rPr>
      </w:pPr>
      <w:r>
        <w:rPr>
          <w:rFonts w:ascii="宋体" w:hAnsi="宋体" w:cs="宋体" w:eastAsia="宋体" w:hint="default"/>
          <w:sz w:val="20"/>
          <w:szCs w:val="20"/>
        </w:rPr>
        <w:t>年</w:t>
      </w:r>
      <w:r>
        <w:rPr>
          <w:rFonts w:ascii="宋体" w:hAnsi="宋体" w:cs="宋体" w:eastAsia="宋体" w:hint="default"/>
          <w:spacing w:val="-42"/>
          <w:sz w:val="20"/>
          <w:szCs w:val="20"/>
        </w:rPr>
        <w:t> </w:t>
      </w:r>
      <w:r>
        <w:rPr>
          <w:rFonts w:ascii="宋体" w:hAnsi="宋体" w:cs="宋体" w:eastAsia="宋体" w:hint="default"/>
          <w:sz w:val="20"/>
          <w:szCs w:val="20"/>
        </w:rPr>
        <w:t>初</w:t>
      </w:r>
      <w:r>
        <w:rPr>
          <w:rFonts w:ascii="宋体" w:hAnsi="宋体" w:cs="宋体" w:eastAsia="宋体" w:hint="default"/>
          <w:spacing w:val="-56"/>
          <w:sz w:val="20"/>
          <w:szCs w:val="20"/>
        </w:rPr>
        <w:t> </w:t>
      </w:r>
      <w:r>
        <w:rPr>
          <w:rFonts w:ascii="宋体" w:hAnsi="宋体" w:cs="宋体" w:eastAsia="宋体" w:hint="default"/>
          <w:sz w:val="20"/>
          <w:szCs w:val="20"/>
        </w:rPr>
        <w:t>数</w:t>
      </w:r>
    </w:p>
    <w:p>
      <w:pPr>
        <w:tabs>
          <w:tab w:pos="1824" w:val="left" w:leader="none"/>
        </w:tabs>
        <w:spacing w:line="199" w:lineRule="exact" w:before="0"/>
        <w:ind w:left="1420" w:right="0" w:firstLine="0"/>
        <w:jc w:val="left"/>
        <w:rPr>
          <w:rFonts w:ascii="宋体" w:hAnsi="宋体" w:cs="宋体" w:eastAsia="宋体" w:hint="default"/>
          <w:sz w:val="20"/>
          <w:szCs w:val="20"/>
        </w:rPr>
      </w:pPr>
      <w:r>
        <w:rPr/>
        <w:pict>
          <v:group style="position:absolute;margin-left:256.799988pt;margin-top:5.79752pt;width:288.4pt;height:.75pt;mso-position-horizontal-relative:page;mso-position-vertical-relative:paragraph;z-index:10624" coordorigin="5136,116" coordsize="5768,15">
            <v:group style="position:absolute;left:5143;top:117;width:5753;height:2" coordorigin="5143,117" coordsize="5753,2">
              <v:shape style="position:absolute;left:5143;top:117;width:5753;height:2" coordorigin="5143,117" coordsize="5753,0" path="m5143,117l10896,117e" filled="false" stroked="true" strokeweight=".06pt" strokecolor="#000000">
                <v:path arrowok="t"/>
              </v:shape>
            </v:group>
            <v:group style="position:absolute;left:5143;top:124;width:5753;height:2" coordorigin="5143,124" coordsize="5753,2">
              <v:shape style="position:absolute;left:5143;top:124;width:5753;height:2" coordorigin="5143,124" coordsize="5753,0" path="m5143,124l10896,124e" filled="false" stroked="true" strokeweight=".72pt" strokecolor="#000000">
                <v:path arrowok="t"/>
              </v:shape>
            </v:group>
            <w10:wrap type="none"/>
          </v:group>
        </w:pict>
      </w:r>
      <w:r>
        <w:rPr>
          <w:rFonts w:ascii="宋体" w:hAnsi="宋体" w:cs="宋体" w:eastAsia="宋体" w:hint="default"/>
          <w:w w:val="95"/>
          <w:sz w:val="20"/>
          <w:szCs w:val="20"/>
        </w:rPr>
        <w:t>项</w:t>
        <w:tab/>
      </w:r>
      <w:r>
        <w:rPr>
          <w:rFonts w:ascii="宋体" w:hAnsi="宋体" w:cs="宋体" w:eastAsia="宋体" w:hint="default"/>
          <w:sz w:val="20"/>
          <w:szCs w:val="20"/>
        </w:rPr>
        <w:t>目</w:t>
      </w:r>
    </w:p>
    <w:p>
      <w:pPr>
        <w:tabs>
          <w:tab w:pos="3602" w:val="left" w:leader="none"/>
          <w:tab w:pos="4625" w:val="left" w:leader="none"/>
          <w:tab w:pos="5822" w:val="left" w:leader="none"/>
          <w:tab w:pos="7610" w:val="left" w:leader="none"/>
        </w:tabs>
        <w:spacing w:line="230" w:lineRule="exact" w:before="0"/>
        <w:ind w:left="3197" w:right="0" w:firstLine="0"/>
        <w:jc w:val="center"/>
        <w:rPr>
          <w:rFonts w:ascii="宋体" w:hAnsi="宋体" w:cs="宋体" w:eastAsia="宋体" w:hint="default"/>
          <w:sz w:val="20"/>
          <w:szCs w:val="20"/>
        </w:rPr>
      </w:pPr>
      <w:r>
        <w:rPr>
          <w:rFonts w:ascii="宋体" w:hAnsi="宋体" w:cs="宋体" w:eastAsia="宋体" w:hint="default"/>
          <w:w w:val="95"/>
          <w:sz w:val="20"/>
          <w:szCs w:val="20"/>
        </w:rPr>
        <w:t>余</w:t>
        <w:tab/>
        <w:t>额</w:t>
        <w:tab/>
      </w:r>
      <w:r>
        <w:rPr>
          <w:rFonts w:ascii="宋体" w:hAnsi="宋体" w:cs="宋体" w:eastAsia="宋体" w:hint="default"/>
          <w:sz w:val="20"/>
          <w:szCs w:val="20"/>
        </w:rPr>
        <w:t>比例</w:t>
        <w:tab/>
      </w:r>
      <w:r>
        <w:rPr>
          <w:rFonts w:ascii="宋体" w:hAnsi="宋体" w:cs="宋体" w:eastAsia="宋体" w:hint="default"/>
          <w:spacing w:val="2"/>
          <w:w w:val="95"/>
          <w:sz w:val="20"/>
          <w:szCs w:val="20"/>
        </w:rPr>
        <w:t>坏账准备</w:t>
        <w:tab/>
      </w:r>
      <w:r>
        <w:rPr>
          <w:rFonts w:ascii="宋体" w:hAnsi="宋体" w:cs="宋体" w:eastAsia="宋体" w:hint="default"/>
          <w:spacing w:val="8"/>
          <w:sz w:val="20"/>
          <w:szCs w:val="20"/>
        </w:rPr>
        <w:t>净额</w:t>
      </w:r>
    </w:p>
    <w:p>
      <w:pPr>
        <w:spacing w:line="240" w:lineRule="auto" w:before="3"/>
        <w:rPr>
          <w:rFonts w:ascii="宋体" w:hAnsi="宋体" w:cs="宋体" w:eastAsia="宋体" w:hint="default"/>
          <w:sz w:val="4"/>
          <w:szCs w:val="4"/>
        </w:rPr>
      </w:pPr>
    </w:p>
    <w:p>
      <w:pPr>
        <w:spacing w:line="20" w:lineRule="exact"/>
        <w:ind w:left="144" w:right="0" w:firstLine="0"/>
        <w:rPr>
          <w:rFonts w:ascii="宋体" w:hAnsi="宋体" w:cs="宋体" w:eastAsia="宋体" w:hint="default"/>
          <w:sz w:val="2"/>
          <w:szCs w:val="2"/>
        </w:rPr>
      </w:pPr>
      <w:r>
        <w:rPr>
          <w:rFonts w:ascii="宋体"/>
          <w:sz w:val="2"/>
        </w:rPr>
        <w:pict>
          <v:group style="width:157.15pt;height:.75pt;mso-position-horizontal-relative:char;mso-position-vertical-relative:line" coordorigin="0,0" coordsize="3143,15">
            <v:group style="position:absolute;left:7;top:1;width:3129;height:2" coordorigin="7,1" coordsize="3129,2">
              <v:shape style="position:absolute;left:7;top:1;width:3129;height:2" coordorigin="7,1" coordsize="3129,0" path="m7,1l3136,1e" filled="false" stroked="true" strokeweight=".06pt" strokecolor="#000000">
                <v:path arrowok="t"/>
              </v:shape>
            </v:group>
            <v:group style="position:absolute;left:7;top:8;width:3129;height:2" coordorigin="7,8" coordsize="3129,2">
              <v:shape style="position:absolute;left:7;top:8;width:3129;height:2" coordorigin="7,8" coordsize="3129,0" path="m7,8l3136,8e" filled="false" stroked="true" strokeweight=".72pt" strokecolor="#000000">
                <v:path arrowok="t"/>
              </v:shape>
            </v:group>
          </v:group>
        </w:pict>
      </w:r>
      <w:r>
        <w:rPr>
          <w:rFonts w:ascii="宋体"/>
          <w:sz w:val="2"/>
        </w:rPr>
      </w:r>
      <w:r>
        <w:rPr>
          <w:rFonts w:ascii="Times New Roman"/>
          <w:spacing w:val="180"/>
          <w:sz w:val="2"/>
        </w:rPr>
        <w:t> </w:t>
      </w:r>
      <w:r>
        <w:rPr>
          <w:rFonts w:ascii="宋体"/>
          <w:spacing w:val="180"/>
          <w:sz w:val="2"/>
        </w:rPr>
        <w:pict>
          <v:group style="width:67.75pt;height:.75pt;mso-position-horizontal-relative:char;mso-position-vertical-relative:line" coordorigin="0,0" coordsize="1355,15">
            <v:group style="position:absolute;left:7;top:1;width:1341;height:2" coordorigin="7,1" coordsize="1341,2">
              <v:shape style="position:absolute;left:7;top:1;width:1341;height:2" coordorigin="7,1" coordsize="1341,0" path="m7,1l1348,1e" filled="false" stroked="true" strokeweight=".06pt" strokecolor="#000000">
                <v:path arrowok="t"/>
              </v:shape>
            </v:group>
            <v:group style="position:absolute;left:7;top:8;width:1341;height:2" coordorigin="7,8" coordsize="1341,2">
              <v:shape style="position:absolute;left:7;top:8;width:1341;height:2" coordorigin="7,8" coordsize="1341,0" path="m7,8l1348,8e" filled="false" stroked="true" strokeweight=".72pt" strokecolor="#000000">
                <v:path arrowok="t"/>
              </v:shape>
            </v:group>
          </v:group>
        </w:pict>
      </w:r>
      <w:r>
        <w:rPr>
          <w:rFonts w:ascii="宋体"/>
          <w:spacing w:val="180"/>
          <w:sz w:val="2"/>
        </w:rPr>
      </w:r>
      <w:r>
        <w:rPr>
          <w:rFonts w:ascii="Times New Roman"/>
          <w:spacing w:val="64"/>
          <w:sz w:val="2"/>
        </w:rPr>
        <w:t> </w:t>
      </w:r>
      <w:r>
        <w:rPr>
          <w:rFonts w:ascii="宋体"/>
          <w:spacing w:val="64"/>
          <w:sz w:val="2"/>
        </w:rPr>
        <w:pict>
          <v:group style="width:57.7pt;height:.75pt;mso-position-horizontal-relative:char;mso-position-vertical-relative:line" coordorigin="0,0" coordsize="1154,15">
            <v:group style="position:absolute;left:7;top:1;width:1139;height:2" coordorigin="7,1" coordsize="1139,2">
              <v:shape style="position:absolute;left:7;top:1;width:1139;height:2" coordorigin="7,1" coordsize="1139,0" path="m7,1l1146,1e" filled="false" stroked="true" strokeweight=".06pt" strokecolor="#000000">
                <v:path arrowok="t"/>
              </v:shape>
            </v:group>
            <v:group style="position:absolute;left:7;top:8;width:1139;height:2" coordorigin="7,8" coordsize="1139,2">
              <v:shape style="position:absolute;left:7;top:8;width:1139;height:2" coordorigin="7,8" coordsize="1139,0" path="m7,8l1146,8e" filled="false" stroked="true" strokeweight=".72pt" strokecolor="#000000">
                <v:path arrowok="t"/>
              </v:shape>
            </v:group>
          </v:group>
        </w:pict>
      </w:r>
      <w:r>
        <w:rPr>
          <w:rFonts w:ascii="宋体"/>
          <w:spacing w:val="64"/>
          <w:sz w:val="2"/>
        </w:rPr>
      </w:r>
      <w:r>
        <w:rPr>
          <w:rFonts w:ascii="Times New Roman"/>
          <w:spacing w:val="64"/>
          <w:sz w:val="2"/>
        </w:rPr>
        <w:t> </w:t>
      </w:r>
      <w:r>
        <w:rPr>
          <w:rFonts w:ascii="宋体"/>
          <w:spacing w:val="64"/>
          <w:sz w:val="2"/>
        </w:rPr>
        <w:pict>
          <v:group style="width:75.7pt;height:.75pt;mso-position-horizontal-relative:char;mso-position-vertical-relative:line" coordorigin="0,0" coordsize="1514,15">
            <v:group style="position:absolute;left:7;top:1;width:1499;height:2" coordorigin="7,1" coordsize="1499,2">
              <v:shape style="position:absolute;left:7;top:1;width:1499;height:2" coordorigin="7,1" coordsize="1499,0" path="m7,1l1506,1e" filled="false" stroked="true" strokeweight=".06pt" strokecolor="#000000">
                <v:path arrowok="t"/>
              </v:shape>
            </v:group>
            <v:group style="position:absolute;left:7;top:8;width:1499;height:2" coordorigin="7,8" coordsize="1499,2">
              <v:shape style="position:absolute;left:7;top:8;width:1499;height:2" coordorigin="7,8" coordsize="1499,0" path="m7,8l1506,8e" filled="false" stroked="true" strokeweight=".72pt" strokecolor="#000000">
                <v:path arrowok="t"/>
              </v:shape>
            </v:group>
          </v:group>
        </w:pict>
      </w:r>
      <w:r>
        <w:rPr>
          <w:rFonts w:ascii="宋体"/>
          <w:spacing w:val="64"/>
          <w:sz w:val="2"/>
        </w:rPr>
      </w:r>
      <w:r>
        <w:rPr>
          <w:rFonts w:ascii="Times New Roman"/>
          <w:spacing w:val="63"/>
          <w:sz w:val="2"/>
        </w:rPr>
        <w:t> </w:t>
      </w:r>
      <w:r>
        <w:rPr>
          <w:rFonts w:ascii="宋体"/>
          <w:spacing w:val="63"/>
          <w:sz w:val="2"/>
        </w:rPr>
        <w:pict>
          <v:group style="width:76.45pt;height:.75pt;mso-position-horizontal-relative:char;mso-position-vertical-relative:line" coordorigin="0,0" coordsize="1529,15">
            <v:group style="position:absolute;left:7;top:1;width:1515;height:2" coordorigin="7,1" coordsize="1515,2">
              <v:shape style="position:absolute;left:7;top:1;width:1515;height:2" coordorigin="7,1" coordsize="1515,0" path="m7,1l1522,1e" filled="false" stroked="true" strokeweight=".06pt" strokecolor="#000000">
                <v:path arrowok="t"/>
              </v:shape>
            </v:group>
            <v:group style="position:absolute;left:7;top:8;width:1515;height:2" coordorigin="7,8" coordsize="1515,2">
              <v:shape style="position:absolute;left:7;top:8;width:1515;height:2" coordorigin="7,8" coordsize="1515,0" path="m7,8l1522,8e" filled="false" stroked="true" strokeweight=".72pt" strokecolor="#000000">
                <v:path arrowok="t"/>
              </v:shape>
            </v:group>
          </v:group>
        </w:pict>
      </w:r>
      <w:r>
        <w:rPr>
          <w:rFonts w:ascii="宋体"/>
          <w:spacing w:val="63"/>
          <w:sz w:val="2"/>
        </w:rPr>
      </w:r>
    </w:p>
    <w:p>
      <w:pPr>
        <w:tabs>
          <w:tab w:pos="3655" w:val="left" w:leader="none"/>
          <w:tab w:pos="5371" w:val="left" w:leader="none"/>
          <w:tab w:pos="6611" w:val="left" w:leader="none"/>
          <w:tab w:pos="8068" w:val="left" w:leader="none"/>
        </w:tabs>
        <w:spacing w:before="71"/>
        <w:ind w:left="180" w:right="0" w:firstLine="0"/>
        <w:jc w:val="left"/>
        <w:rPr>
          <w:rFonts w:ascii="Times New Roman" w:hAnsi="Times New Roman" w:cs="Times New Roman" w:eastAsia="Times New Roman" w:hint="default"/>
          <w:sz w:val="20"/>
          <w:szCs w:val="20"/>
        </w:rPr>
      </w:pPr>
      <w:r>
        <w:rPr>
          <w:rFonts w:ascii="宋体" w:hAnsi="宋体" w:cs="宋体" w:eastAsia="宋体" w:hint="default"/>
          <w:spacing w:val="-1"/>
          <w:sz w:val="18"/>
          <w:szCs w:val="18"/>
        </w:rPr>
        <w:t>单项金额重大的其他应收款</w:t>
        <w:tab/>
      </w:r>
      <w:r>
        <w:rPr>
          <w:rFonts w:ascii="Times New Roman" w:hAnsi="Times New Roman" w:cs="Times New Roman" w:eastAsia="Times New Roman" w:hint="default"/>
          <w:spacing w:val="2"/>
          <w:position w:val="1"/>
          <w:sz w:val="20"/>
          <w:szCs w:val="20"/>
        </w:rPr>
        <w:t>9,511,173.19</w:t>
        <w:tab/>
      </w:r>
      <w:r>
        <w:rPr>
          <w:rFonts w:ascii="Times New Roman" w:hAnsi="Times New Roman" w:cs="Times New Roman" w:eastAsia="Times New Roman" w:hint="default"/>
          <w:spacing w:val="1"/>
          <w:position w:val="1"/>
          <w:sz w:val="20"/>
          <w:szCs w:val="20"/>
        </w:rPr>
        <w:t>83.48%</w:t>
        <w:tab/>
      </w:r>
      <w:r>
        <w:rPr>
          <w:rFonts w:ascii="Times New Roman" w:hAnsi="Times New Roman" w:cs="Times New Roman" w:eastAsia="Times New Roman" w:hint="default"/>
          <w:spacing w:val="2"/>
          <w:w w:val="95"/>
          <w:position w:val="1"/>
          <w:sz w:val="20"/>
          <w:szCs w:val="20"/>
        </w:rPr>
        <w:t>781,992.02</w:t>
        <w:tab/>
      </w:r>
      <w:r>
        <w:rPr>
          <w:rFonts w:ascii="Times New Roman" w:hAnsi="Times New Roman" w:cs="Times New Roman" w:eastAsia="Times New Roman" w:hint="default"/>
          <w:spacing w:val="1"/>
          <w:position w:val="1"/>
          <w:sz w:val="20"/>
          <w:szCs w:val="20"/>
        </w:rPr>
        <w:t>8,729,181.17</w:t>
      </w:r>
      <w:r>
        <w:rPr>
          <w:rFonts w:ascii="Times New Roman" w:hAnsi="Times New Roman" w:cs="Times New Roman" w:eastAsia="Times New Roman" w:hint="default"/>
          <w:spacing w:val="1"/>
          <w:sz w:val="20"/>
          <w:szCs w:val="20"/>
        </w:rPr>
      </w:r>
    </w:p>
    <w:p>
      <w:pPr>
        <w:spacing w:line="154" w:lineRule="exact" w:before="110"/>
        <w:ind w:left="180"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w:t>
      </w:r>
    </w:p>
    <w:p>
      <w:pPr>
        <w:tabs>
          <w:tab w:pos="5688" w:val="left" w:leader="none"/>
          <w:tab w:pos="7275" w:val="left" w:leader="none"/>
          <w:tab w:pos="8875" w:val="left" w:leader="none"/>
        </w:tabs>
        <w:spacing w:line="203" w:lineRule="exact" w:before="0"/>
        <w:ind w:left="4463" w:right="0" w:firstLine="0"/>
        <w:jc w:val="left"/>
        <w:rPr>
          <w:rFonts w:ascii="Times New Roman" w:hAnsi="Times New Roman" w:cs="Times New Roman" w:eastAsia="Times New Roman" w:hint="default"/>
          <w:sz w:val="20"/>
          <w:szCs w:val="20"/>
        </w:rPr>
      </w:pPr>
      <w:r>
        <w:rPr/>
        <w:pict>
          <v:shape style="position:absolute;margin-left:90.290001pt;margin-top:6.246421pt;width:454.55pt;height:55.3pt;mso-position-horizontal-relative:page;mso-position-vertical-relative:paragraph;z-index:10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7"/>
                    <w:gridCol w:w="1521"/>
                    <w:gridCol w:w="1229"/>
                    <w:gridCol w:w="1568"/>
                    <w:gridCol w:w="1435"/>
                  </w:tblGrid>
                  <w:tr>
                    <w:trPr>
                      <w:trHeight w:val="638"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宋体" w:hAnsi="宋体" w:cs="宋体" w:eastAsia="宋体" w:hint="default"/>
                            <w:sz w:val="18"/>
                            <w:szCs w:val="18"/>
                          </w:rPr>
                        </w:pPr>
                        <w:r>
                          <w:rPr>
                            <w:rFonts w:ascii="宋体" w:hAnsi="宋体" w:cs="宋体" w:eastAsia="宋体" w:hint="default"/>
                            <w:sz w:val="18"/>
                            <w:szCs w:val="18"/>
                          </w:rPr>
                          <w:t>合后该组合的风险较大的其他应收款</w:t>
                        </w:r>
                      </w:p>
                      <w:p>
                        <w:pPr>
                          <w:pStyle w:val="TableParagraph"/>
                          <w:spacing w:line="240" w:lineRule="auto" w:before="105"/>
                          <w:ind w:left="35"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521"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66"/>
                          <w:jc w:val="right"/>
                          <w:rPr>
                            <w:rFonts w:ascii="Times New Roman" w:hAnsi="Times New Roman" w:cs="Times New Roman" w:eastAsia="Times New Roman" w:hint="default"/>
                            <w:sz w:val="20"/>
                            <w:szCs w:val="20"/>
                          </w:rPr>
                        </w:pPr>
                        <w:r>
                          <w:rPr>
                            <w:rFonts w:ascii="Times New Roman"/>
                            <w:spacing w:val="2"/>
                            <w:sz w:val="20"/>
                          </w:rPr>
                          <w:t>1,881,974.28</w:t>
                        </w:r>
                        <w:r>
                          <w:rPr>
                            <w:rFonts w:ascii="Times New Roman"/>
                            <w:sz w:val="20"/>
                          </w:rPr>
                        </w:r>
                      </w:p>
                    </w:tc>
                    <w:tc>
                      <w:tcPr>
                        <w:tcW w:w="1229"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31"/>
                          <w:jc w:val="right"/>
                          <w:rPr>
                            <w:rFonts w:ascii="Times New Roman" w:hAnsi="Times New Roman" w:cs="Times New Roman" w:eastAsia="Times New Roman" w:hint="default"/>
                            <w:sz w:val="20"/>
                            <w:szCs w:val="20"/>
                          </w:rPr>
                        </w:pPr>
                        <w:r>
                          <w:rPr>
                            <w:rFonts w:ascii="Times New Roman"/>
                            <w:sz w:val="20"/>
                          </w:rPr>
                          <w:t>16.52%</w:t>
                        </w:r>
                      </w:p>
                    </w:tc>
                    <w:tc>
                      <w:tcPr>
                        <w:tcW w:w="1568"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65"/>
                          <w:jc w:val="right"/>
                          <w:rPr>
                            <w:rFonts w:ascii="Times New Roman" w:hAnsi="Times New Roman" w:cs="Times New Roman" w:eastAsia="Times New Roman" w:hint="default"/>
                            <w:sz w:val="20"/>
                            <w:szCs w:val="20"/>
                          </w:rPr>
                        </w:pPr>
                        <w:r>
                          <w:rPr>
                            <w:rFonts w:ascii="Times New Roman"/>
                            <w:spacing w:val="2"/>
                            <w:w w:val="95"/>
                            <w:sz w:val="20"/>
                          </w:rPr>
                          <w:t>693,817.03</w:t>
                        </w:r>
                        <w:r>
                          <w:rPr>
                            <w:rFonts w:ascii="Times New Roman"/>
                            <w:sz w:val="20"/>
                          </w:rPr>
                        </w:r>
                      </w:p>
                    </w:tc>
                    <w:tc>
                      <w:tcPr>
                        <w:tcW w:w="1435"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z w:val="20"/>
                          </w:rPr>
                          <w:t>1,188,157.25</w:t>
                        </w:r>
                      </w:p>
                    </w:tc>
                  </w:tr>
                  <w:tr>
                    <w:trPr>
                      <w:trHeight w:val="411" w:hRule="exact"/>
                    </w:trPr>
                    <w:tc>
                      <w:tcPr>
                        <w:tcW w:w="333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3"/>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16"/>
                            <w:sz w:val="20"/>
                            <w:szCs w:val="20"/>
                          </w:rPr>
                          <w:t> </w:t>
                        </w:r>
                        <w:r>
                          <w:rPr>
                            <w:rFonts w:ascii="宋体" w:hAnsi="宋体" w:cs="宋体" w:eastAsia="宋体" w:hint="default"/>
                            <w:sz w:val="20"/>
                            <w:szCs w:val="20"/>
                          </w:rPr>
                          <w:t>计</w:t>
                        </w:r>
                      </w:p>
                    </w:tc>
                    <w:tc>
                      <w:tcPr>
                        <w:tcW w:w="1521" w:type="dxa"/>
                        <w:tcBorders>
                          <w:top w:val="single" w:sz="12" w:space="0" w:color="000000"/>
                          <w:left w:val="nil" w:sz="6" w:space="0" w:color="auto"/>
                          <w:bottom w:val="single" w:sz="23" w:space="0" w:color="000000"/>
                          <w:right w:val="nil" w:sz="6" w:space="0" w:color="auto"/>
                        </w:tcBorders>
                      </w:tcPr>
                      <w:p>
                        <w:pPr>
                          <w:pStyle w:val="TableParagraph"/>
                          <w:spacing w:line="240" w:lineRule="auto" w:before="75"/>
                          <w:ind w:right="264"/>
                          <w:jc w:val="right"/>
                          <w:rPr>
                            <w:rFonts w:ascii="Times New Roman" w:hAnsi="Times New Roman" w:cs="Times New Roman" w:eastAsia="Times New Roman" w:hint="default"/>
                            <w:sz w:val="20"/>
                            <w:szCs w:val="20"/>
                          </w:rPr>
                        </w:pPr>
                        <w:r>
                          <w:rPr>
                            <w:rFonts w:ascii="Times New Roman"/>
                            <w:spacing w:val="2"/>
                            <w:sz w:val="20"/>
                          </w:rPr>
                          <w:t>11,393,147.47</w:t>
                        </w:r>
                        <w:r>
                          <w:rPr>
                            <w:rFonts w:ascii="Times New Roman"/>
                            <w:sz w:val="20"/>
                          </w:rPr>
                        </w:r>
                      </w:p>
                    </w:tc>
                    <w:tc>
                      <w:tcPr>
                        <w:tcW w:w="1229" w:type="dxa"/>
                        <w:tcBorders>
                          <w:top w:val="single" w:sz="12" w:space="0" w:color="000000"/>
                          <w:left w:val="nil" w:sz="6" w:space="0" w:color="auto"/>
                          <w:bottom w:val="single" w:sz="23" w:space="0" w:color="000000"/>
                          <w:right w:val="nil" w:sz="6" w:space="0" w:color="auto"/>
                        </w:tcBorders>
                      </w:tcPr>
                      <w:p>
                        <w:pPr>
                          <w:pStyle w:val="TableParagraph"/>
                          <w:spacing w:line="240" w:lineRule="auto" w:before="75"/>
                          <w:ind w:right="231"/>
                          <w:jc w:val="right"/>
                          <w:rPr>
                            <w:rFonts w:ascii="Times New Roman" w:hAnsi="Times New Roman" w:cs="Times New Roman" w:eastAsia="Times New Roman" w:hint="default"/>
                            <w:sz w:val="20"/>
                            <w:szCs w:val="20"/>
                          </w:rPr>
                        </w:pPr>
                        <w:r>
                          <w:rPr>
                            <w:rFonts w:ascii="Times New Roman"/>
                            <w:sz w:val="20"/>
                          </w:rPr>
                          <w:t>100.00%</w:t>
                        </w:r>
                      </w:p>
                    </w:tc>
                    <w:tc>
                      <w:tcPr>
                        <w:tcW w:w="1568" w:type="dxa"/>
                        <w:tcBorders>
                          <w:top w:val="single" w:sz="12" w:space="0" w:color="000000"/>
                          <w:left w:val="nil" w:sz="6" w:space="0" w:color="auto"/>
                          <w:bottom w:val="single" w:sz="23" w:space="0" w:color="000000"/>
                          <w:right w:val="nil" w:sz="6" w:space="0" w:color="auto"/>
                        </w:tcBorders>
                      </w:tcPr>
                      <w:p>
                        <w:pPr>
                          <w:pStyle w:val="TableParagraph"/>
                          <w:spacing w:line="240" w:lineRule="auto" w:before="75"/>
                          <w:ind w:right="265"/>
                          <w:jc w:val="right"/>
                          <w:rPr>
                            <w:rFonts w:ascii="Times New Roman" w:hAnsi="Times New Roman" w:cs="Times New Roman" w:eastAsia="Times New Roman" w:hint="default"/>
                            <w:sz w:val="20"/>
                            <w:szCs w:val="20"/>
                          </w:rPr>
                        </w:pPr>
                        <w:r>
                          <w:rPr>
                            <w:rFonts w:ascii="Times New Roman"/>
                            <w:sz w:val="20"/>
                          </w:rPr>
                          <w:t>1,475,809.05</w:t>
                        </w:r>
                      </w:p>
                    </w:tc>
                    <w:tc>
                      <w:tcPr>
                        <w:tcW w:w="1435" w:type="dxa"/>
                        <w:tcBorders>
                          <w:top w:val="single" w:sz="12" w:space="0" w:color="000000"/>
                          <w:left w:val="nil" w:sz="6" w:space="0" w:color="auto"/>
                          <w:bottom w:val="single" w:sz="23" w:space="0" w:color="000000"/>
                          <w:right w:val="nil" w:sz="6" w:space="0" w:color="auto"/>
                        </w:tcBorders>
                      </w:tcPr>
                      <w:p>
                        <w:pPr>
                          <w:pStyle w:val="TableParagraph"/>
                          <w:spacing w:line="240" w:lineRule="auto" w:before="75"/>
                          <w:ind w:right="100"/>
                          <w:jc w:val="right"/>
                          <w:rPr>
                            <w:rFonts w:ascii="Times New Roman" w:hAnsi="Times New Roman" w:cs="Times New Roman" w:eastAsia="Times New Roman" w:hint="default"/>
                            <w:sz w:val="20"/>
                            <w:szCs w:val="20"/>
                          </w:rPr>
                        </w:pPr>
                        <w:r>
                          <w:rPr>
                            <w:rFonts w:ascii="Times New Roman"/>
                            <w:sz w:val="20"/>
                          </w:rPr>
                          <w:t>9,917,338.42</w:t>
                        </w:r>
                      </w:p>
                    </w:tc>
                  </w:tr>
                </w:tbl>
                <w:p>
                  <w:pPr/>
                </w:p>
              </w:txbxContent>
            </v:textbox>
            <w10:wrap type="none"/>
          </v:shape>
        </w:pict>
      </w:r>
      <w:r>
        <w:rPr>
          <w:rFonts w:ascii="Times New Roman"/>
          <w:w w:val="95"/>
          <w:sz w:val="20"/>
        </w:rPr>
        <w:t>-</w:t>
        <w:tab/>
        <w:t>-</w:t>
        <w:tab/>
        <w:t>-</w:t>
        <w:tab/>
      </w:r>
      <w:r>
        <w:rPr>
          <w:rFonts w:ascii="Times New Roman"/>
          <w:sz w:val="20"/>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8"/>
          <w:szCs w:val="28"/>
        </w:rPr>
      </w:pPr>
    </w:p>
    <w:p>
      <w:pPr>
        <w:pStyle w:val="BodyText"/>
        <w:spacing w:line="313" w:lineRule="exact" w:before="27"/>
        <w:ind w:left="739" w:right="0"/>
        <w:jc w:val="left"/>
      </w:pPr>
      <w:r>
        <w:rPr/>
        <w:t>单项金额重大的其它应收款，为期末余额大于 500,000.00</w:t>
      </w:r>
      <w:r>
        <w:rPr>
          <w:spacing w:val="1"/>
        </w:rPr>
        <w:t> </w:t>
      </w:r>
      <w:r>
        <w:rPr/>
        <w:t>元的其它应收</w:t>
      </w:r>
    </w:p>
    <w:p>
      <w:pPr>
        <w:pStyle w:val="BodyText"/>
        <w:spacing w:line="313" w:lineRule="exact" w:before="0"/>
        <w:ind w:right="0"/>
        <w:jc w:val="left"/>
      </w:pPr>
      <w:r>
        <w:rPr/>
        <w:t>款。</w:t>
      </w:r>
    </w:p>
    <w:p>
      <w:pPr>
        <w:pStyle w:val="BodyText"/>
        <w:spacing w:line="240" w:lineRule="auto" w:before="107"/>
        <w:ind w:left="617" w:right="0"/>
        <w:jc w:val="left"/>
      </w:pPr>
      <w:r>
        <w:rPr/>
        <w:t>其它应收款年末数比年初数增加</w:t>
      </w:r>
      <w:r>
        <w:rPr>
          <w:spacing w:val="2"/>
        </w:rPr>
        <w:t> </w:t>
      </w:r>
      <w:r>
        <w:rPr/>
        <w:t>84.18%，其主要原因是本年为子公司垫付</w:t>
      </w:r>
    </w:p>
    <w:p>
      <w:pPr>
        <w:spacing w:after="0" w:line="240" w:lineRule="auto"/>
        <w:jc w:val="left"/>
        <w:sectPr>
          <w:pgSz w:w="11910" w:h="16840"/>
          <w:pgMar w:header="840" w:footer="1712" w:top="1160" w:bottom="1900" w:left="1660" w:right="900"/>
        </w:sectPr>
      </w:pPr>
    </w:p>
    <w:p>
      <w:pPr>
        <w:pStyle w:val="BodyText"/>
        <w:spacing w:line="240" w:lineRule="auto" w:before="71"/>
        <w:ind w:right="224"/>
        <w:jc w:val="left"/>
      </w:pPr>
      <w:r>
        <w:rPr>
          <w:spacing w:val="-2"/>
        </w:rPr>
        <w:t>工程款所致。</w:t>
      </w:r>
      <w:r>
        <w:rPr/>
      </w:r>
    </w:p>
    <w:p>
      <w:pPr>
        <w:pStyle w:val="BodyText"/>
        <w:spacing w:line="240" w:lineRule="auto" w:before="126"/>
        <w:ind w:left="617" w:right="224"/>
        <w:jc w:val="left"/>
      </w:pPr>
      <w:r>
        <w:rPr/>
        <w:t>（2）按账龄列示其它应收款明细情况</w:t>
      </w:r>
    </w:p>
    <w:p>
      <w:pPr>
        <w:spacing w:line="240" w:lineRule="auto" w:before="8"/>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40" w:footer="1712" w:top="1160" w:bottom="1900" w:left="1660" w:right="700"/>
        </w:sectPr>
      </w:pPr>
    </w:p>
    <w:p>
      <w:pPr>
        <w:spacing w:before="36"/>
        <w:ind w:left="0" w:right="0" w:firstLine="0"/>
        <w:jc w:val="right"/>
        <w:rPr>
          <w:rFonts w:ascii="宋体" w:hAnsi="宋体" w:cs="宋体" w:eastAsia="宋体" w:hint="default"/>
          <w:sz w:val="20"/>
          <w:szCs w:val="20"/>
        </w:rPr>
      </w:pPr>
      <w:r>
        <w:rPr>
          <w:rFonts w:ascii="宋体" w:hAnsi="宋体" w:cs="宋体" w:eastAsia="宋体" w:hint="default"/>
          <w:sz w:val="20"/>
          <w:szCs w:val="20"/>
        </w:rPr>
        <w:t>年 末</w:t>
      </w:r>
      <w:r>
        <w:rPr>
          <w:rFonts w:ascii="宋体" w:hAnsi="宋体" w:cs="宋体" w:eastAsia="宋体" w:hint="default"/>
          <w:spacing w:val="2"/>
          <w:sz w:val="20"/>
          <w:szCs w:val="20"/>
        </w:rPr>
        <w:t> </w:t>
      </w:r>
      <w:r>
        <w:rPr>
          <w:rFonts w:ascii="宋体" w:hAnsi="宋体" w:cs="宋体" w:eastAsia="宋体" w:hint="default"/>
          <w:sz w:val="20"/>
          <w:szCs w:val="20"/>
        </w:rPr>
        <w:t>数</w:t>
      </w:r>
    </w:p>
    <w:p>
      <w:pPr>
        <w:spacing w:before="121"/>
        <w:ind w:left="354" w:right="0" w:firstLine="0"/>
        <w:jc w:val="left"/>
        <w:rPr>
          <w:rFonts w:ascii="宋体" w:hAnsi="宋体" w:cs="宋体" w:eastAsia="宋体" w:hint="default"/>
          <w:sz w:val="20"/>
          <w:szCs w:val="20"/>
        </w:rPr>
      </w:pPr>
      <w:r>
        <w:rPr/>
        <w:pict>
          <v:group style="position:absolute;margin-left:138.240051pt;margin-top:4.200017pt;width:203.25pt;height:1.5pt;mso-position-horizontal-relative:page;mso-position-vertical-relative:paragraph;z-index:10984" coordorigin="2765,84" coordsize="4065,30">
            <v:group style="position:absolute;left:2779;top:85;width:4036;height:2" coordorigin="2779,85" coordsize="4036,2">
              <v:shape style="position:absolute;left:2779;top:85;width:4036;height:2" coordorigin="2779,85" coordsize="4036,0" path="m2779,85l6815,85e" filled="false" stroked="true" strokeweight=".06pt" strokecolor="#000000">
                <v:path arrowok="t"/>
              </v:shape>
            </v:group>
            <v:group style="position:absolute;left:2779;top:99;width:4036;height:2" coordorigin="2779,99" coordsize="4036,2">
              <v:shape style="position:absolute;left:2779;top:99;width:4036;height:2" coordorigin="2779,99" coordsize="4036,0" path="m2779,99l6815,99e" filled="false" stroked="true" strokeweight="1.4399pt" strokecolor="#000000">
                <v:path arrowok="t"/>
              </v:shape>
            </v:group>
            <w10:wrap type="none"/>
          </v:group>
        </w:pict>
      </w:r>
      <w:r>
        <w:rPr>
          <w:rFonts w:ascii="宋体" w:hAnsi="宋体" w:cs="宋体" w:eastAsia="宋体" w:hint="default"/>
          <w:sz w:val="20"/>
          <w:szCs w:val="20"/>
        </w:rPr>
        <w:t>账 龄</w:t>
      </w:r>
    </w:p>
    <w:p>
      <w:pPr>
        <w:tabs>
          <w:tab w:pos="757" w:val="left" w:leader="none"/>
          <w:tab w:pos="1176" w:val="left" w:leader="none"/>
        </w:tabs>
        <w:spacing w:before="36"/>
        <w:ind w:left="354" w:right="0" w:firstLine="0"/>
        <w:jc w:val="left"/>
        <w:rPr>
          <w:rFonts w:ascii="宋体" w:hAnsi="宋体" w:cs="宋体" w:eastAsia="宋体" w:hint="default"/>
          <w:sz w:val="20"/>
          <w:szCs w:val="20"/>
        </w:rPr>
      </w:pPr>
      <w:r>
        <w:rPr>
          <w:w w:val="95"/>
        </w:rPr>
        <w:br w:type="column"/>
      </w:r>
      <w:r>
        <w:rPr>
          <w:rFonts w:ascii="宋体" w:hAnsi="宋体" w:cs="宋体" w:eastAsia="宋体" w:hint="default"/>
          <w:w w:val="95"/>
          <w:sz w:val="20"/>
          <w:szCs w:val="20"/>
        </w:rPr>
        <w:t>年</w:t>
        <w:tab/>
        <w:t>初</w:t>
        <w:tab/>
      </w:r>
      <w:r>
        <w:rPr>
          <w:rFonts w:ascii="宋体" w:hAnsi="宋体" w:cs="宋体" w:eastAsia="宋体" w:hint="default"/>
          <w:sz w:val="20"/>
          <w:szCs w:val="20"/>
        </w:rPr>
        <w:t>数</w:t>
      </w:r>
    </w:p>
    <w:p>
      <w:pPr>
        <w:spacing w:after="0"/>
        <w:jc w:val="left"/>
        <w:rPr>
          <w:rFonts w:ascii="宋体" w:hAnsi="宋体" w:cs="宋体" w:eastAsia="宋体" w:hint="default"/>
          <w:sz w:val="20"/>
          <w:szCs w:val="20"/>
        </w:rPr>
        <w:sectPr>
          <w:type w:val="continuous"/>
          <w:pgSz w:w="11910" w:h="16840"/>
          <w:pgMar w:top="1060" w:bottom="1460" w:left="1660" w:right="700"/>
          <w:cols w:num="2" w:equalWidth="0">
            <w:col w:w="3551" w:space="2892"/>
            <w:col w:w="3107"/>
          </w:cols>
        </w:sectPr>
      </w:pPr>
    </w:p>
    <w:p>
      <w:pPr>
        <w:tabs>
          <w:tab w:pos="2011" w:val="left" w:leader="none"/>
          <w:tab w:pos="2992" w:val="left" w:leader="none"/>
          <w:tab w:pos="4030" w:val="left" w:leader="none"/>
          <w:tab w:pos="5744" w:val="left" w:leader="none"/>
          <w:tab w:pos="6149" w:val="left" w:leader="none"/>
          <w:tab w:pos="7129" w:val="left" w:leader="none"/>
          <w:tab w:pos="8210" w:val="left" w:leader="none"/>
        </w:tabs>
        <w:spacing w:line="212" w:lineRule="exact" w:before="0"/>
        <w:ind w:left="1608" w:right="224" w:firstLine="0"/>
        <w:jc w:val="left"/>
        <w:rPr>
          <w:rFonts w:ascii="宋体" w:hAnsi="宋体" w:cs="宋体" w:eastAsia="宋体" w:hint="default"/>
          <w:sz w:val="20"/>
          <w:szCs w:val="20"/>
        </w:rPr>
      </w:pPr>
      <w:r>
        <w:rPr/>
        <w:pict>
          <v:group style="position:absolute;margin-left:90.329987pt;margin-top:24.00408pt;width:126.8pt;height:.7pt;mso-position-horizontal-relative:page;mso-position-vertical-relative:paragraph;z-index:-585760" coordorigin="1807,480" coordsize="2536,14">
            <v:group style="position:absolute;left:1813;top:481;width:894;height:2" coordorigin="1813,481" coordsize="894,2">
              <v:shape style="position:absolute;left:1813;top:481;width:894;height:2" coordorigin="1813,481" coordsize="894,0" path="m1813,481l2707,481e" filled="false" stroked="true" strokeweight=".06pt" strokecolor="#000000">
                <v:path arrowok="t"/>
              </v:shape>
            </v:group>
            <v:group style="position:absolute;left:1813;top:487;width:894;height:2" coordorigin="1813,487" coordsize="894,2">
              <v:shape style="position:absolute;left:1813;top:487;width:894;height:2" coordorigin="1813,487" coordsize="894,0" path="m1813,487l2707,487e" filled="false" stroked="true" strokeweight=".66003pt" strokecolor="#000000">
                <v:path arrowok="t"/>
              </v:shape>
            </v:group>
            <v:group style="position:absolute;left:2779;top:481;width:1557;height:2" coordorigin="2779,481" coordsize="1557,2">
              <v:shape style="position:absolute;left:2779;top:481;width:1557;height:2" coordorigin="2779,481" coordsize="1557,0" path="m2779,481l4336,481e" filled="false" stroked="true" strokeweight=".06pt" strokecolor="#000000">
                <v:path arrowok="t"/>
              </v:shape>
            </v:group>
            <v:group style="position:absolute;left:2779;top:487;width:1557;height:2" coordorigin="2779,487" coordsize="1557,2">
              <v:shape style="position:absolute;left:2779;top:487;width:1557;height:2" coordorigin="2779,487" coordsize="1557,0" path="m2779,487l4336,487e" filled="false" stroked="true" strokeweight=".66003pt" strokecolor="#000000">
                <v:path arrowok="t"/>
              </v:shape>
            </v:group>
            <w10:wrap type="none"/>
          </v:group>
        </w:pict>
      </w:r>
      <w:r>
        <w:rPr/>
        <w:pict>
          <v:group style="position:absolute;margin-left:220.769989pt;margin-top:24.00408pt;width:43.95pt;height:.7pt;mso-position-horizontal-relative:page;mso-position-vertical-relative:paragraph;z-index:-585736" coordorigin="4415,480" coordsize="879,14">
            <v:group style="position:absolute;left:4422;top:481;width:866;height:2" coordorigin="4422,481" coordsize="866,2">
              <v:shape style="position:absolute;left:4422;top:481;width:866;height:2" coordorigin="4422,481" coordsize="866,0" path="m4422,481l5287,481e" filled="false" stroked="true" strokeweight=".06pt" strokecolor="#000000">
                <v:path arrowok="t"/>
              </v:shape>
            </v:group>
            <v:group style="position:absolute;left:4422;top:487;width:866;height:2" coordorigin="4422,487" coordsize="866,2">
              <v:shape style="position:absolute;left:4422;top:487;width:866;height:2" coordorigin="4422,487" coordsize="866,0" path="m4422,487l5287,487e" filled="false" stroked="true" strokeweight=".66003pt" strokecolor="#000000">
                <v:path arrowok="t"/>
              </v:shape>
            </v:group>
            <w10:wrap type="none"/>
          </v:group>
        </w:pict>
      </w:r>
      <w:r>
        <w:rPr/>
        <w:pict>
          <v:group style="position:absolute;margin-left:268.349976pt;margin-top:24.00408pt;width:72.75pt;height:.7pt;mso-position-horizontal-relative:page;mso-position-vertical-relative:paragraph;z-index:-585712" coordorigin="5367,480" coordsize="1455,14">
            <v:group style="position:absolute;left:5374;top:481;width:1442;height:2" coordorigin="5374,481" coordsize="1442,2">
              <v:shape style="position:absolute;left:5374;top:481;width:1442;height:2" coordorigin="5374,481" coordsize="1442,0" path="m5374,481l6815,481e" filled="false" stroked="true" strokeweight=".06pt" strokecolor="#000000">
                <v:path arrowok="t"/>
              </v:shape>
            </v:group>
            <v:group style="position:absolute;left:5374;top:487;width:1442;height:2" coordorigin="5374,487" coordsize="1442,2">
              <v:shape style="position:absolute;left:5374;top:487;width:1442;height:2" coordorigin="5374,487" coordsize="1442,0" path="m5374,487l6815,487e" filled="false" stroked="true" strokeweight=".66003pt" strokecolor="#000000">
                <v:path arrowok="t"/>
              </v:shape>
            </v:group>
            <w10:wrap type="none"/>
          </v:group>
        </w:pict>
      </w:r>
      <w:r>
        <w:rPr/>
        <w:pict>
          <v:group style="position:absolute;margin-left:346.170013pt;margin-top:24.00408pt;width:124.65pt;height:.7pt;mso-position-horizontal-relative:page;mso-position-vertical-relative:paragraph;z-index:-585688" coordorigin="6923,480" coordsize="2493,14">
            <v:group style="position:absolute;left:6930;top:481;width:1557;height:2" coordorigin="6930,481" coordsize="1557,2">
              <v:shape style="position:absolute;left:6930;top:481;width:1557;height:2" coordorigin="6930,481" coordsize="1557,0" path="m6930,481l8486,481e" filled="false" stroked="true" strokeweight=".06pt" strokecolor="#000000">
                <v:path arrowok="t"/>
              </v:shape>
            </v:group>
            <v:group style="position:absolute;left:6930;top:487;width:1557;height:2" coordorigin="6930,487" coordsize="1557,2">
              <v:shape style="position:absolute;left:6930;top:487;width:1557;height:2" coordorigin="6930,487" coordsize="1557,0" path="m6930,487l8486,487e" filled="false" stroked="true" strokeweight=".66pt" strokecolor="#000000">
                <v:path arrowok="t"/>
              </v:shape>
            </v:group>
            <v:group style="position:absolute;left:8558;top:481;width:851;height:2" coordorigin="8558,481" coordsize="851,2">
              <v:shape style="position:absolute;left:8558;top:481;width:851;height:2" coordorigin="8558,481" coordsize="851,0" path="m8558,481l9409,481e" filled="false" stroked="true" strokeweight=".06pt" strokecolor="#000000">
                <v:path arrowok="t"/>
              </v:shape>
            </v:group>
            <v:group style="position:absolute;left:8558;top:487;width:851;height:2" coordorigin="8558,487" coordsize="851,2">
              <v:shape style="position:absolute;left:8558;top:487;width:851;height:2" coordorigin="8558,487" coordsize="851,0" path="m8558,487l9409,487e" filled="false" stroked="true" strokeweight=".66003pt" strokecolor="#000000">
                <v:path arrowok="t"/>
              </v:shape>
            </v:group>
            <w10:wrap type="none"/>
          </v:group>
        </w:pict>
      </w:r>
      <w:r>
        <w:rPr/>
        <w:pict>
          <v:group style="position:absolute;margin-left:345.78006pt;margin-top:-14.935921pt;width:204.7pt;height:1.5pt;mso-position-horizontal-relative:page;mso-position-vertical-relative:paragraph;z-index:11104" coordorigin="6916,-299" coordsize="4094,30">
            <v:group style="position:absolute;left:6930;top:-298;width:4065;height:2" coordorigin="6930,-298" coordsize="4065,2">
              <v:shape style="position:absolute;left:6930;top:-298;width:4065;height:2" coordorigin="6930,-298" coordsize="4065,0" path="m6930,-298l10994,-298e" filled="false" stroked="true" strokeweight=".06pt" strokecolor="#000000">
                <v:path arrowok="t"/>
              </v:shape>
            </v:group>
            <v:group style="position:absolute;left:6930;top:-284;width:4065;height:2" coordorigin="6930,-284" coordsize="4065,2">
              <v:shape style="position:absolute;left:6930;top:-284;width:4065;height:2" coordorigin="6930,-284" coordsize="4065,0" path="m6930,-284l10994,-284e" filled="false" stroked="true" strokeweight="1.4399pt" strokecolor="#000000">
                <v:path arrowok="t"/>
              </v:shape>
            </v:group>
            <w10:wrap type="none"/>
          </v:group>
        </w:pict>
      </w:r>
      <w:r>
        <w:rPr/>
        <w:pict>
          <v:group style="position:absolute;margin-left:476.609985pt;margin-top:24.00408pt;width:73.45pt;height:.7pt;mso-position-horizontal-relative:page;mso-position-vertical-relative:paragraph;z-index:-585640" coordorigin="9532,480" coordsize="1469,14">
            <v:group style="position:absolute;left:9539;top:481;width:1456;height:2" coordorigin="9539,481" coordsize="1456,2">
              <v:shape style="position:absolute;left:9539;top:481;width:1456;height:2" coordorigin="9539,481" coordsize="1456,0" path="m9539,481l10994,481e" filled="false" stroked="true" strokeweight=".06pt" strokecolor="#000000">
                <v:path arrowok="t"/>
              </v:shape>
            </v:group>
            <v:group style="position:absolute;left:9539;top:487;width:1456;height:2" coordorigin="9539,487" coordsize="1456,2">
              <v:shape style="position:absolute;left:9539;top:487;width:1456;height:2" coordorigin="9539,487" coordsize="1456,0" path="m9539,487l10994,487e" filled="false" stroked="true" strokeweight=".66003pt" strokecolor="#000000">
                <v:path arrowok="t"/>
              </v:shape>
            </v:group>
            <w10:wrap type="none"/>
          </v:group>
        </w:pict>
      </w:r>
      <w:r>
        <w:rPr>
          <w:rFonts w:ascii="宋体" w:hAnsi="宋体" w:cs="宋体" w:eastAsia="宋体" w:hint="default"/>
          <w:w w:val="95"/>
          <w:sz w:val="20"/>
          <w:szCs w:val="20"/>
        </w:rPr>
        <w:t>金</w:t>
        <w:tab/>
        <w:t>额</w:t>
        <w:tab/>
        <w:t>比例</w:t>
        <w:tab/>
      </w:r>
      <w:r>
        <w:rPr>
          <w:rFonts w:ascii="宋体" w:hAnsi="宋体" w:cs="宋体" w:eastAsia="宋体" w:hint="default"/>
          <w:spacing w:val="5"/>
          <w:w w:val="95"/>
          <w:sz w:val="20"/>
          <w:szCs w:val="20"/>
        </w:rPr>
        <w:t>坏账准备</w:t>
        <w:tab/>
      </w:r>
      <w:r>
        <w:rPr>
          <w:rFonts w:ascii="宋体" w:hAnsi="宋体" w:cs="宋体" w:eastAsia="宋体" w:hint="default"/>
          <w:w w:val="95"/>
          <w:sz w:val="20"/>
          <w:szCs w:val="20"/>
        </w:rPr>
        <w:t>金</w:t>
        <w:tab/>
        <w:t>额</w:t>
        <w:tab/>
        <w:t>比例</w:t>
        <w:tab/>
      </w:r>
      <w:r>
        <w:rPr>
          <w:rFonts w:ascii="宋体" w:hAnsi="宋体" w:cs="宋体" w:eastAsia="宋体" w:hint="default"/>
          <w:spacing w:val="2"/>
          <w:sz w:val="20"/>
          <w:szCs w:val="20"/>
        </w:rPr>
        <w:t>坏账准备</w:t>
      </w:r>
    </w:p>
    <w:p>
      <w:pPr>
        <w:spacing w:line="240" w:lineRule="auto" w:before="6"/>
        <w:rPr>
          <w:rFonts w:ascii="宋体" w:hAnsi="宋体" w:cs="宋体" w:eastAsia="宋体" w:hint="default"/>
          <w:sz w:val="21"/>
          <w:szCs w:val="21"/>
        </w:rPr>
      </w:pPr>
    </w:p>
    <w:tbl>
      <w:tblPr>
        <w:tblW w:w="0" w:type="auto"/>
        <w:jc w:val="left"/>
        <w:tblInd w:w="146" w:type="dxa"/>
        <w:tblLayout w:type="fixed"/>
        <w:tblCellMar>
          <w:top w:w="0" w:type="dxa"/>
          <w:left w:w="0" w:type="dxa"/>
          <w:bottom w:w="0" w:type="dxa"/>
          <w:right w:w="0" w:type="dxa"/>
        </w:tblCellMar>
        <w:tblLook w:val="01E0"/>
      </w:tblPr>
      <w:tblGrid>
        <w:gridCol w:w="1006"/>
        <w:gridCol w:w="1616"/>
        <w:gridCol w:w="1092"/>
        <w:gridCol w:w="1503"/>
        <w:gridCol w:w="1541"/>
        <w:gridCol w:w="1035"/>
        <w:gridCol w:w="1329"/>
      </w:tblGrid>
      <w:tr>
        <w:trPr>
          <w:trHeight w:val="399" w:hRule="exact"/>
        </w:trPr>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pacing w:val="5"/>
                <w:sz w:val="20"/>
                <w:szCs w:val="20"/>
              </w:rPr>
              <w:t>1年以内</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8"/>
              <w:jc w:val="right"/>
              <w:rPr>
                <w:rFonts w:ascii="Times New Roman" w:hAnsi="Times New Roman" w:cs="Times New Roman" w:eastAsia="Times New Roman" w:hint="default"/>
                <w:sz w:val="20"/>
                <w:szCs w:val="20"/>
              </w:rPr>
            </w:pPr>
            <w:r>
              <w:rPr>
                <w:rFonts w:ascii="Times New Roman"/>
                <w:spacing w:val="2"/>
                <w:w w:val="95"/>
                <w:sz w:val="20"/>
              </w:rPr>
              <w:t>12,288,200.40</w:t>
            </w:r>
            <w:r>
              <w:rPr>
                <w:rFonts w:ascii="Times New Roman"/>
                <w:sz w:val="20"/>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2"/>
              <w:jc w:val="right"/>
              <w:rPr>
                <w:rFonts w:ascii="Times New Roman" w:hAnsi="Times New Roman" w:cs="Times New Roman" w:eastAsia="Times New Roman" w:hint="default"/>
                <w:sz w:val="20"/>
                <w:szCs w:val="20"/>
              </w:rPr>
            </w:pPr>
            <w:r>
              <w:rPr>
                <w:rFonts w:ascii="Times New Roman"/>
                <w:spacing w:val="2"/>
                <w:w w:val="95"/>
                <w:sz w:val="20"/>
              </w:rPr>
              <w:t>58.56%</w:t>
            </w:r>
            <w:r>
              <w:rPr>
                <w:rFonts w:ascii="Times New Roman"/>
                <w:spacing w:val="2"/>
                <w:sz w:val="20"/>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3"/>
              <w:jc w:val="right"/>
              <w:rPr>
                <w:rFonts w:ascii="Times New Roman" w:hAnsi="Times New Roman" w:cs="Times New Roman" w:eastAsia="Times New Roman" w:hint="default"/>
                <w:sz w:val="20"/>
                <w:szCs w:val="20"/>
              </w:rPr>
            </w:pPr>
            <w:r>
              <w:rPr>
                <w:rFonts w:ascii="Times New Roman"/>
                <w:spacing w:val="2"/>
                <w:w w:val="95"/>
                <w:sz w:val="20"/>
              </w:rPr>
              <w:t>489,199.05</w:t>
            </w:r>
            <w:r>
              <w:rPr>
                <w:rFonts w:ascii="Times New Roman"/>
                <w:sz w:val="20"/>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8"/>
              <w:jc w:val="right"/>
              <w:rPr>
                <w:rFonts w:ascii="Times New Roman" w:hAnsi="Times New Roman" w:cs="Times New Roman" w:eastAsia="Times New Roman" w:hint="default"/>
                <w:sz w:val="20"/>
                <w:szCs w:val="20"/>
              </w:rPr>
            </w:pPr>
            <w:r>
              <w:rPr>
                <w:rFonts w:ascii="Times New Roman"/>
                <w:sz w:val="20"/>
              </w:rPr>
              <w:t>4,876,803.32</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25"/>
              <w:jc w:val="right"/>
              <w:rPr>
                <w:rFonts w:ascii="Times New Roman" w:hAnsi="Times New Roman" w:cs="Times New Roman" w:eastAsia="Times New Roman" w:hint="default"/>
                <w:sz w:val="20"/>
                <w:szCs w:val="20"/>
              </w:rPr>
            </w:pPr>
            <w:r>
              <w:rPr>
                <w:rFonts w:ascii="Times New Roman"/>
                <w:spacing w:val="2"/>
                <w:w w:val="95"/>
                <w:sz w:val="20"/>
              </w:rPr>
              <w:t>42.80%</w:t>
            </w:r>
            <w:r>
              <w:rPr>
                <w:rFonts w:ascii="Times New Roman"/>
                <w:spacing w:val="2"/>
                <w:sz w:val="20"/>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Times New Roman" w:hAnsi="Times New Roman" w:cs="Times New Roman" w:eastAsia="Times New Roman" w:hint="default"/>
                <w:sz w:val="20"/>
                <w:szCs w:val="20"/>
              </w:rPr>
            </w:pPr>
            <w:r>
              <w:rPr>
                <w:rFonts w:ascii="Times New Roman"/>
                <w:sz w:val="20"/>
              </w:rPr>
              <w:t>243,840.17</w:t>
            </w:r>
          </w:p>
        </w:tc>
      </w:tr>
      <w:tr>
        <w:trPr>
          <w:trHeight w:val="403" w:hRule="exact"/>
        </w:trPr>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0"/>
                <w:szCs w:val="20"/>
              </w:rPr>
            </w:pPr>
            <w:r>
              <w:rPr>
                <w:rFonts w:ascii="宋体" w:hAnsi="宋体" w:cs="宋体" w:eastAsia="宋体" w:hint="default"/>
                <w:spacing w:val="5"/>
                <w:sz w:val="20"/>
                <w:szCs w:val="20"/>
              </w:rPr>
              <w:t>1至2年</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8"/>
              <w:jc w:val="right"/>
              <w:rPr>
                <w:rFonts w:ascii="Times New Roman" w:hAnsi="Times New Roman" w:cs="Times New Roman" w:eastAsia="Times New Roman" w:hint="default"/>
                <w:sz w:val="20"/>
                <w:szCs w:val="20"/>
              </w:rPr>
            </w:pPr>
            <w:r>
              <w:rPr>
                <w:rFonts w:ascii="Times New Roman"/>
                <w:spacing w:val="2"/>
                <w:w w:val="95"/>
                <w:sz w:val="20"/>
              </w:rPr>
              <w:t>2,510,675.58</w:t>
            </w:r>
            <w:r>
              <w:rPr>
                <w:rFonts w:ascii="Times New Roman"/>
                <w:sz w:val="20"/>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82"/>
              <w:jc w:val="right"/>
              <w:rPr>
                <w:rFonts w:ascii="Times New Roman" w:hAnsi="Times New Roman" w:cs="Times New Roman" w:eastAsia="Times New Roman" w:hint="default"/>
                <w:sz w:val="20"/>
                <w:szCs w:val="20"/>
              </w:rPr>
            </w:pPr>
            <w:r>
              <w:rPr>
                <w:rFonts w:ascii="Times New Roman"/>
                <w:spacing w:val="2"/>
                <w:w w:val="95"/>
                <w:sz w:val="20"/>
              </w:rPr>
              <w:t>11.96%</w:t>
            </w:r>
            <w:r>
              <w:rPr>
                <w:rFonts w:ascii="Times New Roman"/>
                <w:spacing w:val="2"/>
                <w:sz w:val="20"/>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94"/>
              <w:jc w:val="right"/>
              <w:rPr>
                <w:rFonts w:ascii="Times New Roman" w:hAnsi="Times New Roman" w:cs="Times New Roman" w:eastAsia="Times New Roman" w:hint="default"/>
                <w:sz w:val="20"/>
                <w:szCs w:val="20"/>
              </w:rPr>
            </w:pPr>
            <w:r>
              <w:rPr>
                <w:rFonts w:ascii="Times New Roman"/>
                <w:spacing w:val="2"/>
                <w:w w:val="95"/>
                <w:sz w:val="20"/>
              </w:rPr>
              <w:t>93,467.56</w:t>
            </w:r>
            <w:r>
              <w:rPr>
                <w:rFonts w:ascii="Times New Roman"/>
                <w:spacing w:val="2"/>
                <w:sz w:val="20"/>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8"/>
              <w:jc w:val="right"/>
              <w:rPr>
                <w:rFonts w:ascii="Times New Roman" w:hAnsi="Times New Roman" w:cs="Times New Roman" w:eastAsia="Times New Roman" w:hint="default"/>
                <w:sz w:val="20"/>
                <w:szCs w:val="20"/>
              </w:rPr>
            </w:pPr>
            <w:r>
              <w:rPr>
                <w:rFonts w:ascii="Times New Roman"/>
                <w:sz w:val="20"/>
              </w:rPr>
              <w:t>6,127,614.77</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5"/>
              <w:jc w:val="right"/>
              <w:rPr>
                <w:rFonts w:ascii="Times New Roman" w:hAnsi="Times New Roman" w:cs="Times New Roman" w:eastAsia="Times New Roman" w:hint="default"/>
                <w:sz w:val="20"/>
                <w:szCs w:val="20"/>
              </w:rPr>
            </w:pPr>
            <w:r>
              <w:rPr>
                <w:rFonts w:ascii="Times New Roman"/>
                <w:spacing w:val="2"/>
                <w:w w:val="95"/>
                <w:sz w:val="20"/>
              </w:rPr>
              <w:t>53.78%</w:t>
            </w:r>
            <w:r>
              <w:rPr>
                <w:rFonts w:ascii="Times New Roman"/>
                <w:spacing w:val="2"/>
                <w:sz w:val="20"/>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Times New Roman" w:hAnsi="Times New Roman" w:cs="Times New Roman" w:eastAsia="Times New Roman" w:hint="default"/>
                <w:sz w:val="20"/>
                <w:szCs w:val="20"/>
              </w:rPr>
            </w:pPr>
            <w:r>
              <w:rPr>
                <w:rFonts w:ascii="Times New Roman"/>
                <w:sz w:val="20"/>
              </w:rPr>
              <w:t>1,131,161.48</w:t>
            </w:r>
          </w:p>
        </w:tc>
      </w:tr>
      <w:tr>
        <w:trPr>
          <w:trHeight w:val="396" w:hRule="exact"/>
        </w:trPr>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0"/>
                <w:szCs w:val="20"/>
              </w:rPr>
            </w:pPr>
            <w:r>
              <w:rPr>
                <w:rFonts w:ascii="宋体" w:hAnsi="宋体" w:cs="宋体" w:eastAsia="宋体" w:hint="default"/>
                <w:spacing w:val="5"/>
                <w:sz w:val="20"/>
                <w:szCs w:val="20"/>
              </w:rPr>
              <w:t>2至3年</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8"/>
              <w:jc w:val="right"/>
              <w:rPr>
                <w:rFonts w:ascii="Times New Roman" w:hAnsi="Times New Roman" w:cs="Times New Roman" w:eastAsia="Times New Roman" w:hint="default"/>
                <w:sz w:val="20"/>
                <w:szCs w:val="20"/>
              </w:rPr>
            </w:pPr>
            <w:r>
              <w:rPr>
                <w:rFonts w:ascii="Times New Roman"/>
                <w:spacing w:val="2"/>
                <w:w w:val="95"/>
                <w:sz w:val="20"/>
              </w:rPr>
              <w:t>6,127,614.77</w:t>
            </w:r>
            <w:r>
              <w:rPr>
                <w:rFonts w:ascii="Times New Roman"/>
                <w:sz w:val="20"/>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2"/>
              <w:jc w:val="right"/>
              <w:rPr>
                <w:rFonts w:ascii="Times New Roman" w:hAnsi="Times New Roman" w:cs="Times New Roman" w:eastAsia="Times New Roman" w:hint="default"/>
                <w:sz w:val="20"/>
                <w:szCs w:val="20"/>
              </w:rPr>
            </w:pPr>
            <w:r>
              <w:rPr>
                <w:rFonts w:ascii="Times New Roman"/>
                <w:spacing w:val="2"/>
                <w:w w:val="95"/>
                <w:sz w:val="20"/>
              </w:rPr>
              <w:t>29.20%</w:t>
            </w:r>
            <w:r>
              <w:rPr>
                <w:rFonts w:ascii="Times New Roman"/>
                <w:spacing w:val="2"/>
                <w:sz w:val="20"/>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93"/>
              <w:jc w:val="right"/>
              <w:rPr>
                <w:rFonts w:ascii="Times New Roman" w:hAnsi="Times New Roman" w:cs="Times New Roman" w:eastAsia="Times New Roman" w:hint="default"/>
                <w:sz w:val="20"/>
                <w:szCs w:val="20"/>
              </w:rPr>
            </w:pPr>
            <w:r>
              <w:rPr>
                <w:rFonts w:ascii="Times New Roman"/>
                <w:spacing w:val="2"/>
                <w:w w:val="95"/>
                <w:sz w:val="20"/>
              </w:rPr>
              <w:t>704,000.00</w:t>
            </w:r>
            <w:r>
              <w:rPr>
                <w:rFonts w:ascii="Times New Roman"/>
                <w:sz w:val="20"/>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8"/>
              <w:jc w:val="right"/>
              <w:rPr>
                <w:rFonts w:ascii="Times New Roman" w:hAnsi="Times New Roman" w:cs="Times New Roman" w:eastAsia="Times New Roman" w:hint="default"/>
                <w:sz w:val="20"/>
                <w:szCs w:val="20"/>
              </w:rPr>
            </w:pPr>
            <w:r>
              <w:rPr>
                <w:rFonts w:ascii="Times New Roman"/>
                <w:w w:val="95"/>
                <w:sz w:val="20"/>
              </w:rPr>
              <w:t>311,857.62</w:t>
            </w:r>
            <w:r>
              <w:rPr>
                <w:rFonts w:ascii="Times New Roman"/>
                <w:sz w:val="20"/>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25"/>
              <w:jc w:val="right"/>
              <w:rPr>
                <w:rFonts w:ascii="Times New Roman" w:hAnsi="Times New Roman" w:cs="Times New Roman" w:eastAsia="Times New Roman" w:hint="default"/>
                <w:sz w:val="20"/>
                <w:szCs w:val="20"/>
              </w:rPr>
            </w:pPr>
            <w:r>
              <w:rPr>
                <w:rFonts w:ascii="Times New Roman"/>
                <w:spacing w:val="2"/>
                <w:w w:val="95"/>
                <w:sz w:val="20"/>
              </w:rPr>
              <w:t>2.92%</w:t>
            </w:r>
            <w:r>
              <w:rPr>
                <w:rFonts w:ascii="Times New Roman"/>
                <w:spacing w:val="2"/>
                <w:sz w:val="20"/>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20"/>
                <w:szCs w:val="20"/>
              </w:rPr>
            </w:pPr>
            <w:r>
              <w:rPr>
                <w:rFonts w:ascii="Times New Roman"/>
                <w:sz w:val="20"/>
              </w:rPr>
              <w:t>62,371.52</w:t>
            </w:r>
          </w:p>
        </w:tc>
      </w:tr>
      <w:tr>
        <w:trPr>
          <w:trHeight w:val="402" w:hRule="exact"/>
        </w:trPr>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0"/>
                <w:szCs w:val="20"/>
              </w:rPr>
            </w:pPr>
            <w:r>
              <w:rPr>
                <w:rFonts w:ascii="宋体" w:hAnsi="宋体" w:cs="宋体" w:eastAsia="宋体" w:hint="default"/>
                <w:spacing w:val="5"/>
                <w:sz w:val="20"/>
                <w:szCs w:val="20"/>
              </w:rPr>
              <w:t>3至4年</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8"/>
              <w:jc w:val="right"/>
              <w:rPr>
                <w:rFonts w:ascii="Times New Roman" w:hAnsi="Times New Roman" w:cs="Times New Roman" w:eastAsia="Times New Roman" w:hint="default"/>
                <w:sz w:val="20"/>
                <w:szCs w:val="20"/>
              </w:rPr>
            </w:pPr>
            <w:r>
              <w:rPr>
                <w:rFonts w:ascii="Times New Roman"/>
                <w:spacing w:val="2"/>
                <w:w w:val="95"/>
                <w:sz w:val="20"/>
              </w:rPr>
              <w:t>56,871.76</w:t>
            </w:r>
            <w:r>
              <w:rPr>
                <w:rFonts w:ascii="Times New Roman"/>
                <w:sz w:val="20"/>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82"/>
              <w:jc w:val="right"/>
              <w:rPr>
                <w:rFonts w:ascii="Times New Roman" w:hAnsi="Times New Roman" w:cs="Times New Roman" w:eastAsia="Times New Roman" w:hint="default"/>
                <w:sz w:val="20"/>
                <w:szCs w:val="20"/>
              </w:rPr>
            </w:pPr>
            <w:r>
              <w:rPr>
                <w:rFonts w:ascii="Times New Roman"/>
                <w:spacing w:val="-1"/>
                <w:w w:val="95"/>
                <w:sz w:val="20"/>
              </w:rPr>
              <w:t>0.27%</w:t>
            </w:r>
            <w:r>
              <w:rPr>
                <w:rFonts w:ascii="Times New Roman"/>
                <w:spacing w:val="-1"/>
                <w:sz w:val="20"/>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93"/>
              <w:jc w:val="right"/>
              <w:rPr>
                <w:rFonts w:ascii="Times New Roman" w:hAnsi="Times New Roman" w:cs="Times New Roman" w:eastAsia="Times New Roman" w:hint="default"/>
                <w:sz w:val="20"/>
                <w:szCs w:val="20"/>
              </w:rPr>
            </w:pPr>
            <w:r>
              <w:rPr>
                <w:rFonts w:ascii="Times New Roman"/>
                <w:spacing w:val="2"/>
                <w:w w:val="95"/>
                <w:sz w:val="20"/>
              </w:rPr>
              <w:t>28,435.88</w:t>
            </w:r>
            <w:r>
              <w:rPr>
                <w:rFonts w:ascii="Times New Roman"/>
                <w:sz w:val="20"/>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8"/>
              <w:jc w:val="right"/>
              <w:rPr>
                <w:rFonts w:ascii="Times New Roman" w:hAnsi="Times New Roman" w:cs="Times New Roman" w:eastAsia="Times New Roman" w:hint="default"/>
                <w:sz w:val="20"/>
                <w:szCs w:val="20"/>
              </w:rPr>
            </w:pPr>
            <w:r>
              <w:rPr>
                <w:rFonts w:ascii="Times New Roman"/>
                <w:w w:val="95"/>
                <w:sz w:val="20"/>
              </w:rPr>
              <w:t>76,871.76</w:t>
            </w:r>
            <w:r>
              <w:rPr>
                <w:rFonts w:ascii="Times New Roman"/>
                <w:sz w:val="20"/>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25"/>
              <w:jc w:val="right"/>
              <w:rPr>
                <w:rFonts w:ascii="Times New Roman" w:hAnsi="Times New Roman" w:cs="Times New Roman" w:eastAsia="Times New Roman" w:hint="default"/>
                <w:sz w:val="20"/>
                <w:szCs w:val="20"/>
              </w:rPr>
            </w:pPr>
            <w:r>
              <w:rPr>
                <w:rFonts w:ascii="Times New Roman"/>
                <w:spacing w:val="2"/>
                <w:w w:val="95"/>
                <w:sz w:val="20"/>
              </w:rPr>
              <w:t>0.50%</w:t>
            </w:r>
            <w:r>
              <w:rPr>
                <w:rFonts w:ascii="Times New Roman"/>
                <w:spacing w:val="2"/>
                <w:sz w:val="20"/>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20"/>
                <w:szCs w:val="20"/>
              </w:rPr>
            </w:pPr>
            <w:r>
              <w:rPr>
                <w:rFonts w:ascii="Times New Roman"/>
                <w:sz w:val="20"/>
              </w:rPr>
              <w:t>38,435.88</w:t>
            </w:r>
          </w:p>
        </w:tc>
      </w:tr>
      <w:tr>
        <w:trPr>
          <w:trHeight w:val="400" w:hRule="exact"/>
        </w:trPr>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0"/>
                <w:szCs w:val="20"/>
              </w:rPr>
            </w:pPr>
            <w:r>
              <w:rPr>
                <w:rFonts w:ascii="宋体" w:hAnsi="宋体" w:cs="宋体" w:eastAsia="宋体" w:hint="default"/>
                <w:spacing w:val="5"/>
                <w:sz w:val="20"/>
                <w:szCs w:val="20"/>
              </w:rPr>
              <w:t>4至5年</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8"/>
              <w:jc w:val="right"/>
              <w:rPr>
                <w:rFonts w:ascii="Times New Roman" w:hAnsi="Times New Roman" w:cs="Times New Roman" w:eastAsia="Times New Roman" w:hint="default"/>
                <w:sz w:val="20"/>
                <w:szCs w:val="20"/>
              </w:rPr>
            </w:pPr>
            <w:r>
              <w:rPr>
                <w:rFonts w:ascii="Times New Roman"/>
                <w:spacing w:val="2"/>
                <w:sz w:val="20"/>
              </w:rPr>
              <w:t>1,000.00</w:t>
            </w:r>
            <w:r>
              <w:rPr>
                <w:rFonts w:ascii="Times New Roman"/>
                <w:sz w:val="20"/>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2"/>
              <w:jc w:val="right"/>
              <w:rPr>
                <w:rFonts w:ascii="Times New Roman" w:hAnsi="Times New Roman" w:cs="Times New Roman" w:eastAsia="Times New Roman" w:hint="default"/>
                <w:sz w:val="20"/>
                <w:szCs w:val="20"/>
              </w:rPr>
            </w:pPr>
            <w:r>
              <w:rPr>
                <w:rFonts w:ascii="Times New Roman"/>
                <w:spacing w:val="-1"/>
                <w:w w:val="95"/>
                <w:sz w:val="20"/>
              </w:rPr>
              <w:t>0.01%</w:t>
            </w:r>
            <w:r>
              <w:rPr>
                <w:rFonts w:ascii="Times New Roman"/>
                <w:spacing w:val="-1"/>
                <w:sz w:val="20"/>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6"/>
              <w:jc w:val="right"/>
              <w:rPr>
                <w:rFonts w:ascii="Times New Roman" w:hAnsi="Times New Roman" w:cs="Times New Roman" w:eastAsia="Times New Roman" w:hint="default"/>
                <w:sz w:val="20"/>
                <w:szCs w:val="20"/>
              </w:rPr>
            </w:pPr>
            <w:r>
              <w:rPr>
                <w:rFonts w:ascii="Times New Roman"/>
                <w:spacing w:val="2"/>
                <w:w w:val="95"/>
                <w:sz w:val="20"/>
              </w:rPr>
              <w:t>500.00</w:t>
            </w:r>
            <w:r>
              <w:rPr>
                <w:rFonts w:ascii="Times New Roman"/>
                <w:spacing w:val="2"/>
                <w:sz w:val="20"/>
              </w:rPr>
            </w:r>
          </w:p>
        </w:tc>
        <w:tc>
          <w:tcPr>
            <w:tcW w:w="1541"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329" w:type="dxa"/>
            <w:tcBorders>
              <w:top w:val="nil" w:sz="6" w:space="0" w:color="auto"/>
              <w:left w:val="nil" w:sz="6" w:space="0" w:color="auto"/>
              <w:bottom w:val="nil" w:sz="6" w:space="0" w:color="auto"/>
              <w:right w:val="nil" w:sz="6" w:space="0" w:color="auto"/>
            </w:tcBorders>
          </w:tcPr>
          <w:p>
            <w:pPr/>
          </w:p>
        </w:tc>
      </w:tr>
    </w:tbl>
    <w:p>
      <w:pPr>
        <w:tabs>
          <w:tab w:pos="2315" w:val="left" w:leader="none"/>
          <w:tab w:pos="3265" w:val="left" w:leader="none"/>
          <w:tab w:pos="7389" w:val="left" w:leader="none"/>
        </w:tabs>
        <w:spacing w:before="32"/>
        <w:ind w:left="181" w:right="224" w:firstLine="0"/>
        <w:jc w:val="left"/>
        <w:rPr>
          <w:rFonts w:ascii="Times New Roman" w:hAnsi="Times New Roman" w:cs="Times New Roman" w:eastAsia="Times New Roman" w:hint="default"/>
          <w:sz w:val="20"/>
          <w:szCs w:val="20"/>
        </w:rPr>
      </w:pPr>
      <w:r>
        <w:rPr>
          <w:rFonts w:ascii="宋体" w:hAnsi="宋体" w:cs="宋体" w:eastAsia="宋体" w:hint="default"/>
          <w:spacing w:val="5"/>
          <w:w w:val="95"/>
          <w:sz w:val="20"/>
          <w:szCs w:val="20"/>
        </w:rPr>
        <w:t>5年以上</w:t>
        <w:tab/>
      </w:r>
      <w:r>
        <w:rPr>
          <w:rFonts w:ascii="Times New Roman" w:hAnsi="Times New Roman" w:cs="Times New Roman" w:eastAsia="Times New Roman" w:hint="default"/>
          <w:w w:val="95"/>
          <w:position w:val="1"/>
          <w:sz w:val="20"/>
          <w:szCs w:val="20"/>
        </w:rPr>
        <w:t>-</w:t>
        <w:tab/>
        <w:t>-</w:t>
        <w:tab/>
      </w:r>
      <w:r>
        <w:rPr>
          <w:rFonts w:ascii="Times New Roman" w:hAnsi="Times New Roman" w:cs="Times New Roman" w:eastAsia="Times New Roman" w:hint="default"/>
          <w:position w:val="1"/>
          <w:sz w:val="20"/>
          <w:szCs w:val="20"/>
        </w:rPr>
        <w:t>-</w:t>
      </w:r>
      <w:r>
        <w:rPr>
          <w:rFonts w:ascii="Times New Roman" w:hAnsi="Times New Roman" w:cs="Times New Roman" w:eastAsia="Times New Roman" w:hint="default"/>
          <w:sz w:val="20"/>
          <w:szCs w:val="20"/>
        </w:rPr>
      </w:r>
    </w:p>
    <w:p>
      <w:pPr>
        <w:spacing w:line="240" w:lineRule="auto" w:before="9"/>
        <w:rPr>
          <w:rFonts w:ascii="Times New Roman" w:hAnsi="Times New Roman" w:cs="Times New Roman" w:eastAsia="Times New Roman" w:hint="default"/>
          <w:sz w:val="6"/>
          <w:szCs w:val="6"/>
        </w:rPr>
      </w:pPr>
    </w:p>
    <w:p>
      <w:pPr>
        <w:spacing w:line="20" w:lineRule="exact"/>
        <w:ind w:left="1112" w:right="0" w:firstLine="0"/>
        <w:rPr>
          <w:rFonts w:ascii="Times New Roman" w:hAnsi="Times New Roman" w:cs="Times New Roman" w:eastAsia="Times New Roman" w:hint="default"/>
          <w:sz w:val="2"/>
          <w:szCs w:val="2"/>
        </w:rPr>
      </w:pPr>
      <w:r>
        <w:rPr>
          <w:rFonts w:ascii="Times New Roman"/>
          <w:sz w:val="2"/>
        </w:rPr>
        <w:pict>
          <v:group style="width:78.55pt;height:.75pt;mso-position-horizontal-relative:char;mso-position-vertical-relative:line" coordorigin="0,0" coordsize="1571,15">
            <v:group style="position:absolute;left:7;top:1;width:1557;height:2" coordorigin="7,1" coordsize="1557,2">
              <v:shape style="position:absolute;left:7;top:1;width:1557;height:2" coordorigin="7,1" coordsize="1557,0" path="m7,1l1564,1e" filled="false" stroked="true" strokeweight=".06pt" strokecolor="#000000">
                <v:path arrowok="t"/>
              </v:shape>
            </v:group>
            <v:group style="position:absolute;left:7;top:7;width:1557;height:2" coordorigin="7,7" coordsize="1557,2">
              <v:shape style="position:absolute;left:7;top:7;width:1557;height:2" coordorigin="7,7" coordsize="1557,0" path="m7,7l1564,7e" filled="false" stroked="true" strokeweight=".71997pt" strokecolor="#000000">
                <v:path arrowok="t"/>
              </v:shape>
            </v:group>
          </v:group>
        </w:pict>
      </w:r>
      <w:r>
        <w:rPr>
          <w:rFonts w:ascii="Times New Roman"/>
          <w:sz w:val="2"/>
        </w:rPr>
      </w:r>
      <w:r>
        <w:rPr>
          <w:rFonts w:ascii="Times New Roman"/>
          <w:spacing w:val="64"/>
          <w:sz w:val="2"/>
        </w:rPr>
        <w:t> </w:t>
      </w:r>
      <w:r>
        <w:rPr>
          <w:rFonts w:ascii="Times New Roman"/>
          <w:spacing w:val="64"/>
          <w:sz w:val="2"/>
        </w:rPr>
        <w:pict>
          <v:group style="width:44pt;height:.75pt;mso-position-horizontal-relative:char;mso-position-vertical-relative:line" coordorigin="0,0" coordsize="880,15">
            <v:group style="position:absolute;left:7;top:1;width:866;height:2" coordorigin="7,1" coordsize="866,2">
              <v:shape style="position:absolute;left:7;top:1;width:866;height:2" coordorigin="7,1" coordsize="866,0" path="m7,1l872,1e" filled="false" stroked="true" strokeweight=".06pt" strokecolor="#000000">
                <v:path arrowok="t"/>
              </v:shape>
            </v:group>
            <v:group style="position:absolute;left:7;top:7;width:866;height:2" coordorigin="7,7" coordsize="866,2">
              <v:shape style="position:absolute;left:7;top:7;width:866;height:2" coordorigin="7,7" coordsize="866,0" path="m7,7l872,7e" filled="false" stroked="true" strokeweight=".71997pt" strokecolor="#000000">
                <v:path arrowok="t"/>
              </v:shape>
            </v:group>
          </v:group>
        </w:pict>
      </w:r>
      <w:r>
        <w:rPr>
          <w:rFonts w:ascii="Times New Roman"/>
          <w:spacing w:val="64"/>
          <w:sz w:val="2"/>
        </w:rPr>
      </w:r>
      <w:r>
        <w:rPr>
          <w:rFonts w:ascii="Times New Roman"/>
          <w:spacing w:val="64"/>
          <w:sz w:val="2"/>
        </w:rPr>
        <w:t> </w:t>
      </w:r>
      <w:r>
        <w:rPr>
          <w:rFonts w:ascii="Times New Roman"/>
          <w:spacing w:val="64"/>
          <w:sz w:val="2"/>
        </w:rPr>
        <w:pict>
          <v:group style="width:72.8pt;height:.75pt;mso-position-horizontal-relative:char;mso-position-vertical-relative:line" coordorigin="0,0" coordsize="1456,15">
            <v:group style="position:absolute;left:7;top:1;width:1442;height:2" coordorigin="7,1" coordsize="1442,2">
              <v:shape style="position:absolute;left:7;top:1;width:1442;height:2" coordorigin="7,1" coordsize="1442,0" path="m7,1l1448,1e" filled="false" stroked="true" strokeweight=".06pt" strokecolor="#000000">
                <v:path arrowok="t"/>
              </v:shape>
            </v:group>
            <v:group style="position:absolute;left:7;top:7;width:1442;height:2" coordorigin="7,7" coordsize="1442,2">
              <v:shape style="position:absolute;left:7;top:7;width:1442;height:2" coordorigin="7,7" coordsize="1442,0" path="m7,7l1448,7e" filled="false" stroked="true" strokeweight=".71997pt" strokecolor="#000000">
                <v:path arrowok="t"/>
              </v:shape>
            </v:group>
          </v:group>
        </w:pict>
      </w:r>
      <w:r>
        <w:rPr>
          <w:rFonts w:ascii="Times New Roman"/>
          <w:spacing w:val="64"/>
          <w:sz w:val="2"/>
        </w:rPr>
      </w:r>
      <w:r>
        <w:rPr>
          <w:rFonts w:ascii="Times New Roman"/>
          <w:spacing w:val="92"/>
          <w:sz w:val="2"/>
        </w:rPr>
        <w:t> </w:t>
      </w:r>
      <w:r>
        <w:rPr>
          <w:rFonts w:ascii="Times New Roman"/>
          <w:spacing w:val="92"/>
          <w:sz w:val="2"/>
        </w:rPr>
        <w:pict>
          <v:group style="width:124.7pt;height:.75pt;mso-position-horizontal-relative:char;mso-position-vertical-relative:line" coordorigin="0,0" coordsize="2494,15">
            <v:group style="position:absolute;left:7;top:1;width:1557;height:2" coordorigin="7,1" coordsize="1557,2">
              <v:shape style="position:absolute;left:7;top:1;width:1557;height:2" coordorigin="7,1" coordsize="1557,0" path="m7,1l1564,1e" filled="false" stroked="true" strokeweight=".06pt" strokecolor="#000000">
                <v:path arrowok="t"/>
              </v:shape>
            </v:group>
            <v:group style="position:absolute;left:7;top:7;width:1557;height:2" coordorigin="7,7" coordsize="1557,2">
              <v:shape style="position:absolute;left:7;top:7;width:1557;height:2" coordorigin="7,7" coordsize="1557,0" path="m7,7l1564,7e" filled="false" stroked="true" strokeweight=".72pt" strokecolor="#000000">
                <v:path arrowok="t"/>
              </v:shape>
            </v:group>
            <v:group style="position:absolute;left:1636;top:1;width:851;height:2" coordorigin="1636,1" coordsize="851,2">
              <v:shape style="position:absolute;left:1636;top:1;width:851;height:2" coordorigin="1636,1" coordsize="851,0" path="m1636,1l2486,1e" filled="false" stroked="true" strokeweight=".06pt" strokecolor="#000000">
                <v:path arrowok="t"/>
              </v:shape>
            </v:group>
            <v:group style="position:absolute;left:1636;top:7;width:851;height:2" coordorigin="1636,7" coordsize="851,2">
              <v:shape style="position:absolute;left:1636;top:7;width:851;height:2" coordorigin="1636,7" coordsize="851,0" path="m1636,7l2486,7e" filled="false" stroked="true" strokeweight=".71997pt" strokecolor="#000000">
                <v:path arrowok="t"/>
              </v:shape>
            </v:group>
          </v:group>
        </w:pict>
      </w:r>
      <w:r>
        <w:rPr>
          <w:rFonts w:ascii="Times New Roman"/>
          <w:spacing w:val="92"/>
          <w:sz w:val="2"/>
        </w:rPr>
      </w:r>
      <w:r>
        <w:rPr>
          <w:rFonts w:ascii="Times New Roman"/>
          <w:spacing w:val="107"/>
          <w:sz w:val="2"/>
        </w:rPr>
        <w:t> </w:t>
      </w:r>
      <w:r>
        <w:rPr>
          <w:rFonts w:ascii="Times New Roman"/>
          <w:spacing w:val="107"/>
          <w:sz w:val="2"/>
        </w:rPr>
        <w:pict>
          <v:group style="width:73.5pt;height:.75pt;mso-position-horizontal-relative:char;mso-position-vertical-relative:line" coordorigin="0,0" coordsize="1470,15">
            <v:group style="position:absolute;left:7;top:1;width:1456;height:2" coordorigin="7,1" coordsize="1456,2">
              <v:shape style="position:absolute;left:7;top:1;width:1456;height:2" coordorigin="7,1" coordsize="1456,0" path="m7,1l1463,1e" filled="false" stroked="true" strokeweight=".06pt" strokecolor="#000000">
                <v:path arrowok="t"/>
              </v:shape>
            </v:group>
            <v:group style="position:absolute;left:7;top:7;width:1456;height:2" coordorigin="7,7" coordsize="1456,2">
              <v:shape style="position:absolute;left:7;top:7;width:1456;height:2" coordorigin="7,7" coordsize="1456,0" path="m7,7l1463,7e" filled="false" stroked="true" strokeweight=".71997pt" strokecolor="#000000">
                <v:path arrowok="t"/>
              </v:shape>
            </v:group>
          </v:group>
        </w:pict>
      </w:r>
      <w:r>
        <w:rPr>
          <w:rFonts w:ascii="Times New Roman"/>
          <w:spacing w:val="107"/>
          <w:sz w:val="2"/>
        </w:rPr>
      </w:r>
    </w:p>
    <w:p>
      <w:pPr>
        <w:tabs>
          <w:tab w:pos="1407" w:val="left" w:leader="none"/>
          <w:tab w:pos="2848" w:val="left" w:leader="none"/>
          <w:tab w:pos="4001" w:val="left" w:leader="none"/>
          <w:tab w:pos="5557" w:val="left" w:leader="none"/>
          <w:tab w:pos="6970" w:val="left" w:leader="none"/>
          <w:tab w:pos="8166" w:val="left" w:leader="none"/>
        </w:tabs>
        <w:spacing w:before="42"/>
        <w:ind w:left="354" w:right="224" w:firstLine="0"/>
        <w:jc w:val="left"/>
        <w:rPr>
          <w:rFonts w:ascii="Times New Roman" w:hAnsi="Times New Roman" w:cs="Times New Roman" w:eastAsia="Times New Roman" w:hint="default"/>
          <w:sz w:val="20"/>
          <w:szCs w:val="20"/>
        </w:rPr>
      </w:pPr>
      <w:r>
        <w:rPr>
          <w:rFonts w:ascii="宋体" w:hAnsi="宋体" w:cs="宋体" w:eastAsia="宋体" w:hint="default"/>
          <w:position w:val="-1"/>
          <w:sz w:val="20"/>
          <w:szCs w:val="20"/>
        </w:rPr>
        <w:t>合 计</w:t>
        <w:tab/>
      </w:r>
      <w:r>
        <w:rPr>
          <w:rFonts w:ascii="Times New Roman" w:hAnsi="Times New Roman" w:cs="Times New Roman" w:eastAsia="Times New Roman" w:hint="default"/>
          <w:spacing w:val="2"/>
          <w:w w:val="95"/>
          <w:sz w:val="20"/>
          <w:szCs w:val="20"/>
        </w:rPr>
        <w:t>20,984,362.51</w:t>
        <w:tab/>
      </w:r>
      <w:r>
        <w:rPr>
          <w:rFonts w:ascii="Times New Roman" w:hAnsi="Times New Roman" w:cs="Times New Roman" w:eastAsia="Times New Roman" w:hint="default"/>
          <w:sz w:val="20"/>
          <w:szCs w:val="20"/>
        </w:rPr>
        <w:t>100.00%</w:t>
        <w:tab/>
        <w:t>1,315,602.49</w:t>
        <w:tab/>
        <w:t>11,393,147.47</w:t>
        <w:tab/>
        <w:t>100.00%</w:t>
        <w:tab/>
        <w:t>1,475,809.05</w:t>
      </w:r>
    </w:p>
    <w:p>
      <w:pPr>
        <w:spacing w:line="240" w:lineRule="auto" w:before="1"/>
        <w:rPr>
          <w:rFonts w:ascii="Times New Roman" w:hAnsi="Times New Roman" w:cs="Times New Roman" w:eastAsia="Times New Roman" w:hint="default"/>
          <w:sz w:val="5"/>
          <w:szCs w:val="5"/>
        </w:rPr>
      </w:pPr>
    </w:p>
    <w:p>
      <w:pPr>
        <w:spacing w:line="56" w:lineRule="exact"/>
        <w:ind w:left="1104" w:right="0" w:firstLine="0"/>
        <w:rPr>
          <w:rFonts w:ascii="Times New Roman" w:hAnsi="Times New Roman" w:cs="Times New Roman" w:eastAsia="Times New Roman" w:hint="default"/>
          <w:sz w:val="5"/>
          <w:szCs w:val="5"/>
        </w:rPr>
      </w:pPr>
      <w:r>
        <w:rPr>
          <w:rFonts w:ascii="Times New Roman"/>
          <w:position w:val="0"/>
          <w:sz w:val="5"/>
        </w:rPr>
        <w:pict>
          <v:group style="width:79.3pt;height:2.85pt;mso-position-horizontal-relative:char;mso-position-vertical-relative:line" coordorigin="0,0" coordsize="1586,57">
            <v:group style="position:absolute;left:14;top:7;width:1557;height:2" coordorigin="14,7" coordsize="1557,2">
              <v:shape style="position:absolute;left:14;top:7;width:1557;height:2" coordorigin="14,7" coordsize="1557,0" path="m14,7l1571,7e" filled="false" stroked="true" strokeweight=".71997pt" strokecolor="#000000">
                <v:path arrowok="t"/>
              </v:shape>
            </v:group>
            <v:group style="position:absolute;left:14;top:42;width:1557;height:2" coordorigin="14,42" coordsize="1557,2">
              <v:shape style="position:absolute;left:14;top:42;width:1557;height:2" coordorigin="14,42" coordsize="1557,0" path="m14,42l1571,42e" filled="false" stroked="true" strokeweight="1.44pt" strokecolor="#000000">
                <v:path arrowok="t"/>
              </v:shape>
            </v:group>
          </v:group>
        </w:pict>
      </w:r>
      <w:r>
        <w:rPr>
          <w:rFonts w:ascii="Times New Roman"/>
          <w:position w:val="0"/>
          <w:sz w:val="5"/>
        </w:rPr>
      </w:r>
      <w:r>
        <w:rPr>
          <w:rFonts w:ascii="Times New Roman"/>
          <w:spacing w:val="53"/>
          <w:position w:val="0"/>
          <w:sz w:val="5"/>
        </w:rPr>
        <w:t> </w:t>
      </w:r>
      <w:r>
        <w:rPr>
          <w:rFonts w:ascii="Times New Roman"/>
          <w:spacing w:val="53"/>
          <w:position w:val="0"/>
          <w:sz w:val="5"/>
        </w:rPr>
        <w:pict>
          <v:group style="width:44.7pt;height:2.85pt;mso-position-horizontal-relative:char;mso-position-vertical-relative:line" coordorigin="0,0" coordsize="894,57">
            <v:group style="position:absolute;left:14;top:7;width:866;height:2" coordorigin="14,7" coordsize="866,2">
              <v:shape style="position:absolute;left:14;top:7;width:866;height:2" coordorigin="14,7" coordsize="866,0" path="m14,7l880,7e" filled="false" stroked="true" strokeweight=".71997pt" strokecolor="#000000">
                <v:path arrowok="t"/>
              </v:shape>
            </v:group>
            <v:group style="position:absolute;left:14;top:42;width:866;height:2" coordorigin="14,42" coordsize="866,2">
              <v:shape style="position:absolute;left:14;top:42;width:866;height:2" coordorigin="14,42" coordsize="866,0" path="m14,42l880,42e" filled="false" stroked="true" strokeweight="1.44pt" strokecolor="#000000">
                <v:path arrowok="t"/>
              </v:shape>
            </v:group>
          </v:group>
        </w:pict>
      </w:r>
      <w:r>
        <w:rPr>
          <w:rFonts w:ascii="Times New Roman"/>
          <w:spacing w:val="53"/>
          <w:position w:val="0"/>
          <w:sz w:val="5"/>
        </w:rPr>
      </w:r>
      <w:r>
        <w:rPr>
          <w:rFonts w:ascii="Times New Roman"/>
          <w:spacing w:val="54"/>
          <w:position w:val="0"/>
          <w:sz w:val="5"/>
        </w:rPr>
        <w:t> </w:t>
      </w:r>
      <w:r>
        <w:rPr>
          <w:rFonts w:ascii="Times New Roman"/>
          <w:spacing w:val="54"/>
          <w:position w:val="0"/>
          <w:sz w:val="5"/>
        </w:rPr>
        <w:pict>
          <v:group style="width:73.5pt;height:2.85pt;mso-position-horizontal-relative:char;mso-position-vertical-relative:line" coordorigin="0,0" coordsize="1470,57">
            <v:group style="position:absolute;left:14;top:7;width:1442;height:2" coordorigin="14,7" coordsize="1442,2">
              <v:shape style="position:absolute;left:14;top:7;width:1442;height:2" coordorigin="14,7" coordsize="1442,0" path="m14,7l1456,7e" filled="false" stroked="true" strokeweight=".71997pt" strokecolor="#000000">
                <v:path arrowok="t"/>
              </v:shape>
            </v:group>
            <v:group style="position:absolute;left:14;top:42;width:1442;height:2" coordorigin="14,42" coordsize="1442,2">
              <v:shape style="position:absolute;left:14;top:42;width:1442;height:2" coordorigin="14,42" coordsize="1442,0" path="m14,42l1456,42e" filled="false" stroked="true" strokeweight="1.44pt" strokecolor="#000000">
                <v:path arrowok="t"/>
              </v:shape>
            </v:group>
          </v:group>
        </w:pict>
      </w:r>
      <w:r>
        <w:rPr>
          <w:rFonts w:ascii="Times New Roman"/>
          <w:spacing w:val="54"/>
          <w:position w:val="0"/>
          <w:sz w:val="5"/>
        </w:rPr>
      </w:r>
      <w:r>
        <w:rPr>
          <w:rFonts w:ascii="Times New Roman"/>
          <w:spacing w:val="82"/>
          <w:position w:val="0"/>
          <w:sz w:val="5"/>
        </w:rPr>
        <w:t> </w:t>
      </w:r>
      <w:r>
        <w:rPr>
          <w:rFonts w:ascii="Times New Roman"/>
          <w:spacing w:val="82"/>
          <w:position w:val="0"/>
          <w:sz w:val="5"/>
        </w:rPr>
        <w:pict>
          <v:group style="width:125.4pt;height:2.85pt;mso-position-horizontal-relative:char;mso-position-vertical-relative:line" coordorigin="0,0" coordsize="2508,57">
            <v:group style="position:absolute;left:14;top:7;width:1557;height:2" coordorigin="14,7" coordsize="1557,2">
              <v:shape style="position:absolute;left:14;top:7;width:1557;height:2" coordorigin="14,7" coordsize="1557,0" path="m14,7l1571,7e" filled="false" stroked="true" strokeweight=".72pt" strokecolor="#000000">
                <v:path arrowok="t"/>
              </v:shape>
            </v:group>
            <v:group style="position:absolute;left:14;top:42;width:1557;height:2" coordorigin="14,42" coordsize="1557,2">
              <v:shape style="position:absolute;left:14;top:42;width:1557;height:2" coordorigin="14,42" coordsize="1557,0" path="m14,42l1571,42e" filled="false" stroked="true" strokeweight="1.44pt" strokecolor="#000000">
                <v:path arrowok="t"/>
              </v:shape>
            </v:group>
            <v:group style="position:absolute;left:1643;top:7;width:851;height:2" coordorigin="1643,7" coordsize="851,2">
              <v:shape style="position:absolute;left:1643;top:7;width:851;height:2" coordorigin="1643,7" coordsize="851,0" path="m1643,7l2494,7e" filled="false" stroked="true" strokeweight=".71997pt" strokecolor="#000000">
                <v:path arrowok="t"/>
              </v:shape>
            </v:group>
            <v:group style="position:absolute;left:1643;top:42;width:851;height:2" coordorigin="1643,42" coordsize="851,2">
              <v:shape style="position:absolute;left:1643;top:42;width:851;height:2" coordorigin="1643,42" coordsize="851,0" path="m1643,42l2494,42e" filled="false" stroked="true" strokeweight="1.44pt" strokecolor="#000000">
                <v:path arrowok="t"/>
              </v:shape>
            </v:group>
          </v:group>
        </w:pict>
      </w:r>
      <w:r>
        <w:rPr>
          <w:rFonts w:ascii="Times New Roman"/>
          <w:spacing w:val="82"/>
          <w:position w:val="0"/>
          <w:sz w:val="5"/>
        </w:rPr>
      </w:r>
      <w:r>
        <w:rPr>
          <w:rFonts w:ascii="Times New Roman"/>
          <w:spacing w:val="97"/>
          <w:position w:val="0"/>
          <w:sz w:val="5"/>
        </w:rPr>
        <w:t> </w:t>
      </w:r>
      <w:r>
        <w:rPr>
          <w:rFonts w:ascii="Times New Roman"/>
          <w:spacing w:val="97"/>
          <w:position w:val="0"/>
          <w:sz w:val="5"/>
        </w:rPr>
        <w:pict>
          <v:group style="width:74.25pt;height:2.85pt;mso-position-horizontal-relative:char;mso-position-vertical-relative:line" coordorigin="0,0" coordsize="1485,57">
            <v:group style="position:absolute;left:14;top:7;width:1456;height:2" coordorigin="14,7" coordsize="1456,2">
              <v:shape style="position:absolute;left:14;top:7;width:1456;height:2" coordorigin="14,7" coordsize="1456,0" path="m14,7l1470,7e" filled="false" stroked="true" strokeweight=".71997pt" strokecolor="#000000">
                <v:path arrowok="t"/>
              </v:shape>
            </v:group>
            <v:group style="position:absolute;left:14;top:42;width:1456;height:2" coordorigin="14,42" coordsize="1456,2">
              <v:shape style="position:absolute;left:14;top:42;width:1456;height:2" coordorigin="14,42" coordsize="1456,0" path="m14,42l1470,42e" filled="false" stroked="true" strokeweight="1.44pt" strokecolor="#000000">
                <v:path arrowok="t"/>
              </v:shape>
            </v:group>
          </v:group>
        </w:pict>
      </w:r>
      <w:r>
        <w:rPr>
          <w:rFonts w:ascii="Times New Roman"/>
          <w:spacing w:val="97"/>
          <w:position w:val="0"/>
          <w:sz w:val="5"/>
        </w:rPr>
      </w:r>
    </w:p>
    <w:p>
      <w:pPr>
        <w:pStyle w:val="BodyText"/>
        <w:spacing w:line="310" w:lineRule="exact" w:before="65"/>
        <w:ind w:right="1088" w:firstLine="598"/>
        <w:jc w:val="left"/>
      </w:pPr>
      <w:r>
        <w:rPr>
          <w:spacing w:val="-4"/>
        </w:rPr>
        <w:t>（3）其它应收款期末欠款前五名总金额为 </w:t>
      </w:r>
      <w:r>
        <w:rPr/>
        <w:t>17,046,388.53</w:t>
      </w:r>
      <w:r>
        <w:rPr>
          <w:spacing w:val="-83"/>
        </w:rPr>
        <w:t> </w:t>
      </w:r>
      <w:r>
        <w:rPr>
          <w:spacing w:val="-8"/>
        </w:rPr>
        <w:t>元，占期末其它</w:t>
      </w:r>
      <w:r>
        <w:rPr>
          <w:spacing w:val="-1"/>
          <w:w w:val="100"/>
        </w:rPr>
        <w:t> </w:t>
      </w:r>
      <w:r>
        <w:rPr/>
        <w:t>应收款总金额的</w:t>
      </w:r>
      <w:r>
        <w:rPr>
          <w:spacing w:val="-63"/>
        </w:rPr>
        <w:t> </w:t>
      </w:r>
      <w:r>
        <w:rPr/>
        <w:t>81.23%。</w:t>
      </w:r>
    </w:p>
    <w:p>
      <w:pPr>
        <w:pStyle w:val="BodyText"/>
        <w:spacing w:line="336" w:lineRule="auto" w:before="80"/>
        <w:ind w:right="1090" w:firstLine="480"/>
        <w:jc w:val="both"/>
      </w:pPr>
      <w:r>
        <w:rPr>
          <w:spacing w:val="-4"/>
        </w:rPr>
        <w:t>（4）其它应收款年末数中无持本公司 </w:t>
      </w:r>
      <w:r>
        <w:rPr>
          <w:spacing w:val="-9"/>
        </w:rPr>
        <w:t>5%（含</w:t>
      </w:r>
      <w:r>
        <w:rPr>
          <w:spacing w:val="-86"/>
        </w:rPr>
        <w:t> </w:t>
      </w:r>
      <w:r>
        <w:rPr>
          <w:spacing w:val="-4"/>
        </w:rPr>
        <w:t>5%）以上有表决权股份的股东</w:t>
      </w:r>
      <w:r>
        <w:rPr>
          <w:spacing w:val="-2"/>
          <w:w w:val="100"/>
        </w:rPr>
        <w:t> </w:t>
      </w:r>
      <w:r>
        <w:rPr/>
        <w:t>单位欠款。</w:t>
      </w:r>
    </w:p>
    <w:p>
      <w:pPr>
        <w:pStyle w:val="BodyText"/>
        <w:spacing w:line="336" w:lineRule="auto"/>
        <w:ind w:right="1091" w:firstLine="480"/>
        <w:jc w:val="both"/>
      </w:pPr>
      <w:r>
        <w:rPr>
          <w:spacing w:val="-9"/>
        </w:rPr>
        <w:t>（5）本公司预付大连跃达制冷空调工程有限公司济南分公司（以下简称“该</w:t>
      </w:r>
      <w:r>
        <w:rPr>
          <w:spacing w:val="-2"/>
          <w:w w:val="100"/>
        </w:rPr>
        <w:t> </w:t>
      </w:r>
      <w:r>
        <w:rPr>
          <w:spacing w:val="-23"/>
          <w:w w:val="100"/>
        </w:rPr>
        <w:t>公司”）设备款</w:t>
      </w:r>
      <w:r>
        <w:rPr>
          <w:spacing w:val="-57"/>
          <w:w w:val="100"/>
        </w:rPr>
        <w:t> </w:t>
      </w:r>
      <w:r>
        <w:rPr>
          <w:spacing w:val="-1"/>
          <w:w w:val="100"/>
        </w:rPr>
        <w:t>1,296,000.00</w:t>
      </w:r>
      <w:r>
        <w:rPr>
          <w:spacing w:val="-56"/>
          <w:w w:val="100"/>
        </w:rPr>
        <w:t> </w:t>
      </w:r>
      <w:r>
        <w:rPr>
          <w:spacing w:val="-4"/>
          <w:w w:val="100"/>
        </w:rPr>
        <w:t>元购买制冷机组，该公司一直未交付设备，本公司</w:t>
      </w:r>
      <w:r>
        <w:rPr>
          <w:w w:val="100"/>
        </w:rPr>
      </w:r>
    </w:p>
    <w:p>
      <w:pPr>
        <w:pStyle w:val="BodyText"/>
        <w:spacing w:line="336" w:lineRule="auto" w:before="29"/>
        <w:ind w:right="1087"/>
        <w:jc w:val="left"/>
      </w:pPr>
      <w:r>
        <w:rPr>
          <w:spacing w:val="-4"/>
        </w:rPr>
        <w:t>根据预计的可回收性，对此款项计提了</w:t>
      </w:r>
      <w:r>
        <w:rPr>
          <w:spacing w:val="-41"/>
        </w:rPr>
        <w:t> </w:t>
      </w:r>
      <w:r>
        <w:rPr>
          <w:spacing w:val="-5"/>
        </w:rPr>
        <w:t>50%的坏账准备，计提金额为</w:t>
      </w:r>
      <w:r>
        <w:rPr>
          <w:spacing w:val="-41"/>
        </w:rPr>
        <w:t> </w:t>
      </w:r>
      <w:r>
        <w:rPr/>
        <w:t>648,000.00</w:t>
      </w:r>
      <w:r>
        <w:rPr>
          <w:spacing w:val="-115"/>
        </w:rPr>
        <w:t> </w:t>
      </w:r>
      <w:r>
        <w:rPr>
          <w:spacing w:val="-115"/>
        </w:rPr>
      </w:r>
      <w:r>
        <w:rPr/>
        <w:t>元。</w:t>
      </w:r>
    </w:p>
    <w:p>
      <w:pPr>
        <w:pStyle w:val="BodyText"/>
        <w:spacing w:line="336" w:lineRule="auto"/>
        <w:ind w:right="1092" w:firstLine="480"/>
        <w:jc w:val="both"/>
      </w:pPr>
      <w:r>
        <w:rPr>
          <w:spacing w:val="-10"/>
        </w:rPr>
        <w:t>（6）截至</w:t>
      </w:r>
      <w:r>
        <w:rPr>
          <w:spacing w:val="-55"/>
        </w:rPr>
        <w:t> </w:t>
      </w:r>
      <w:r>
        <w:rPr/>
        <w:t>2007</w:t>
      </w:r>
      <w:r>
        <w:rPr>
          <w:spacing w:val="-54"/>
        </w:rPr>
        <w:t> </w:t>
      </w:r>
      <w:r>
        <w:rPr/>
        <w:t>年</w:t>
      </w:r>
      <w:r>
        <w:rPr>
          <w:spacing w:val="-55"/>
        </w:rPr>
        <w:t> </w:t>
      </w:r>
      <w:r>
        <w:rPr/>
        <w:t>12</w:t>
      </w:r>
      <w:r>
        <w:rPr>
          <w:spacing w:val="-54"/>
        </w:rPr>
        <w:t> </w:t>
      </w:r>
      <w:r>
        <w:rPr/>
        <w:t>月</w:t>
      </w:r>
      <w:r>
        <w:rPr>
          <w:spacing w:val="-55"/>
        </w:rPr>
        <w:t> </w:t>
      </w:r>
      <w:r>
        <w:rPr/>
        <w:t>31</w:t>
      </w:r>
      <w:r>
        <w:rPr>
          <w:spacing w:val="-54"/>
        </w:rPr>
        <w:t> </w:t>
      </w:r>
      <w:r>
        <w:rPr>
          <w:spacing w:val="-4"/>
        </w:rPr>
        <w:t>日，其它应收关联方北京东港嘉华安全信息技术</w:t>
      </w:r>
      <w:r>
        <w:rPr>
          <w:spacing w:val="-1"/>
          <w:w w:val="100"/>
        </w:rPr>
        <w:t> </w:t>
      </w:r>
      <w:r>
        <w:rPr/>
        <w:t>有限公司金额为</w:t>
      </w:r>
      <w:r>
        <w:rPr>
          <w:spacing w:val="-50"/>
        </w:rPr>
        <w:t> </w:t>
      </w:r>
      <w:r>
        <w:rPr/>
        <w:t>5,730,000.00</w:t>
      </w:r>
      <w:r>
        <w:rPr>
          <w:spacing w:val="-49"/>
        </w:rPr>
        <w:t> </w:t>
      </w:r>
      <w:r>
        <w:rPr>
          <w:spacing w:val="-3"/>
        </w:rPr>
        <w:t>元，占期末其它应收款余额的</w:t>
      </w:r>
      <w:r>
        <w:rPr>
          <w:spacing w:val="-50"/>
        </w:rPr>
        <w:t> </w:t>
      </w:r>
      <w:r>
        <w:rPr>
          <w:spacing w:val="-3"/>
        </w:rPr>
        <w:t>27.31%；其它应收</w:t>
      </w:r>
      <w:r>
        <w:rPr>
          <w:spacing w:val="-117"/>
        </w:rPr>
        <w:t> </w:t>
      </w:r>
      <w:r>
        <w:rPr>
          <w:spacing w:val="-117"/>
        </w:rPr>
      </w:r>
      <w:r>
        <w:rPr/>
        <w:t>关联方广州东港安全印刷有限公司</w:t>
      </w:r>
      <w:r>
        <w:rPr>
          <w:spacing w:val="-52"/>
        </w:rPr>
        <w:t> </w:t>
      </w:r>
      <w:r>
        <w:rPr/>
        <w:t>2,902,725.78</w:t>
      </w:r>
      <w:r>
        <w:rPr>
          <w:spacing w:val="-52"/>
        </w:rPr>
        <w:t> </w:t>
      </w:r>
      <w:r>
        <w:rPr/>
        <w:t>元，占期末其它应收款余额的</w:t>
      </w:r>
      <w:r>
        <w:rPr>
          <w:spacing w:val="-2"/>
          <w:w w:val="100"/>
        </w:rPr>
        <w:t> </w:t>
      </w:r>
      <w:r>
        <w:rPr/>
        <w:t>13.83%。</w:t>
      </w:r>
    </w:p>
    <w:p>
      <w:pPr>
        <w:pStyle w:val="Heading3"/>
        <w:spacing w:line="370" w:lineRule="exact"/>
        <w:ind w:left="619" w:right="224"/>
        <w:jc w:val="left"/>
        <w:rPr>
          <w:b w:val="0"/>
          <w:bCs w:val="0"/>
        </w:rPr>
      </w:pPr>
      <w:r>
        <w:rPr/>
        <w:t>3、长期股权投资</w:t>
      </w:r>
      <w:r>
        <w:rPr>
          <w:b w:val="0"/>
          <w:bCs w:val="0"/>
        </w:rPr>
      </w:r>
    </w:p>
    <w:p>
      <w:pPr>
        <w:pStyle w:val="BodyText"/>
        <w:spacing w:line="240" w:lineRule="auto" w:before="99"/>
        <w:ind w:left="617" w:right="224"/>
        <w:jc w:val="left"/>
      </w:pPr>
      <w:r>
        <w:rPr/>
        <w:t>（1）长期股权投资明细情况</w:t>
      </w:r>
    </w:p>
    <w:p>
      <w:pPr>
        <w:tabs>
          <w:tab w:pos="1948" w:val="left" w:leader="none"/>
          <w:tab w:pos="3508" w:val="left" w:leader="none"/>
          <w:tab w:pos="3714" w:val="left" w:leader="none"/>
          <w:tab w:pos="5082" w:val="left" w:leader="none"/>
          <w:tab w:pos="5201" w:val="left" w:leader="none"/>
          <w:tab w:pos="6658" w:val="left" w:leader="none"/>
          <w:tab w:pos="7335" w:val="left" w:leader="none"/>
          <w:tab w:pos="8011" w:val="left" w:leader="none"/>
          <w:tab w:pos="8277" w:val="left" w:leader="none"/>
        </w:tabs>
        <w:spacing w:line="338" w:lineRule="auto" w:before="106"/>
        <w:ind w:left="286" w:right="224" w:firstLine="926"/>
        <w:jc w:val="left"/>
        <w:rPr>
          <w:rFonts w:ascii="Times New Roman" w:hAnsi="Times New Roman" w:cs="Times New Roman" w:eastAsia="Times New Roman" w:hint="default"/>
          <w:sz w:val="20"/>
          <w:szCs w:val="20"/>
        </w:rPr>
      </w:pPr>
      <w:r>
        <w:rPr/>
        <w:pict>
          <v:group style="position:absolute;margin-left:90.300003pt;margin-top:21.209982pt;width:463.6pt;height:.75pt;mso-position-horizontal-relative:page;mso-position-vertical-relative:paragraph;z-index:-585616" coordorigin="1806,424" coordsize="9272,15">
            <v:group style="position:absolute;left:1813;top:425;width:3062;height:2" coordorigin="1813,425" coordsize="3062,2">
              <v:shape style="position:absolute;left:1813;top:425;width:3062;height:2" coordorigin="1813,425" coordsize="3062,0" path="m1813,425l4874,425e" filled="false" stroked="true" strokeweight=".06pt" strokecolor="#000000">
                <v:path arrowok="t"/>
              </v:shape>
            </v:group>
            <v:group style="position:absolute;left:1813;top:432;width:3062;height:2" coordorigin="1813,432" coordsize="3062,2">
              <v:shape style="position:absolute;left:1813;top:432;width:3062;height:2" coordorigin="1813,432" coordsize="3062,0" path="m1813,432l4874,432e" filled="false" stroked="true" strokeweight=".72pt" strokecolor="#000000">
                <v:path arrowok="t"/>
              </v:shape>
            </v:group>
            <v:group style="position:absolute;left:4919;top:425;width:1545;height:2" coordorigin="4919,425" coordsize="1545,2">
              <v:shape style="position:absolute;left:4919;top:425;width:1545;height:2" coordorigin="4919,425" coordsize="1545,0" path="m4919,425l6463,425e" filled="false" stroked="true" strokeweight=".06pt" strokecolor="#000000">
                <v:path arrowok="t"/>
              </v:shape>
            </v:group>
            <v:group style="position:absolute;left:4919;top:432;width:1545;height:2" coordorigin="4919,432" coordsize="1545,2">
              <v:shape style="position:absolute;left:4919;top:432;width:1545;height:2" coordorigin="4919,432" coordsize="1545,0" path="m4919,432l6463,432e" filled="false" stroked="true" strokeweight=".72pt" strokecolor="#000000">
                <v:path arrowok="t"/>
              </v:shape>
            </v:group>
            <v:group style="position:absolute;left:6508;top:425;width:1532;height:2" coordorigin="6508,425" coordsize="1532,2">
              <v:shape style="position:absolute;left:6508;top:425;width:1532;height:2" coordorigin="6508,425" coordsize="1532,0" path="m6508,425l8039,425e" filled="false" stroked="true" strokeweight=".06pt" strokecolor="#000000">
                <v:path arrowok="t"/>
              </v:shape>
            </v:group>
            <v:group style="position:absolute;left:6508;top:432;width:1532;height:2" coordorigin="6508,432" coordsize="1532,2">
              <v:shape style="position:absolute;left:6508;top:432;width:1532;height:2" coordorigin="6508,432" coordsize="1532,0" path="m6508,432l8039,432e" filled="false" stroked="true" strokeweight=".72pt" strokecolor="#000000">
                <v:path arrowok="t"/>
              </v:shape>
            </v:group>
            <v:group style="position:absolute;left:8082;top:425;width:1281;height:2" coordorigin="8082,425" coordsize="1281,2">
              <v:shape style="position:absolute;left:8082;top:425;width:1281;height:2" coordorigin="8082,425" coordsize="1281,0" path="m8082,425l9362,425e" filled="false" stroked="true" strokeweight=".06pt" strokecolor="#000000">
                <v:path arrowok="t"/>
              </v:shape>
            </v:group>
            <v:group style="position:absolute;left:8082;top:432;width:1281;height:2" coordorigin="8082,432" coordsize="1281,2">
              <v:shape style="position:absolute;left:8082;top:432;width:1281;height:2" coordorigin="8082,432" coordsize="1281,0" path="m8082,432l9362,432e" filled="false" stroked="true" strokeweight=".72pt" strokecolor="#000000">
                <v:path arrowok="t"/>
              </v:shape>
            </v:group>
            <v:group style="position:absolute;left:9407;top:425;width:1664;height:2" coordorigin="9407,425" coordsize="1664,2">
              <v:shape style="position:absolute;left:9407;top:425;width:1664;height:2" coordorigin="9407,425" coordsize="1664,0" path="m9407,425l11070,425e" filled="false" stroked="true" strokeweight=".06pt" strokecolor="#000000">
                <v:path arrowok="t"/>
              </v:shape>
            </v:group>
            <v:group style="position:absolute;left:9407;top:432;width:1664;height:2" coordorigin="9407,432" coordsize="1664,2">
              <v:shape style="position:absolute;left:9407;top:432;width:1664;height:2" coordorigin="9407,432" coordsize="1664,0" path="m9407,432l11070,432e" filled="false" stroked="true" strokeweight=".72pt" strokecolor="#000000">
                <v:path arrowok="t"/>
              </v:shape>
            </v:group>
            <w10:wrap type="none"/>
          </v:group>
        </w:pict>
      </w:r>
      <w:r>
        <w:rPr>
          <w:rFonts w:ascii="宋体" w:hAnsi="宋体" w:cs="宋体" w:eastAsia="宋体" w:hint="default"/>
          <w:w w:val="95"/>
          <w:sz w:val="20"/>
          <w:szCs w:val="20"/>
        </w:rPr>
        <w:t>项</w:t>
        <w:tab/>
        <w:t>目</w:t>
        <w:tab/>
        <w:tab/>
      </w:r>
      <w:r>
        <w:rPr>
          <w:rFonts w:ascii="宋体" w:hAnsi="宋体" w:cs="宋体" w:eastAsia="宋体" w:hint="default"/>
          <w:spacing w:val="9"/>
          <w:w w:val="95"/>
          <w:sz w:val="20"/>
          <w:szCs w:val="20"/>
        </w:rPr>
        <w:t>年初数</w:t>
        <w:tab/>
        <w:tab/>
      </w:r>
      <w:r>
        <w:rPr>
          <w:rFonts w:ascii="宋体" w:hAnsi="宋体" w:cs="宋体" w:eastAsia="宋体" w:hint="default"/>
          <w:spacing w:val="8"/>
          <w:w w:val="95"/>
          <w:sz w:val="20"/>
          <w:szCs w:val="20"/>
        </w:rPr>
        <w:t>本年增加</w:t>
        <w:tab/>
      </w:r>
      <w:r>
        <w:rPr>
          <w:rFonts w:ascii="宋体" w:hAnsi="宋体" w:cs="宋体" w:eastAsia="宋体" w:hint="default"/>
          <w:spacing w:val="5"/>
          <w:w w:val="95"/>
          <w:sz w:val="20"/>
          <w:szCs w:val="20"/>
        </w:rPr>
        <w:t>本年减少</w:t>
        <w:tab/>
        <w:tab/>
      </w:r>
      <w:r>
        <w:rPr>
          <w:rFonts w:ascii="宋体" w:hAnsi="宋体" w:cs="宋体" w:eastAsia="宋体" w:hint="default"/>
          <w:spacing w:val="4"/>
          <w:sz w:val="20"/>
          <w:szCs w:val="20"/>
        </w:rPr>
        <w:t>年末数</w:t>
      </w:r>
      <w:r>
        <w:rPr>
          <w:rFonts w:ascii="宋体" w:hAnsi="宋体" w:cs="宋体" w:eastAsia="宋体" w:hint="default"/>
          <w:w w:val="99"/>
          <w:sz w:val="20"/>
          <w:szCs w:val="20"/>
        </w:rPr>
        <w:t> </w:t>
      </w:r>
      <w:r>
        <w:rPr>
          <w:rFonts w:ascii="宋体" w:hAnsi="宋体" w:cs="宋体" w:eastAsia="宋体" w:hint="default"/>
          <w:spacing w:val="7"/>
          <w:w w:val="95"/>
          <w:position w:val="-1"/>
          <w:sz w:val="20"/>
          <w:szCs w:val="20"/>
        </w:rPr>
        <w:t>对子公司投资</w:t>
        <w:tab/>
        <w:tab/>
      </w:r>
      <w:r>
        <w:rPr>
          <w:rFonts w:ascii="Times New Roman" w:hAnsi="Times New Roman" w:cs="Times New Roman" w:eastAsia="Times New Roman" w:hint="default"/>
          <w:spacing w:val="2"/>
          <w:sz w:val="20"/>
          <w:szCs w:val="20"/>
        </w:rPr>
        <w:t>51,086,055.00</w:t>
        <w:tab/>
      </w:r>
      <w:r>
        <w:rPr>
          <w:rFonts w:ascii="Times New Roman" w:hAnsi="Times New Roman" w:cs="Times New Roman" w:eastAsia="Times New Roman" w:hint="default"/>
          <w:spacing w:val="4"/>
          <w:w w:val="95"/>
          <w:sz w:val="20"/>
          <w:szCs w:val="20"/>
        </w:rPr>
        <w:t>67,329,500.00</w:t>
        <w:tab/>
        <w:tab/>
      </w:r>
      <w:r>
        <w:rPr>
          <w:rFonts w:ascii="Times New Roman" w:hAnsi="Times New Roman" w:cs="Times New Roman" w:eastAsia="Times New Roman" w:hint="default"/>
          <w:w w:val="95"/>
          <w:sz w:val="20"/>
          <w:szCs w:val="20"/>
        </w:rPr>
        <w:t>-</w:t>
        <w:tab/>
      </w:r>
      <w:r>
        <w:rPr>
          <w:rFonts w:ascii="Times New Roman" w:hAnsi="Times New Roman" w:cs="Times New Roman" w:eastAsia="Times New Roman" w:hint="default"/>
          <w:spacing w:val="3"/>
          <w:sz w:val="20"/>
          <w:szCs w:val="20"/>
        </w:rPr>
        <w:t>118,415</w:t>
      </w:r>
      <w:r>
        <w:rPr>
          <w:rFonts w:ascii="Times New Roman" w:hAnsi="Times New Roman" w:cs="Times New Roman" w:eastAsia="Times New Roman" w:hint="default"/>
          <w:spacing w:val="-24"/>
          <w:sz w:val="20"/>
          <w:szCs w:val="20"/>
        </w:rPr>
        <w:t> </w:t>
      </w:r>
      <w:r>
        <w:rPr>
          <w:rFonts w:ascii="Times New Roman" w:hAnsi="Times New Roman" w:cs="Times New Roman" w:eastAsia="Times New Roman" w:hint="default"/>
          <w:sz w:val="20"/>
          <w:szCs w:val="20"/>
        </w:rPr>
        <w:t>,555.00</w:t>
      </w:r>
    </w:p>
    <w:p>
      <w:pPr>
        <w:tabs>
          <w:tab w:pos="4391" w:val="left" w:leader="none"/>
          <w:tab w:pos="5980" w:val="left" w:leader="none"/>
          <w:tab w:pos="7305" w:val="left" w:leader="none"/>
          <w:tab w:pos="9012" w:val="left" w:leader="none"/>
        </w:tabs>
        <w:spacing w:before="15"/>
        <w:ind w:left="286" w:right="224" w:firstLine="0"/>
        <w:jc w:val="left"/>
        <w:rPr>
          <w:rFonts w:ascii="Times New Roman" w:hAnsi="Times New Roman" w:cs="Times New Roman" w:eastAsia="Times New Roman" w:hint="default"/>
          <w:sz w:val="22"/>
          <w:szCs w:val="22"/>
        </w:rPr>
      </w:pPr>
      <w:r>
        <w:rPr>
          <w:rFonts w:ascii="宋体" w:hAnsi="宋体" w:cs="宋体" w:eastAsia="宋体" w:hint="default"/>
          <w:spacing w:val="7"/>
          <w:w w:val="95"/>
          <w:sz w:val="20"/>
          <w:szCs w:val="20"/>
        </w:rPr>
        <w:t>对合营企业投资</w:t>
        <w:tab/>
      </w:r>
      <w:r>
        <w:rPr>
          <w:rFonts w:ascii="Times New Roman" w:hAnsi="Times New Roman" w:cs="Times New Roman" w:eastAsia="Times New Roman" w:hint="default"/>
          <w:position w:val="1"/>
          <w:sz w:val="22"/>
          <w:szCs w:val="22"/>
        </w:rPr>
        <w:t>-</w:t>
        <w:tab/>
        <w:t>-</w:t>
        <w:tab/>
        <w:t>-</w:t>
        <w:tab/>
      </w:r>
      <w:r>
        <w:rPr>
          <w:rFonts w:ascii="Times New Roman" w:hAnsi="Times New Roman" w:cs="Times New Roman" w:eastAsia="Times New Roman" w:hint="default"/>
          <w:w w:val="105"/>
          <w:position w:val="1"/>
          <w:sz w:val="22"/>
          <w:szCs w:val="22"/>
        </w:rPr>
        <w:t>-</w:t>
      </w:r>
      <w:r>
        <w:rPr>
          <w:rFonts w:ascii="Times New Roman" w:hAnsi="Times New Roman" w:cs="Times New Roman" w:eastAsia="Times New Roman" w:hint="default"/>
          <w:sz w:val="22"/>
          <w:szCs w:val="22"/>
        </w:rPr>
      </w:r>
    </w:p>
    <w:p>
      <w:pPr>
        <w:tabs>
          <w:tab w:pos="4391" w:val="left" w:leader="none"/>
          <w:tab w:pos="5980" w:val="left" w:leader="none"/>
          <w:tab w:pos="7305" w:val="left" w:leader="none"/>
          <w:tab w:pos="9012" w:val="left" w:leader="none"/>
        </w:tabs>
        <w:spacing w:before="98"/>
        <w:ind w:left="286" w:right="224" w:firstLine="0"/>
        <w:jc w:val="left"/>
        <w:rPr>
          <w:rFonts w:ascii="Times New Roman" w:hAnsi="Times New Roman" w:cs="Times New Roman" w:eastAsia="Times New Roman" w:hint="default"/>
          <w:sz w:val="22"/>
          <w:szCs w:val="22"/>
        </w:rPr>
      </w:pPr>
      <w:r>
        <w:rPr>
          <w:rFonts w:ascii="宋体" w:hAnsi="宋体" w:cs="宋体" w:eastAsia="宋体" w:hint="default"/>
          <w:spacing w:val="7"/>
          <w:w w:val="95"/>
          <w:sz w:val="20"/>
          <w:szCs w:val="20"/>
        </w:rPr>
        <w:t>对联营企业投资</w:t>
        <w:tab/>
      </w:r>
      <w:r>
        <w:rPr>
          <w:rFonts w:ascii="Times New Roman" w:hAnsi="Times New Roman" w:cs="Times New Roman" w:eastAsia="Times New Roman" w:hint="default"/>
          <w:position w:val="1"/>
          <w:sz w:val="22"/>
          <w:szCs w:val="22"/>
        </w:rPr>
        <w:t>-</w:t>
        <w:tab/>
        <w:t>-</w:t>
        <w:tab/>
        <w:t>-</w:t>
        <w:tab/>
      </w:r>
      <w:r>
        <w:rPr>
          <w:rFonts w:ascii="Times New Roman" w:hAnsi="Times New Roman" w:cs="Times New Roman" w:eastAsia="Times New Roman" w:hint="default"/>
          <w:w w:val="105"/>
          <w:position w:val="1"/>
          <w:sz w:val="22"/>
          <w:szCs w:val="22"/>
        </w:rPr>
        <w:t>-</w:t>
      </w:r>
      <w:r>
        <w:rPr>
          <w:rFonts w:ascii="Times New Roman" w:hAnsi="Times New Roman" w:cs="Times New Roman" w:eastAsia="Times New Roman" w:hint="default"/>
          <w:sz w:val="22"/>
          <w:szCs w:val="22"/>
        </w:rPr>
      </w:r>
    </w:p>
    <w:p>
      <w:pPr>
        <w:tabs>
          <w:tab w:pos="4391" w:val="left" w:leader="none"/>
          <w:tab w:pos="5980" w:val="left" w:leader="none"/>
          <w:tab w:pos="7335" w:val="left" w:leader="none"/>
          <w:tab w:pos="9012" w:val="left" w:leader="none"/>
        </w:tabs>
        <w:spacing w:before="98"/>
        <w:ind w:left="286" w:right="224" w:firstLine="0"/>
        <w:jc w:val="left"/>
        <w:rPr>
          <w:rFonts w:ascii="Times New Roman" w:hAnsi="Times New Roman" w:cs="Times New Roman" w:eastAsia="Times New Roman" w:hint="default"/>
          <w:sz w:val="22"/>
          <w:szCs w:val="22"/>
        </w:rPr>
      </w:pPr>
      <w:r>
        <w:rPr>
          <w:rFonts w:ascii="宋体" w:hAnsi="宋体" w:cs="宋体" w:eastAsia="宋体" w:hint="default"/>
          <w:spacing w:val="3"/>
          <w:sz w:val="20"/>
          <w:szCs w:val="20"/>
        </w:rPr>
        <w:t>减：</w:t>
      </w:r>
      <w:r>
        <w:rPr>
          <w:rFonts w:ascii="宋体" w:hAnsi="宋体" w:cs="宋体" w:eastAsia="宋体" w:hint="default"/>
          <w:spacing w:val="-88"/>
          <w:sz w:val="20"/>
          <w:szCs w:val="20"/>
        </w:rPr>
        <w:t> </w:t>
      </w:r>
      <w:r>
        <w:rPr>
          <w:rFonts w:ascii="宋体" w:hAnsi="宋体" w:cs="宋体" w:eastAsia="宋体" w:hint="default"/>
          <w:spacing w:val="7"/>
          <w:sz w:val="20"/>
          <w:szCs w:val="20"/>
        </w:rPr>
        <w:t>长期股权投资减值准备</w:t>
        <w:tab/>
      </w:r>
      <w:r>
        <w:rPr>
          <w:rFonts w:ascii="Times New Roman" w:hAnsi="Times New Roman" w:cs="Times New Roman" w:eastAsia="Times New Roman" w:hint="default"/>
          <w:position w:val="1"/>
          <w:sz w:val="22"/>
          <w:szCs w:val="22"/>
        </w:rPr>
        <w:t>-</w:t>
        <w:tab/>
        <w:t>-</w:t>
        <w:tab/>
      </w:r>
      <w:r>
        <w:rPr>
          <w:rFonts w:ascii="Times New Roman" w:hAnsi="Times New Roman" w:cs="Times New Roman" w:eastAsia="Times New Roman" w:hint="default"/>
          <w:w w:val="95"/>
          <w:position w:val="2"/>
          <w:sz w:val="20"/>
          <w:szCs w:val="20"/>
        </w:rPr>
        <w:t>-</w:t>
        <w:tab/>
      </w:r>
      <w:r>
        <w:rPr>
          <w:rFonts w:ascii="Times New Roman" w:hAnsi="Times New Roman" w:cs="Times New Roman" w:eastAsia="Times New Roman" w:hint="default"/>
          <w:position w:val="1"/>
          <w:sz w:val="22"/>
          <w:szCs w:val="22"/>
        </w:rPr>
        <w:t>-</w:t>
      </w:r>
      <w:r>
        <w:rPr>
          <w:rFonts w:ascii="Times New Roman" w:hAnsi="Times New Roman" w:cs="Times New Roman" w:eastAsia="Times New Roman" w:hint="default"/>
          <w:sz w:val="22"/>
          <w:szCs w:val="22"/>
        </w:rPr>
      </w:r>
    </w:p>
    <w:p>
      <w:pPr>
        <w:spacing w:line="240" w:lineRule="auto" w:before="1"/>
        <w:rPr>
          <w:rFonts w:ascii="Times New Roman" w:hAnsi="Times New Roman" w:cs="Times New Roman" w:eastAsia="Times New Roman" w:hint="default"/>
          <w:sz w:val="4"/>
          <w:szCs w:val="4"/>
        </w:rPr>
      </w:pPr>
    </w:p>
    <w:p>
      <w:pPr>
        <w:spacing w:line="29" w:lineRule="exact"/>
        <w:ind w:left="324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09pt;height:1.5pt;mso-position-horizontal-relative:char;mso-position-vertical-relative:line" coordorigin="0,0" coordsize="6180,30">
            <v:group style="position:absolute;left:14;top:1;width:1545;height:2" coordorigin="14,1" coordsize="1545,2">
              <v:shape style="position:absolute;left:14;top:1;width:1545;height:2" coordorigin="14,1" coordsize="1545,0" path="m14,1l1559,1e" filled="false" stroked="true" strokeweight=".06pt" strokecolor="#000000">
                <v:path arrowok="t"/>
              </v:shape>
            </v:group>
            <v:group style="position:absolute;left:14;top:15;width:1545;height:2" coordorigin="14,15" coordsize="1545,2">
              <v:shape style="position:absolute;left:14;top:15;width:1545;height:2" coordorigin="14,15" coordsize="1545,0" path="m14,15l1559,15e" filled="false" stroked="true" strokeweight="1.44pt" strokecolor="#000000">
                <v:path arrowok="t"/>
              </v:shape>
            </v:group>
            <v:group style="position:absolute;left:1603;top:1;width:1532;height:2" coordorigin="1603,1" coordsize="1532,2">
              <v:shape style="position:absolute;left:1603;top:1;width:1532;height:2" coordorigin="1603,1" coordsize="1532,0" path="m1603,1l3134,1e" filled="false" stroked="true" strokeweight=".06pt" strokecolor="#000000">
                <v:path arrowok="t"/>
              </v:shape>
            </v:group>
            <v:group style="position:absolute;left:1603;top:15;width:1532;height:2" coordorigin="1603,15" coordsize="1532,2">
              <v:shape style="position:absolute;left:1603;top:15;width:1532;height:2" coordorigin="1603,15" coordsize="1532,0" path="m1603,15l3134,15e" filled="false" stroked="true" strokeweight="1.44pt" strokecolor="#000000">
                <v:path arrowok="t"/>
              </v:shape>
            </v:group>
            <v:group style="position:absolute;left:3178;top:1;width:1281;height:2" coordorigin="3178,1" coordsize="1281,2">
              <v:shape style="position:absolute;left:3178;top:1;width:1281;height:2" coordorigin="3178,1" coordsize="1281,0" path="m3178,1l4458,1e" filled="false" stroked="true" strokeweight=".06pt" strokecolor="#000000">
                <v:path arrowok="t"/>
              </v:shape>
            </v:group>
            <v:group style="position:absolute;left:3178;top:15;width:1281;height:2" coordorigin="3178,15" coordsize="1281,2">
              <v:shape style="position:absolute;left:3178;top:15;width:1281;height:2" coordorigin="3178,15" coordsize="1281,0" path="m3178,15l4458,15e" filled="false" stroked="true" strokeweight="1.44pt" strokecolor="#000000">
                <v:path arrowok="t"/>
              </v:shape>
            </v:group>
            <v:group style="position:absolute;left:4502;top:1;width:1664;height:2" coordorigin="4502,1" coordsize="1664,2">
              <v:shape style="position:absolute;left:4502;top:1;width:1664;height:2" coordorigin="4502,1" coordsize="1664,0" path="m4502,1l6166,1e" filled="false" stroked="true" strokeweight=".06pt" strokecolor="#000000">
                <v:path arrowok="t"/>
              </v:shape>
            </v:group>
            <v:group style="position:absolute;left:4502;top:15;width:1664;height:2" coordorigin="4502,15" coordsize="1664,2">
              <v:shape style="position:absolute;left:4502;top:15;width:1664;height:2" coordorigin="4502,15" coordsize="1664,0" path="m4502,15l6166,15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tabs>
          <w:tab w:pos="1948" w:val="left" w:leader="none"/>
          <w:tab w:pos="3508" w:val="left" w:leader="none"/>
          <w:tab w:pos="5082" w:val="left" w:leader="none"/>
          <w:tab w:pos="7335" w:val="left" w:leader="none"/>
          <w:tab w:pos="8011" w:val="left" w:leader="none"/>
        </w:tabs>
        <w:spacing w:before="21"/>
        <w:ind w:left="1212" w:right="0" w:firstLine="0"/>
        <w:jc w:val="left"/>
        <w:rPr>
          <w:rFonts w:ascii="Times New Roman" w:hAnsi="Times New Roman" w:cs="Times New Roman" w:eastAsia="Times New Roman" w:hint="default"/>
          <w:sz w:val="20"/>
          <w:szCs w:val="20"/>
        </w:rPr>
      </w:pPr>
      <w:r>
        <w:rPr>
          <w:rFonts w:ascii="宋体" w:hAnsi="宋体" w:cs="宋体" w:eastAsia="宋体" w:hint="default"/>
          <w:w w:val="95"/>
          <w:position w:val="-1"/>
          <w:sz w:val="20"/>
          <w:szCs w:val="20"/>
        </w:rPr>
        <w:t>合</w:t>
        <w:tab/>
        <w:t>计</w:t>
        <w:tab/>
      </w:r>
      <w:r>
        <w:rPr>
          <w:rFonts w:ascii="Times New Roman" w:hAnsi="Times New Roman" w:cs="Times New Roman" w:eastAsia="Times New Roman" w:hint="default"/>
          <w:spacing w:val="2"/>
          <w:sz w:val="20"/>
          <w:szCs w:val="20"/>
        </w:rPr>
        <w:t>51,086,055.00</w:t>
        <w:tab/>
      </w:r>
      <w:r>
        <w:rPr>
          <w:rFonts w:ascii="Times New Roman" w:hAnsi="Times New Roman" w:cs="Times New Roman" w:eastAsia="Times New Roman" w:hint="default"/>
          <w:spacing w:val="4"/>
          <w:w w:val="95"/>
          <w:sz w:val="20"/>
          <w:szCs w:val="20"/>
        </w:rPr>
        <w:t>67,329,500.00</w:t>
        <w:tab/>
      </w:r>
      <w:r>
        <w:rPr>
          <w:rFonts w:ascii="Times New Roman" w:hAnsi="Times New Roman" w:cs="Times New Roman" w:eastAsia="Times New Roman" w:hint="default"/>
          <w:w w:val="95"/>
          <w:sz w:val="20"/>
          <w:szCs w:val="20"/>
        </w:rPr>
        <w:t>-</w:t>
        <w:tab/>
      </w:r>
      <w:r>
        <w:rPr>
          <w:rFonts w:ascii="Times New Roman" w:hAnsi="Times New Roman" w:cs="Times New Roman" w:eastAsia="Times New Roman" w:hint="default"/>
          <w:spacing w:val="3"/>
          <w:sz w:val="20"/>
          <w:szCs w:val="20"/>
        </w:rPr>
        <w:t>118,415</w:t>
      </w:r>
      <w:r>
        <w:rPr>
          <w:rFonts w:ascii="Times New Roman" w:hAnsi="Times New Roman" w:cs="Times New Roman" w:eastAsia="Times New Roman" w:hint="default"/>
          <w:spacing w:val="-24"/>
          <w:sz w:val="20"/>
          <w:szCs w:val="20"/>
        </w:rPr>
        <w:t> </w:t>
      </w:r>
      <w:r>
        <w:rPr>
          <w:rFonts w:ascii="Times New Roman" w:hAnsi="Times New Roman" w:cs="Times New Roman" w:eastAsia="Times New Roman" w:hint="default"/>
          <w:sz w:val="20"/>
          <w:szCs w:val="20"/>
        </w:rPr>
        <w:t>,555.00</w:t>
      </w:r>
    </w:p>
    <w:p>
      <w:pPr>
        <w:spacing w:line="240" w:lineRule="auto" w:before="10"/>
        <w:rPr>
          <w:rFonts w:ascii="Times New Roman" w:hAnsi="Times New Roman" w:cs="Times New Roman" w:eastAsia="Times New Roman" w:hint="default"/>
          <w:sz w:val="3"/>
          <w:szCs w:val="3"/>
        </w:rPr>
      </w:pPr>
    </w:p>
    <w:p>
      <w:pPr>
        <w:spacing w:line="56" w:lineRule="exact"/>
        <w:ind w:left="3251" w:right="0" w:firstLine="0"/>
        <w:rPr>
          <w:rFonts w:ascii="Times New Roman" w:hAnsi="Times New Roman" w:cs="Times New Roman" w:eastAsia="Times New Roman" w:hint="default"/>
          <w:sz w:val="5"/>
          <w:szCs w:val="5"/>
        </w:rPr>
      </w:pPr>
      <w:r>
        <w:rPr>
          <w:rFonts w:ascii="Times New Roman" w:hAnsi="Times New Roman" w:cs="Times New Roman" w:eastAsia="Times New Roman" w:hint="default"/>
          <w:position w:val="0"/>
          <w:sz w:val="5"/>
          <w:szCs w:val="5"/>
        </w:rPr>
        <w:pict>
          <v:group style="width:308.3pt;height:2.85pt;mso-position-horizontal-relative:char;mso-position-vertical-relative:line" coordorigin="0,0" coordsize="6166,57">
            <v:group style="position:absolute;left:7;top:7;width:1545;height:2" coordorigin="7,7" coordsize="1545,2">
              <v:shape style="position:absolute;left:7;top:7;width:1545;height:2" coordorigin="7,7" coordsize="1545,0" path="m7,7l1552,7e" filled="false" stroked="true" strokeweight=".72pt" strokecolor="#000000">
                <v:path arrowok="t"/>
              </v:shape>
            </v:group>
            <v:group style="position:absolute;left:7;top:49;width:1545;height:2" coordorigin="7,49" coordsize="1545,2">
              <v:shape style="position:absolute;left:7;top:49;width:1545;height:2" coordorigin="7,49" coordsize="1545,0" path="m7,49l1552,49e" filled="false" stroked="true" strokeweight=".72pt" strokecolor="#000000">
                <v:path arrowok="t"/>
              </v:shape>
            </v:group>
            <v:group style="position:absolute;left:1596;top:7;width:1532;height:2" coordorigin="1596,7" coordsize="1532,2">
              <v:shape style="position:absolute;left:1596;top:7;width:1532;height:2" coordorigin="1596,7" coordsize="1532,0" path="m1596,7l3127,7e" filled="false" stroked="true" strokeweight=".72pt" strokecolor="#000000">
                <v:path arrowok="t"/>
              </v:shape>
            </v:group>
            <v:group style="position:absolute;left:1596;top:49;width:1532;height:2" coordorigin="1596,49" coordsize="1532,2">
              <v:shape style="position:absolute;left:1596;top:49;width:1532;height:2" coordorigin="1596,49" coordsize="1532,0" path="m1596,49l3127,49e" filled="false" stroked="true" strokeweight=".72pt" strokecolor="#000000">
                <v:path arrowok="t"/>
              </v:shape>
            </v:group>
            <v:group style="position:absolute;left:3170;top:7;width:1281;height:2" coordorigin="3170,7" coordsize="1281,2">
              <v:shape style="position:absolute;left:3170;top:7;width:1281;height:2" coordorigin="3170,7" coordsize="1281,0" path="m3170,7l4451,7e" filled="false" stroked="true" strokeweight=".72pt" strokecolor="#000000">
                <v:path arrowok="t"/>
              </v:shape>
            </v:group>
            <v:group style="position:absolute;left:3170;top:49;width:1281;height:2" coordorigin="3170,49" coordsize="1281,2">
              <v:shape style="position:absolute;left:3170;top:49;width:1281;height:2" coordorigin="3170,49" coordsize="1281,0" path="m3170,49l4451,49e" filled="false" stroked="true" strokeweight=".72pt" strokecolor="#000000">
                <v:path arrowok="t"/>
              </v:shape>
            </v:group>
            <v:group style="position:absolute;left:4495;top:7;width:1664;height:2" coordorigin="4495,7" coordsize="1664,2">
              <v:shape style="position:absolute;left:4495;top:7;width:1664;height:2" coordorigin="4495,7" coordsize="1664,0" path="m4495,7l6158,7e" filled="false" stroked="true" strokeweight=".72pt" strokecolor="#000000">
                <v:path arrowok="t"/>
              </v:shape>
            </v:group>
            <v:group style="position:absolute;left:4495;top:49;width:1664;height:2" coordorigin="4495,49" coordsize="1664,2">
              <v:shape style="position:absolute;left:4495;top:49;width:1664;height:2" coordorigin="4495,49" coordsize="1664,0" path="m4495,49l6158,49e" filled="false" stroked="true" strokeweight=".72pt" strokecolor="#000000">
                <v:path arrowok="t"/>
              </v:shape>
            </v:group>
          </v:group>
        </w:pict>
      </w:r>
      <w:r>
        <w:rPr>
          <w:rFonts w:ascii="Times New Roman" w:hAnsi="Times New Roman" w:cs="Times New Roman" w:eastAsia="Times New Roman" w:hint="default"/>
          <w:position w:val="0"/>
          <w:sz w:val="5"/>
          <w:szCs w:val="5"/>
        </w:rPr>
      </w:r>
    </w:p>
    <w:p>
      <w:pPr>
        <w:spacing w:line="240" w:lineRule="auto" w:before="4"/>
        <w:rPr>
          <w:rFonts w:ascii="Times New Roman" w:hAnsi="Times New Roman" w:cs="Times New Roman" w:eastAsia="Times New Roman" w:hint="default"/>
          <w:sz w:val="10"/>
          <w:szCs w:val="10"/>
        </w:rPr>
      </w:pPr>
    </w:p>
    <w:p>
      <w:pPr>
        <w:pStyle w:val="BodyText"/>
        <w:spacing w:line="240" w:lineRule="auto" w:before="27"/>
        <w:ind w:left="617" w:right="224"/>
        <w:jc w:val="left"/>
      </w:pPr>
      <w:r>
        <w:rPr/>
        <w:t>（2）按成本法核算的长期股权投资</w:t>
      </w:r>
    </w:p>
    <w:p>
      <w:pPr>
        <w:spacing w:after="0" w:line="240" w:lineRule="auto"/>
        <w:jc w:val="left"/>
        <w:sectPr>
          <w:type w:val="continuous"/>
          <w:pgSz w:w="11910" w:h="16840"/>
          <w:pgMar w:top="1060" w:bottom="1460" w:left="1660" w:right="700"/>
        </w:sectPr>
      </w:pPr>
    </w:p>
    <w:p>
      <w:pPr>
        <w:tabs>
          <w:tab w:pos="2433" w:val="left" w:leader="none"/>
          <w:tab w:pos="4189" w:val="left" w:leader="none"/>
          <w:tab w:pos="5510" w:val="left" w:leader="none"/>
          <w:tab w:pos="6805" w:val="left" w:leader="none"/>
          <w:tab w:pos="8268" w:val="left" w:leader="none"/>
        </w:tabs>
        <w:spacing w:line="283" w:lineRule="auto" w:before="44"/>
        <w:ind w:left="424" w:right="493" w:firstLine="174"/>
        <w:jc w:val="left"/>
        <w:rPr>
          <w:rFonts w:ascii="宋体" w:hAnsi="宋体" w:cs="宋体" w:eastAsia="宋体" w:hint="default"/>
          <w:sz w:val="20"/>
          <w:szCs w:val="20"/>
        </w:rPr>
      </w:pPr>
      <w:r>
        <w:rPr/>
        <w:pict>
          <v:group style="position:absolute;margin-left:89.909988pt;margin-top:18.350004pt;width:449.3pt;height:1pt;mso-position-horizontal-relative:page;mso-position-vertical-relative:paragraph;z-index:-585592" coordorigin="1798,367" coordsize="8986,20">
            <v:group style="position:absolute;left:1807;top:368;width:1917;height:2" coordorigin="1807,368" coordsize="1917,2">
              <v:shape style="position:absolute;left:1807;top:368;width:1917;height:2" coordorigin="1807,368" coordsize="1917,0" path="m1807,368l3724,368e" filled="false" stroked="true" strokeweight=".06pt" strokecolor="#000000">
                <v:path arrowok="t"/>
              </v:shape>
            </v:group>
            <v:group style="position:absolute;left:1807;top:378;width:1918;height:2" coordorigin="1807,378" coordsize="1918,2">
              <v:shape style="position:absolute;left:1807;top:378;width:1918;height:2" coordorigin="1807,378" coordsize="1918,0" path="m1807,378l3725,378e" filled="false" stroked="true" strokeweight=".90002pt" strokecolor="#000000">
                <v:path arrowok="t"/>
              </v:shape>
            </v:group>
            <v:group style="position:absolute;left:3781;top:368;width:1439;height:2" coordorigin="3781,368" coordsize="1439,2">
              <v:shape style="position:absolute;left:3781;top:368;width:1439;height:2" coordorigin="3781,368" coordsize="1439,0" path="m3781,368l5220,368e" filled="false" stroked="true" strokeweight=".06pt" strokecolor="#000000">
                <v:path arrowok="t"/>
              </v:shape>
            </v:group>
            <v:group style="position:absolute;left:3782;top:378;width:1439;height:2" coordorigin="3782,378" coordsize="1439,2">
              <v:shape style="position:absolute;left:3782;top:378;width:1439;height:2" coordorigin="3782,378" coordsize="1439,0" path="m3782,378l5221,378e" filled="false" stroked="true" strokeweight=".90002pt" strokecolor="#000000">
                <v:path arrowok="t"/>
              </v:shape>
            </v:group>
            <v:group style="position:absolute;left:5263;top:368;width:1379;height:2" coordorigin="5263,368" coordsize="1379,2">
              <v:shape style="position:absolute;left:5263;top:368;width:1379;height:2" coordorigin="5263,368" coordsize="1379,0" path="m5263,368l6642,368e" filled="false" stroked="true" strokeweight=".06pt" strokecolor="#000000">
                <v:path arrowok="t"/>
              </v:shape>
            </v:group>
            <v:group style="position:absolute;left:5264;top:378;width:1379;height:2" coordorigin="5264,378" coordsize="1379,2">
              <v:shape style="position:absolute;left:5264;top:378;width:1379;height:2" coordorigin="5264,378" coordsize="1379,0" path="m5264,378l6643,378e" filled="false" stroked="true" strokeweight=".90002pt" strokecolor="#000000">
                <v:path arrowok="t"/>
              </v:shape>
            </v:group>
            <v:group style="position:absolute;left:6685;top:368;width:1379;height:2" coordorigin="6685,368" coordsize="1379,2">
              <v:shape style="position:absolute;left:6685;top:368;width:1379;height:2" coordorigin="6685,368" coordsize="1379,0" path="m6685,368l8064,368e" filled="false" stroked="true" strokeweight=".06pt" strokecolor="#000000">
                <v:path arrowok="t"/>
              </v:shape>
            </v:group>
            <v:group style="position:absolute;left:6686;top:378;width:1379;height:2" coordorigin="6686,378" coordsize="1379,2">
              <v:shape style="position:absolute;left:6686;top:378;width:1379;height:2" coordorigin="6686,378" coordsize="1379,0" path="m6686,378l8065,378e" filled="false" stroked="true" strokeweight=".90002pt" strokecolor="#000000">
                <v:path arrowok="t"/>
              </v:shape>
            </v:group>
            <v:group style="position:absolute;left:8107;top:368;width:1126;height:2" coordorigin="8107,368" coordsize="1126,2">
              <v:shape style="position:absolute;left:8107;top:368;width:1126;height:2" coordorigin="8107,368" coordsize="1126,0" path="m8107,368l9233,368e" filled="false" stroked="true" strokeweight=".06pt" strokecolor="#000000">
                <v:path arrowok="t"/>
              </v:shape>
            </v:group>
            <v:group style="position:absolute;left:8108;top:378;width:1125;height:2" coordorigin="8108,378" coordsize="1125,2">
              <v:shape style="position:absolute;left:8108;top:378;width:1125;height:2" coordorigin="8108,378" coordsize="1125,0" path="m8108,378l9233,378e" filled="false" stroked="true" strokeweight=".90002pt" strokecolor="#000000">
                <v:path arrowok="t"/>
              </v:shape>
            </v:group>
            <v:group style="position:absolute;left:9290;top:368;width:1484;height:2" coordorigin="9290,368" coordsize="1484,2">
              <v:shape style="position:absolute;left:9290;top:368;width:1484;height:2" coordorigin="9290,368" coordsize="1484,0" path="m9290,368l10774,368e" filled="false" stroked="true" strokeweight=".06pt" strokecolor="#000000">
                <v:path arrowok="t"/>
              </v:shape>
            </v:group>
            <v:group style="position:absolute;left:9290;top:378;width:1485;height:2" coordorigin="9290,378" coordsize="1485,2">
              <v:shape style="position:absolute;left:9290;top:378;width:1485;height:2" coordorigin="9290,378" coordsize="1485,0" path="m9290,378l10775,378e" filled="false" stroked="true" strokeweight=".90002pt" strokecolor="#000000">
                <v:path arrowok="t"/>
              </v:shape>
            </v:group>
            <w10:wrap type="none"/>
          </v:group>
        </w:pict>
      </w:r>
      <w:r>
        <w:rPr/>
        <w:pict>
          <v:shape style="position:absolute;margin-left:189.059998pt;margin-top:21.57819pt;width:349.7pt;height:238.85pt;mso-position-horizontal-relative:page;mso-position-vertical-relative:paragraph;z-index:11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14"/>
                    <w:gridCol w:w="1424"/>
                    <w:gridCol w:w="1807"/>
                    <w:gridCol w:w="2249"/>
                  </w:tblGrid>
                  <w:tr>
                    <w:trPr>
                      <w:trHeight w:val="445"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88" w:right="0"/>
                          <w:jc w:val="center"/>
                          <w:rPr>
                            <w:rFonts w:ascii="Times New Roman" w:hAnsi="Times New Roman" w:cs="Times New Roman" w:eastAsia="Times New Roman" w:hint="default"/>
                            <w:sz w:val="20"/>
                            <w:szCs w:val="20"/>
                          </w:rPr>
                        </w:pPr>
                        <w:r>
                          <w:rPr>
                            <w:rFonts w:ascii="Times New Roman"/>
                            <w:sz w:val="20"/>
                          </w:rPr>
                          <w:t>17,336,055.00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 w:right="0"/>
                          <w:jc w:val="center"/>
                          <w:rPr>
                            <w:rFonts w:ascii="Times New Roman" w:hAnsi="Times New Roman" w:cs="Times New Roman" w:eastAsia="Times New Roman" w:hint="default"/>
                            <w:sz w:val="20"/>
                            <w:szCs w:val="20"/>
                          </w:rPr>
                        </w:pPr>
                        <w:r>
                          <w:rPr>
                            <w:rFonts w:ascii="Times New Roman"/>
                            <w:sz w:val="20"/>
                          </w:rPr>
                          <w:t>17,336,055.00</w:t>
                        </w:r>
                      </w:p>
                    </w:tc>
                    <w:tc>
                      <w:tcPr>
                        <w:tcW w:w="1807"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7"/>
                          <w:jc w:val="right"/>
                          <w:rPr>
                            <w:rFonts w:ascii="Times New Roman" w:hAnsi="Times New Roman" w:cs="Times New Roman" w:eastAsia="Times New Roman" w:hint="default"/>
                            <w:sz w:val="20"/>
                            <w:szCs w:val="20"/>
                          </w:rPr>
                        </w:pPr>
                        <w:r>
                          <w:rPr>
                            <w:rFonts w:ascii="Times New Roman"/>
                            <w:sz w:val="20"/>
                          </w:rPr>
                          <w:t>17,336,055.00</w:t>
                        </w:r>
                      </w:p>
                    </w:tc>
                  </w:tr>
                  <w:tr>
                    <w:trPr>
                      <w:trHeight w:val="49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88" w:right="0"/>
                          <w:jc w:val="center"/>
                          <w:rPr>
                            <w:rFonts w:ascii="Times New Roman" w:hAnsi="Times New Roman" w:cs="Times New Roman" w:eastAsia="Times New Roman" w:hint="default"/>
                            <w:sz w:val="20"/>
                            <w:szCs w:val="20"/>
                          </w:rPr>
                        </w:pPr>
                        <w:r>
                          <w:rPr>
                            <w:rFonts w:ascii="Times New Roman"/>
                            <w:sz w:val="20"/>
                          </w:rPr>
                          <w:t>22,500,000.00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 w:right="0"/>
                          <w:jc w:val="center"/>
                          <w:rPr>
                            <w:rFonts w:ascii="Times New Roman" w:hAnsi="Times New Roman" w:cs="Times New Roman" w:eastAsia="Times New Roman" w:hint="default"/>
                            <w:sz w:val="20"/>
                            <w:szCs w:val="20"/>
                          </w:rPr>
                        </w:pPr>
                        <w:r>
                          <w:rPr>
                            <w:rFonts w:ascii="Times New Roman"/>
                            <w:sz w:val="20"/>
                          </w:rPr>
                          <w:t>15,000,000.00</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33" w:right="0"/>
                          <w:jc w:val="left"/>
                          <w:rPr>
                            <w:rFonts w:ascii="Times New Roman" w:hAnsi="Times New Roman" w:cs="Times New Roman" w:eastAsia="Times New Roman" w:hint="default"/>
                            <w:sz w:val="20"/>
                            <w:szCs w:val="20"/>
                          </w:rPr>
                        </w:pPr>
                        <w:r>
                          <w:rPr>
                            <w:rFonts w:ascii="Times New Roman"/>
                            <w:sz w:val="20"/>
                          </w:rPr>
                          <w:t>7,500,000.00</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
                          <w:jc w:val="right"/>
                          <w:rPr>
                            <w:rFonts w:ascii="Times New Roman" w:hAnsi="Times New Roman" w:cs="Times New Roman" w:eastAsia="Times New Roman" w:hint="default"/>
                            <w:sz w:val="20"/>
                            <w:szCs w:val="20"/>
                          </w:rPr>
                        </w:pPr>
                        <w:r>
                          <w:rPr>
                            <w:rFonts w:ascii="Times New Roman"/>
                            <w:sz w:val="20"/>
                          </w:rPr>
                          <w:t>22,500,000.00</w:t>
                        </w:r>
                      </w:p>
                    </w:tc>
                  </w:tr>
                  <w:tr>
                    <w:trPr>
                      <w:trHeight w:val="49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88" w:right="0"/>
                          <w:jc w:val="center"/>
                          <w:rPr>
                            <w:rFonts w:ascii="Times New Roman" w:hAnsi="Times New Roman" w:cs="Times New Roman" w:eastAsia="Times New Roman" w:hint="default"/>
                            <w:sz w:val="20"/>
                            <w:szCs w:val="20"/>
                          </w:rPr>
                        </w:pPr>
                        <w:r>
                          <w:rPr>
                            <w:rFonts w:ascii="Times New Roman"/>
                            <w:sz w:val="20"/>
                          </w:rPr>
                          <w:t>3,750,000.00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03" w:right="0"/>
                          <w:jc w:val="center"/>
                          <w:rPr>
                            <w:rFonts w:ascii="Times New Roman" w:hAnsi="Times New Roman" w:cs="Times New Roman" w:eastAsia="Times New Roman" w:hint="default"/>
                            <w:sz w:val="20"/>
                            <w:szCs w:val="20"/>
                          </w:rPr>
                        </w:pPr>
                        <w:r>
                          <w:rPr>
                            <w:rFonts w:ascii="Times New Roman"/>
                            <w:sz w:val="20"/>
                          </w:rPr>
                          <w:t>3,750,000.00</w:t>
                        </w:r>
                      </w:p>
                    </w:tc>
                    <w:tc>
                      <w:tcPr>
                        <w:tcW w:w="1807"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9"/>
                          <w:jc w:val="right"/>
                          <w:rPr>
                            <w:rFonts w:ascii="Times New Roman" w:hAnsi="Times New Roman" w:cs="Times New Roman" w:eastAsia="Times New Roman" w:hint="default"/>
                            <w:sz w:val="20"/>
                            <w:szCs w:val="20"/>
                          </w:rPr>
                        </w:pPr>
                        <w:r>
                          <w:rPr>
                            <w:rFonts w:ascii="Times New Roman"/>
                            <w:sz w:val="20"/>
                          </w:rPr>
                          <w:t>3,750,000.00</w:t>
                        </w:r>
                      </w:p>
                    </w:tc>
                  </w:tr>
                  <w:tr>
                    <w:trPr>
                      <w:trHeight w:val="49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88" w:right="0"/>
                          <w:jc w:val="center"/>
                          <w:rPr>
                            <w:rFonts w:ascii="Times New Roman" w:hAnsi="Times New Roman" w:cs="Times New Roman" w:eastAsia="Times New Roman" w:hint="default"/>
                            <w:sz w:val="20"/>
                            <w:szCs w:val="20"/>
                          </w:rPr>
                        </w:pPr>
                        <w:r>
                          <w:rPr>
                            <w:rFonts w:ascii="Times New Roman"/>
                            <w:sz w:val="20"/>
                          </w:rPr>
                          <w:t>22,500,000.00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 w:right="0"/>
                          <w:jc w:val="center"/>
                          <w:rPr>
                            <w:rFonts w:ascii="Times New Roman" w:hAnsi="Times New Roman" w:cs="Times New Roman" w:eastAsia="Times New Roman" w:hint="default"/>
                            <w:sz w:val="20"/>
                            <w:szCs w:val="20"/>
                          </w:rPr>
                        </w:pPr>
                        <w:r>
                          <w:rPr>
                            <w:rFonts w:ascii="Times New Roman"/>
                            <w:sz w:val="20"/>
                          </w:rPr>
                          <w:t>11,250,000.00</w:t>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33" w:right="0"/>
                          <w:jc w:val="left"/>
                          <w:rPr>
                            <w:rFonts w:ascii="Times New Roman" w:hAnsi="Times New Roman" w:cs="Times New Roman" w:eastAsia="Times New Roman" w:hint="default"/>
                            <w:sz w:val="20"/>
                            <w:szCs w:val="20"/>
                          </w:rPr>
                        </w:pPr>
                        <w:r>
                          <w:rPr>
                            <w:rFonts w:ascii="Times New Roman"/>
                            <w:sz w:val="20"/>
                          </w:rPr>
                          <w:t>11,250,000.00</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8"/>
                          <w:jc w:val="right"/>
                          <w:rPr>
                            <w:rFonts w:ascii="Times New Roman" w:hAnsi="Times New Roman" w:cs="Times New Roman" w:eastAsia="Times New Roman" w:hint="default"/>
                            <w:sz w:val="20"/>
                            <w:szCs w:val="20"/>
                          </w:rPr>
                        </w:pPr>
                        <w:r>
                          <w:rPr>
                            <w:rFonts w:ascii="Times New Roman"/>
                            <w:sz w:val="20"/>
                          </w:rPr>
                          <w:t>22,500,000.00</w:t>
                        </w:r>
                      </w:p>
                    </w:tc>
                  </w:tr>
                  <w:tr>
                    <w:trPr>
                      <w:trHeight w:val="49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88" w:right="0"/>
                          <w:jc w:val="center"/>
                          <w:rPr>
                            <w:rFonts w:ascii="Times New Roman" w:hAnsi="Times New Roman" w:cs="Times New Roman" w:eastAsia="Times New Roman" w:hint="default"/>
                            <w:sz w:val="20"/>
                            <w:szCs w:val="20"/>
                          </w:rPr>
                        </w:pPr>
                        <w:r>
                          <w:rPr>
                            <w:rFonts w:ascii="Times New Roman"/>
                            <w:sz w:val="20"/>
                          </w:rPr>
                          <w:t>3,750,000.00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03" w:right="0"/>
                          <w:jc w:val="center"/>
                          <w:rPr>
                            <w:rFonts w:ascii="Times New Roman" w:hAnsi="Times New Roman" w:cs="Times New Roman" w:eastAsia="Times New Roman" w:hint="default"/>
                            <w:sz w:val="20"/>
                            <w:szCs w:val="20"/>
                          </w:rPr>
                        </w:pPr>
                        <w:r>
                          <w:rPr>
                            <w:rFonts w:ascii="Times New Roman"/>
                            <w:sz w:val="20"/>
                          </w:rPr>
                          <w:t>3,750,000.00</w:t>
                        </w:r>
                      </w:p>
                    </w:tc>
                    <w:tc>
                      <w:tcPr>
                        <w:tcW w:w="1807"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9"/>
                          <w:jc w:val="right"/>
                          <w:rPr>
                            <w:rFonts w:ascii="Times New Roman" w:hAnsi="Times New Roman" w:cs="Times New Roman" w:eastAsia="Times New Roman" w:hint="default"/>
                            <w:sz w:val="20"/>
                            <w:szCs w:val="20"/>
                          </w:rPr>
                        </w:pPr>
                        <w:r>
                          <w:rPr>
                            <w:rFonts w:ascii="Times New Roman"/>
                            <w:sz w:val="20"/>
                          </w:rPr>
                          <w:t>3,750,000.00</w:t>
                        </w:r>
                      </w:p>
                    </w:tc>
                  </w:tr>
                  <w:tr>
                    <w:trPr>
                      <w:trHeight w:val="49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88" w:right="0"/>
                          <w:jc w:val="center"/>
                          <w:rPr>
                            <w:rFonts w:ascii="Times New Roman" w:hAnsi="Times New Roman" w:cs="Times New Roman" w:eastAsia="Times New Roman" w:hint="default"/>
                            <w:sz w:val="20"/>
                            <w:szCs w:val="20"/>
                          </w:rPr>
                        </w:pPr>
                        <w:r>
                          <w:rPr>
                            <w:rFonts w:ascii="Times New Roman"/>
                            <w:sz w:val="20"/>
                          </w:rPr>
                          <w:t>5,000,000.00</w:t>
                        </w:r>
                      </w:p>
                    </w:tc>
                    <w:tc>
                      <w:tcPr>
                        <w:tcW w:w="1424"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34" w:right="0"/>
                          <w:jc w:val="left"/>
                          <w:rPr>
                            <w:rFonts w:ascii="Times New Roman" w:hAnsi="Times New Roman" w:cs="Times New Roman" w:eastAsia="Times New Roman" w:hint="default"/>
                            <w:sz w:val="20"/>
                            <w:szCs w:val="20"/>
                          </w:rPr>
                        </w:pPr>
                        <w:r>
                          <w:rPr>
                            <w:rFonts w:ascii="Times New Roman"/>
                            <w:sz w:val="20"/>
                          </w:rPr>
                          <w:t>5,000,000.00</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9"/>
                          <w:jc w:val="right"/>
                          <w:rPr>
                            <w:rFonts w:ascii="Times New Roman" w:hAnsi="Times New Roman" w:cs="Times New Roman" w:eastAsia="Times New Roman" w:hint="default"/>
                            <w:sz w:val="20"/>
                            <w:szCs w:val="20"/>
                          </w:rPr>
                        </w:pPr>
                        <w:r>
                          <w:rPr>
                            <w:rFonts w:ascii="Times New Roman"/>
                            <w:sz w:val="20"/>
                          </w:rPr>
                          <w:t>5,000,000.00</w:t>
                        </w:r>
                      </w:p>
                    </w:tc>
                  </w:tr>
                  <w:tr>
                    <w:trPr>
                      <w:trHeight w:val="49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88" w:right="0"/>
                          <w:jc w:val="center"/>
                          <w:rPr>
                            <w:rFonts w:ascii="Times New Roman" w:hAnsi="Times New Roman" w:cs="Times New Roman" w:eastAsia="Times New Roman" w:hint="default"/>
                            <w:sz w:val="20"/>
                            <w:szCs w:val="20"/>
                          </w:rPr>
                        </w:pPr>
                        <w:r>
                          <w:rPr>
                            <w:rFonts w:ascii="Times New Roman"/>
                            <w:sz w:val="20"/>
                          </w:rPr>
                          <w:t>30,000,000.00</w:t>
                        </w:r>
                      </w:p>
                    </w:tc>
                    <w:tc>
                      <w:tcPr>
                        <w:tcW w:w="1424"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33" w:right="0"/>
                          <w:jc w:val="left"/>
                          <w:rPr>
                            <w:rFonts w:ascii="Times New Roman" w:hAnsi="Times New Roman" w:cs="Times New Roman" w:eastAsia="Times New Roman" w:hint="default"/>
                            <w:sz w:val="20"/>
                            <w:szCs w:val="20"/>
                          </w:rPr>
                        </w:pPr>
                        <w:r>
                          <w:rPr>
                            <w:rFonts w:ascii="Times New Roman"/>
                            <w:sz w:val="20"/>
                          </w:rPr>
                          <w:t>30,000,000.00</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7"/>
                          <w:jc w:val="right"/>
                          <w:rPr>
                            <w:rFonts w:ascii="Times New Roman" w:hAnsi="Times New Roman" w:cs="Times New Roman" w:eastAsia="Times New Roman" w:hint="default"/>
                            <w:sz w:val="20"/>
                            <w:szCs w:val="20"/>
                          </w:rPr>
                        </w:pPr>
                        <w:r>
                          <w:rPr>
                            <w:rFonts w:ascii="Times New Roman"/>
                            <w:sz w:val="20"/>
                          </w:rPr>
                          <w:t>30,000,000.00</w:t>
                        </w:r>
                      </w:p>
                    </w:tc>
                  </w:tr>
                  <w:tr>
                    <w:trPr>
                      <w:trHeight w:val="491" w:hRule="exact"/>
                    </w:trPr>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88" w:right="0"/>
                          <w:jc w:val="center"/>
                          <w:rPr>
                            <w:rFonts w:ascii="Times New Roman" w:hAnsi="Times New Roman" w:cs="Times New Roman" w:eastAsia="Times New Roman" w:hint="default"/>
                            <w:sz w:val="20"/>
                            <w:szCs w:val="20"/>
                          </w:rPr>
                        </w:pPr>
                        <w:r>
                          <w:rPr>
                            <w:rFonts w:ascii="Times New Roman"/>
                            <w:sz w:val="20"/>
                          </w:rPr>
                          <w:t>7,500,000.00</w:t>
                        </w:r>
                      </w:p>
                    </w:tc>
                    <w:tc>
                      <w:tcPr>
                        <w:tcW w:w="1424"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34" w:right="0"/>
                          <w:jc w:val="left"/>
                          <w:rPr>
                            <w:rFonts w:ascii="Times New Roman" w:hAnsi="Times New Roman" w:cs="Times New Roman" w:eastAsia="Times New Roman" w:hint="default"/>
                            <w:sz w:val="20"/>
                            <w:szCs w:val="20"/>
                          </w:rPr>
                        </w:pPr>
                        <w:r>
                          <w:rPr>
                            <w:rFonts w:ascii="Times New Roman"/>
                            <w:sz w:val="20"/>
                          </w:rPr>
                          <w:t>7,500,000.00</w:t>
                        </w: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9"/>
                          <w:jc w:val="right"/>
                          <w:rPr>
                            <w:rFonts w:ascii="Times New Roman" w:hAnsi="Times New Roman" w:cs="Times New Roman" w:eastAsia="Times New Roman" w:hint="default"/>
                            <w:sz w:val="20"/>
                            <w:szCs w:val="20"/>
                          </w:rPr>
                        </w:pPr>
                        <w:r>
                          <w:rPr>
                            <w:rFonts w:ascii="Times New Roman"/>
                            <w:sz w:val="20"/>
                          </w:rPr>
                          <w:t>7,500,000.00</w:t>
                        </w:r>
                      </w:p>
                    </w:tc>
                  </w:tr>
                  <w:tr>
                    <w:trPr>
                      <w:trHeight w:val="483" w:hRule="exact"/>
                    </w:trPr>
                    <w:tc>
                      <w:tcPr>
                        <w:tcW w:w="1514" w:type="dxa"/>
                        <w:tcBorders>
                          <w:top w:val="nil" w:sz="6" w:space="0" w:color="auto"/>
                          <w:left w:val="nil" w:sz="6" w:space="0" w:color="auto"/>
                          <w:bottom w:val="single" w:sz="8" w:space="0" w:color="000000"/>
                          <w:right w:val="nil" w:sz="6" w:space="0" w:color="auto"/>
                        </w:tcBorders>
                      </w:tcPr>
                      <w:p>
                        <w:pPr>
                          <w:pStyle w:val="TableParagraph"/>
                          <w:spacing w:line="240" w:lineRule="auto" w:before="119"/>
                          <w:ind w:left="188" w:right="0"/>
                          <w:jc w:val="center"/>
                          <w:rPr>
                            <w:rFonts w:ascii="Times New Roman" w:hAnsi="Times New Roman" w:cs="Times New Roman" w:eastAsia="Times New Roman" w:hint="default"/>
                            <w:sz w:val="20"/>
                            <w:szCs w:val="20"/>
                          </w:rPr>
                        </w:pPr>
                        <w:r>
                          <w:rPr>
                            <w:rFonts w:ascii="Times New Roman"/>
                            <w:sz w:val="20"/>
                          </w:rPr>
                          <w:t>6,079,500.00</w:t>
                        </w:r>
                      </w:p>
                    </w:tc>
                    <w:tc>
                      <w:tcPr>
                        <w:tcW w:w="1424" w:type="dxa"/>
                        <w:tcBorders>
                          <w:top w:val="nil" w:sz="6" w:space="0" w:color="auto"/>
                          <w:left w:val="nil" w:sz="6" w:space="0" w:color="auto"/>
                          <w:bottom w:val="single" w:sz="8" w:space="0" w:color="000000"/>
                          <w:right w:val="nil" w:sz="6" w:space="0" w:color="auto"/>
                        </w:tcBorders>
                      </w:tcPr>
                      <w:p>
                        <w:pPr/>
                      </w:p>
                    </w:tc>
                    <w:tc>
                      <w:tcPr>
                        <w:tcW w:w="1807" w:type="dxa"/>
                        <w:tcBorders>
                          <w:top w:val="nil" w:sz="6" w:space="0" w:color="auto"/>
                          <w:left w:val="nil" w:sz="6" w:space="0" w:color="auto"/>
                          <w:bottom w:val="single" w:sz="8" w:space="0" w:color="000000"/>
                          <w:right w:val="nil" w:sz="6" w:space="0" w:color="auto"/>
                        </w:tcBorders>
                      </w:tcPr>
                      <w:p>
                        <w:pPr>
                          <w:pStyle w:val="TableParagraph"/>
                          <w:spacing w:line="240" w:lineRule="auto" w:before="119"/>
                          <w:ind w:left="234" w:right="0"/>
                          <w:jc w:val="left"/>
                          <w:rPr>
                            <w:rFonts w:ascii="Times New Roman" w:hAnsi="Times New Roman" w:cs="Times New Roman" w:eastAsia="Times New Roman" w:hint="default"/>
                            <w:sz w:val="20"/>
                            <w:szCs w:val="20"/>
                          </w:rPr>
                        </w:pPr>
                        <w:r>
                          <w:rPr>
                            <w:rFonts w:ascii="Times New Roman"/>
                            <w:sz w:val="20"/>
                          </w:rPr>
                          <w:t>6,079,500.00</w:t>
                        </w:r>
                      </w:p>
                    </w:tc>
                    <w:tc>
                      <w:tcPr>
                        <w:tcW w:w="2249" w:type="dxa"/>
                        <w:tcBorders>
                          <w:top w:val="nil" w:sz="6" w:space="0" w:color="auto"/>
                          <w:left w:val="nil" w:sz="6" w:space="0" w:color="auto"/>
                          <w:bottom w:val="single" w:sz="8" w:space="0" w:color="000000"/>
                          <w:right w:val="nil" w:sz="6" w:space="0" w:color="auto"/>
                        </w:tcBorders>
                      </w:tcPr>
                      <w:p>
                        <w:pPr>
                          <w:pStyle w:val="TableParagraph"/>
                          <w:spacing w:line="240" w:lineRule="auto" w:before="119"/>
                          <w:ind w:right="59"/>
                          <w:jc w:val="right"/>
                          <w:rPr>
                            <w:rFonts w:ascii="Times New Roman" w:hAnsi="Times New Roman" w:cs="Times New Roman" w:eastAsia="Times New Roman" w:hint="default"/>
                            <w:sz w:val="20"/>
                            <w:szCs w:val="20"/>
                          </w:rPr>
                        </w:pPr>
                        <w:r>
                          <w:rPr>
                            <w:rFonts w:ascii="Times New Roman"/>
                            <w:sz w:val="20"/>
                          </w:rPr>
                          <w:t>6,079,500.00</w:t>
                        </w:r>
                      </w:p>
                    </w:tc>
                  </w:tr>
                  <w:tr>
                    <w:trPr>
                      <w:trHeight w:val="352" w:hRule="exact"/>
                    </w:trPr>
                    <w:tc>
                      <w:tcPr>
                        <w:tcW w:w="1514" w:type="dxa"/>
                        <w:tcBorders>
                          <w:top w:val="single" w:sz="8" w:space="0" w:color="000000"/>
                          <w:left w:val="nil" w:sz="6" w:space="0" w:color="auto"/>
                          <w:bottom w:val="single" w:sz="23" w:space="0" w:color="000000"/>
                          <w:right w:val="nil" w:sz="6" w:space="0" w:color="auto"/>
                        </w:tcBorders>
                      </w:tcPr>
                      <w:p>
                        <w:pPr>
                          <w:pStyle w:val="TableParagraph"/>
                          <w:spacing w:line="240" w:lineRule="auto" w:before="47"/>
                          <w:ind w:right="9"/>
                          <w:jc w:val="center"/>
                          <w:rPr>
                            <w:rFonts w:ascii="Times New Roman" w:hAnsi="Times New Roman" w:cs="Times New Roman" w:eastAsia="Times New Roman" w:hint="default"/>
                            <w:sz w:val="20"/>
                            <w:szCs w:val="20"/>
                          </w:rPr>
                        </w:pPr>
                        <w:r>
                          <w:rPr>
                            <w:rFonts w:ascii="Times New Roman"/>
                            <w:sz w:val="20"/>
                          </w:rPr>
                          <w:t>118,415,555.00</w:t>
                        </w:r>
                      </w:p>
                    </w:tc>
                    <w:tc>
                      <w:tcPr>
                        <w:tcW w:w="1424" w:type="dxa"/>
                        <w:tcBorders>
                          <w:top w:val="single" w:sz="8" w:space="0" w:color="000000"/>
                          <w:left w:val="nil" w:sz="6" w:space="0" w:color="auto"/>
                          <w:bottom w:val="single" w:sz="23" w:space="0" w:color="000000"/>
                          <w:right w:val="nil" w:sz="6" w:space="0" w:color="auto"/>
                        </w:tcBorders>
                      </w:tcPr>
                      <w:p>
                        <w:pPr>
                          <w:pStyle w:val="TableParagraph"/>
                          <w:spacing w:line="240" w:lineRule="auto" w:before="47"/>
                          <w:ind w:left="1" w:right="0"/>
                          <w:jc w:val="center"/>
                          <w:rPr>
                            <w:rFonts w:ascii="Times New Roman" w:hAnsi="Times New Roman" w:cs="Times New Roman" w:eastAsia="Times New Roman" w:hint="default"/>
                            <w:sz w:val="20"/>
                            <w:szCs w:val="20"/>
                          </w:rPr>
                        </w:pPr>
                        <w:r>
                          <w:rPr>
                            <w:rFonts w:ascii="Times New Roman"/>
                            <w:sz w:val="20"/>
                          </w:rPr>
                          <w:t>51,086,055.00</w:t>
                        </w:r>
                      </w:p>
                    </w:tc>
                    <w:tc>
                      <w:tcPr>
                        <w:tcW w:w="1807" w:type="dxa"/>
                        <w:tcBorders>
                          <w:top w:val="single" w:sz="8" w:space="0" w:color="000000"/>
                          <w:left w:val="nil" w:sz="6" w:space="0" w:color="auto"/>
                          <w:bottom w:val="single" w:sz="23" w:space="0" w:color="000000"/>
                          <w:right w:val="nil" w:sz="6" w:space="0" w:color="auto"/>
                        </w:tcBorders>
                      </w:tcPr>
                      <w:p>
                        <w:pPr>
                          <w:pStyle w:val="TableParagraph"/>
                          <w:spacing w:line="240" w:lineRule="auto" w:before="47"/>
                          <w:ind w:left="132" w:right="0"/>
                          <w:jc w:val="left"/>
                          <w:rPr>
                            <w:rFonts w:ascii="Times New Roman" w:hAnsi="Times New Roman" w:cs="Times New Roman" w:eastAsia="Times New Roman" w:hint="default"/>
                            <w:sz w:val="20"/>
                            <w:szCs w:val="20"/>
                          </w:rPr>
                        </w:pPr>
                        <w:r>
                          <w:rPr>
                            <w:rFonts w:ascii="Times New Roman"/>
                            <w:sz w:val="20"/>
                          </w:rPr>
                          <w:t>67,329,500.00</w:t>
                        </w:r>
                      </w:p>
                    </w:tc>
                    <w:tc>
                      <w:tcPr>
                        <w:tcW w:w="2249" w:type="dxa"/>
                        <w:tcBorders>
                          <w:top w:val="single" w:sz="8" w:space="0" w:color="000000"/>
                          <w:left w:val="nil" w:sz="6" w:space="0" w:color="auto"/>
                          <w:bottom w:val="single" w:sz="23" w:space="0" w:color="000000"/>
                          <w:right w:val="nil" w:sz="6" w:space="0" w:color="auto"/>
                        </w:tcBorders>
                      </w:tcPr>
                      <w:p>
                        <w:pPr>
                          <w:pStyle w:val="TableParagraph"/>
                          <w:tabs>
                            <w:tab w:pos="413" w:val="left" w:leader="none"/>
                          </w:tabs>
                          <w:spacing w:line="240" w:lineRule="auto" w:before="47"/>
                          <w:ind w:right="61"/>
                          <w:jc w:val="right"/>
                          <w:rPr>
                            <w:rFonts w:ascii="Times New Roman" w:hAnsi="Times New Roman" w:cs="Times New Roman" w:eastAsia="Times New Roman" w:hint="default"/>
                            <w:sz w:val="20"/>
                            <w:szCs w:val="20"/>
                          </w:rPr>
                        </w:pPr>
                        <w:r>
                          <w:rPr>
                            <w:rFonts w:ascii="Times New Roman"/>
                            <w:w w:val="95"/>
                            <w:sz w:val="20"/>
                          </w:rPr>
                          <w:t>-</w:t>
                          <w:tab/>
                        </w:r>
                        <w:r>
                          <w:rPr>
                            <w:rFonts w:ascii="Times New Roman"/>
                            <w:sz w:val="20"/>
                          </w:rPr>
                          <w:t>118,415,555.00</w:t>
                        </w:r>
                      </w:p>
                    </w:tc>
                  </w:tr>
                </w:tbl>
                <w:p>
                  <w:pPr/>
                </w:p>
              </w:txbxContent>
            </v:textbox>
            <w10:wrap type="none"/>
          </v:shape>
        </w:pict>
      </w:r>
      <w:r>
        <w:rPr>
          <w:rFonts w:ascii="宋体" w:hAnsi="宋体" w:cs="宋体" w:eastAsia="宋体" w:hint="default"/>
          <w:sz w:val="20"/>
          <w:szCs w:val="20"/>
        </w:rPr>
        <w:t>被投资单位名称</w:t>
        <w:tab/>
        <w:t>初始投资金额</w:t>
        <w:tab/>
      </w:r>
      <w:r>
        <w:rPr>
          <w:rFonts w:ascii="宋体" w:hAnsi="宋体" w:cs="宋体" w:eastAsia="宋体" w:hint="default"/>
          <w:w w:val="95"/>
          <w:sz w:val="20"/>
          <w:szCs w:val="20"/>
        </w:rPr>
        <w:t>年初数</w:t>
        <w:tab/>
      </w:r>
      <w:r>
        <w:rPr>
          <w:rFonts w:ascii="宋体" w:hAnsi="宋体" w:cs="宋体" w:eastAsia="宋体" w:hint="default"/>
          <w:sz w:val="20"/>
          <w:szCs w:val="20"/>
        </w:rPr>
        <w:t>本年增加</w:t>
        <w:tab/>
        <w:t>本年减少</w:t>
        <w:tab/>
        <w:t>年末数</w:t>
      </w:r>
      <w:r>
        <w:rPr>
          <w:rFonts w:ascii="宋体" w:hAnsi="宋体" w:cs="宋体" w:eastAsia="宋体" w:hint="default"/>
          <w:w w:val="99"/>
          <w:sz w:val="20"/>
          <w:szCs w:val="20"/>
        </w:rPr>
        <w:t> </w:t>
      </w:r>
      <w:r>
        <w:rPr>
          <w:rFonts w:ascii="宋体" w:hAnsi="宋体" w:cs="宋体" w:eastAsia="宋体" w:hint="default"/>
          <w:sz w:val="20"/>
          <w:szCs w:val="20"/>
        </w:rPr>
        <w:t>郑州东港安全印刷</w:t>
      </w:r>
    </w:p>
    <w:p>
      <w:pPr>
        <w:spacing w:line="203" w:lineRule="exact" w:before="0"/>
        <w:ind w:left="323" w:right="493" w:firstLine="0"/>
        <w:jc w:val="left"/>
        <w:rPr>
          <w:rFonts w:ascii="宋体" w:hAnsi="宋体" w:cs="宋体" w:eastAsia="宋体" w:hint="default"/>
          <w:sz w:val="20"/>
          <w:szCs w:val="20"/>
        </w:rPr>
      </w:pPr>
      <w:r>
        <w:rPr>
          <w:rFonts w:ascii="宋体" w:hAnsi="宋体" w:cs="宋体" w:eastAsia="宋体" w:hint="default"/>
          <w:sz w:val="20"/>
          <w:szCs w:val="20"/>
        </w:rPr>
        <w:t>有限公司</w:t>
      </w:r>
    </w:p>
    <w:p>
      <w:pPr>
        <w:spacing w:line="225" w:lineRule="auto" w:before="5"/>
        <w:ind w:left="323" w:right="7321" w:firstLine="100"/>
        <w:jc w:val="left"/>
        <w:rPr>
          <w:rFonts w:ascii="宋体" w:hAnsi="宋体" w:cs="宋体" w:eastAsia="宋体" w:hint="default"/>
          <w:sz w:val="20"/>
          <w:szCs w:val="20"/>
        </w:rPr>
      </w:pPr>
      <w:r>
        <w:rPr>
          <w:rFonts w:ascii="宋体" w:hAnsi="宋体" w:cs="宋体" w:eastAsia="宋体" w:hint="default"/>
          <w:sz w:val="20"/>
          <w:szCs w:val="20"/>
        </w:rPr>
        <w:t>北京东港安全印刷</w:t>
      </w:r>
      <w:r>
        <w:rPr>
          <w:rFonts w:ascii="宋体" w:hAnsi="宋体" w:cs="宋体" w:eastAsia="宋体" w:hint="default"/>
          <w:spacing w:val="2"/>
          <w:w w:val="99"/>
          <w:sz w:val="20"/>
          <w:szCs w:val="20"/>
        </w:rPr>
        <w:t> </w:t>
      </w:r>
      <w:r>
        <w:rPr>
          <w:rFonts w:ascii="宋体" w:hAnsi="宋体" w:cs="宋体" w:eastAsia="宋体" w:hint="default"/>
          <w:sz w:val="20"/>
          <w:szCs w:val="20"/>
        </w:rPr>
        <w:t>有限公司</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新疆东港安全印刷</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有限公司</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上海东港印刷有限</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公司</w:t>
      </w:r>
      <w:r>
        <w:rPr>
          <w:rFonts w:ascii="宋体" w:hAnsi="宋体" w:cs="宋体" w:eastAsia="宋体" w:hint="default"/>
          <w:spacing w:val="1"/>
          <w:w w:val="99"/>
          <w:sz w:val="20"/>
          <w:szCs w:val="20"/>
        </w:rPr>
        <w:t> </w:t>
      </w:r>
      <w:r>
        <w:rPr>
          <w:rFonts w:ascii="宋体" w:hAnsi="宋体" w:cs="宋体" w:eastAsia="宋体" w:hint="default"/>
          <w:sz w:val="20"/>
          <w:szCs w:val="20"/>
        </w:rPr>
        <w:t>青海东港印刷有限</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公司</w:t>
      </w:r>
      <w:r>
        <w:rPr>
          <w:rFonts w:ascii="宋体" w:hAnsi="宋体" w:cs="宋体" w:eastAsia="宋体" w:hint="default"/>
          <w:spacing w:val="1"/>
          <w:w w:val="99"/>
          <w:sz w:val="20"/>
          <w:szCs w:val="20"/>
        </w:rPr>
        <w:t> </w:t>
      </w:r>
      <w:r>
        <w:rPr>
          <w:rFonts w:ascii="宋体" w:hAnsi="宋体" w:cs="宋体" w:eastAsia="宋体" w:hint="default"/>
          <w:sz w:val="20"/>
          <w:szCs w:val="20"/>
        </w:rPr>
        <w:t>成都东港安全印刷</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有限公司</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山东东港安全印刷</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有限公司</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广州东港安全印刷</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有限公司</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北京东港嘉华安全</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信息技术有限公司</w:t>
      </w:r>
    </w:p>
    <w:p>
      <w:pPr>
        <w:spacing w:before="36"/>
        <w:ind w:left="1050" w:right="493" w:firstLine="0"/>
        <w:jc w:val="left"/>
        <w:rPr>
          <w:rFonts w:ascii="宋体" w:hAnsi="宋体" w:cs="宋体" w:eastAsia="宋体" w:hint="default"/>
          <w:sz w:val="20"/>
          <w:szCs w:val="20"/>
        </w:rPr>
      </w:pPr>
      <w:r>
        <w:rPr>
          <w:rFonts w:ascii="宋体" w:hAnsi="宋体" w:cs="宋体" w:eastAsia="宋体" w:hint="default"/>
          <w:sz w:val="20"/>
          <w:szCs w:val="20"/>
        </w:rPr>
        <w:t>合 计</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310" w:lineRule="exact" w:before="59"/>
        <w:ind w:left="100" w:right="764" w:firstLine="480"/>
        <w:jc w:val="left"/>
      </w:pPr>
      <w:r>
        <w:rPr/>
        <w:t>（3）截至</w:t>
      </w:r>
      <w:r>
        <w:rPr>
          <w:spacing w:val="-47"/>
        </w:rPr>
        <w:t> </w:t>
      </w:r>
      <w:r>
        <w:rPr/>
        <w:t>2007</w:t>
      </w:r>
      <w:r>
        <w:rPr>
          <w:spacing w:val="-47"/>
        </w:rPr>
        <w:t> </w:t>
      </w:r>
      <w:r>
        <w:rPr/>
        <w:t>年</w:t>
      </w:r>
      <w:r>
        <w:rPr>
          <w:spacing w:val="-47"/>
        </w:rPr>
        <w:t> </w:t>
      </w:r>
      <w:r>
        <w:rPr/>
        <w:t>12</w:t>
      </w:r>
      <w:r>
        <w:rPr>
          <w:spacing w:val="-45"/>
        </w:rPr>
        <w:t> </w:t>
      </w:r>
      <w:r>
        <w:rPr/>
        <w:t>月</w:t>
      </w:r>
      <w:r>
        <w:rPr>
          <w:spacing w:val="-47"/>
        </w:rPr>
        <w:t> </w:t>
      </w:r>
      <w:r>
        <w:rPr/>
        <w:t>31</w:t>
      </w:r>
      <w:r>
        <w:rPr>
          <w:spacing w:val="-47"/>
        </w:rPr>
        <w:t> </w:t>
      </w:r>
      <w:r>
        <w:rPr/>
        <w:t>日，本公司长期股权投资无账面价值高于可收回</w:t>
      </w:r>
      <w:r>
        <w:rPr>
          <w:spacing w:val="-1"/>
          <w:w w:val="100"/>
        </w:rPr>
        <w:t> </w:t>
      </w:r>
      <w:r>
        <w:rPr>
          <w:spacing w:val="-2"/>
        </w:rPr>
        <w:t>金额的情况。</w:t>
      </w:r>
      <w:r>
        <w:rPr/>
      </w:r>
    </w:p>
    <w:p>
      <w:pPr>
        <w:pStyle w:val="Heading3"/>
        <w:spacing w:line="240" w:lineRule="auto" w:before="3"/>
        <w:ind w:left="760" w:right="493"/>
        <w:jc w:val="left"/>
        <w:rPr>
          <w:b w:val="0"/>
          <w:bCs w:val="0"/>
        </w:rPr>
      </w:pPr>
      <w:r>
        <w:rPr/>
        <w:t>4、营业收入和营业成本</w:t>
      </w:r>
      <w:r>
        <w:rPr>
          <w:b w:val="0"/>
          <w:bCs w:val="0"/>
        </w:rPr>
      </w:r>
    </w:p>
    <w:p>
      <w:pPr>
        <w:pStyle w:val="BodyText"/>
        <w:spacing w:line="240" w:lineRule="auto" w:before="98"/>
        <w:ind w:left="757" w:right="493"/>
        <w:jc w:val="left"/>
      </w:pPr>
      <w:r>
        <w:rPr/>
        <w:pict>
          <v:group style="position:absolute;margin-left:239.279999pt;margin-top:93.315865pt;width:133.35pt;height:.1pt;mso-position-horizontal-relative:page;mso-position-vertical-relative:paragraph;z-index:-585568" coordorigin="4786,1866" coordsize="2667,2">
            <v:shape style="position:absolute;left:4786;top:1866;width:2667;height:2" coordorigin="4786,1866" coordsize="2667,0" path="m4786,1866l7452,1866e" filled="false" stroked="true" strokeweight=".96002pt" strokecolor="#000000">
              <v:path arrowok="t"/>
            </v:shape>
            <w10:wrap type="none"/>
          </v:group>
        </w:pict>
      </w:r>
      <w:r>
        <w:rPr/>
        <w:pict>
          <v:group style="position:absolute;margin-left:397.980011pt;margin-top:93.315865pt;width:133.35pt;height:.1pt;mso-position-horizontal-relative:page;mso-position-vertical-relative:paragraph;z-index:-585520" coordorigin="7960,1866" coordsize="2667,2">
            <v:shape style="position:absolute;left:7960;top:1866;width:2667;height:2" coordorigin="7960,1866" coordsize="2667,0" path="m7960,1866l10626,1866e" filled="false" stroked="true" strokeweight=".96002pt" strokecolor="#000000">
              <v:path arrowok="t"/>
            </v:shape>
            <w10:wrap type="none"/>
          </v:group>
        </w:pict>
      </w:r>
      <w:r>
        <w:rPr/>
        <w:t>（1）主营业务收入与其它业务收入</w:t>
      </w:r>
    </w:p>
    <w:p>
      <w:pPr>
        <w:spacing w:line="240" w:lineRule="auto" w:before="3"/>
        <w:rPr>
          <w:rFonts w:ascii="宋体" w:hAnsi="宋体" w:cs="宋体" w:eastAsia="宋体" w:hint="default"/>
          <w:sz w:val="4"/>
          <w:szCs w:val="4"/>
        </w:rPr>
      </w:pPr>
    </w:p>
    <w:tbl>
      <w:tblPr>
        <w:tblW w:w="0" w:type="auto"/>
        <w:jc w:val="left"/>
        <w:tblInd w:w="288" w:type="dxa"/>
        <w:tblLayout w:type="fixed"/>
        <w:tblCellMar>
          <w:top w:w="0" w:type="dxa"/>
          <w:left w:w="0" w:type="dxa"/>
          <w:bottom w:w="0" w:type="dxa"/>
          <w:right w:w="0" w:type="dxa"/>
        </w:tblCellMar>
        <w:tblLook w:val="01E0"/>
      </w:tblPr>
      <w:tblGrid>
        <w:gridCol w:w="2470"/>
        <w:gridCol w:w="508"/>
        <w:gridCol w:w="2666"/>
        <w:gridCol w:w="508"/>
        <w:gridCol w:w="2666"/>
      </w:tblGrid>
      <w:tr>
        <w:trPr>
          <w:trHeight w:val="361" w:hRule="exact"/>
        </w:trPr>
        <w:tc>
          <w:tcPr>
            <w:tcW w:w="2470" w:type="dxa"/>
            <w:tcBorders>
              <w:top w:val="nil" w:sz="6" w:space="0" w:color="auto"/>
              <w:left w:val="nil" w:sz="6" w:space="0" w:color="auto"/>
              <w:bottom w:val="single" w:sz="8" w:space="0" w:color="000000"/>
              <w:right w:val="nil" w:sz="6" w:space="0" w:color="auto"/>
            </w:tcBorders>
          </w:tcPr>
          <w:p>
            <w:pPr>
              <w:pStyle w:val="TableParagraph"/>
              <w:tabs>
                <w:tab w:pos="415" w:val="left" w:leader="none"/>
              </w:tabs>
              <w:spacing w:line="240" w:lineRule="auto" w:before="37"/>
              <w:ind w:left="13"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508" w:type="dxa"/>
            <w:tcBorders>
              <w:top w:val="nil" w:sz="6" w:space="0" w:color="auto"/>
              <w:left w:val="nil" w:sz="6" w:space="0" w:color="auto"/>
              <w:bottom w:val="nil" w:sz="6" w:space="0" w:color="auto"/>
              <w:right w:val="nil" w:sz="6" w:space="0" w:color="auto"/>
            </w:tcBorders>
          </w:tcPr>
          <w:p>
            <w:pPr/>
          </w:p>
        </w:tc>
        <w:tc>
          <w:tcPr>
            <w:tcW w:w="2666"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85"/>
              <w:jc w:val="center"/>
              <w:rPr>
                <w:rFonts w:ascii="宋体" w:hAnsi="宋体" w:cs="宋体" w:eastAsia="宋体" w:hint="default"/>
                <w:sz w:val="20"/>
                <w:szCs w:val="20"/>
              </w:rPr>
            </w:pPr>
            <w:r>
              <w:rPr>
                <w:rFonts w:ascii="宋体" w:hAnsi="宋体" w:cs="宋体" w:eastAsia="宋体" w:hint="default"/>
                <w:sz w:val="20"/>
                <w:szCs w:val="20"/>
              </w:rPr>
              <w:t>本年数</w:t>
            </w:r>
          </w:p>
        </w:tc>
        <w:tc>
          <w:tcPr>
            <w:tcW w:w="508" w:type="dxa"/>
            <w:tcBorders>
              <w:top w:val="nil" w:sz="6" w:space="0" w:color="auto"/>
              <w:left w:val="nil" w:sz="6" w:space="0" w:color="auto"/>
              <w:bottom w:val="nil" w:sz="6" w:space="0" w:color="auto"/>
              <w:right w:val="nil" w:sz="6" w:space="0" w:color="auto"/>
            </w:tcBorders>
          </w:tcPr>
          <w:p>
            <w:pPr/>
          </w:p>
        </w:tc>
        <w:tc>
          <w:tcPr>
            <w:tcW w:w="2666"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right="85"/>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364" w:hRule="exact"/>
        </w:trPr>
        <w:tc>
          <w:tcPr>
            <w:tcW w:w="2470" w:type="dxa"/>
            <w:tcBorders>
              <w:top w:val="single" w:sz="8" w:space="0" w:color="000000"/>
              <w:left w:val="nil" w:sz="6" w:space="0" w:color="auto"/>
              <w:bottom w:val="nil" w:sz="6" w:space="0" w:color="auto"/>
              <w:right w:val="nil" w:sz="6" w:space="0" w:color="auto"/>
            </w:tcBorders>
          </w:tcPr>
          <w:p>
            <w:pPr>
              <w:pStyle w:val="TableParagraph"/>
              <w:spacing w:line="240" w:lineRule="auto" w:before="18"/>
              <w:ind w:left="36" w:right="0"/>
              <w:jc w:val="left"/>
              <w:rPr>
                <w:rFonts w:ascii="宋体" w:hAnsi="宋体" w:cs="宋体" w:eastAsia="宋体" w:hint="default"/>
                <w:sz w:val="20"/>
                <w:szCs w:val="20"/>
              </w:rPr>
            </w:pPr>
            <w:r>
              <w:rPr>
                <w:rFonts w:ascii="宋体" w:hAnsi="宋体" w:cs="宋体" w:eastAsia="宋体" w:hint="default"/>
                <w:sz w:val="20"/>
                <w:szCs w:val="20"/>
              </w:rPr>
              <w:t>主营业务收入</w:t>
            </w:r>
          </w:p>
        </w:tc>
        <w:tc>
          <w:tcPr>
            <w:tcW w:w="508" w:type="dxa"/>
            <w:tcBorders>
              <w:top w:val="nil" w:sz="6" w:space="0" w:color="auto"/>
              <w:left w:val="nil" w:sz="6" w:space="0" w:color="auto"/>
              <w:bottom w:val="nil" w:sz="6" w:space="0" w:color="auto"/>
              <w:right w:val="nil" w:sz="6" w:space="0" w:color="auto"/>
            </w:tcBorders>
          </w:tcPr>
          <w:p>
            <w:pPr/>
          </w:p>
        </w:tc>
        <w:tc>
          <w:tcPr>
            <w:tcW w:w="2666" w:type="dxa"/>
            <w:tcBorders>
              <w:top w:val="single" w:sz="8" w:space="0" w:color="000000"/>
              <w:left w:val="nil" w:sz="6" w:space="0" w:color="auto"/>
              <w:bottom w:val="nil" w:sz="6" w:space="0" w:color="auto"/>
              <w:right w:val="nil" w:sz="6" w:space="0" w:color="auto"/>
            </w:tcBorders>
          </w:tcPr>
          <w:p>
            <w:pPr>
              <w:pStyle w:val="TableParagraph"/>
              <w:spacing w:line="240" w:lineRule="auto" w:before="48"/>
              <w:ind w:right="85"/>
              <w:jc w:val="right"/>
              <w:rPr>
                <w:rFonts w:ascii="Times New Roman" w:hAnsi="Times New Roman" w:cs="Times New Roman" w:eastAsia="Times New Roman" w:hint="default"/>
                <w:sz w:val="20"/>
                <w:szCs w:val="20"/>
              </w:rPr>
            </w:pPr>
            <w:r>
              <w:rPr>
                <w:rFonts w:ascii="Times New Roman"/>
                <w:sz w:val="20"/>
              </w:rPr>
              <w:t>351,718,344.06</w:t>
            </w:r>
          </w:p>
        </w:tc>
        <w:tc>
          <w:tcPr>
            <w:tcW w:w="508" w:type="dxa"/>
            <w:tcBorders>
              <w:top w:val="nil" w:sz="6" w:space="0" w:color="auto"/>
              <w:left w:val="nil" w:sz="6" w:space="0" w:color="auto"/>
              <w:bottom w:val="nil" w:sz="6" w:space="0" w:color="auto"/>
              <w:right w:val="nil" w:sz="6" w:space="0" w:color="auto"/>
            </w:tcBorders>
          </w:tcPr>
          <w:p>
            <w:pPr/>
          </w:p>
        </w:tc>
        <w:tc>
          <w:tcPr>
            <w:tcW w:w="2666" w:type="dxa"/>
            <w:tcBorders>
              <w:top w:val="single" w:sz="8" w:space="0" w:color="000000"/>
              <w:left w:val="nil" w:sz="6" w:space="0" w:color="auto"/>
              <w:bottom w:val="nil" w:sz="6" w:space="0" w:color="auto"/>
              <w:right w:val="nil" w:sz="6" w:space="0" w:color="auto"/>
            </w:tcBorders>
          </w:tcPr>
          <w:p>
            <w:pPr>
              <w:pStyle w:val="TableParagraph"/>
              <w:spacing w:line="240" w:lineRule="auto" w:before="48"/>
              <w:ind w:right="91"/>
              <w:jc w:val="right"/>
              <w:rPr>
                <w:rFonts w:ascii="Times New Roman" w:hAnsi="Times New Roman" w:cs="Times New Roman" w:eastAsia="Times New Roman" w:hint="default"/>
                <w:sz w:val="20"/>
                <w:szCs w:val="20"/>
              </w:rPr>
            </w:pPr>
            <w:r>
              <w:rPr>
                <w:rFonts w:ascii="Times New Roman"/>
                <w:spacing w:val="-1"/>
                <w:sz w:val="20"/>
              </w:rPr>
              <w:t>325,671,759.45</w:t>
            </w:r>
          </w:p>
        </w:tc>
      </w:tr>
      <w:tr>
        <w:trPr>
          <w:trHeight w:val="341"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20"/>
                <w:szCs w:val="20"/>
              </w:rPr>
            </w:pPr>
            <w:r>
              <w:rPr>
                <w:rFonts w:ascii="宋体" w:hAnsi="宋体" w:cs="宋体" w:eastAsia="宋体" w:hint="default"/>
                <w:sz w:val="20"/>
                <w:szCs w:val="20"/>
              </w:rPr>
              <w:t>其他业务收入</w:t>
            </w:r>
          </w:p>
        </w:tc>
        <w:tc>
          <w:tcPr>
            <w:tcW w:w="508" w:type="dxa"/>
            <w:tcBorders>
              <w:top w:val="nil" w:sz="6" w:space="0" w:color="auto"/>
              <w:left w:val="nil" w:sz="6" w:space="0" w:color="auto"/>
              <w:bottom w:val="nil" w:sz="6" w:space="0" w:color="auto"/>
              <w:right w:val="nil" w:sz="6" w:space="0" w:color="auto"/>
            </w:tcBorders>
          </w:tcPr>
          <w:p>
            <w:pPr/>
          </w:p>
        </w:tc>
        <w:tc>
          <w:tcPr>
            <w:tcW w:w="2666"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right="85"/>
              <w:jc w:val="right"/>
              <w:rPr>
                <w:rFonts w:ascii="Times New Roman" w:hAnsi="Times New Roman" w:cs="Times New Roman" w:eastAsia="Times New Roman" w:hint="default"/>
                <w:sz w:val="20"/>
                <w:szCs w:val="20"/>
              </w:rPr>
            </w:pPr>
            <w:r>
              <w:rPr>
                <w:rFonts w:ascii="Times New Roman"/>
                <w:sz w:val="20"/>
              </w:rPr>
              <w:t>15,443,621.83</w:t>
            </w:r>
          </w:p>
        </w:tc>
        <w:tc>
          <w:tcPr>
            <w:tcW w:w="508" w:type="dxa"/>
            <w:tcBorders>
              <w:top w:val="nil" w:sz="6" w:space="0" w:color="auto"/>
              <w:left w:val="nil" w:sz="6" w:space="0" w:color="auto"/>
              <w:bottom w:val="nil" w:sz="6" w:space="0" w:color="auto"/>
              <w:right w:val="nil" w:sz="6" w:space="0" w:color="auto"/>
            </w:tcBorders>
          </w:tcPr>
          <w:p>
            <w:pPr/>
          </w:p>
        </w:tc>
        <w:tc>
          <w:tcPr>
            <w:tcW w:w="2666"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right="91"/>
              <w:jc w:val="right"/>
              <w:rPr>
                <w:rFonts w:ascii="Times New Roman" w:hAnsi="Times New Roman" w:cs="Times New Roman" w:eastAsia="Times New Roman" w:hint="default"/>
                <w:sz w:val="20"/>
                <w:szCs w:val="20"/>
              </w:rPr>
            </w:pPr>
            <w:r>
              <w:rPr>
                <w:rFonts w:ascii="Times New Roman"/>
                <w:spacing w:val="-1"/>
                <w:sz w:val="20"/>
              </w:rPr>
              <w:t>13,059,606.74</w:t>
            </w:r>
          </w:p>
        </w:tc>
      </w:tr>
      <w:tr>
        <w:trPr>
          <w:trHeight w:val="372"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营业收入合计</w:t>
            </w:r>
            <w:r>
              <w:rPr>
                <w:rFonts w:ascii="Microsoft JhengHei" w:hAnsi="Microsoft JhengHei" w:cs="Microsoft JhengHei" w:eastAsia="Microsoft JhengHei" w:hint="default"/>
                <w:sz w:val="20"/>
                <w:szCs w:val="20"/>
              </w:rPr>
            </w:r>
          </w:p>
        </w:tc>
        <w:tc>
          <w:tcPr>
            <w:tcW w:w="508" w:type="dxa"/>
            <w:tcBorders>
              <w:top w:val="nil" w:sz="6" w:space="0" w:color="auto"/>
              <w:left w:val="nil" w:sz="6" w:space="0" w:color="auto"/>
              <w:bottom w:val="nil" w:sz="6" w:space="0" w:color="auto"/>
              <w:right w:val="nil" w:sz="6" w:space="0" w:color="auto"/>
            </w:tcBorders>
          </w:tcPr>
          <w:p>
            <w:pPr/>
          </w:p>
        </w:tc>
        <w:tc>
          <w:tcPr>
            <w:tcW w:w="2666" w:type="dxa"/>
            <w:tcBorders>
              <w:top w:val="single" w:sz="8" w:space="0" w:color="000000"/>
              <w:left w:val="nil" w:sz="6" w:space="0" w:color="auto"/>
              <w:bottom w:val="single" w:sz="8" w:space="0" w:color="000000"/>
              <w:right w:val="nil" w:sz="6" w:space="0" w:color="auto"/>
            </w:tcBorders>
          </w:tcPr>
          <w:p>
            <w:pPr>
              <w:pStyle w:val="TableParagraph"/>
              <w:spacing w:line="240" w:lineRule="auto" w:before="48"/>
              <w:ind w:right="85"/>
              <w:jc w:val="right"/>
              <w:rPr>
                <w:rFonts w:ascii="Times New Roman" w:hAnsi="Times New Roman" w:cs="Times New Roman" w:eastAsia="Times New Roman" w:hint="default"/>
                <w:sz w:val="20"/>
                <w:szCs w:val="20"/>
              </w:rPr>
            </w:pPr>
            <w:r>
              <w:rPr>
                <w:rFonts w:ascii="Times New Roman"/>
                <w:sz w:val="20"/>
              </w:rPr>
              <w:t>367,161,965.89</w:t>
            </w:r>
          </w:p>
        </w:tc>
        <w:tc>
          <w:tcPr>
            <w:tcW w:w="508" w:type="dxa"/>
            <w:tcBorders>
              <w:top w:val="nil" w:sz="6" w:space="0" w:color="auto"/>
              <w:left w:val="nil" w:sz="6" w:space="0" w:color="auto"/>
              <w:bottom w:val="nil" w:sz="6" w:space="0" w:color="auto"/>
              <w:right w:val="nil" w:sz="6" w:space="0" w:color="auto"/>
            </w:tcBorders>
          </w:tcPr>
          <w:p>
            <w:pPr/>
          </w:p>
        </w:tc>
        <w:tc>
          <w:tcPr>
            <w:tcW w:w="2666" w:type="dxa"/>
            <w:tcBorders>
              <w:top w:val="single" w:sz="8" w:space="0" w:color="000000"/>
              <w:left w:val="nil" w:sz="6" w:space="0" w:color="auto"/>
              <w:bottom w:val="single" w:sz="8" w:space="0" w:color="000000"/>
              <w:right w:val="nil" w:sz="6" w:space="0" w:color="auto"/>
            </w:tcBorders>
          </w:tcPr>
          <w:p>
            <w:pPr>
              <w:pStyle w:val="TableParagraph"/>
              <w:spacing w:line="240" w:lineRule="auto" w:before="48"/>
              <w:ind w:right="91"/>
              <w:jc w:val="right"/>
              <w:rPr>
                <w:rFonts w:ascii="Times New Roman" w:hAnsi="Times New Roman" w:cs="Times New Roman" w:eastAsia="Times New Roman" w:hint="default"/>
                <w:sz w:val="20"/>
                <w:szCs w:val="20"/>
              </w:rPr>
            </w:pPr>
            <w:r>
              <w:rPr>
                <w:rFonts w:ascii="Times New Roman"/>
                <w:spacing w:val="-1"/>
                <w:sz w:val="20"/>
              </w:rPr>
              <w:t>338,731,366.19</w:t>
            </w:r>
          </w:p>
        </w:tc>
      </w:tr>
      <w:tr>
        <w:trPr>
          <w:trHeight w:val="344"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20"/>
                <w:szCs w:val="20"/>
              </w:rPr>
            </w:pPr>
            <w:r>
              <w:rPr>
                <w:rFonts w:ascii="宋体" w:hAnsi="宋体" w:cs="宋体" w:eastAsia="宋体" w:hint="default"/>
                <w:sz w:val="20"/>
                <w:szCs w:val="20"/>
              </w:rPr>
              <w:t>主营业务成本</w:t>
            </w:r>
          </w:p>
        </w:tc>
        <w:tc>
          <w:tcPr>
            <w:tcW w:w="508" w:type="dxa"/>
            <w:tcBorders>
              <w:top w:val="nil" w:sz="6" w:space="0" w:color="auto"/>
              <w:left w:val="nil" w:sz="6" w:space="0" w:color="auto"/>
              <w:bottom w:val="nil" w:sz="6" w:space="0" w:color="auto"/>
              <w:right w:val="nil" w:sz="6" w:space="0" w:color="auto"/>
            </w:tcBorders>
          </w:tcPr>
          <w:p>
            <w:pPr/>
          </w:p>
        </w:tc>
        <w:tc>
          <w:tcPr>
            <w:tcW w:w="2666" w:type="dxa"/>
            <w:tcBorders>
              <w:top w:val="single" w:sz="8" w:space="0" w:color="000000"/>
              <w:left w:val="nil" w:sz="6" w:space="0" w:color="auto"/>
              <w:bottom w:val="nil" w:sz="6" w:space="0" w:color="auto"/>
              <w:right w:val="nil" w:sz="6" w:space="0" w:color="auto"/>
            </w:tcBorders>
          </w:tcPr>
          <w:p>
            <w:pPr>
              <w:pStyle w:val="TableParagraph"/>
              <w:spacing w:line="240" w:lineRule="auto" w:before="29"/>
              <w:ind w:right="85"/>
              <w:jc w:val="right"/>
              <w:rPr>
                <w:rFonts w:ascii="Times New Roman" w:hAnsi="Times New Roman" w:cs="Times New Roman" w:eastAsia="Times New Roman" w:hint="default"/>
                <w:sz w:val="20"/>
                <w:szCs w:val="20"/>
              </w:rPr>
            </w:pPr>
            <w:r>
              <w:rPr>
                <w:rFonts w:ascii="Times New Roman"/>
                <w:sz w:val="20"/>
              </w:rPr>
              <w:t>254,838,640.68</w:t>
            </w:r>
          </w:p>
        </w:tc>
        <w:tc>
          <w:tcPr>
            <w:tcW w:w="508" w:type="dxa"/>
            <w:tcBorders>
              <w:top w:val="nil" w:sz="6" w:space="0" w:color="auto"/>
              <w:left w:val="nil" w:sz="6" w:space="0" w:color="auto"/>
              <w:bottom w:val="nil" w:sz="6" w:space="0" w:color="auto"/>
              <w:right w:val="nil" w:sz="6" w:space="0" w:color="auto"/>
            </w:tcBorders>
          </w:tcPr>
          <w:p>
            <w:pPr/>
          </w:p>
        </w:tc>
        <w:tc>
          <w:tcPr>
            <w:tcW w:w="2666" w:type="dxa"/>
            <w:tcBorders>
              <w:top w:val="single" w:sz="8" w:space="0" w:color="000000"/>
              <w:left w:val="nil" w:sz="6" w:space="0" w:color="auto"/>
              <w:bottom w:val="nil" w:sz="6" w:space="0" w:color="auto"/>
              <w:right w:val="nil" w:sz="6" w:space="0" w:color="auto"/>
            </w:tcBorders>
          </w:tcPr>
          <w:p>
            <w:pPr>
              <w:pStyle w:val="TableParagraph"/>
              <w:spacing w:line="240" w:lineRule="auto" w:before="29"/>
              <w:ind w:right="91"/>
              <w:jc w:val="right"/>
              <w:rPr>
                <w:rFonts w:ascii="Times New Roman" w:hAnsi="Times New Roman" w:cs="Times New Roman" w:eastAsia="Times New Roman" w:hint="default"/>
                <w:sz w:val="20"/>
                <w:szCs w:val="20"/>
              </w:rPr>
            </w:pPr>
            <w:r>
              <w:rPr>
                <w:rFonts w:ascii="Times New Roman"/>
                <w:spacing w:val="-1"/>
                <w:sz w:val="20"/>
              </w:rPr>
              <w:t>233,815,905.30</w:t>
            </w:r>
          </w:p>
        </w:tc>
      </w:tr>
      <w:tr>
        <w:trPr>
          <w:trHeight w:val="341"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20"/>
                <w:szCs w:val="20"/>
              </w:rPr>
            </w:pPr>
            <w:r>
              <w:rPr>
                <w:rFonts w:ascii="宋体" w:hAnsi="宋体" w:cs="宋体" w:eastAsia="宋体" w:hint="default"/>
                <w:sz w:val="20"/>
                <w:szCs w:val="20"/>
              </w:rPr>
              <w:t>其他业务成本</w:t>
            </w:r>
          </w:p>
        </w:tc>
        <w:tc>
          <w:tcPr>
            <w:tcW w:w="508" w:type="dxa"/>
            <w:tcBorders>
              <w:top w:val="nil" w:sz="6" w:space="0" w:color="auto"/>
              <w:left w:val="nil" w:sz="6" w:space="0" w:color="auto"/>
              <w:bottom w:val="nil" w:sz="6" w:space="0" w:color="auto"/>
              <w:right w:val="nil" w:sz="6" w:space="0" w:color="auto"/>
            </w:tcBorders>
          </w:tcPr>
          <w:p>
            <w:pPr/>
          </w:p>
        </w:tc>
        <w:tc>
          <w:tcPr>
            <w:tcW w:w="2666"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85"/>
              <w:jc w:val="right"/>
              <w:rPr>
                <w:rFonts w:ascii="Times New Roman" w:hAnsi="Times New Roman" w:cs="Times New Roman" w:eastAsia="Times New Roman" w:hint="default"/>
                <w:sz w:val="20"/>
                <w:szCs w:val="20"/>
              </w:rPr>
            </w:pPr>
            <w:r>
              <w:rPr>
                <w:rFonts w:ascii="Times New Roman"/>
                <w:sz w:val="20"/>
              </w:rPr>
              <w:t>14,903,315.71</w:t>
            </w:r>
          </w:p>
        </w:tc>
        <w:tc>
          <w:tcPr>
            <w:tcW w:w="508" w:type="dxa"/>
            <w:tcBorders>
              <w:top w:val="nil" w:sz="6" w:space="0" w:color="auto"/>
              <w:left w:val="nil" w:sz="6" w:space="0" w:color="auto"/>
              <w:bottom w:val="nil" w:sz="6" w:space="0" w:color="auto"/>
              <w:right w:val="nil" w:sz="6" w:space="0" w:color="auto"/>
            </w:tcBorders>
          </w:tcPr>
          <w:p>
            <w:pPr/>
          </w:p>
        </w:tc>
        <w:tc>
          <w:tcPr>
            <w:tcW w:w="2666"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right="91"/>
              <w:jc w:val="right"/>
              <w:rPr>
                <w:rFonts w:ascii="Times New Roman" w:hAnsi="Times New Roman" w:cs="Times New Roman" w:eastAsia="Times New Roman" w:hint="default"/>
                <w:sz w:val="20"/>
                <w:szCs w:val="20"/>
              </w:rPr>
            </w:pPr>
            <w:r>
              <w:rPr>
                <w:rFonts w:ascii="Times New Roman"/>
                <w:spacing w:val="-1"/>
                <w:sz w:val="20"/>
              </w:rPr>
              <w:t>12,517,015.19</w:t>
            </w:r>
          </w:p>
        </w:tc>
      </w:tr>
      <w:tr>
        <w:trPr>
          <w:trHeight w:val="372" w:hRule="exact"/>
        </w:trPr>
        <w:tc>
          <w:tcPr>
            <w:tcW w:w="2470" w:type="dxa"/>
            <w:tcBorders>
              <w:top w:val="nil" w:sz="6" w:space="0" w:color="auto"/>
              <w:left w:val="nil" w:sz="6" w:space="0" w:color="auto"/>
              <w:bottom w:val="nil" w:sz="6" w:space="0" w:color="auto"/>
              <w:right w:val="nil" w:sz="6" w:space="0" w:color="auto"/>
            </w:tcBorders>
          </w:tcPr>
          <w:p>
            <w:pPr>
              <w:pStyle w:val="TableParagraph"/>
              <w:spacing w:line="312"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营业成本合计</w:t>
            </w:r>
            <w:r>
              <w:rPr>
                <w:rFonts w:ascii="Microsoft JhengHei" w:hAnsi="Microsoft JhengHei" w:cs="Microsoft JhengHei" w:eastAsia="Microsoft JhengHei" w:hint="default"/>
                <w:sz w:val="20"/>
                <w:szCs w:val="20"/>
              </w:rPr>
            </w:r>
          </w:p>
        </w:tc>
        <w:tc>
          <w:tcPr>
            <w:tcW w:w="508" w:type="dxa"/>
            <w:tcBorders>
              <w:top w:val="nil" w:sz="6" w:space="0" w:color="auto"/>
              <w:left w:val="nil" w:sz="6" w:space="0" w:color="auto"/>
              <w:bottom w:val="nil" w:sz="6" w:space="0" w:color="auto"/>
              <w:right w:val="nil" w:sz="6" w:space="0" w:color="auto"/>
            </w:tcBorders>
          </w:tcPr>
          <w:p>
            <w:pPr/>
          </w:p>
        </w:tc>
        <w:tc>
          <w:tcPr>
            <w:tcW w:w="2666" w:type="dxa"/>
            <w:tcBorders>
              <w:top w:val="single" w:sz="8" w:space="0" w:color="000000"/>
              <w:left w:val="nil" w:sz="6" w:space="0" w:color="auto"/>
              <w:bottom w:val="single" w:sz="8" w:space="0" w:color="000000"/>
              <w:right w:val="nil" w:sz="6" w:space="0" w:color="auto"/>
            </w:tcBorders>
          </w:tcPr>
          <w:p>
            <w:pPr>
              <w:pStyle w:val="TableParagraph"/>
              <w:spacing w:line="240" w:lineRule="auto" w:before="47"/>
              <w:ind w:right="85"/>
              <w:jc w:val="right"/>
              <w:rPr>
                <w:rFonts w:ascii="Times New Roman" w:hAnsi="Times New Roman" w:cs="Times New Roman" w:eastAsia="Times New Roman" w:hint="default"/>
                <w:sz w:val="20"/>
                <w:szCs w:val="20"/>
              </w:rPr>
            </w:pPr>
            <w:r>
              <w:rPr>
                <w:rFonts w:ascii="Times New Roman"/>
                <w:sz w:val="20"/>
              </w:rPr>
              <w:t>269,741,956.39</w:t>
            </w:r>
          </w:p>
        </w:tc>
        <w:tc>
          <w:tcPr>
            <w:tcW w:w="508" w:type="dxa"/>
            <w:tcBorders>
              <w:top w:val="nil" w:sz="6" w:space="0" w:color="auto"/>
              <w:left w:val="nil" w:sz="6" w:space="0" w:color="auto"/>
              <w:bottom w:val="nil" w:sz="6" w:space="0" w:color="auto"/>
              <w:right w:val="nil" w:sz="6" w:space="0" w:color="auto"/>
            </w:tcBorders>
          </w:tcPr>
          <w:p>
            <w:pPr/>
          </w:p>
        </w:tc>
        <w:tc>
          <w:tcPr>
            <w:tcW w:w="2666" w:type="dxa"/>
            <w:tcBorders>
              <w:top w:val="single" w:sz="8" w:space="0" w:color="000000"/>
              <w:left w:val="nil" w:sz="6" w:space="0" w:color="auto"/>
              <w:bottom w:val="single" w:sz="8" w:space="0" w:color="000000"/>
              <w:right w:val="nil" w:sz="6" w:space="0" w:color="auto"/>
            </w:tcBorders>
          </w:tcPr>
          <w:p>
            <w:pPr>
              <w:pStyle w:val="TableParagraph"/>
              <w:spacing w:line="240" w:lineRule="auto" w:before="47"/>
              <w:ind w:right="91"/>
              <w:jc w:val="right"/>
              <w:rPr>
                <w:rFonts w:ascii="Times New Roman" w:hAnsi="Times New Roman" w:cs="Times New Roman" w:eastAsia="Times New Roman" w:hint="default"/>
                <w:sz w:val="20"/>
                <w:szCs w:val="20"/>
              </w:rPr>
            </w:pPr>
            <w:r>
              <w:rPr>
                <w:rFonts w:ascii="Times New Roman"/>
                <w:spacing w:val="-1"/>
                <w:sz w:val="20"/>
              </w:rPr>
              <w:t>246,332,920.49</w:t>
            </w:r>
          </w:p>
        </w:tc>
      </w:tr>
    </w:tbl>
    <w:p>
      <w:pPr>
        <w:spacing w:line="240" w:lineRule="auto" w:before="1"/>
        <w:rPr>
          <w:rFonts w:ascii="宋体" w:hAnsi="宋体" w:cs="宋体" w:eastAsia="宋体" w:hint="default"/>
          <w:sz w:val="26"/>
          <w:szCs w:val="26"/>
        </w:rPr>
      </w:pPr>
    </w:p>
    <w:p>
      <w:pPr>
        <w:pStyle w:val="BodyText"/>
        <w:spacing w:line="240" w:lineRule="auto" w:before="27"/>
        <w:ind w:left="757" w:right="493"/>
        <w:jc w:val="left"/>
      </w:pPr>
      <w:r>
        <w:rPr/>
        <w:pict>
          <v:group style="position:absolute;margin-left:239.279999pt;margin-top:-19.913975pt;width:133.35pt;height:.1pt;mso-position-horizontal-relative:page;mso-position-vertical-relative:paragraph;z-index:-585544" coordorigin="4786,-398" coordsize="2667,2">
            <v:shape style="position:absolute;left:4786;top:-398;width:2667;height:2" coordorigin="4786,-398" coordsize="2667,0" path="m4786,-398l7452,-398e" filled="false" stroked="true" strokeweight=".95999pt" strokecolor="#000000">
              <v:path arrowok="t"/>
            </v:shape>
            <w10:wrap type="none"/>
          </v:group>
        </w:pict>
      </w:r>
      <w:r>
        <w:rPr/>
        <w:pict>
          <v:group style="position:absolute;margin-left:397.980011pt;margin-top:-19.913975pt;width:133.35pt;height:.1pt;mso-position-horizontal-relative:page;mso-position-vertical-relative:paragraph;z-index:-585496" coordorigin="7960,-398" coordsize="2667,2">
            <v:shape style="position:absolute;left:7960;top:-398;width:2667;height:2" coordorigin="7960,-398" coordsize="2667,0" path="m7960,-398l10626,-398e" filled="false" stroked="true" strokeweight=".95999pt" strokecolor="#000000">
              <v:path arrowok="t"/>
            </v:shape>
            <w10:wrap type="none"/>
          </v:group>
        </w:pict>
      </w:r>
      <w:r>
        <w:rPr/>
        <w:t>（2）各业务分部主营业务收入、主营业务成本和主营业务利润</w:t>
      </w:r>
    </w:p>
    <w:p>
      <w:pPr>
        <w:spacing w:after="0" w:line="240" w:lineRule="auto"/>
        <w:jc w:val="left"/>
        <w:sectPr>
          <w:pgSz w:w="11910" w:h="16840"/>
          <w:pgMar w:header="840" w:footer="1712" w:top="1160" w:bottom="1900" w:left="1520" w:right="1020"/>
        </w:sectPr>
      </w:pPr>
    </w:p>
    <w:p>
      <w:pPr>
        <w:spacing w:line="240" w:lineRule="auto" w:before="4"/>
        <w:rPr>
          <w:rFonts w:ascii="宋体" w:hAnsi="宋体" w:cs="宋体" w:eastAsia="宋体" w:hint="default"/>
          <w:sz w:val="3"/>
          <w:szCs w:val="3"/>
        </w:rPr>
      </w:pPr>
      <w:r>
        <w:rPr/>
        <w:pict>
          <v:group style="position:absolute;margin-left:234.779999pt;margin-top:79.650002pt;width:293.350pt;height:1.5pt;mso-position-horizontal-relative:page;mso-position-vertical-relative:page;z-index:-585328" coordorigin="4696,1593" coordsize="5867,30">
            <v:group style="position:absolute;left:4710;top:1594;width:5838;height:2" coordorigin="4710,1594" coordsize="5838,2">
              <v:shape style="position:absolute;left:4710;top:1594;width:5838;height:2" coordorigin="4710,1594" coordsize="5838,0" path="m4710,1594l10548,1594e" filled="false" stroked="true" strokeweight=".06pt" strokecolor="#000000">
                <v:path arrowok="t"/>
              </v:shape>
            </v:group>
            <v:group style="position:absolute;left:4710;top:1608;width:5838;height:2" coordorigin="4710,1608" coordsize="5838,2">
              <v:shape style="position:absolute;left:4710;top:1608;width:5838;height:2" coordorigin="4710,1608" coordsize="5838,0" path="m4710,1608l10548,1608e" filled="false" stroked="true" strokeweight="1.44pt" strokecolor="#000000">
                <v:path arrowok="t"/>
              </v:shape>
            </v:group>
            <w10:wrap type="none"/>
          </v:group>
        </w:pict>
      </w:r>
    </w:p>
    <w:tbl>
      <w:tblPr>
        <w:tblW w:w="0" w:type="auto"/>
        <w:jc w:val="left"/>
        <w:tblInd w:w="153" w:type="dxa"/>
        <w:tblLayout w:type="fixed"/>
        <w:tblCellMar>
          <w:top w:w="0" w:type="dxa"/>
          <w:left w:w="0" w:type="dxa"/>
          <w:bottom w:w="0" w:type="dxa"/>
          <w:right w:w="0" w:type="dxa"/>
        </w:tblCellMar>
        <w:tblLook w:val="01E0"/>
      </w:tblPr>
      <w:tblGrid>
        <w:gridCol w:w="922"/>
        <w:gridCol w:w="1804"/>
        <w:gridCol w:w="170"/>
        <w:gridCol w:w="1876"/>
        <w:gridCol w:w="127"/>
        <w:gridCol w:w="1876"/>
        <w:gridCol w:w="85"/>
        <w:gridCol w:w="1874"/>
      </w:tblGrid>
      <w:tr>
        <w:trPr>
          <w:trHeight w:val="518" w:hRule="exact"/>
        </w:trPr>
        <w:tc>
          <w:tcPr>
            <w:tcW w:w="922" w:type="dxa"/>
            <w:vMerge w:val="restart"/>
            <w:tcBorders>
              <w:top w:val="nil" w:sz="6" w:space="0" w:color="auto"/>
              <w:left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pacing w:val="-4"/>
                <w:sz w:val="18"/>
                <w:szCs w:val="18"/>
              </w:rPr>
              <w:t>业务分部</w:t>
            </w: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6"/>
              <w:jc w:val="center"/>
              <w:rPr>
                <w:rFonts w:ascii="宋体" w:hAnsi="宋体" w:cs="宋体" w:eastAsia="宋体" w:hint="default"/>
                <w:sz w:val="18"/>
                <w:szCs w:val="18"/>
              </w:rPr>
            </w:pPr>
            <w:r>
              <w:rPr>
                <w:rFonts w:ascii="宋体" w:hAnsi="宋体" w:cs="宋体" w:eastAsia="宋体" w:hint="default"/>
                <w:spacing w:val="-5"/>
                <w:sz w:val="18"/>
                <w:szCs w:val="18"/>
              </w:rPr>
              <w:t>本年数</w:t>
            </w:r>
          </w:p>
        </w:tc>
        <w:tc>
          <w:tcPr>
            <w:tcW w:w="1960" w:type="dxa"/>
            <w:gridSpan w:val="2"/>
            <w:tcBorders>
              <w:top w:val="nil" w:sz="6" w:space="0" w:color="auto"/>
              <w:left w:val="nil" w:sz="6" w:space="0" w:color="auto"/>
              <w:bottom w:val="nil" w:sz="6" w:space="0" w:color="auto"/>
              <w:right w:val="nil" w:sz="6" w:space="0" w:color="auto"/>
            </w:tcBorders>
          </w:tcPr>
          <w:p>
            <w:pPr/>
          </w:p>
        </w:tc>
      </w:tr>
      <w:tr>
        <w:trPr>
          <w:trHeight w:val="311" w:hRule="exact"/>
        </w:trPr>
        <w:tc>
          <w:tcPr>
            <w:tcW w:w="922" w:type="dxa"/>
            <w:vMerge/>
            <w:tcBorders>
              <w:left w:val="nil" w:sz="6" w:space="0" w:color="auto"/>
              <w:bottom w:val="single" w:sz="6" w:space="0" w:color="000000"/>
              <w:right w:val="nil" w:sz="6" w:space="0" w:color="auto"/>
            </w:tcBorders>
          </w:tcPr>
          <w:p>
            <w:pPr/>
          </w:p>
        </w:tc>
        <w:tc>
          <w:tcPr>
            <w:tcW w:w="1804" w:type="dxa"/>
            <w:tcBorders>
              <w:top w:val="nil" w:sz="6" w:space="0" w:color="auto"/>
              <w:left w:val="nil" w:sz="6" w:space="0" w:color="auto"/>
              <w:bottom w:val="single" w:sz="6" w:space="0" w:color="000000"/>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6" w:space="0" w:color="000000"/>
              <w:right w:val="nil" w:sz="6" w:space="0" w:color="auto"/>
            </w:tcBorders>
          </w:tcPr>
          <w:p>
            <w:pPr>
              <w:pStyle w:val="TableParagraph"/>
              <w:spacing w:line="205" w:lineRule="exact"/>
              <w:ind w:left="398" w:right="0"/>
              <w:jc w:val="left"/>
              <w:rPr>
                <w:rFonts w:ascii="宋体" w:hAnsi="宋体" w:cs="宋体" w:eastAsia="宋体" w:hint="default"/>
                <w:sz w:val="18"/>
                <w:szCs w:val="18"/>
              </w:rPr>
            </w:pPr>
            <w:r>
              <w:rPr>
                <w:rFonts w:ascii="宋体" w:hAnsi="宋体" w:cs="宋体" w:eastAsia="宋体" w:hint="default"/>
                <w:spacing w:val="-3"/>
                <w:sz w:val="18"/>
                <w:szCs w:val="18"/>
              </w:rPr>
              <w:t>主营业务收入</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6" w:space="0" w:color="000000"/>
              <w:right w:val="nil" w:sz="6" w:space="0" w:color="auto"/>
            </w:tcBorders>
          </w:tcPr>
          <w:p>
            <w:pPr>
              <w:pStyle w:val="TableParagraph"/>
              <w:spacing w:line="205" w:lineRule="exact"/>
              <w:ind w:left="398" w:right="0"/>
              <w:jc w:val="left"/>
              <w:rPr>
                <w:rFonts w:ascii="宋体" w:hAnsi="宋体" w:cs="宋体" w:eastAsia="宋体" w:hint="default"/>
                <w:sz w:val="18"/>
                <w:szCs w:val="18"/>
              </w:rPr>
            </w:pPr>
            <w:r>
              <w:rPr>
                <w:rFonts w:ascii="宋体" w:hAnsi="宋体" w:cs="宋体" w:eastAsia="宋体" w:hint="default"/>
                <w:spacing w:val="-3"/>
                <w:sz w:val="18"/>
                <w:szCs w:val="18"/>
              </w:rPr>
              <w:t>主营业务成本</w:t>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6" w:space="0" w:color="000000"/>
              <w:right w:val="nil" w:sz="6" w:space="0" w:color="auto"/>
            </w:tcBorders>
          </w:tcPr>
          <w:p>
            <w:pPr>
              <w:pStyle w:val="TableParagraph"/>
              <w:spacing w:line="205" w:lineRule="exact"/>
              <w:ind w:left="397" w:right="0"/>
              <w:jc w:val="left"/>
              <w:rPr>
                <w:rFonts w:ascii="宋体" w:hAnsi="宋体" w:cs="宋体" w:eastAsia="宋体" w:hint="default"/>
                <w:sz w:val="18"/>
                <w:szCs w:val="18"/>
              </w:rPr>
            </w:pPr>
            <w:r>
              <w:rPr>
                <w:rFonts w:ascii="宋体" w:hAnsi="宋体" w:cs="宋体" w:eastAsia="宋体" w:hint="default"/>
                <w:spacing w:val="-3"/>
                <w:sz w:val="18"/>
                <w:szCs w:val="18"/>
              </w:rPr>
              <w:t>主营业务利润</w:t>
            </w:r>
          </w:p>
        </w:tc>
      </w:tr>
      <w:tr>
        <w:trPr>
          <w:trHeight w:val="435" w:hRule="exact"/>
        </w:trPr>
        <w:tc>
          <w:tcPr>
            <w:tcW w:w="922" w:type="dxa"/>
            <w:tcBorders>
              <w:top w:val="single" w:sz="6"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20"/>
                <w:szCs w:val="20"/>
              </w:rPr>
            </w:pPr>
            <w:r>
              <w:rPr>
                <w:rFonts w:ascii="宋体" w:hAnsi="宋体" w:cs="宋体" w:eastAsia="宋体" w:hint="default"/>
                <w:spacing w:val="4"/>
                <w:sz w:val="20"/>
                <w:szCs w:val="20"/>
              </w:rPr>
              <w:t>印刷品</w:t>
            </w:r>
          </w:p>
        </w:tc>
        <w:tc>
          <w:tcPr>
            <w:tcW w:w="1804" w:type="dxa"/>
            <w:tcBorders>
              <w:top w:val="single" w:sz="6" w:space="0" w:color="000000"/>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single" w:sz="6" w:space="0" w:color="000000"/>
              <w:left w:val="nil" w:sz="6" w:space="0" w:color="auto"/>
              <w:bottom w:val="nil" w:sz="6" w:space="0" w:color="auto"/>
              <w:right w:val="nil" w:sz="6" w:space="0" w:color="auto"/>
            </w:tcBorders>
          </w:tcPr>
          <w:p>
            <w:pPr>
              <w:pStyle w:val="TableParagraph"/>
              <w:spacing w:line="240" w:lineRule="auto" w:before="89"/>
              <w:ind w:right="54"/>
              <w:jc w:val="right"/>
              <w:rPr>
                <w:rFonts w:ascii="Times New Roman" w:hAnsi="Times New Roman" w:cs="Times New Roman" w:eastAsia="Times New Roman" w:hint="default"/>
                <w:sz w:val="20"/>
                <w:szCs w:val="20"/>
              </w:rPr>
            </w:pPr>
            <w:r>
              <w:rPr>
                <w:rFonts w:ascii="Times New Roman"/>
                <w:sz w:val="20"/>
              </w:rPr>
              <w:t>282,872,324.54</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single" w:sz="6" w:space="0" w:color="000000"/>
              <w:left w:val="nil" w:sz="6" w:space="0" w:color="auto"/>
              <w:bottom w:val="nil" w:sz="6" w:space="0" w:color="auto"/>
              <w:right w:val="nil" w:sz="6" w:space="0" w:color="auto"/>
            </w:tcBorders>
          </w:tcPr>
          <w:p>
            <w:pPr>
              <w:pStyle w:val="TableParagraph"/>
              <w:spacing w:line="240" w:lineRule="auto" w:before="89"/>
              <w:ind w:right="54"/>
              <w:jc w:val="right"/>
              <w:rPr>
                <w:rFonts w:ascii="Times New Roman" w:hAnsi="Times New Roman" w:cs="Times New Roman" w:eastAsia="Times New Roman" w:hint="default"/>
                <w:sz w:val="20"/>
                <w:szCs w:val="20"/>
              </w:rPr>
            </w:pPr>
            <w:r>
              <w:rPr>
                <w:rFonts w:ascii="Times New Roman"/>
                <w:w w:val="95"/>
                <w:sz w:val="20"/>
              </w:rPr>
              <w:t>193,177,196.83</w:t>
            </w:r>
            <w:r>
              <w:rPr>
                <w:rFonts w:ascii="Times New Roman"/>
                <w:sz w:val="20"/>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single" w:sz="6" w:space="0" w:color="000000"/>
              <w:left w:val="nil" w:sz="6" w:space="0" w:color="auto"/>
              <w:bottom w:val="nil" w:sz="6" w:space="0" w:color="auto"/>
              <w:right w:val="nil" w:sz="6" w:space="0" w:color="auto"/>
            </w:tcBorders>
          </w:tcPr>
          <w:p>
            <w:pPr>
              <w:pStyle w:val="TableParagraph"/>
              <w:spacing w:line="240" w:lineRule="auto" w:before="89"/>
              <w:ind w:right="39"/>
              <w:jc w:val="right"/>
              <w:rPr>
                <w:rFonts w:ascii="Times New Roman" w:hAnsi="Times New Roman" w:cs="Times New Roman" w:eastAsia="Times New Roman" w:hint="default"/>
                <w:sz w:val="20"/>
                <w:szCs w:val="20"/>
              </w:rPr>
            </w:pPr>
            <w:r>
              <w:rPr>
                <w:rFonts w:ascii="Times New Roman"/>
                <w:sz w:val="20"/>
              </w:rPr>
              <w:t>89,695,127.71</w:t>
            </w:r>
          </w:p>
        </w:tc>
      </w:tr>
      <w:tr>
        <w:trPr>
          <w:trHeight w:val="431"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8" w:right="0"/>
              <w:jc w:val="left"/>
              <w:rPr>
                <w:rFonts w:ascii="宋体" w:hAnsi="宋体" w:cs="宋体" w:eastAsia="宋体" w:hint="default"/>
                <w:sz w:val="20"/>
                <w:szCs w:val="20"/>
              </w:rPr>
            </w:pPr>
            <w:r>
              <w:rPr>
                <w:rFonts w:ascii="宋体" w:hAnsi="宋体" w:cs="宋体" w:eastAsia="宋体" w:hint="default"/>
                <w:spacing w:val="4"/>
                <w:sz w:val="20"/>
                <w:szCs w:val="20"/>
              </w:rPr>
              <w:t>纸制品</w:t>
            </w:r>
          </w:p>
        </w:tc>
        <w:tc>
          <w:tcPr>
            <w:tcW w:w="1804"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4"/>
              <w:jc w:val="right"/>
              <w:rPr>
                <w:rFonts w:ascii="Times New Roman" w:hAnsi="Times New Roman" w:cs="Times New Roman" w:eastAsia="Times New Roman" w:hint="default"/>
                <w:sz w:val="20"/>
                <w:szCs w:val="20"/>
              </w:rPr>
            </w:pPr>
            <w:r>
              <w:rPr>
                <w:rFonts w:ascii="Times New Roman"/>
                <w:w w:val="95"/>
                <w:sz w:val="20"/>
              </w:rPr>
              <w:t>51,179,107.18</w:t>
            </w:r>
            <w:r>
              <w:rPr>
                <w:rFonts w:ascii="Times New Roman"/>
                <w:sz w:val="20"/>
              </w:rPr>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4"/>
              <w:jc w:val="right"/>
              <w:rPr>
                <w:rFonts w:ascii="Times New Roman" w:hAnsi="Times New Roman" w:cs="Times New Roman" w:eastAsia="Times New Roman" w:hint="default"/>
                <w:sz w:val="20"/>
                <w:szCs w:val="20"/>
              </w:rPr>
            </w:pPr>
            <w:r>
              <w:rPr>
                <w:rFonts w:ascii="Times New Roman"/>
                <w:w w:val="95"/>
                <w:sz w:val="20"/>
              </w:rPr>
              <w:t>46,906,007.20</w:t>
            </w:r>
            <w:r>
              <w:rPr>
                <w:rFonts w:ascii="Times New Roman"/>
                <w:sz w:val="20"/>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9"/>
              <w:jc w:val="right"/>
              <w:rPr>
                <w:rFonts w:ascii="Times New Roman" w:hAnsi="Times New Roman" w:cs="Times New Roman" w:eastAsia="Times New Roman" w:hint="default"/>
                <w:sz w:val="20"/>
                <w:szCs w:val="20"/>
              </w:rPr>
            </w:pPr>
            <w:r>
              <w:rPr>
                <w:rFonts w:ascii="Times New Roman"/>
                <w:sz w:val="20"/>
              </w:rPr>
              <w:t>4,273,099.98</w:t>
            </w:r>
          </w:p>
        </w:tc>
      </w:tr>
      <w:tr>
        <w:trPr>
          <w:trHeight w:val="425"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 w:right="0"/>
              <w:jc w:val="left"/>
              <w:rPr>
                <w:rFonts w:ascii="宋体" w:hAnsi="宋体" w:cs="宋体" w:eastAsia="宋体" w:hint="default"/>
                <w:sz w:val="20"/>
                <w:szCs w:val="20"/>
              </w:rPr>
            </w:pPr>
            <w:r>
              <w:rPr>
                <w:rFonts w:ascii="宋体" w:hAnsi="宋体" w:cs="宋体" w:eastAsia="宋体" w:hint="default"/>
                <w:sz w:val="20"/>
                <w:szCs w:val="20"/>
              </w:rPr>
              <w:t>标签</w:t>
            </w:r>
          </w:p>
        </w:tc>
        <w:tc>
          <w:tcPr>
            <w:tcW w:w="1804"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4"/>
              <w:jc w:val="right"/>
              <w:rPr>
                <w:rFonts w:ascii="Times New Roman" w:hAnsi="Times New Roman" w:cs="Times New Roman" w:eastAsia="Times New Roman" w:hint="default"/>
                <w:sz w:val="20"/>
                <w:szCs w:val="20"/>
              </w:rPr>
            </w:pPr>
            <w:r>
              <w:rPr>
                <w:rFonts w:ascii="Times New Roman"/>
                <w:w w:val="95"/>
                <w:sz w:val="20"/>
              </w:rPr>
              <w:t>10,373,658.26</w:t>
            </w:r>
            <w:r>
              <w:rPr>
                <w:rFonts w:ascii="Times New Roman"/>
                <w:sz w:val="20"/>
              </w:rPr>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4"/>
              <w:jc w:val="right"/>
              <w:rPr>
                <w:rFonts w:ascii="Times New Roman" w:hAnsi="Times New Roman" w:cs="Times New Roman" w:eastAsia="Times New Roman" w:hint="default"/>
                <w:sz w:val="20"/>
                <w:szCs w:val="20"/>
              </w:rPr>
            </w:pPr>
            <w:r>
              <w:rPr>
                <w:rFonts w:ascii="Times New Roman"/>
                <w:w w:val="95"/>
                <w:sz w:val="20"/>
              </w:rPr>
              <w:t>8,196,995.30</w:t>
            </w:r>
            <w:r>
              <w:rPr>
                <w:rFonts w:ascii="Times New Roman"/>
                <w:sz w:val="20"/>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9"/>
              <w:jc w:val="right"/>
              <w:rPr>
                <w:rFonts w:ascii="Times New Roman" w:hAnsi="Times New Roman" w:cs="Times New Roman" w:eastAsia="Times New Roman" w:hint="default"/>
                <w:sz w:val="20"/>
                <w:szCs w:val="20"/>
              </w:rPr>
            </w:pPr>
            <w:r>
              <w:rPr>
                <w:rFonts w:ascii="Times New Roman"/>
                <w:sz w:val="20"/>
              </w:rPr>
              <w:t>2,176,662.96</w:t>
            </w:r>
          </w:p>
        </w:tc>
      </w:tr>
      <w:tr>
        <w:trPr>
          <w:trHeight w:val="423"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 w:right="0"/>
              <w:jc w:val="left"/>
              <w:rPr>
                <w:rFonts w:ascii="宋体" w:hAnsi="宋体" w:cs="宋体" w:eastAsia="宋体" w:hint="default"/>
                <w:sz w:val="20"/>
                <w:szCs w:val="20"/>
              </w:rPr>
            </w:pPr>
            <w:r>
              <w:rPr>
                <w:rFonts w:ascii="宋体" w:hAnsi="宋体" w:cs="宋体" w:eastAsia="宋体" w:hint="default"/>
                <w:spacing w:val="3"/>
                <w:sz w:val="20"/>
                <w:szCs w:val="20"/>
              </w:rPr>
              <w:t>数码产品</w:t>
            </w:r>
            <w:r>
              <w:rPr>
                <w:rFonts w:ascii="宋体" w:hAnsi="宋体" w:cs="宋体" w:eastAsia="宋体" w:hint="default"/>
                <w:sz w:val="20"/>
                <w:szCs w:val="20"/>
              </w:rPr>
            </w:r>
          </w:p>
        </w:tc>
        <w:tc>
          <w:tcPr>
            <w:tcW w:w="1804"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6" w:space="0" w:color="000000"/>
              <w:right w:val="nil" w:sz="6" w:space="0" w:color="auto"/>
            </w:tcBorders>
          </w:tcPr>
          <w:p>
            <w:pPr>
              <w:pStyle w:val="TableParagraph"/>
              <w:spacing w:line="240" w:lineRule="auto" w:before="80"/>
              <w:ind w:right="54"/>
              <w:jc w:val="right"/>
              <w:rPr>
                <w:rFonts w:ascii="Times New Roman" w:hAnsi="Times New Roman" w:cs="Times New Roman" w:eastAsia="Times New Roman" w:hint="default"/>
                <w:sz w:val="20"/>
                <w:szCs w:val="20"/>
              </w:rPr>
            </w:pPr>
            <w:r>
              <w:rPr>
                <w:rFonts w:ascii="Times New Roman"/>
                <w:w w:val="95"/>
                <w:sz w:val="20"/>
              </w:rPr>
              <w:t>7,293,254.08</w:t>
            </w:r>
            <w:r>
              <w:rPr>
                <w:rFonts w:ascii="Times New Roman"/>
                <w:sz w:val="20"/>
              </w:rPr>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6" w:space="0" w:color="000000"/>
              <w:right w:val="nil" w:sz="6" w:space="0" w:color="auto"/>
            </w:tcBorders>
          </w:tcPr>
          <w:p>
            <w:pPr>
              <w:pStyle w:val="TableParagraph"/>
              <w:spacing w:line="240" w:lineRule="auto" w:before="80"/>
              <w:ind w:right="54"/>
              <w:jc w:val="right"/>
              <w:rPr>
                <w:rFonts w:ascii="Times New Roman" w:hAnsi="Times New Roman" w:cs="Times New Roman" w:eastAsia="Times New Roman" w:hint="default"/>
                <w:sz w:val="20"/>
                <w:szCs w:val="20"/>
              </w:rPr>
            </w:pPr>
            <w:r>
              <w:rPr>
                <w:rFonts w:ascii="Times New Roman"/>
                <w:w w:val="95"/>
                <w:sz w:val="20"/>
              </w:rPr>
              <w:t>6,558,441.35</w:t>
            </w:r>
            <w:r>
              <w:rPr>
                <w:rFonts w:ascii="Times New Roman"/>
                <w:sz w:val="20"/>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6" w:space="0" w:color="000000"/>
              <w:right w:val="nil" w:sz="6" w:space="0" w:color="auto"/>
            </w:tcBorders>
          </w:tcPr>
          <w:p>
            <w:pPr>
              <w:pStyle w:val="TableParagraph"/>
              <w:spacing w:line="240" w:lineRule="auto" w:before="80"/>
              <w:ind w:right="39"/>
              <w:jc w:val="right"/>
              <w:rPr>
                <w:rFonts w:ascii="Times New Roman" w:hAnsi="Times New Roman" w:cs="Times New Roman" w:eastAsia="Times New Roman" w:hint="default"/>
                <w:sz w:val="20"/>
                <w:szCs w:val="20"/>
              </w:rPr>
            </w:pPr>
            <w:r>
              <w:rPr>
                <w:rFonts w:ascii="Times New Roman"/>
                <w:sz w:val="20"/>
              </w:rPr>
              <w:t>734,812.73</w:t>
            </w:r>
          </w:p>
        </w:tc>
      </w:tr>
      <w:tr>
        <w:trPr>
          <w:trHeight w:val="405" w:hRule="exact"/>
        </w:trPr>
        <w:tc>
          <w:tcPr>
            <w:tcW w:w="922"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tabs>
                <w:tab w:pos="583" w:val="left" w:leader="none"/>
              </w:tabs>
              <w:spacing w:line="240" w:lineRule="auto" w:before="84"/>
              <w:ind w:left="129"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single" w:sz="6" w:space="0" w:color="000000"/>
              <w:left w:val="nil" w:sz="6" w:space="0" w:color="auto"/>
              <w:bottom w:val="single" w:sz="12" w:space="0" w:color="000000"/>
              <w:right w:val="nil" w:sz="6" w:space="0" w:color="auto"/>
            </w:tcBorders>
          </w:tcPr>
          <w:p>
            <w:pPr>
              <w:pStyle w:val="TableParagraph"/>
              <w:spacing w:line="240" w:lineRule="auto" w:before="89"/>
              <w:ind w:right="54"/>
              <w:jc w:val="right"/>
              <w:rPr>
                <w:rFonts w:ascii="Times New Roman" w:hAnsi="Times New Roman" w:cs="Times New Roman" w:eastAsia="Times New Roman" w:hint="default"/>
                <w:sz w:val="20"/>
                <w:szCs w:val="20"/>
              </w:rPr>
            </w:pPr>
            <w:r>
              <w:rPr>
                <w:rFonts w:ascii="Times New Roman"/>
                <w:sz w:val="20"/>
              </w:rPr>
              <w:t>351,718,344.06</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single" w:sz="6" w:space="0" w:color="000000"/>
              <w:left w:val="nil" w:sz="6" w:space="0" w:color="auto"/>
              <w:bottom w:val="single" w:sz="12" w:space="0" w:color="000000"/>
              <w:right w:val="nil" w:sz="6" w:space="0" w:color="auto"/>
            </w:tcBorders>
          </w:tcPr>
          <w:p>
            <w:pPr>
              <w:pStyle w:val="TableParagraph"/>
              <w:spacing w:line="240" w:lineRule="auto" w:before="89"/>
              <w:ind w:right="54"/>
              <w:jc w:val="right"/>
              <w:rPr>
                <w:rFonts w:ascii="Times New Roman" w:hAnsi="Times New Roman" w:cs="Times New Roman" w:eastAsia="Times New Roman" w:hint="default"/>
                <w:sz w:val="20"/>
                <w:szCs w:val="20"/>
              </w:rPr>
            </w:pPr>
            <w:r>
              <w:rPr>
                <w:rFonts w:ascii="Times New Roman"/>
                <w:w w:val="95"/>
                <w:sz w:val="20"/>
              </w:rPr>
              <w:t>254,838,640.68</w:t>
            </w:r>
            <w:r>
              <w:rPr>
                <w:rFonts w:ascii="Times New Roman"/>
                <w:sz w:val="20"/>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single" w:sz="6" w:space="0" w:color="000000"/>
              <w:left w:val="nil" w:sz="6" w:space="0" w:color="auto"/>
              <w:bottom w:val="single" w:sz="12" w:space="0" w:color="000000"/>
              <w:right w:val="nil" w:sz="6" w:space="0" w:color="auto"/>
            </w:tcBorders>
          </w:tcPr>
          <w:p>
            <w:pPr>
              <w:pStyle w:val="TableParagraph"/>
              <w:spacing w:line="240" w:lineRule="auto" w:before="89"/>
              <w:ind w:right="39"/>
              <w:jc w:val="right"/>
              <w:rPr>
                <w:rFonts w:ascii="Times New Roman" w:hAnsi="Times New Roman" w:cs="Times New Roman" w:eastAsia="Times New Roman" w:hint="default"/>
                <w:sz w:val="20"/>
                <w:szCs w:val="20"/>
              </w:rPr>
            </w:pPr>
            <w:r>
              <w:rPr>
                <w:rFonts w:ascii="Times New Roman"/>
                <w:sz w:val="20"/>
              </w:rPr>
              <w:t>96,879,703.38</w:t>
            </w:r>
          </w:p>
        </w:tc>
      </w:tr>
    </w:tbl>
    <w:tbl>
      <w:tblPr>
        <w:tblW w:w="0" w:type="auto"/>
        <w:jc w:val="left"/>
        <w:tblInd w:w="487" w:type="dxa"/>
        <w:tblLayout w:type="fixed"/>
        <w:tblCellMar>
          <w:top w:w="0" w:type="dxa"/>
          <w:left w:w="0" w:type="dxa"/>
          <w:bottom w:w="0" w:type="dxa"/>
          <w:right w:w="0" w:type="dxa"/>
        </w:tblCellMar>
        <w:tblLook w:val="01E0"/>
      </w:tblPr>
      <w:tblGrid>
        <w:gridCol w:w="2897"/>
        <w:gridCol w:w="1876"/>
        <w:gridCol w:w="127"/>
        <w:gridCol w:w="1876"/>
        <w:gridCol w:w="85"/>
        <w:gridCol w:w="1874"/>
      </w:tblGrid>
      <w:tr>
        <w:trPr>
          <w:trHeight w:val="404"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69" w:right="0"/>
              <w:jc w:val="left"/>
              <w:rPr>
                <w:rFonts w:ascii="宋体" w:hAnsi="宋体" w:cs="宋体" w:eastAsia="宋体" w:hint="default"/>
                <w:sz w:val="18"/>
                <w:szCs w:val="18"/>
              </w:rPr>
            </w:pPr>
            <w:r>
              <w:rPr>
                <w:rFonts w:ascii="宋体" w:hAnsi="宋体" w:cs="宋体" w:eastAsia="宋体" w:hint="default"/>
                <w:spacing w:val="-3"/>
                <w:sz w:val="18"/>
                <w:szCs w:val="18"/>
              </w:rPr>
              <w:t>减：公司内各分部抵销数</w:t>
            </w:r>
          </w:p>
        </w:tc>
        <w:tc>
          <w:tcPr>
            <w:tcW w:w="1876" w:type="dxa"/>
            <w:tcBorders>
              <w:top w:val="single" w:sz="11" w:space="0" w:color="000000"/>
              <w:left w:val="nil" w:sz="6" w:space="0" w:color="auto"/>
              <w:bottom w:val="single" w:sz="6" w:space="0" w:color="000000"/>
              <w:right w:val="nil" w:sz="6" w:space="0" w:color="auto"/>
            </w:tcBorders>
          </w:tcPr>
          <w:p>
            <w:pPr>
              <w:pStyle w:val="TableParagraph"/>
              <w:spacing w:line="240" w:lineRule="auto" w:before="60"/>
              <w:ind w:right="11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single" w:sz="11" w:space="0" w:color="000000"/>
              <w:left w:val="nil" w:sz="6" w:space="0" w:color="auto"/>
              <w:bottom w:val="single" w:sz="6" w:space="0" w:color="000000"/>
              <w:right w:val="nil" w:sz="6" w:space="0" w:color="auto"/>
            </w:tcBorders>
          </w:tcPr>
          <w:p>
            <w:pPr>
              <w:pStyle w:val="TableParagraph"/>
              <w:spacing w:line="240" w:lineRule="auto" w:before="60"/>
              <w:ind w:right="11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single" w:sz="11" w:space="0" w:color="000000"/>
              <w:left w:val="nil" w:sz="6" w:space="0" w:color="auto"/>
              <w:bottom w:val="single" w:sz="6" w:space="0" w:color="000000"/>
              <w:right w:val="nil" w:sz="6" w:space="0" w:color="auto"/>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11"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54"/>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3"/>
                <w:sz w:val="18"/>
                <w:szCs w:val="18"/>
              </w:rPr>
              <w:t> </w:t>
            </w:r>
            <w:r>
              <w:rPr>
                <w:rFonts w:ascii="宋体" w:hAnsi="宋体" w:cs="宋体" w:eastAsia="宋体" w:hint="default"/>
                <w:sz w:val="18"/>
                <w:szCs w:val="18"/>
              </w:rPr>
              <w:t>计</w:t>
            </w:r>
          </w:p>
        </w:tc>
        <w:tc>
          <w:tcPr>
            <w:tcW w:w="1876" w:type="dxa"/>
            <w:tcBorders>
              <w:top w:val="single" w:sz="6" w:space="0" w:color="000000"/>
              <w:left w:val="nil" w:sz="6" w:space="0" w:color="auto"/>
              <w:bottom w:val="single" w:sz="5" w:space="0" w:color="000000"/>
              <w:right w:val="nil" w:sz="6" w:space="0" w:color="auto"/>
            </w:tcBorders>
          </w:tcPr>
          <w:p>
            <w:pPr>
              <w:pStyle w:val="TableParagraph"/>
              <w:spacing w:line="240" w:lineRule="auto" w:before="89"/>
              <w:ind w:right="54"/>
              <w:jc w:val="right"/>
              <w:rPr>
                <w:rFonts w:ascii="Times New Roman" w:hAnsi="Times New Roman" w:cs="Times New Roman" w:eastAsia="Times New Roman" w:hint="default"/>
                <w:sz w:val="20"/>
                <w:szCs w:val="20"/>
              </w:rPr>
            </w:pPr>
            <w:r>
              <w:rPr>
                <w:rFonts w:ascii="Times New Roman"/>
                <w:sz w:val="20"/>
              </w:rPr>
              <w:t>351,718,344.06</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single" w:sz="6" w:space="0" w:color="000000"/>
              <w:left w:val="nil" w:sz="6" w:space="0" w:color="auto"/>
              <w:bottom w:val="single" w:sz="5" w:space="0" w:color="000000"/>
              <w:right w:val="nil" w:sz="6" w:space="0" w:color="auto"/>
            </w:tcBorders>
          </w:tcPr>
          <w:p>
            <w:pPr>
              <w:pStyle w:val="TableParagraph"/>
              <w:spacing w:line="240" w:lineRule="auto" w:before="89"/>
              <w:ind w:right="54"/>
              <w:jc w:val="right"/>
              <w:rPr>
                <w:rFonts w:ascii="Times New Roman" w:hAnsi="Times New Roman" w:cs="Times New Roman" w:eastAsia="Times New Roman" w:hint="default"/>
                <w:sz w:val="20"/>
                <w:szCs w:val="20"/>
              </w:rPr>
            </w:pPr>
            <w:r>
              <w:rPr>
                <w:rFonts w:ascii="Times New Roman"/>
                <w:w w:val="95"/>
                <w:sz w:val="20"/>
              </w:rPr>
              <w:t>254,838,640.68</w:t>
            </w:r>
            <w:r>
              <w:rPr>
                <w:rFonts w:ascii="Times New Roman"/>
                <w:sz w:val="20"/>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single" w:sz="6" w:space="0" w:color="000000"/>
              <w:left w:val="nil" w:sz="6" w:space="0" w:color="auto"/>
              <w:bottom w:val="single" w:sz="5" w:space="0" w:color="000000"/>
              <w:right w:val="nil" w:sz="6" w:space="0" w:color="auto"/>
            </w:tcBorders>
          </w:tcPr>
          <w:p>
            <w:pPr>
              <w:pStyle w:val="TableParagraph"/>
              <w:spacing w:line="240" w:lineRule="auto" w:before="89"/>
              <w:ind w:right="39"/>
              <w:jc w:val="right"/>
              <w:rPr>
                <w:rFonts w:ascii="Times New Roman" w:hAnsi="Times New Roman" w:cs="Times New Roman" w:eastAsia="Times New Roman" w:hint="default"/>
                <w:sz w:val="20"/>
                <w:szCs w:val="20"/>
              </w:rPr>
            </w:pPr>
            <w:r>
              <w:rPr>
                <w:rFonts w:ascii="Times New Roman"/>
                <w:sz w:val="20"/>
              </w:rPr>
              <w:t>96,879,703.38</w:t>
            </w:r>
          </w:p>
        </w:tc>
      </w:tr>
    </w:tbl>
    <w:p>
      <w:pPr>
        <w:spacing w:line="240" w:lineRule="auto" w:before="10"/>
        <w:rPr>
          <w:rFonts w:ascii="宋体" w:hAnsi="宋体" w:cs="宋体" w:eastAsia="宋体" w:hint="default"/>
          <w:sz w:val="2"/>
          <w:szCs w:val="2"/>
        </w:rPr>
      </w:pPr>
    </w:p>
    <w:p>
      <w:pPr>
        <w:spacing w:line="20" w:lineRule="exact"/>
        <w:ind w:left="3042" w:right="0" w:firstLine="0"/>
        <w:rPr>
          <w:rFonts w:ascii="宋体" w:hAnsi="宋体" w:cs="宋体" w:eastAsia="宋体" w:hint="default"/>
          <w:sz w:val="2"/>
          <w:szCs w:val="2"/>
        </w:rPr>
      </w:pPr>
      <w:r>
        <w:rPr>
          <w:rFonts w:ascii="宋体"/>
          <w:sz w:val="2"/>
        </w:rPr>
        <w:pict>
          <v:group style="width:94.5pt;height:.75pt;mso-position-horizontal-relative:char;mso-position-vertical-relative:line" coordorigin="0,0" coordsize="1890,15">
            <v:group style="position:absolute;left:7;top:7;width:1876;height:2" coordorigin="7,7" coordsize="1876,2">
              <v:shape style="position:absolute;left:7;top:7;width:1876;height:2" coordorigin="7,7" coordsize="1876,0" path="m7,7l1883,7e" filled="false" stroked="true" strokeweight=".72003pt" strokecolor="#000000">
                <v:path arrowok="t"/>
              </v:shape>
            </v:group>
          </v:group>
        </w:pict>
      </w:r>
      <w:r>
        <w:rPr>
          <w:rFonts w:ascii="宋体"/>
          <w:sz w:val="2"/>
        </w:rPr>
      </w:r>
      <w:r>
        <w:rPr>
          <w:rFonts w:ascii="Times New Roman"/>
          <w:spacing w:val="105"/>
          <w:sz w:val="2"/>
        </w:rPr>
        <w:t> </w:t>
      </w:r>
      <w:r>
        <w:rPr>
          <w:rFonts w:ascii="宋体"/>
          <w:spacing w:val="105"/>
          <w:sz w:val="2"/>
        </w:rPr>
        <w:pict>
          <v:group style="width:94.5pt;height:.75pt;mso-position-horizontal-relative:char;mso-position-vertical-relative:line" coordorigin="0,0" coordsize="1890,15">
            <v:group style="position:absolute;left:7;top:7;width:1876;height:2" coordorigin="7,7" coordsize="1876,2">
              <v:shape style="position:absolute;left:7;top:7;width:1876;height:2" coordorigin="7,7" coordsize="1876,0" path="m7,7l1883,7e" filled="false" stroked="true" strokeweight=".72003pt" strokecolor="#000000">
                <v:path arrowok="t"/>
              </v:shape>
            </v:group>
          </v:group>
        </w:pict>
      </w:r>
      <w:r>
        <w:rPr>
          <w:rFonts w:ascii="宋体"/>
          <w:spacing w:val="105"/>
          <w:sz w:val="2"/>
        </w:rPr>
      </w:r>
      <w:r>
        <w:rPr>
          <w:rFonts w:ascii="Times New Roman"/>
          <w:spacing w:val="63"/>
          <w:sz w:val="2"/>
        </w:rPr>
        <w:t> </w:t>
      </w:r>
      <w:r>
        <w:rPr>
          <w:rFonts w:ascii="宋体"/>
          <w:spacing w:val="63"/>
          <w:sz w:val="2"/>
        </w:rPr>
        <w:pict>
          <v:group style="width:94.45pt;height:.75pt;mso-position-horizontal-relative:char;mso-position-vertical-relative:line" coordorigin="0,0" coordsize="1889,15">
            <v:group style="position:absolute;left:7;top:7;width:1875;height:2" coordorigin="7,7" coordsize="1875,2">
              <v:shape style="position:absolute;left:7;top:7;width:1875;height:2" coordorigin="7,7" coordsize="1875,0" path="m7,7l1882,7e" filled="false" stroked="true" strokeweight=".72003pt" strokecolor="#000000">
                <v:path arrowok="t"/>
              </v:shape>
            </v:group>
          </v:group>
        </w:pict>
      </w:r>
      <w:r>
        <w:rPr>
          <w:rFonts w:ascii="宋体"/>
          <w:spacing w:val="63"/>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634"/>
        <w:jc w:val="left"/>
      </w:pPr>
      <w:r>
        <w:rPr/>
        <w:pict>
          <v:group style="position:absolute;margin-left:234.809998pt;margin-top:52.806034pt;width:293.3pt;height:1.45pt;mso-position-horizontal-relative:page;mso-position-vertical-relative:paragraph;z-index:-585208" coordorigin="4696,1056" coordsize="5866,29">
            <v:group style="position:absolute;left:4710;top:1057;width:5838;height:2" coordorigin="4710,1057" coordsize="5838,2">
              <v:shape style="position:absolute;left:4710;top:1057;width:5838;height:2" coordorigin="4710,1057" coordsize="5838,0" path="m4710,1057l10548,1057e" filled="false" stroked="true" strokeweight=".06pt" strokecolor="#000000">
                <v:path arrowok="t"/>
              </v:shape>
            </v:group>
            <v:group style="position:absolute;left:4710;top:1071;width:5838;height:2" coordorigin="4710,1071" coordsize="5838,2">
              <v:shape style="position:absolute;left:4710;top:1071;width:5838;height:2" coordorigin="4710,1071" coordsize="5838,0" path="m4710,1071l10548,1071e" filled="false" stroked="true" strokeweight="1.38pt" strokecolor="#000000">
                <v:path arrowok="t"/>
              </v:shape>
            </v:group>
            <w10:wrap type="none"/>
          </v:group>
        </w:pict>
      </w:r>
      <w:r>
        <w:rPr/>
        <w:t>（续）</w:t>
      </w:r>
    </w:p>
    <w:p>
      <w:pPr>
        <w:spacing w:line="240" w:lineRule="auto" w:before="13"/>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922"/>
        <w:gridCol w:w="1804"/>
        <w:gridCol w:w="170"/>
        <w:gridCol w:w="1876"/>
        <w:gridCol w:w="127"/>
        <w:gridCol w:w="1876"/>
        <w:gridCol w:w="85"/>
        <w:gridCol w:w="1874"/>
      </w:tblGrid>
      <w:tr>
        <w:trPr>
          <w:trHeight w:val="541" w:hRule="exact"/>
        </w:trPr>
        <w:tc>
          <w:tcPr>
            <w:tcW w:w="922" w:type="dxa"/>
            <w:vMerge w:val="restart"/>
            <w:tcBorders>
              <w:top w:val="nil" w:sz="6" w:space="0" w:color="auto"/>
              <w:left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pacing w:val="-4"/>
                <w:w w:val="105"/>
                <w:sz w:val="18"/>
                <w:szCs w:val="18"/>
              </w:rPr>
              <w:t>业务分部</w:t>
            </w:r>
            <w:r>
              <w:rPr>
                <w:rFonts w:ascii="宋体" w:hAnsi="宋体" w:cs="宋体" w:eastAsia="宋体" w:hint="default"/>
                <w:spacing w:val="-4"/>
                <w:sz w:val="18"/>
                <w:szCs w:val="18"/>
              </w:rPr>
            </w: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5"/>
              <w:jc w:val="center"/>
              <w:rPr>
                <w:rFonts w:ascii="宋体" w:hAnsi="宋体" w:cs="宋体" w:eastAsia="宋体" w:hint="default"/>
                <w:sz w:val="18"/>
                <w:szCs w:val="18"/>
              </w:rPr>
            </w:pPr>
            <w:r>
              <w:rPr>
                <w:rFonts w:ascii="宋体" w:hAnsi="宋体" w:cs="宋体" w:eastAsia="宋体" w:hint="default"/>
                <w:spacing w:val="-5"/>
                <w:w w:val="105"/>
                <w:sz w:val="18"/>
                <w:szCs w:val="18"/>
              </w:rPr>
              <w:t>上年数</w:t>
            </w:r>
            <w:r>
              <w:rPr>
                <w:rFonts w:ascii="宋体" w:hAnsi="宋体" w:cs="宋体" w:eastAsia="宋体" w:hint="default"/>
                <w:spacing w:val="-5"/>
                <w:sz w:val="18"/>
                <w:szCs w:val="18"/>
              </w:rPr>
            </w:r>
          </w:p>
        </w:tc>
        <w:tc>
          <w:tcPr>
            <w:tcW w:w="1960" w:type="dxa"/>
            <w:gridSpan w:val="2"/>
            <w:tcBorders>
              <w:top w:val="nil" w:sz="6" w:space="0" w:color="auto"/>
              <w:left w:val="nil" w:sz="6" w:space="0" w:color="auto"/>
              <w:bottom w:val="nil" w:sz="6" w:space="0" w:color="auto"/>
              <w:right w:val="nil" w:sz="6" w:space="0" w:color="auto"/>
            </w:tcBorders>
          </w:tcPr>
          <w:p>
            <w:pPr/>
          </w:p>
        </w:tc>
      </w:tr>
      <w:tr>
        <w:trPr>
          <w:trHeight w:val="333" w:hRule="exact"/>
        </w:trPr>
        <w:tc>
          <w:tcPr>
            <w:tcW w:w="922" w:type="dxa"/>
            <w:vMerge/>
            <w:tcBorders>
              <w:left w:val="nil" w:sz="6" w:space="0" w:color="auto"/>
              <w:bottom w:val="single" w:sz="6" w:space="0" w:color="000000"/>
              <w:right w:val="nil" w:sz="6" w:space="0" w:color="auto"/>
            </w:tcBorders>
          </w:tcPr>
          <w:p>
            <w:pPr/>
          </w:p>
        </w:tc>
        <w:tc>
          <w:tcPr>
            <w:tcW w:w="1804" w:type="dxa"/>
            <w:tcBorders>
              <w:top w:val="nil" w:sz="6" w:space="0" w:color="auto"/>
              <w:left w:val="nil" w:sz="6" w:space="0" w:color="auto"/>
              <w:bottom w:val="single" w:sz="6" w:space="0" w:color="000000"/>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6" w:space="0" w:color="000000"/>
              <w:right w:val="nil" w:sz="6" w:space="0" w:color="auto"/>
            </w:tcBorders>
          </w:tcPr>
          <w:p>
            <w:pPr>
              <w:pStyle w:val="TableParagraph"/>
              <w:spacing w:line="212" w:lineRule="exact"/>
              <w:ind w:left="398" w:right="0"/>
              <w:jc w:val="left"/>
              <w:rPr>
                <w:rFonts w:ascii="宋体" w:hAnsi="宋体" w:cs="宋体" w:eastAsia="宋体" w:hint="default"/>
                <w:sz w:val="18"/>
                <w:szCs w:val="18"/>
              </w:rPr>
            </w:pPr>
            <w:r>
              <w:rPr>
                <w:rFonts w:ascii="宋体" w:hAnsi="宋体" w:cs="宋体" w:eastAsia="宋体" w:hint="default"/>
                <w:spacing w:val="-3"/>
                <w:w w:val="105"/>
                <w:sz w:val="18"/>
                <w:szCs w:val="18"/>
              </w:rPr>
              <w:t>主营业务收入</w:t>
            </w:r>
            <w:r>
              <w:rPr>
                <w:rFonts w:ascii="宋体" w:hAnsi="宋体" w:cs="宋体" w:eastAsia="宋体" w:hint="default"/>
                <w:spacing w:val="-3"/>
                <w:sz w:val="18"/>
                <w:szCs w:val="18"/>
              </w:rPr>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6" w:space="0" w:color="000000"/>
              <w:right w:val="nil" w:sz="6" w:space="0" w:color="auto"/>
            </w:tcBorders>
          </w:tcPr>
          <w:p>
            <w:pPr>
              <w:pStyle w:val="TableParagraph"/>
              <w:spacing w:line="212" w:lineRule="exact"/>
              <w:ind w:left="398" w:right="0"/>
              <w:jc w:val="left"/>
              <w:rPr>
                <w:rFonts w:ascii="宋体" w:hAnsi="宋体" w:cs="宋体" w:eastAsia="宋体" w:hint="default"/>
                <w:sz w:val="18"/>
                <w:szCs w:val="18"/>
              </w:rPr>
            </w:pPr>
            <w:r>
              <w:rPr>
                <w:rFonts w:ascii="宋体" w:hAnsi="宋体" w:cs="宋体" w:eastAsia="宋体" w:hint="default"/>
                <w:spacing w:val="-3"/>
                <w:w w:val="105"/>
                <w:sz w:val="18"/>
                <w:szCs w:val="18"/>
              </w:rPr>
              <w:t>主营业务成本</w:t>
            </w:r>
            <w:r>
              <w:rPr>
                <w:rFonts w:ascii="宋体" w:hAnsi="宋体" w:cs="宋体" w:eastAsia="宋体" w:hint="default"/>
                <w:spacing w:val="-3"/>
                <w:sz w:val="18"/>
                <w:szCs w:val="18"/>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6" w:space="0" w:color="000000"/>
              <w:right w:val="nil" w:sz="6" w:space="0" w:color="auto"/>
            </w:tcBorders>
          </w:tcPr>
          <w:p>
            <w:pPr>
              <w:pStyle w:val="TableParagraph"/>
              <w:spacing w:line="212" w:lineRule="exact"/>
              <w:ind w:left="397" w:right="0"/>
              <w:jc w:val="left"/>
              <w:rPr>
                <w:rFonts w:ascii="宋体" w:hAnsi="宋体" w:cs="宋体" w:eastAsia="宋体" w:hint="default"/>
                <w:sz w:val="18"/>
                <w:szCs w:val="18"/>
              </w:rPr>
            </w:pPr>
            <w:r>
              <w:rPr>
                <w:rFonts w:ascii="宋体" w:hAnsi="宋体" w:cs="宋体" w:eastAsia="宋体" w:hint="default"/>
                <w:spacing w:val="-3"/>
                <w:w w:val="105"/>
                <w:sz w:val="18"/>
                <w:szCs w:val="18"/>
              </w:rPr>
              <w:t>主营业务利润</w:t>
            </w:r>
            <w:r>
              <w:rPr>
                <w:rFonts w:ascii="宋体" w:hAnsi="宋体" w:cs="宋体" w:eastAsia="宋体" w:hint="default"/>
                <w:spacing w:val="-3"/>
                <w:sz w:val="18"/>
                <w:szCs w:val="18"/>
              </w:rPr>
            </w:r>
          </w:p>
        </w:tc>
      </w:tr>
      <w:tr>
        <w:trPr>
          <w:trHeight w:val="475" w:hRule="exact"/>
        </w:trPr>
        <w:tc>
          <w:tcPr>
            <w:tcW w:w="922" w:type="dxa"/>
            <w:tcBorders>
              <w:top w:val="single" w:sz="6" w:space="0" w:color="000000"/>
              <w:left w:val="nil" w:sz="6" w:space="0" w:color="auto"/>
              <w:bottom w:val="nil" w:sz="6" w:space="0" w:color="auto"/>
              <w:right w:val="nil" w:sz="6" w:space="0" w:color="auto"/>
            </w:tcBorders>
          </w:tcPr>
          <w:p>
            <w:pPr>
              <w:pStyle w:val="TableParagraph"/>
              <w:spacing w:line="240" w:lineRule="auto" w:before="78"/>
              <w:ind w:left="28" w:right="0"/>
              <w:jc w:val="left"/>
              <w:rPr>
                <w:rFonts w:ascii="宋体" w:hAnsi="宋体" w:cs="宋体" w:eastAsia="宋体" w:hint="default"/>
                <w:sz w:val="20"/>
                <w:szCs w:val="20"/>
              </w:rPr>
            </w:pPr>
            <w:r>
              <w:rPr>
                <w:rFonts w:ascii="宋体" w:hAnsi="宋体" w:cs="宋体" w:eastAsia="宋体" w:hint="default"/>
                <w:spacing w:val="4"/>
                <w:sz w:val="20"/>
                <w:szCs w:val="20"/>
              </w:rPr>
              <w:t>印刷品</w:t>
            </w:r>
          </w:p>
        </w:tc>
        <w:tc>
          <w:tcPr>
            <w:tcW w:w="1804" w:type="dxa"/>
            <w:tcBorders>
              <w:top w:val="single" w:sz="6" w:space="0" w:color="000000"/>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single" w:sz="6" w:space="0" w:color="000000"/>
              <w:left w:val="nil" w:sz="6" w:space="0" w:color="auto"/>
              <w:bottom w:val="nil" w:sz="6" w:space="0" w:color="auto"/>
              <w:right w:val="nil" w:sz="6" w:space="0" w:color="auto"/>
            </w:tcBorders>
          </w:tcPr>
          <w:p>
            <w:pPr>
              <w:pStyle w:val="TableParagraph"/>
              <w:spacing w:line="240" w:lineRule="auto" w:before="105"/>
              <w:ind w:right="54"/>
              <w:jc w:val="right"/>
              <w:rPr>
                <w:rFonts w:ascii="Times New Roman" w:hAnsi="Times New Roman" w:cs="Times New Roman" w:eastAsia="Times New Roman" w:hint="default"/>
                <w:sz w:val="20"/>
                <w:szCs w:val="20"/>
              </w:rPr>
            </w:pPr>
            <w:r>
              <w:rPr>
                <w:rFonts w:ascii="Times New Roman"/>
                <w:sz w:val="20"/>
              </w:rPr>
              <w:t>261,357,029.91</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single" w:sz="6" w:space="0" w:color="000000"/>
              <w:left w:val="nil" w:sz="6" w:space="0" w:color="auto"/>
              <w:bottom w:val="nil" w:sz="6" w:space="0" w:color="auto"/>
              <w:right w:val="nil" w:sz="6" w:space="0" w:color="auto"/>
            </w:tcBorders>
          </w:tcPr>
          <w:p>
            <w:pPr>
              <w:pStyle w:val="TableParagraph"/>
              <w:spacing w:line="240" w:lineRule="auto" w:before="105"/>
              <w:ind w:right="54"/>
              <w:jc w:val="right"/>
              <w:rPr>
                <w:rFonts w:ascii="Times New Roman" w:hAnsi="Times New Roman" w:cs="Times New Roman" w:eastAsia="Times New Roman" w:hint="default"/>
                <w:sz w:val="20"/>
                <w:szCs w:val="20"/>
              </w:rPr>
            </w:pPr>
            <w:r>
              <w:rPr>
                <w:rFonts w:ascii="Times New Roman"/>
                <w:w w:val="95"/>
                <w:sz w:val="20"/>
              </w:rPr>
              <w:t>175,437,718.21</w:t>
            </w:r>
            <w:r>
              <w:rPr>
                <w:rFonts w:ascii="Times New Roman"/>
                <w:sz w:val="20"/>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single" w:sz="6" w:space="0" w:color="000000"/>
              <w:left w:val="nil" w:sz="6" w:space="0" w:color="auto"/>
              <w:bottom w:val="nil" w:sz="6" w:space="0" w:color="auto"/>
              <w:right w:val="nil" w:sz="6" w:space="0" w:color="auto"/>
            </w:tcBorders>
          </w:tcPr>
          <w:p>
            <w:pPr>
              <w:pStyle w:val="TableParagraph"/>
              <w:spacing w:line="240" w:lineRule="auto" w:before="105"/>
              <w:ind w:right="39"/>
              <w:jc w:val="right"/>
              <w:rPr>
                <w:rFonts w:ascii="Times New Roman" w:hAnsi="Times New Roman" w:cs="Times New Roman" w:eastAsia="Times New Roman" w:hint="default"/>
                <w:sz w:val="20"/>
                <w:szCs w:val="20"/>
              </w:rPr>
            </w:pPr>
            <w:r>
              <w:rPr>
                <w:rFonts w:ascii="Times New Roman"/>
                <w:sz w:val="20"/>
              </w:rPr>
              <w:t>85,919,311.70</w:t>
            </w:r>
          </w:p>
        </w:tc>
      </w:tr>
      <w:tr>
        <w:trPr>
          <w:trHeight w:val="458"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 w:right="0"/>
              <w:jc w:val="left"/>
              <w:rPr>
                <w:rFonts w:ascii="宋体" w:hAnsi="宋体" w:cs="宋体" w:eastAsia="宋体" w:hint="default"/>
                <w:sz w:val="20"/>
                <w:szCs w:val="20"/>
              </w:rPr>
            </w:pPr>
            <w:r>
              <w:rPr>
                <w:rFonts w:ascii="宋体" w:hAnsi="宋体" w:cs="宋体" w:eastAsia="宋体" w:hint="default"/>
                <w:spacing w:val="4"/>
                <w:sz w:val="20"/>
                <w:szCs w:val="20"/>
              </w:rPr>
              <w:t>纸制品</w:t>
            </w:r>
          </w:p>
        </w:tc>
        <w:tc>
          <w:tcPr>
            <w:tcW w:w="1804"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Times New Roman" w:hAnsi="Times New Roman" w:cs="Times New Roman" w:eastAsia="Times New Roman" w:hint="default"/>
                <w:sz w:val="20"/>
                <w:szCs w:val="20"/>
              </w:rPr>
            </w:pPr>
            <w:r>
              <w:rPr>
                <w:rFonts w:ascii="Times New Roman"/>
                <w:w w:val="95"/>
                <w:sz w:val="20"/>
              </w:rPr>
              <w:t>53,851,010.79</w:t>
            </w:r>
            <w:r>
              <w:rPr>
                <w:rFonts w:ascii="Times New Roman"/>
                <w:sz w:val="20"/>
              </w:rPr>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4"/>
              <w:jc w:val="right"/>
              <w:rPr>
                <w:rFonts w:ascii="Times New Roman" w:hAnsi="Times New Roman" w:cs="Times New Roman" w:eastAsia="Times New Roman" w:hint="default"/>
                <w:sz w:val="20"/>
                <w:szCs w:val="20"/>
              </w:rPr>
            </w:pPr>
            <w:r>
              <w:rPr>
                <w:rFonts w:ascii="Times New Roman"/>
                <w:w w:val="95"/>
                <w:sz w:val="20"/>
              </w:rPr>
              <w:t>51,154,276.64</w:t>
            </w:r>
            <w:r>
              <w:rPr>
                <w:rFonts w:ascii="Times New Roman"/>
                <w:sz w:val="20"/>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9"/>
              <w:jc w:val="right"/>
              <w:rPr>
                <w:rFonts w:ascii="Times New Roman" w:hAnsi="Times New Roman" w:cs="Times New Roman" w:eastAsia="Times New Roman" w:hint="default"/>
                <w:sz w:val="20"/>
                <w:szCs w:val="20"/>
              </w:rPr>
            </w:pPr>
            <w:r>
              <w:rPr>
                <w:rFonts w:ascii="Times New Roman"/>
                <w:sz w:val="20"/>
              </w:rPr>
              <w:t>2,696,734.15</w:t>
            </w:r>
          </w:p>
        </w:tc>
      </w:tr>
      <w:tr>
        <w:trPr>
          <w:trHeight w:val="465"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8" w:right="0"/>
              <w:jc w:val="left"/>
              <w:rPr>
                <w:rFonts w:ascii="宋体" w:hAnsi="宋体" w:cs="宋体" w:eastAsia="宋体" w:hint="default"/>
                <w:sz w:val="20"/>
                <w:szCs w:val="20"/>
              </w:rPr>
            </w:pPr>
            <w:r>
              <w:rPr>
                <w:rFonts w:ascii="宋体" w:hAnsi="宋体" w:cs="宋体" w:eastAsia="宋体" w:hint="default"/>
                <w:sz w:val="20"/>
                <w:szCs w:val="20"/>
              </w:rPr>
              <w:t>标签</w:t>
            </w:r>
          </w:p>
        </w:tc>
        <w:tc>
          <w:tcPr>
            <w:tcW w:w="1804"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4"/>
              <w:jc w:val="right"/>
              <w:rPr>
                <w:rFonts w:ascii="Times New Roman" w:hAnsi="Times New Roman" w:cs="Times New Roman" w:eastAsia="Times New Roman" w:hint="default"/>
                <w:sz w:val="20"/>
                <w:szCs w:val="20"/>
              </w:rPr>
            </w:pPr>
            <w:r>
              <w:rPr>
                <w:rFonts w:ascii="Times New Roman"/>
                <w:w w:val="95"/>
                <w:sz w:val="20"/>
              </w:rPr>
              <w:t>9,246,851.53</w:t>
            </w:r>
            <w:r>
              <w:rPr>
                <w:rFonts w:ascii="Times New Roman"/>
                <w:sz w:val="20"/>
              </w:rPr>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4"/>
              <w:jc w:val="right"/>
              <w:rPr>
                <w:rFonts w:ascii="Times New Roman" w:hAnsi="Times New Roman" w:cs="Times New Roman" w:eastAsia="Times New Roman" w:hint="default"/>
                <w:sz w:val="20"/>
                <w:szCs w:val="20"/>
              </w:rPr>
            </w:pPr>
            <w:r>
              <w:rPr>
                <w:rFonts w:ascii="Times New Roman"/>
                <w:w w:val="95"/>
                <w:sz w:val="20"/>
              </w:rPr>
              <w:t>5,242,674.10</w:t>
            </w:r>
            <w:r>
              <w:rPr>
                <w:rFonts w:ascii="Times New Roman"/>
                <w:sz w:val="20"/>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9"/>
              <w:jc w:val="right"/>
              <w:rPr>
                <w:rFonts w:ascii="Times New Roman" w:hAnsi="Times New Roman" w:cs="Times New Roman" w:eastAsia="Times New Roman" w:hint="default"/>
                <w:sz w:val="20"/>
                <w:szCs w:val="20"/>
              </w:rPr>
            </w:pPr>
            <w:r>
              <w:rPr>
                <w:rFonts w:ascii="Times New Roman"/>
                <w:sz w:val="20"/>
              </w:rPr>
              <w:t>4,004,177.43</w:t>
            </w:r>
          </w:p>
        </w:tc>
      </w:tr>
      <w:tr>
        <w:trPr>
          <w:trHeight w:val="448" w:hRule="exact"/>
        </w:trPr>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8" w:right="0"/>
              <w:jc w:val="left"/>
              <w:rPr>
                <w:rFonts w:ascii="宋体" w:hAnsi="宋体" w:cs="宋体" w:eastAsia="宋体" w:hint="default"/>
                <w:sz w:val="20"/>
                <w:szCs w:val="20"/>
              </w:rPr>
            </w:pPr>
            <w:r>
              <w:rPr>
                <w:rFonts w:ascii="宋体" w:hAnsi="宋体" w:cs="宋体" w:eastAsia="宋体" w:hint="default"/>
                <w:spacing w:val="2"/>
                <w:sz w:val="20"/>
                <w:szCs w:val="20"/>
              </w:rPr>
              <w:t>数码产品</w:t>
            </w:r>
            <w:r>
              <w:rPr>
                <w:rFonts w:ascii="宋体" w:hAnsi="宋体" w:cs="宋体" w:eastAsia="宋体" w:hint="default"/>
                <w:sz w:val="20"/>
                <w:szCs w:val="20"/>
              </w:rPr>
            </w:r>
          </w:p>
        </w:tc>
        <w:tc>
          <w:tcPr>
            <w:tcW w:w="1804"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6" w:space="0" w:color="000000"/>
              <w:right w:val="nil" w:sz="6" w:space="0" w:color="auto"/>
            </w:tcBorders>
          </w:tcPr>
          <w:p>
            <w:pPr>
              <w:pStyle w:val="TableParagraph"/>
              <w:spacing w:line="240" w:lineRule="auto" w:before="105"/>
              <w:ind w:right="54"/>
              <w:jc w:val="right"/>
              <w:rPr>
                <w:rFonts w:ascii="Times New Roman" w:hAnsi="Times New Roman" w:cs="Times New Roman" w:eastAsia="Times New Roman" w:hint="default"/>
                <w:sz w:val="20"/>
                <w:szCs w:val="20"/>
              </w:rPr>
            </w:pPr>
            <w:r>
              <w:rPr>
                <w:rFonts w:ascii="Times New Roman"/>
                <w:w w:val="95"/>
                <w:sz w:val="20"/>
              </w:rPr>
              <w:t>1,216,867.22</w:t>
            </w:r>
            <w:r>
              <w:rPr>
                <w:rFonts w:ascii="Times New Roman"/>
                <w:sz w:val="20"/>
              </w:rPr>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6" w:space="0" w:color="000000"/>
              <w:right w:val="nil" w:sz="6" w:space="0" w:color="auto"/>
            </w:tcBorders>
          </w:tcPr>
          <w:p>
            <w:pPr>
              <w:pStyle w:val="TableParagraph"/>
              <w:spacing w:line="240" w:lineRule="auto" w:before="105"/>
              <w:ind w:right="54"/>
              <w:jc w:val="right"/>
              <w:rPr>
                <w:rFonts w:ascii="Times New Roman" w:hAnsi="Times New Roman" w:cs="Times New Roman" w:eastAsia="Times New Roman" w:hint="default"/>
                <w:sz w:val="20"/>
                <w:szCs w:val="20"/>
              </w:rPr>
            </w:pPr>
            <w:r>
              <w:rPr>
                <w:rFonts w:ascii="Times New Roman"/>
                <w:w w:val="95"/>
                <w:sz w:val="20"/>
              </w:rPr>
              <w:t>1,981,236.35</w:t>
            </w:r>
            <w:r>
              <w:rPr>
                <w:rFonts w:ascii="Times New Roman"/>
                <w:sz w:val="20"/>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6" w:space="0" w:color="000000"/>
              <w:right w:val="nil" w:sz="6" w:space="0" w:color="auto"/>
            </w:tcBorders>
          </w:tcPr>
          <w:p>
            <w:pPr>
              <w:pStyle w:val="TableParagraph"/>
              <w:spacing w:line="240" w:lineRule="auto" w:before="105"/>
              <w:ind w:right="54"/>
              <w:jc w:val="right"/>
              <w:rPr>
                <w:rFonts w:ascii="Times New Roman" w:hAnsi="Times New Roman" w:cs="Times New Roman" w:eastAsia="Times New Roman" w:hint="default"/>
                <w:sz w:val="20"/>
                <w:szCs w:val="20"/>
              </w:rPr>
            </w:pPr>
            <w:r>
              <w:rPr>
                <w:rFonts w:ascii="Times New Roman"/>
                <w:sz w:val="20"/>
              </w:rPr>
              <w:t>-764,369.13</w:t>
            </w:r>
          </w:p>
        </w:tc>
      </w:tr>
      <w:tr>
        <w:trPr>
          <w:trHeight w:val="472" w:hRule="exact"/>
        </w:trPr>
        <w:tc>
          <w:tcPr>
            <w:tcW w:w="922"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tabs>
                <w:tab w:pos="583" w:val="left" w:leader="none"/>
              </w:tabs>
              <w:spacing w:line="240" w:lineRule="auto" w:before="97"/>
              <w:ind w:left="128" w:right="0"/>
              <w:jc w:val="left"/>
              <w:rPr>
                <w:rFonts w:ascii="宋体" w:hAnsi="宋体" w:cs="宋体" w:eastAsia="宋体" w:hint="default"/>
                <w:sz w:val="18"/>
                <w:szCs w:val="18"/>
              </w:rPr>
            </w:pPr>
            <w:r>
              <w:rPr>
                <w:rFonts w:ascii="宋体" w:hAnsi="宋体" w:cs="宋体" w:eastAsia="宋体" w:hint="default"/>
                <w:sz w:val="18"/>
                <w:szCs w:val="18"/>
              </w:rPr>
              <w:t>小</w:t>
              <w:tab/>
            </w:r>
            <w:r>
              <w:rPr>
                <w:rFonts w:ascii="宋体" w:hAnsi="宋体" w:cs="宋体" w:eastAsia="宋体" w:hint="default"/>
                <w:w w:val="105"/>
                <w:sz w:val="18"/>
                <w:szCs w:val="18"/>
              </w:rPr>
              <w:t>计</w:t>
            </w:r>
            <w:r>
              <w:rPr>
                <w:rFonts w:ascii="宋体" w:hAnsi="宋体" w:cs="宋体" w:eastAsia="宋体" w:hint="default"/>
                <w:sz w:val="18"/>
                <w:szCs w:val="18"/>
              </w:rPr>
            </w:r>
          </w:p>
        </w:tc>
        <w:tc>
          <w:tcPr>
            <w:tcW w:w="170" w:type="dxa"/>
            <w:tcBorders>
              <w:top w:val="nil" w:sz="6" w:space="0" w:color="auto"/>
              <w:left w:val="nil" w:sz="6" w:space="0" w:color="auto"/>
              <w:bottom w:val="nil" w:sz="6" w:space="0" w:color="auto"/>
              <w:right w:val="nil" w:sz="6" w:space="0" w:color="auto"/>
            </w:tcBorders>
          </w:tcPr>
          <w:p>
            <w:pPr/>
          </w:p>
        </w:tc>
        <w:tc>
          <w:tcPr>
            <w:tcW w:w="1876" w:type="dxa"/>
            <w:tcBorders>
              <w:top w:val="single" w:sz="6" w:space="0" w:color="000000"/>
              <w:left w:val="nil" w:sz="6" w:space="0" w:color="auto"/>
              <w:bottom w:val="nil" w:sz="6" w:space="0" w:color="auto"/>
              <w:right w:val="nil" w:sz="6" w:space="0" w:color="auto"/>
            </w:tcBorders>
          </w:tcPr>
          <w:p>
            <w:pPr>
              <w:pStyle w:val="TableParagraph"/>
              <w:spacing w:line="240" w:lineRule="auto" w:before="104"/>
              <w:ind w:right="54"/>
              <w:jc w:val="right"/>
              <w:rPr>
                <w:rFonts w:ascii="Times New Roman" w:hAnsi="Times New Roman" w:cs="Times New Roman" w:eastAsia="Times New Roman" w:hint="default"/>
                <w:sz w:val="20"/>
                <w:szCs w:val="20"/>
              </w:rPr>
            </w:pPr>
            <w:r>
              <w:rPr>
                <w:rFonts w:ascii="Times New Roman"/>
                <w:sz w:val="20"/>
              </w:rPr>
              <w:t>325,671,759.45</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single" w:sz="6" w:space="0" w:color="000000"/>
              <w:left w:val="nil" w:sz="6" w:space="0" w:color="auto"/>
              <w:bottom w:val="nil" w:sz="6" w:space="0" w:color="auto"/>
              <w:right w:val="nil" w:sz="6" w:space="0" w:color="auto"/>
            </w:tcBorders>
          </w:tcPr>
          <w:p>
            <w:pPr>
              <w:pStyle w:val="TableParagraph"/>
              <w:spacing w:line="240" w:lineRule="auto" w:before="104"/>
              <w:ind w:right="54"/>
              <w:jc w:val="right"/>
              <w:rPr>
                <w:rFonts w:ascii="Times New Roman" w:hAnsi="Times New Roman" w:cs="Times New Roman" w:eastAsia="Times New Roman" w:hint="default"/>
                <w:sz w:val="20"/>
                <w:szCs w:val="20"/>
              </w:rPr>
            </w:pPr>
            <w:r>
              <w:rPr>
                <w:rFonts w:ascii="Times New Roman"/>
                <w:w w:val="95"/>
                <w:sz w:val="20"/>
              </w:rPr>
              <w:t>233,815,905.30</w:t>
            </w:r>
            <w:r>
              <w:rPr>
                <w:rFonts w:ascii="Times New Roman"/>
                <w:sz w:val="20"/>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single" w:sz="6" w:space="0" w:color="000000"/>
              <w:left w:val="nil" w:sz="6" w:space="0" w:color="auto"/>
              <w:bottom w:val="nil" w:sz="6" w:space="0" w:color="auto"/>
              <w:right w:val="nil" w:sz="6" w:space="0" w:color="auto"/>
            </w:tcBorders>
          </w:tcPr>
          <w:p>
            <w:pPr>
              <w:pStyle w:val="TableParagraph"/>
              <w:spacing w:line="240" w:lineRule="auto" w:before="104"/>
              <w:ind w:right="39"/>
              <w:jc w:val="right"/>
              <w:rPr>
                <w:rFonts w:ascii="Times New Roman" w:hAnsi="Times New Roman" w:cs="Times New Roman" w:eastAsia="Times New Roman" w:hint="default"/>
                <w:sz w:val="20"/>
                <w:szCs w:val="20"/>
              </w:rPr>
            </w:pPr>
            <w:r>
              <w:rPr>
                <w:rFonts w:ascii="Times New Roman"/>
                <w:sz w:val="20"/>
              </w:rPr>
              <w:t>91,855,854.15</w:t>
            </w:r>
          </w:p>
        </w:tc>
      </w:tr>
      <w:tr>
        <w:trPr>
          <w:trHeight w:val="451" w:hRule="exact"/>
        </w:trPr>
        <w:tc>
          <w:tcPr>
            <w:tcW w:w="289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3"/>
              <w:ind w:left="369" w:right="0"/>
              <w:jc w:val="left"/>
              <w:rPr>
                <w:rFonts w:ascii="宋体" w:hAnsi="宋体" w:cs="宋体" w:eastAsia="宋体" w:hint="default"/>
                <w:sz w:val="18"/>
                <w:szCs w:val="18"/>
              </w:rPr>
            </w:pPr>
            <w:r>
              <w:rPr>
                <w:rFonts w:ascii="宋体" w:hAnsi="宋体" w:cs="宋体" w:eastAsia="宋体" w:hint="default"/>
                <w:spacing w:val="-3"/>
                <w:w w:val="105"/>
                <w:sz w:val="18"/>
                <w:szCs w:val="18"/>
              </w:rPr>
              <w:t>减：公司内各分部抵销数</w:t>
            </w:r>
            <w:r>
              <w:rPr>
                <w:rFonts w:ascii="宋体" w:hAnsi="宋体" w:cs="宋体" w:eastAsia="宋体" w:hint="default"/>
                <w:spacing w:val="-3"/>
                <w:sz w:val="18"/>
                <w:szCs w:val="18"/>
              </w:rPr>
            </w:r>
          </w:p>
        </w:tc>
        <w:tc>
          <w:tcPr>
            <w:tcW w:w="1876" w:type="dxa"/>
            <w:tcBorders>
              <w:top w:val="nil" w:sz="6" w:space="0" w:color="auto"/>
              <w:left w:val="nil" w:sz="6" w:space="0" w:color="auto"/>
              <w:bottom w:val="single" w:sz="6" w:space="0" w:color="000000"/>
              <w:right w:val="nil" w:sz="6" w:space="0" w:color="auto"/>
            </w:tcBorders>
          </w:tcPr>
          <w:p>
            <w:pPr>
              <w:pStyle w:val="TableParagraph"/>
              <w:spacing w:line="240" w:lineRule="auto" w:before="108"/>
              <w:ind w:right="11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nil" w:sz="6" w:space="0" w:color="auto"/>
              <w:left w:val="nil" w:sz="6" w:space="0" w:color="auto"/>
              <w:bottom w:val="single" w:sz="6" w:space="0" w:color="000000"/>
              <w:right w:val="nil" w:sz="6" w:space="0" w:color="auto"/>
            </w:tcBorders>
          </w:tcPr>
          <w:p>
            <w:pPr>
              <w:pStyle w:val="TableParagraph"/>
              <w:spacing w:line="240" w:lineRule="auto" w:before="108"/>
              <w:ind w:right="116"/>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single" w:sz="6" w:space="0" w:color="000000"/>
              <w:right w:val="nil" w:sz="6" w:space="0" w:color="auto"/>
            </w:tcBorders>
          </w:tcPr>
          <w:p>
            <w:pPr>
              <w:pStyle w:val="TableParagraph"/>
              <w:spacing w:line="240" w:lineRule="auto" w:before="108"/>
              <w:ind w:right="10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37" w:hRule="exact"/>
        </w:trPr>
        <w:tc>
          <w:tcPr>
            <w:tcW w:w="289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right="154"/>
              <w:jc w:val="center"/>
              <w:rPr>
                <w:rFonts w:ascii="宋体" w:hAnsi="宋体" w:cs="宋体" w:eastAsia="宋体" w:hint="default"/>
                <w:sz w:val="18"/>
                <w:szCs w:val="18"/>
              </w:rPr>
            </w:pPr>
            <w:r>
              <w:rPr>
                <w:rFonts w:ascii="宋体" w:hAnsi="宋体" w:cs="宋体" w:eastAsia="宋体" w:hint="default"/>
                <w:w w:val="105"/>
                <w:sz w:val="18"/>
                <w:szCs w:val="18"/>
              </w:rPr>
              <w:t>合</w:t>
            </w:r>
            <w:r>
              <w:rPr>
                <w:rFonts w:ascii="宋体" w:hAnsi="宋体" w:cs="宋体" w:eastAsia="宋体" w:hint="default"/>
                <w:spacing w:val="81"/>
                <w:w w:val="105"/>
                <w:sz w:val="18"/>
                <w:szCs w:val="18"/>
              </w:rPr>
              <w:t> </w:t>
            </w:r>
            <w:r>
              <w:rPr>
                <w:rFonts w:ascii="宋体" w:hAnsi="宋体" w:cs="宋体" w:eastAsia="宋体" w:hint="default"/>
                <w:w w:val="105"/>
                <w:sz w:val="18"/>
                <w:szCs w:val="18"/>
              </w:rPr>
              <w:t>计</w:t>
            </w:r>
            <w:r>
              <w:rPr>
                <w:rFonts w:ascii="宋体" w:hAnsi="宋体" w:cs="宋体" w:eastAsia="宋体" w:hint="default"/>
                <w:sz w:val="18"/>
                <w:szCs w:val="18"/>
              </w:rPr>
            </w:r>
          </w:p>
        </w:tc>
        <w:tc>
          <w:tcPr>
            <w:tcW w:w="1876" w:type="dxa"/>
            <w:tcBorders>
              <w:top w:val="single" w:sz="6" w:space="0" w:color="000000"/>
              <w:left w:val="nil" w:sz="6" w:space="0" w:color="auto"/>
              <w:bottom w:val="nil" w:sz="6" w:space="0" w:color="auto"/>
              <w:right w:val="nil" w:sz="6" w:space="0" w:color="auto"/>
            </w:tcBorders>
          </w:tcPr>
          <w:p>
            <w:pPr>
              <w:pStyle w:val="TableParagraph"/>
              <w:spacing w:line="240" w:lineRule="auto" w:before="104"/>
              <w:ind w:right="54"/>
              <w:jc w:val="right"/>
              <w:rPr>
                <w:rFonts w:ascii="Times New Roman" w:hAnsi="Times New Roman" w:cs="Times New Roman" w:eastAsia="Times New Roman" w:hint="default"/>
                <w:sz w:val="20"/>
                <w:szCs w:val="20"/>
              </w:rPr>
            </w:pPr>
            <w:r>
              <w:rPr>
                <w:rFonts w:ascii="Times New Roman"/>
                <w:sz w:val="20"/>
              </w:rPr>
              <w:t>325,671,759.45</w:t>
            </w:r>
          </w:p>
        </w:tc>
        <w:tc>
          <w:tcPr>
            <w:tcW w:w="127" w:type="dxa"/>
            <w:tcBorders>
              <w:top w:val="nil" w:sz="6" w:space="0" w:color="auto"/>
              <w:left w:val="nil" w:sz="6" w:space="0" w:color="auto"/>
              <w:bottom w:val="nil" w:sz="6" w:space="0" w:color="auto"/>
              <w:right w:val="nil" w:sz="6" w:space="0" w:color="auto"/>
            </w:tcBorders>
          </w:tcPr>
          <w:p>
            <w:pPr/>
          </w:p>
        </w:tc>
        <w:tc>
          <w:tcPr>
            <w:tcW w:w="1876" w:type="dxa"/>
            <w:tcBorders>
              <w:top w:val="single" w:sz="6" w:space="0" w:color="000000"/>
              <w:left w:val="nil" w:sz="6" w:space="0" w:color="auto"/>
              <w:bottom w:val="nil" w:sz="6" w:space="0" w:color="auto"/>
              <w:right w:val="nil" w:sz="6" w:space="0" w:color="auto"/>
            </w:tcBorders>
          </w:tcPr>
          <w:p>
            <w:pPr>
              <w:pStyle w:val="TableParagraph"/>
              <w:spacing w:line="240" w:lineRule="auto" w:before="104"/>
              <w:ind w:right="54"/>
              <w:jc w:val="right"/>
              <w:rPr>
                <w:rFonts w:ascii="Times New Roman" w:hAnsi="Times New Roman" w:cs="Times New Roman" w:eastAsia="Times New Roman" w:hint="default"/>
                <w:sz w:val="20"/>
                <w:szCs w:val="20"/>
              </w:rPr>
            </w:pPr>
            <w:r>
              <w:rPr>
                <w:rFonts w:ascii="Times New Roman"/>
                <w:w w:val="95"/>
                <w:sz w:val="20"/>
              </w:rPr>
              <w:t>233,815,905.30</w:t>
            </w:r>
            <w:r>
              <w:rPr>
                <w:rFonts w:ascii="Times New Roman"/>
                <w:sz w:val="20"/>
              </w:rPr>
            </w:r>
          </w:p>
        </w:tc>
        <w:tc>
          <w:tcPr>
            <w:tcW w:w="85" w:type="dxa"/>
            <w:tcBorders>
              <w:top w:val="nil" w:sz="6" w:space="0" w:color="auto"/>
              <w:left w:val="nil" w:sz="6" w:space="0" w:color="auto"/>
              <w:bottom w:val="nil" w:sz="6" w:space="0" w:color="auto"/>
              <w:right w:val="nil" w:sz="6" w:space="0" w:color="auto"/>
            </w:tcBorders>
          </w:tcPr>
          <w:p>
            <w:pPr/>
          </w:p>
        </w:tc>
        <w:tc>
          <w:tcPr>
            <w:tcW w:w="1874" w:type="dxa"/>
            <w:tcBorders>
              <w:top w:val="single" w:sz="6" w:space="0" w:color="000000"/>
              <w:left w:val="nil" w:sz="6" w:space="0" w:color="auto"/>
              <w:bottom w:val="nil" w:sz="6" w:space="0" w:color="auto"/>
              <w:right w:val="nil" w:sz="6" w:space="0" w:color="auto"/>
            </w:tcBorders>
          </w:tcPr>
          <w:p>
            <w:pPr>
              <w:pStyle w:val="TableParagraph"/>
              <w:spacing w:line="240" w:lineRule="auto" w:before="104"/>
              <w:ind w:right="39"/>
              <w:jc w:val="right"/>
              <w:rPr>
                <w:rFonts w:ascii="Times New Roman" w:hAnsi="Times New Roman" w:cs="Times New Roman" w:eastAsia="Times New Roman" w:hint="default"/>
                <w:sz w:val="20"/>
                <w:szCs w:val="20"/>
              </w:rPr>
            </w:pPr>
            <w:r>
              <w:rPr>
                <w:rFonts w:ascii="Times New Roman"/>
                <w:sz w:val="20"/>
              </w:rPr>
              <w:t>91,855,854.15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BodyText"/>
        <w:spacing w:line="336" w:lineRule="auto" w:before="27"/>
        <w:ind w:right="634" w:firstLine="480"/>
        <w:jc w:val="left"/>
      </w:pPr>
      <w:r>
        <w:rPr/>
        <w:pict>
          <v:group style="position:absolute;margin-left:235.140015pt;margin-top:-75.654633pt;width:94.5pt;height:2.85pt;mso-position-horizontal-relative:page;mso-position-vertical-relative:paragraph;z-index:-585304" coordorigin="4703,-1513" coordsize="1890,57">
            <v:group style="position:absolute;left:4710;top:-1506;width:1876;height:2" coordorigin="4710,-1506" coordsize="1876,2">
              <v:shape style="position:absolute;left:4710;top:-1506;width:1876;height:2" coordorigin="4710,-1506" coordsize="1876,0" path="m4710,-1506l6586,-1506e" filled="false" stroked="true" strokeweight=".66pt" strokecolor="#000000">
                <v:path arrowok="t"/>
              </v:shape>
            </v:group>
            <v:group style="position:absolute;left:4710;top:-1464;width:1876;height:2" coordorigin="4710,-1464" coordsize="1876,2">
              <v:shape style="position:absolute;left:4710;top:-1464;width:1876;height:2" coordorigin="4710,-1464" coordsize="1876,0" path="m4710,-1464l6586,-1464e" filled="false" stroked="true" strokeweight=".71997pt" strokecolor="#000000">
                <v:path arrowok="t"/>
              </v:shape>
            </v:group>
            <w10:wrap type="none"/>
          </v:group>
        </w:pict>
      </w:r>
      <w:r>
        <w:rPr/>
        <w:pict>
          <v:group style="position:absolute;margin-left:335.280029pt;margin-top:-75.654633pt;width:94.5pt;height:2.85pt;mso-position-horizontal-relative:page;mso-position-vertical-relative:paragraph;z-index:-585280" coordorigin="6706,-1513" coordsize="1890,57">
            <v:group style="position:absolute;left:6713;top:-1506;width:1876;height:2" coordorigin="6713,-1506" coordsize="1876,2">
              <v:shape style="position:absolute;left:6713;top:-1506;width:1876;height:2" coordorigin="6713,-1506" coordsize="1876,0" path="m6713,-1506l8588,-1506e" filled="false" stroked="true" strokeweight=".66pt" strokecolor="#000000">
                <v:path arrowok="t"/>
              </v:shape>
            </v:group>
            <v:group style="position:absolute;left:6713;top:-1464;width:1876;height:2" coordorigin="6713,-1464" coordsize="1876,2">
              <v:shape style="position:absolute;left:6713;top:-1464;width:1876;height:2" coordorigin="6713,-1464" coordsize="1876,0" path="m6713,-1464l8588,-1464e" filled="false" stroked="true" strokeweight=".71997pt" strokecolor="#000000">
                <v:path arrowok="t"/>
              </v:shape>
            </v:group>
            <w10:wrap type="none"/>
          </v:group>
        </w:pict>
      </w:r>
      <w:r>
        <w:rPr/>
        <w:pict>
          <v:group style="position:absolute;margin-left:234.779999pt;margin-top:-29.514633pt;width:95.25pt;height:2.85pt;mso-position-horizontal-relative:page;mso-position-vertical-relative:paragraph;z-index:-585256" coordorigin="4696,-590" coordsize="1905,57">
            <v:group style="position:absolute;left:4710;top:-583;width:1876;height:2" coordorigin="4710,-583" coordsize="1876,2">
              <v:shape style="position:absolute;left:4710;top:-583;width:1876;height:2" coordorigin="4710,-583" coordsize="1876,0" path="m4710,-583l6586,-583e" filled="false" stroked="true" strokeweight=".72pt" strokecolor="#000000">
                <v:path arrowok="t"/>
              </v:shape>
            </v:group>
            <v:group style="position:absolute;left:4710;top:-548;width:1876;height:2" coordorigin="4710,-548" coordsize="1876,2">
              <v:shape style="position:absolute;left:4710;top:-548;width:1876;height:2" coordorigin="4710,-548" coordsize="1876,0" path="m4710,-548l6586,-548e" filled="false" stroked="true" strokeweight="1.44pt" strokecolor="#000000">
                <v:path arrowok="t"/>
              </v:shape>
            </v:group>
            <w10:wrap type="none"/>
          </v:group>
        </w:pict>
      </w:r>
      <w:r>
        <w:rPr/>
        <w:pict>
          <v:group style="position:absolute;margin-left:334.920013pt;margin-top:-29.514633pt;width:95.25pt;height:2.85pt;mso-position-horizontal-relative:page;mso-position-vertical-relative:paragraph;z-index:-585232" coordorigin="6698,-590" coordsize="1905,57">
            <v:group style="position:absolute;left:6713;top:-583;width:1876;height:2" coordorigin="6713,-583" coordsize="1876,2">
              <v:shape style="position:absolute;left:6713;top:-583;width:1876;height:2" coordorigin="6713,-583" coordsize="1876,0" path="m6713,-583l8588,-583e" filled="false" stroked="true" strokeweight=".72pt" strokecolor="#000000">
                <v:path arrowok="t"/>
              </v:shape>
            </v:group>
            <v:group style="position:absolute;left:6713;top:-548;width:1876;height:2" coordorigin="6713,-548" coordsize="1876,2">
              <v:shape style="position:absolute;left:6713;top:-548;width:1876;height:2" coordorigin="6713,-548" coordsize="1876,0" path="m6713,-548l8588,-548e" filled="false" stroked="true" strokeweight="1.44pt" strokecolor="#000000">
                <v:path arrowok="t"/>
              </v:shape>
            </v:group>
            <w10:wrap type="none"/>
          </v:group>
        </w:pict>
      </w:r>
      <w:r>
        <w:rPr/>
        <w:pict>
          <v:group style="position:absolute;margin-left:433.320007pt;margin-top:-75.654633pt;width:94.45pt;height:2.85pt;mso-position-horizontal-relative:page;mso-position-vertical-relative:paragraph;z-index:-585184" coordorigin="8666,-1513" coordsize="1889,57">
            <v:group style="position:absolute;left:8674;top:-1506;width:1875;height:2" coordorigin="8674,-1506" coordsize="1875,2">
              <v:shape style="position:absolute;left:8674;top:-1506;width:1875;height:2" coordorigin="8674,-1506" coordsize="1875,0" path="m8674,-1506l10548,-1506e" filled="false" stroked="true" strokeweight=".66pt" strokecolor="#000000">
                <v:path arrowok="t"/>
              </v:shape>
            </v:group>
            <v:group style="position:absolute;left:8674;top:-1464;width:1875;height:2" coordorigin="8674,-1464" coordsize="1875,2">
              <v:shape style="position:absolute;left:8674;top:-1464;width:1875;height:2" coordorigin="8674,-1464" coordsize="1875,0" path="m8674,-1464l10548,-1464e" filled="false" stroked="true" strokeweight=".71997pt" strokecolor="#000000">
                <v:path arrowok="t"/>
              </v:shape>
            </v:group>
            <w10:wrap type="none"/>
          </v:group>
        </w:pict>
      </w:r>
      <w:r>
        <w:rPr/>
        <w:pict>
          <v:group style="position:absolute;margin-left:432.959991pt;margin-top:-29.514633pt;width:95.2pt;height:2.85pt;mso-position-horizontal-relative:page;mso-position-vertical-relative:paragraph;z-index:-585160" coordorigin="8659,-590" coordsize="1904,57">
            <v:group style="position:absolute;left:8674;top:-583;width:1875;height:2" coordorigin="8674,-583" coordsize="1875,2">
              <v:shape style="position:absolute;left:8674;top:-583;width:1875;height:2" coordorigin="8674,-583" coordsize="1875,0" path="m8674,-583l10548,-583e" filled="false" stroked="true" strokeweight=".72pt" strokecolor="#000000">
                <v:path arrowok="t"/>
              </v:shape>
            </v:group>
            <v:group style="position:absolute;left:8674;top:-548;width:1875;height:2" coordorigin="8674,-548" coordsize="1875,2">
              <v:shape style="position:absolute;left:8674;top:-548;width:1875;height:2" coordorigin="8674,-548" coordsize="1875,0" path="m8674,-548l10548,-548e" filled="false" stroked="true" strokeweight="1.44pt" strokecolor="#000000">
                <v:path arrowok="t"/>
              </v:shape>
            </v:group>
            <w10:wrap type="none"/>
          </v:group>
        </w:pict>
      </w:r>
      <w:r>
        <w:rPr/>
        <w:t>（3）2007</w:t>
      </w:r>
      <w:r>
        <w:rPr>
          <w:spacing w:val="-62"/>
        </w:rPr>
        <w:t> </w:t>
      </w:r>
      <w:r>
        <w:rPr/>
        <w:t>年度公司前五名客户销售的收入总额分别为</w:t>
      </w:r>
      <w:r>
        <w:rPr>
          <w:spacing w:val="-63"/>
        </w:rPr>
        <w:t> </w:t>
      </w:r>
      <w:r>
        <w:rPr/>
        <w:t>64,872,217.45</w:t>
      </w:r>
      <w:r>
        <w:rPr>
          <w:spacing w:val="-62"/>
        </w:rPr>
        <w:t> </w:t>
      </w:r>
      <w:r>
        <w:rPr/>
        <w:t>元，</w:t>
      </w:r>
      <w:r>
        <w:rPr>
          <w:spacing w:val="-1"/>
          <w:w w:val="100"/>
        </w:rPr>
        <w:t> </w:t>
      </w:r>
      <w:r>
        <w:rPr/>
        <w:t>占公司全部销售收入的比例为</w:t>
      </w:r>
      <w:r>
        <w:rPr>
          <w:spacing w:val="-62"/>
        </w:rPr>
        <w:t> </w:t>
      </w:r>
      <w:r>
        <w:rPr/>
        <w:t>17.67%。</w:t>
      </w:r>
    </w:p>
    <w:p>
      <w:pPr>
        <w:pStyle w:val="Heading3"/>
        <w:spacing w:line="370" w:lineRule="exact"/>
        <w:ind w:right="634"/>
        <w:jc w:val="left"/>
        <w:rPr>
          <w:b w:val="0"/>
          <w:bCs w:val="0"/>
        </w:rPr>
      </w:pPr>
      <w:r>
        <w:rPr/>
        <w:t>5、投资收益</w:t>
      </w:r>
      <w:r>
        <w:rPr>
          <w:b w:val="0"/>
          <w:bCs w:val="0"/>
        </w:rPr>
      </w:r>
    </w:p>
    <w:p>
      <w:pPr>
        <w:spacing w:line="240" w:lineRule="auto" w:before="1"/>
        <w:rPr>
          <w:rFonts w:ascii="Microsoft JhengHei" w:hAnsi="Microsoft JhengHei" w:cs="Microsoft JhengHei" w:eastAsia="Microsoft JhengHei" w:hint="default"/>
          <w:b/>
          <w:bCs/>
          <w:sz w:val="2"/>
          <w:szCs w:val="2"/>
        </w:rPr>
      </w:pPr>
    </w:p>
    <w:tbl>
      <w:tblPr>
        <w:tblW w:w="0" w:type="auto"/>
        <w:jc w:val="left"/>
        <w:tblInd w:w="147" w:type="dxa"/>
        <w:tblLayout w:type="fixed"/>
        <w:tblCellMar>
          <w:top w:w="0" w:type="dxa"/>
          <w:left w:w="0" w:type="dxa"/>
          <w:bottom w:w="0" w:type="dxa"/>
          <w:right w:w="0" w:type="dxa"/>
        </w:tblCellMar>
        <w:tblLook w:val="01E0"/>
      </w:tblPr>
      <w:tblGrid>
        <w:gridCol w:w="2995"/>
        <w:gridCol w:w="507"/>
        <w:gridCol w:w="2427"/>
        <w:gridCol w:w="508"/>
        <w:gridCol w:w="2428"/>
      </w:tblGrid>
      <w:tr>
        <w:trPr>
          <w:trHeight w:val="352" w:hRule="exact"/>
        </w:trPr>
        <w:tc>
          <w:tcPr>
            <w:tcW w:w="299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868"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507" w:type="dxa"/>
            <w:tcBorders>
              <w:top w:val="nil" w:sz="6" w:space="0" w:color="auto"/>
              <w:left w:val="nil" w:sz="6" w:space="0" w:color="auto"/>
              <w:bottom w:val="nil" w:sz="6" w:space="0" w:color="auto"/>
              <w:right w:val="nil" w:sz="6" w:space="0" w:color="auto"/>
            </w:tcBorders>
          </w:tcPr>
          <w:p>
            <w:pPr/>
          </w:p>
        </w:tc>
        <w:tc>
          <w:tcPr>
            <w:tcW w:w="2427"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508" w:type="dxa"/>
            <w:tcBorders>
              <w:top w:val="nil" w:sz="6" w:space="0" w:color="auto"/>
              <w:left w:val="nil" w:sz="6" w:space="0" w:color="auto"/>
              <w:bottom w:val="nil" w:sz="6" w:space="0" w:color="auto"/>
              <w:right w:val="nil" w:sz="6" w:space="0" w:color="auto"/>
            </w:tcBorders>
          </w:tcPr>
          <w:p>
            <w:pPr/>
          </w:p>
        </w:tc>
        <w:tc>
          <w:tcPr>
            <w:tcW w:w="2428"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pacing w:val="2"/>
                <w:sz w:val="18"/>
                <w:szCs w:val="18"/>
              </w:rPr>
              <w:t>上年数</w:t>
            </w:r>
            <w:r>
              <w:rPr>
                <w:rFonts w:ascii="宋体" w:hAnsi="宋体" w:cs="宋体" w:eastAsia="宋体" w:hint="default"/>
                <w:sz w:val="18"/>
                <w:szCs w:val="18"/>
              </w:rPr>
            </w:r>
          </w:p>
        </w:tc>
      </w:tr>
      <w:tr>
        <w:trPr>
          <w:trHeight w:val="362" w:hRule="exact"/>
        </w:trPr>
        <w:tc>
          <w:tcPr>
            <w:tcW w:w="2995"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33" w:right="0"/>
              <w:jc w:val="left"/>
              <w:rPr>
                <w:rFonts w:ascii="宋体" w:hAnsi="宋体" w:cs="宋体" w:eastAsia="宋体" w:hint="default"/>
                <w:sz w:val="18"/>
                <w:szCs w:val="18"/>
              </w:rPr>
            </w:pPr>
            <w:r>
              <w:rPr>
                <w:rFonts w:ascii="宋体" w:hAnsi="宋体" w:cs="宋体" w:eastAsia="宋体" w:hint="default"/>
                <w:sz w:val="18"/>
                <w:szCs w:val="18"/>
              </w:rPr>
              <w:t>郑州东港安全印刷有限公司</w:t>
            </w:r>
          </w:p>
        </w:tc>
        <w:tc>
          <w:tcPr>
            <w:tcW w:w="507" w:type="dxa"/>
            <w:tcBorders>
              <w:top w:val="nil" w:sz="6" w:space="0" w:color="auto"/>
              <w:left w:val="nil" w:sz="6" w:space="0" w:color="auto"/>
              <w:bottom w:val="nil" w:sz="6" w:space="0" w:color="auto"/>
              <w:right w:val="nil" w:sz="6" w:space="0" w:color="auto"/>
            </w:tcBorders>
          </w:tcPr>
          <w:p>
            <w:pPr/>
          </w:p>
        </w:tc>
        <w:tc>
          <w:tcPr>
            <w:tcW w:w="2427"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78"/>
              <w:jc w:val="right"/>
              <w:rPr>
                <w:rFonts w:ascii="Times New Roman" w:hAnsi="Times New Roman" w:cs="Times New Roman" w:eastAsia="Times New Roman" w:hint="default"/>
                <w:sz w:val="18"/>
                <w:szCs w:val="18"/>
              </w:rPr>
            </w:pPr>
            <w:r>
              <w:rPr>
                <w:rFonts w:ascii="Times New Roman"/>
                <w:sz w:val="18"/>
              </w:rPr>
              <w:t>2,108,481.49</w:t>
            </w:r>
          </w:p>
        </w:tc>
        <w:tc>
          <w:tcPr>
            <w:tcW w:w="508" w:type="dxa"/>
            <w:tcBorders>
              <w:top w:val="nil" w:sz="6" w:space="0" w:color="auto"/>
              <w:left w:val="nil" w:sz="6" w:space="0" w:color="auto"/>
              <w:bottom w:val="nil" w:sz="6" w:space="0" w:color="auto"/>
              <w:right w:val="nil" w:sz="6" w:space="0" w:color="auto"/>
            </w:tcBorders>
          </w:tcPr>
          <w:p>
            <w:pPr/>
          </w:p>
        </w:tc>
        <w:tc>
          <w:tcPr>
            <w:tcW w:w="2428" w:type="dxa"/>
            <w:tcBorders>
              <w:top w:val="single" w:sz="8" w:space="0" w:color="000000"/>
              <w:left w:val="nil" w:sz="6" w:space="0" w:color="auto"/>
              <w:bottom w:val="nil" w:sz="6" w:space="0" w:color="auto"/>
              <w:right w:val="nil" w:sz="6" w:space="0" w:color="auto"/>
            </w:tcBorders>
          </w:tcPr>
          <w:p>
            <w:pPr/>
          </w:p>
        </w:tc>
      </w:tr>
      <w:tr>
        <w:trPr>
          <w:trHeight w:val="352"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3" w:right="0"/>
              <w:jc w:val="left"/>
              <w:rPr>
                <w:rFonts w:ascii="宋体" w:hAnsi="宋体" w:cs="宋体" w:eastAsia="宋体" w:hint="default"/>
                <w:sz w:val="18"/>
                <w:szCs w:val="18"/>
              </w:rPr>
            </w:pPr>
            <w:r>
              <w:rPr>
                <w:rFonts w:ascii="宋体" w:hAnsi="宋体" w:cs="宋体" w:eastAsia="宋体" w:hint="default"/>
                <w:sz w:val="18"/>
                <w:szCs w:val="18"/>
              </w:rPr>
              <w:t>北京东港安全印刷有限公司</w:t>
            </w:r>
          </w:p>
        </w:tc>
        <w:tc>
          <w:tcPr>
            <w:tcW w:w="507" w:type="dxa"/>
            <w:tcBorders>
              <w:top w:val="nil" w:sz="6" w:space="0" w:color="auto"/>
              <w:left w:val="nil" w:sz="6" w:space="0" w:color="auto"/>
              <w:bottom w:val="nil" w:sz="6" w:space="0" w:color="auto"/>
              <w:right w:val="nil" w:sz="6" w:space="0" w:color="auto"/>
            </w:tcBorders>
          </w:tcPr>
          <w:p>
            <w:pP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8"/>
              <w:jc w:val="right"/>
              <w:rPr>
                <w:rFonts w:ascii="Times New Roman" w:hAnsi="Times New Roman" w:cs="Times New Roman" w:eastAsia="Times New Roman" w:hint="default"/>
                <w:sz w:val="18"/>
                <w:szCs w:val="18"/>
              </w:rPr>
            </w:pPr>
            <w:r>
              <w:rPr>
                <w:rFonts w:ascii="Times New Roman"/>
                <w:sz w:val="18"/>
              </w:rPr>
              <w:t>14,080,492.04</w:t>
            </w:r>
          </w:p>
        </w:tc>
        <w:tc>
          <w:tcPr>
            <w:tcW w:w="508" w:type="dxa"/>
            <w:tcBorders>
              <w:top w:val="nil" w:sz="6" w:space="0" w:color="auto"/>
              <w:left w:val="nil" w:sz="6" w:space="0" w:color="auto"/>
              <w:bottom w:val="nil" w:sz="6" w:space="0" w:color="auto"/>
              <w:right w:val="nil" w:sz="6" w:space="0" w:color="auto"/>
            </w:tcBorders>
          </w:tcPr>
          <w:p>
            <w:pP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3"/>
              <w:jc w:val="right"/>
              <w:rPr>
                <w:rFonts w:ascii="Times New Roman" w:hAnsi="Times New Roman" w:cs="Times New Roman" w:eastAsia="Times New Roman" w:hint="default"/>
                <w:sz w:val="18"/>
                <w:szCs w:val="18"/>
              </w:rPr>
            </w:pPr>
            <w:r>
              <w:rPr>
                <w:rFonts w:ascii="Times New Roman"/>
                <w:w w:val="95"/>
                <w:sz w:val="18"/>
              </w:rPr>
              <w:t>12,382,500.00</w:t>
            </w:r>
            <w:r>
              <w:rPr>
                <w:rFonts w:ascii="Times New Roman"/>
                <w:sz w:val="18"/>
              </w:rPr>
            </w:r>
          </w:p>
        </w:tc>
      </w:tr>
      <w:tr>
        <w:trPr>
          <w:trHeight w:val="342"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3" w:right="0"/>
              <w:jc w:val="left"/>
              <w:rPr>
                <w:rFonts w:ascii="宋体" w:hAnsi="宋体" w:cs="宋体" w:eastAsia="宋体" w:hint="default"/>
                <w:sz w:val="18"/>
                <w:szCs w:val="18"/>
              </w:rPr>
            </w:pPr>
            <w:r>
              <w:rPr>
                <w:rFonts w:ascii="宋体" w:hAnsi="宋体" w:cs="宋体" w:eastAsia="宋体" w:hint="default"/>
                <w:sz w:val="18"/>
                <w:szCs w:val="18"/>
              </w:rPr>
              <w:t>新疆东港安全印刷有限公司</w:t>
            </w:r>
          </w:p>
        </w:tc>
        <w:tc>
          <w:tcPr>
            <w:tcW w:w="507" w:type="dxa"/>
            <w:tcBorders>
              <w:top w:val="nil" w:sz="6" w:space="0" w:color="auto"/>
              <w:left w:val="nil" w:sz="6" w:space="0" w:color="auto"/>
              <w:bottom w:val="nil" w:sz="6" w:space="0" w:color="auto"/>
              <w:right w:val="nil" w:sz="6" w:space="0" w:color="auto"/>
            </w:tcBorders>
          </w:tcPr>
          <w:p>
            <w:pPr/>
          </w:p>
        </w:tc>
        <w:tc>
          <w:tcPr>
            <w:tcW w:w="2427"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right="78"/>
              <w:jc w:val="right"/>
              <w:rPr>
                <w:rFonts w:ascii="Times New Roman" w:hAnsi="Times New Roman" w:cs="Times New Roman" w:eastAsia="Times New Roman" w:hint="default"/>
                <w:sz w:val="18"/>
                <w:szCs w:val="18"/>
              </w:rPr>
            </w:pPr>
            <w:r>
              <w:rPr>
                <w:rFonts w:ascii="Times New Roman"/>
                <w:sz w:val="18"/>
              </w:rPr>
              <w:t>3,726,519.47</w:t>
            </w:r>
          </w:p>
        </w:tc>
        <w:tc>
          <w:tcPr>
            <w:tcW w:w="508" w:type="dxa"/>
            <w:tcBorders>
              <w:top w:val="nil" w:sz="6" w:space="0" w:color="auto"/>
              <w:left w:val="nil" w:sz="6" w:space="0" w:color="auto"/>
              <w:bottom w:val="nil" w:sz="6" w:space="0" w:color="auto"/>
              <w:right w:val="nil" w:sz="6" w:space="0" w:color="auto"/>
            </w:tcBorders>
          </w:tcPr>
          <w:p>
            <w:pPr/>
          </w:p>
        </w:tc>
        <w:tc>
          <w:tcPr>
            <w:tcW w:w="2428" w:type="dxa"/>
            <w:tcBorders>
              <w:top w:val="nil" w:sz="6" w:space="0" w:color="auto"/>
              <w:left w:val="nil" w:sz="6" w:space="0" w:color="auto"/>
              <w:bottom w:val="single" w:sz="8" w:space="0" w:color="000000"/>
              <w:right w:val="nil" w:sz="6" w:space="0" w:color="auto"/>
            </w:tcBorders>
          </w:tcPr>
          <w:p>
            <w:pPr/>
          </w:p>
        </w:tc>
      </w:tr>
      <w:tr>
        <w:trPr>
          <w:trHeight w:val="333"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48"/>
                <w:sz w:val="18"/>
                <w:szCs w:val="18"/>
              </w:rPr>
              <w:t> </w:t>
            </w:r>
            <w:r>
              <w:rPr>
                <w:rFonts w:ascii="宋体" w:hAnsi="宋体" w:cs="宋体" w:eastAsia="宋体" w:hint="default"/>
                <w:sz w:val="18"/>
                <w:szCs w:val="18"/>
              </w:rPr>
              <w:t>计</w:t>
            </w:r>
          </w:p>
        </w:tc>
        <w:tc>
          <w:tcPr>
            <w:tcW w:w="507" w:type="dxa"/>
            <w:tcBorders>
              <w:top w:val="nil" w:sz="6" w:space="0" w:color="auto"/>
              <w:left w:val="nil" w:sz="6" w:space="0" w:color="auto"/>
              <w:bottom w:val="nil" w:sz="6" w:space="0" w:color="auto"/>
              <w:right w:val="nil" w:sz="6" w:space="0" w:color="auto"/>
            </w:tcBorders>
          </w:tcPr>
          <w:p>
            <w:pPr/>
          </w:p>
        </w:tc>
        <w:tc>
          <w:tcPr>
            <w:tcW w:w="2427"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78"/>
              <w:jc w:val="right"/>
              <w:rPr>
                <w:rFonts w:ascii="Times New Roman" w:hAnsi="Times New Roman" w:cs="Times New Roman" w:eastAsia="Times New Roman" w:hint="default"/>
                <w:sz w:val="18"/>
                <w:szCs w:val="18"/>
              </w:rPr>
            </w:pPr>
            <w:r>
              <w:rPr>
                <w:rFonts w:ascii="Times New Roman"/>
                <w:sz w:val="18"/>
              </w:rPr>
              <w:t>19,915,493.00</w:t>
            </w:r>
          </w:p>
        </w:tc>
        <w:tc>
          <w:tcPr>
            <w:tcW w:w="508" w:type="dxa"/>
            <w:tcBorders>
              <w:top w:val="nil" w:sz="6" w:space="0" w:color="auto"/>
              <w:left w:val="nil" w:sz="6" w:space="0" w:color="auto"/>
              <w:bottom w:val="nil" w:sz="6" w:space="0" w:color="auto"/>
              <w:right w:val="nil" w:sz="6" w:space="0" w:color="auto"/>
            </w:tcBorders>
          </w:tcPr>
          <w:p>
            <w:pPr/>
          </w:p>
        </w:tc>
        <w:tc>
          <w:tcPr>
            <w:tcW w:w="2428"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83"/>
              <w:jc w:val="right"/>
              <w:rPr>
                <w:rFonts w:ascii="Times New Roman" w:hAnsi="Times New Roman" w:cs="Times New Roman" w:eastAsia="Times New Roman" w:hint="default"/>
                <w:sz w:val="18"/>
                <w:szCs w:val="18"/>
              </w:rPr>
            </w:pPr>
            <w:r>
              <w:rPr>
                <w:rFonts w:ascii="Times New Roman"/>
                <w:w w:val="95"/>
                <w:sz w:val="18"/>
              </w:rPr>
              <w:t>12,382,500.00</w:t>
            </w:r>
            <w:r>
              <w:rPr>
                <w:rFonts w:ascii="Times New Roman"/>
                <w:sz w:val="18"/>
              </w:rPr>
            </w:r>
          </w:p>
        </w:tc>
      </w:tr>
    </w:tbl>
    <w:p>
      <w:pPr>
        <w:tabs>
          <w:tab w:pos="6574" w:val="left" w:leader="none"/>
        </w:tabs>
        <w:spacing w:line="20" w:lineRule="exact"/>
        <w:ind w:left="3640" w:right="0" w:firstLine="0"/>
        <w:rPr>
          <w:rFonts w:ascii="Microsoft JhengHei" w:hAnsi="Microsoft JhengHei" w:cs="Microsoft JhengHei" w:eastAsia="Microsoft JhengHei" w:hint="default"/>
          <w:sz w:val="2"/>
          <w:szCs w:val="2"/>
        </w:rPr>
      </w:pPr>
      <w:r>
        <w:rPr>
          <w:rFonts w:ascii="Microsoft JhengHei"/>
          <w:sz w:val="2"/>
        </w:rPr>
        <w:pict>
          <v:group style="width:122.3pt;height:1pt;mso-position-horizontal-relative:char;mso-position-vertical-relative:line" coordorigin="0,0" coordsize="2446,20">
            <v:group style="position:absolute;left:10;top:10;width:2427;height:2" coordorigin="10,10" coordsize="2427,2">
              <v:shape style="position:absolute;left:10;top:10;width:2427;height:2" coordorigin="10,10" coordsize="2427,0" path="m10,10l2436,10e" filled="false" stroked="true" strokeweight=".95999pt" strokecolor="#000000">
                <v:path arrowok="t"/>
              </v:shape>
            </v:group>
          </v:group>
        </w:pict>
      </w:r>
      <w:r>
        <w:rPr>
          <w:rFonts w:ascii="Microsoft JhengHei"/>
          <w:sz w:val="2"/>
        </w:rPr>
      </w:r>
      <w:r>
        <w:rPr>
          <w:rFonts w:ascii="Microsoft JhengHei"/>
          <w:sz w:val="2"/>
        </w:rPr>
        <w:tab/>
      </w:r>
      <w:r>
        <w:rPr>
          <w:rFonts w:ascii="Microsoft JhengHei"/>
          <w:sz w:val="2"/>
        </w:rPr>
        <w:pict>
          <v:group style="width:122.35pt;height:1pt;mso-position-horizontal-relative:char;mso-position-vertical-relative:line" coordorigin="0,0" coordsize="2447,20">
            <v:group style="position:absolute;left:10;top:10;width:2428;height:2" coordorigin="10,10" coordsize="2428,2">
              <v:shape style="position:absolute;left:10;top:10;width:2428;height:2" coordorigin="10,10" coordsize="2428,0" path="m10,10l2437,10e" filled="false" stroked="true" strokeweight=".95999pt" strokecolor="#000000">
                <v:path arrowok="t"/>
              </v:shape>
            </v:group>
          </v:group>
        </w:pict>
      </w:r>
      <w:r>
        <w:rPr>
          <w:rFonts w:ascii="Microsoft JhengHei"/>
          <w:sz w:val="2"/>
        </w:rPr>
      </w:r>
    </w:p>
    <w:p>
      <w:pPr>
        <w:spacing w:line="240" w:lineRule="auto" w:before="2"/>
        <w:rPr>
          <w:rFonts w:ascii="Microsoft JhengHei" w:hAnsi="Microsoft JhengHei" w:cs="Microsoft JhengHei" w:eastAsia="Microsoft JhengHei" w:hint="default"/>
          <w:b/>
          <w:bCs/>
          <w:sz w:val="25"/>
          <w:szCs w:val="25"/>
        </w:rPr>
      </w:pPr>
    </w:p>
    <w:p>
      <w:pPr>
        <w:pStyle w:val="BodyText"/>
        <w:spacing w:line="368" w:lineRule="exact" w:before="0"/>
        <w:ind w:left="620" w:right="634"/>
        <w:jc w:val="left"/>
      </w:pPr>
      <w:r>
        <w:rPr>
          <w:rFonts w:ascii="Microsoft JhengHei" w:hAnsi="Microsoft JhengHei" w:cs="Microsoft JhengHei" w:eastAsia="Microsoft JhengHei" w:hint="default"/>
          <w:b/>
          <w:bCs/>
          <w:spacing w:val="1"/>
          <w:w w:val="100"/>
        </w:rPr>
        <w:t>注</w:t>
      </w:r>
      <w:r>
        <w:rPr>
          <w:rFonts w:ascii="Microsoft JhengHei" w:hAnsi="Microsoft JhengHei" w:cs="Microsoft JhengHei" w:eastAsia="Microsoft JhengHei" w:hint="default"/>
          <w:b/>
          <w:bCs/>
          <w:spacing w:val="-120"/>
          <w:w w:val="100"/>
        </w:rPr>
        <w:t>：</w:t>
      </w:r>
      <w:r>
        <w:rPr>
          <w:spacing w:val="-1"/>
          <w:w w:val="100"/>
        </w:rPr>
        <w:t>（1）本年投资收益增</w:t>
      </w:r>
      <w:r>
        <w:rPr>
          <w:w w:val="100"/>
        </w:rPr>
        <w:t>加</w:t>
      </w:r>
      <w:r>
        <w:rPr/>
        <w:t> </w:t>
      </w:r>
      <w:r>
        <w:rPr>
          <w:spacing w:val="-1"/>
          <w:w w:val="100"/>
        </w:rPr>
        <w:t>60.84%，其主要原因为子公司分回现金股利所</w:t>
      </w:r>
      <w:r>
        <w:rPr>
          <w:w w:val="100"/>
        </w:rPr>
      </w:r>
    </w:p>
    <w:p>
      <w:pPr>
        <w:spacing w:after="0" w:line="368" w:lineRule="exact"/>
        <w:jc w:val="left"/>
        <w:sectPr>
          <w:pgSz w:w="11910" w:h="16840"/>
          <w:pgMar w:header="840" w:footer="1712" w:top="1160" w:bottom="1900" w:left="1660" w:right="1120"/>
        </w:sectPr>
      </w:pPr>
    </w:p>
    <w:p>
      <w:pPr>
        <w:pStyle w:val="BodyText"/>
        <w:spacing w:line="240" w:lineRule="auto" w:before="71"/>
        <w:ind w:right="0"/>
        <w:jc w:val="left"/>
      </w:pPr>
      <w:r>
        <w:rPr/>
        <w:t>致。</w:t>
      </w:r>
    </w:p>
    <w:p>
      <w:pPr>
        <w:spacing w:line="285" w:lineRule="auto" w:before="126"/>
        <w:ind w:left="619" w:right="1585" w:firstLine="237"/>
        <w:jc w:val="left"/>
        <w:rPr>
          <w:rFonts w:ascii="Microsoft JhengHei" w:hAnsi="Microsoft JhengHei" w:cs="Microsoft JhengHei" w:eastAsia="Microsoft JhengHei" w:hint="default"/>
          <w:sz w:val="24"/>
          <w:szCs w:val="24"/>
        </w:rPr>
      </w:pPr>
      <w:r>
        <w:rPr/>
        <w:pict>
          <v:shape style="position:absolute;margin-left:89.879997pt;margin-top:46.296051pt;width:467.8pt;height:461.6pt;mso-position-horizontal-relative:page;mso-position-vertical-relative:paragraph;z-index:11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1"/>
                    <w:gridCol w:w="1211"/>
                    <w:gridCol w:w="689"/>
                    <w:gridCol w:w="1078"/>
                    <w:gridCol w:w="988"/>
                    <w:gridCol w:w="1078"/>
                    <w:gridCol w:w="1207"/>
                  </w:tblGrid>
                  <w:tr>
                    <w:trPr>
                      <w:trHeight w:val="394" w:hRule="exact"/>
                    </w:trPr>
                    <w:tc>
                      <w:tcPr>
                        <w:tcW w:w="3061" w:type="dxa"/>
                        <w:vMerge w:val="restart"/>
                        <w:tcBorders>
                          <w:top w:val="single" w:sz="12" w:space="0" w:color="000000"/>
                          <w:left w:val="single" w:sz="12" w:space="0" w:color="000000"/>
                          <w:right w:val="single" w:sz="8"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tabs>
                            <w:tab w:pos="507" w:val="left" w:leader="none"/>
                          </w:tabs>
                          <w:spacing w:line="240" w:lineRule="auto"/>
                          <w:ind w:left="4"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1211" w:type="dxa"/>
                        <w:vMerge w:val="restart"/>
                        <w:tcBorders>
                          <w:top w:val="single" w:sz="12" w:space="0" w:color="000000"/>
                          <w:left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05"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689" w:type="dxa"/>
                        <w:vMerge w:val="restart"/>
                        <w:tcBorders>
                          <w:top w:val="single" w:sz="12" w:space="0" w:color="000000"/>
                          <w:left w:val="single" w:sz="8" w:space="0" w:color="000000"/>
                          <w:right w:val="single" w:sz="8" w:space="0" w:color="000000"/>
                        </w:tcBorders>
                      </w:tcPr>
                      <w:p>
                        <w:pPr>
                          <w:pStyle w:val="TableParagraph"/>
                          <w:spacing w:line="246" w:lineRule="exact" w:before="136"/>
                          <w:ind w:left="141" w:right="25" w:hanging="101"/>
                          <w:jc w:val="left"/>
                          <w:rPr>
                            <w:rFonts w:ascii="宋体" w:hAnsi="宋体" w:cs="宋体" w:eastAsia="宋体" w:hint="default"/>
                            <w:sz w:val="20"/>
                            <w:szCs w:val="20"/>
                          </w:rPr>
                        </w:pPr>
                        <w:r>
                          <w:rPr>
                            <w:rFonts w:ascii="宋体" w:hAnsi="宋体" w:cs="宋体" w:eastAsia="宋体" w:hint="default"/>
                            <w:sz w:val="20"/>
                            <w:szCs w:val="20"/>
                          </w:rPr>
                          <w:t>本年计</w:t>
                        </w:r>
                        <w:r>
                          <w:rPr>
                            <w:rFonts w:ascii="宋体" w:hAnsi="宋体" w:cs="宋体" w:eastAsia="宋体" w:hint="default"/>
                            <w:w w:val="99"/>
                            <w:sz w:val="20"/>
                            <w:szCs w:val="20"/>
                          </w:rPr>
                          <w:t> </w:t>
                        </w:r>
                        <w:r>
                          <w:rPr>
                            <w:rFonts w:ascii="宋体" w:hAnsi="宋体" w:cs="宋体" w:eastAsia="宋体" w:hint="default"/>
                            <w:sz w:val="20"/>
                            <w:szCs w:val="20"/>
                          </w:rPr>
                          <w:t>提数</w:t>
                        </w:r>
                      </w:p>
                    </w:tc>
                    <w:tc>
                      <w:tcPr>
                        <w:tcW w:w="3143" w:type="dxa"/>
                        <w:gridSpan w:val="3"/>
                        <w:tcBorders>
                          <w:top w:val="single" w:sz="12" w:space="0" w:color="000000"/>
                          <w:left w:val="single" w:sz="8" w:space="0" w:color="000000"/>
                          <w:bottom w:val="single" w:sz="8" w:space="0" w:color="000000"/>
                          <w:right w:val="single" w:sz="8" w:space="0" w:color="000000"/>
                        </w:tcBorders>
                      </w:tcPr>
                      <w:p>
                        <w:pPr>
                          <w:pStyle w:val="TableParagraph"/>
                          <w:spacing w:line="240" w:lineRule="auto" w:before="23"/>
                          <w:ind w:left="16" w:right="0"/>
                          <w:jc w:val="center"/>
                          <w:rPr>
                            <w:rFonts w:ascii="宋体" w:hAnsi="宋体" w:cs="宋体" w:eastAsia="宋体" w:hint="default"/>
                            <w:sz w:val="20"/>
                            <w:szCs w:val="20"/>
                          </w:rPr>
                        </w:pPr>
                        <w:r>
                          <w:rPr>
                            <w:rFonts w:ascii="宋体" w:hAnsi="宋体" w:cs="宋体" w:eastAsia="宋体" w:hint="default"/>
                            <w:sz w:val="20"/>
                            <w:szCs w:val="20"/>
                          </w:rPr>
                          <w:t>本年减少数</w:t>
                        </w:r>
                      </w:p>
                    </w:tc>
                    <w:tc>
                      <w:tcPr>
                        <w:tcW w:w="1207" w:type="dxa"/>
                        <w:vMerge w:val="restart"/>
                        <w:tcBorders>
                          <w:top w:val="single" w:sz="12" w:space="0" w:color="000000"/>
                          <w:left w:val="single" w:sz="8" w:space="0" w:color="000000"/>
                          <w:right w:val="single" w:sz="1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03" w:right="0"/>
                          <w:jc w:val="left"/>
                          <w:rPr>
                            <w:rFonts w:ascii="宋体" w:hAnsi="宋体" w:cs="宋体" w:eastAsia="宋体" w:hint="default"/>
                            <w:sz w:val="20"/>
                            <w:szCs w:val="20"/>
                          </w:rPr>
                        </w:pPr>
                        <w:r>
                          <w:rPr>
                            <w:rFonts w:ascii="宋体" w:hAnsi="宋体" w:cs="宋体" w:eastAsia="宋体" w:hint="default"/>
                            <w:sz w:val="20"/>
                            <w:szCs w:val="20"/>
                          </w:rPr>
                          <w:t>年末数</w:t>
                        </w:r>
                      </w:p>
                    </w:tc>
                  </w:tr>
                  <w:tr>
                    <w:trPr>
                      <w:trHeight w:val="400" w:hRule="exact"/>
                    </w:trPr>
                    <w:tc>
                      <w:tcPr>
                        <w:tcW w:w="3061" w:type="dxa"/>
                        <w:vMerge/>
                        <w:tcBorders>
                          <w:left w:val="single" w:sz="12" w:space="0" w:color="000000"/>
                          <w:bottom w:val="single" w:sz="8" w:space="0" w:color="000000"/>
                          <w:right w:val="single" w:sz="8" w:space="0" w:color="000000"/>
                        </w:tcBorders>
                      </w:tcPr>
                      <w:p>
                        <w:pPr/>
                      </w:p>
                    </w:tc>
                    <w:tc>
                      <w:tcPr>
                        <w:tcW w:w="1211" w:type="dxa"/>
                        <w:vMerge/>
                        <w:tcBorders>
                          <w:left w:val="single" w:sz="8" w:space="0" w:color="000000"/>
                          <w:bottom w:val="single" w:sz="8" w:space="0" w:color="000000"/>
                          <w:right w:val="single" w:sz="8" w:space="0" w:color="000000"/>
                        </w:tcBorders>
                      </w:tcPr>
                      <w:p>
                        <w:pPr/>
                      </w:p>
                    </w:tc>
                    <w:tc>
                      <w:tcPr>
                        <w:tcW w:w="689" w:type="dxa"/>
                        <w:vMerge/>
                        <w:tcBorders>
                          <w:left w:val="single" w:sz="8" w:space="0" w:color="000000"/>
                          <w:bottom w:val="single" w:sz="8" w:space="0" w:color="000000"/>
                          <w:right w:val="single" w:sz="8" w:space="0" w:color="000000"/>
                        </w:tcBorders>
                      </w:tcPr>
                      <w:p>
                        <w:pP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235" w:right="0"/>
                          <w:jc w:val="left"/>
                          <w:rPr>
                            <w:rFonts w:ascii="宋体" w:hAnsi="宋体" w:cs="宋体" w:eastAsia="宋体" w:hint="default"/>
                            <w:sz w:val="20"/>
                            <w:szCs w:val="20"/>
                          </w:rPr>
                        </w:pPr>
                        <w:r>
                          <w:rPr>
                            <w:rFonts w:ascii="宋体" w:hAnsi="宋体" w:cs="宋体" w:eastAsia="宋体" w:hint="default"/>
                            <w:sz w:val="20"/>
                            <w:szCs w:val="20"/>
                          </w:rPr>
                          <w:t>转回数</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192" w:right="0"/>
                          <w:jc w:val="left"/>
                          <w:rPr>
                            <w:rFonts w:ascii="宋体" w:hAnsi="宋体" w:cs="宋体" w:eastAsia="宋体" w:hint="default"/>
                            <w:sz w:val="20"/>
                            <w:szCs w:val="20"/>
                          </w:rPr>
                        </w:pPr>
                        <w:r>
                          <w:rPr>
                            <w:rFonts w:ascii="宋体" w:hAnsi="宋体" w:cs="宋体" w:eastAsia="宋体" w:hint="default"/>
                            <w:sz w:val="20"/>
                            <w:szCs w:val="20"/>
                          </w:rPr>
                          <w:t>转销数</w:t>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33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207" w:type="dxa"/>
                        <w:vMerge/>
                        <w:tcBorders>
                          <w:left w:val="single" w:sz="8" w:space="0" w:color="000000"/>
                          <w:bottom w:val="single" w:sz="8" w:space="0" w:color="000000"/>
                          <w:right w:val="single" w:sz="12" w:space="0" w:color="000000"/>
                        </w:tcBorders>
                      </w:tcPr>
                      <w:p>
                        <w:pP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left="16" w:right="0"/>
                          <w:jc w:val="left"/>
                          <w:rPr>
                            <w:rFonts w:ascii="宋体" w:hAnsi="宋体" w:cs="宋体" w:eastAsia="宋体" w:hint="default"/>
                            <w:sz w:val="20"/>
                            <w:szCs w:val="20"/>
                          </w:rPr>
                        </w:pPr>
                        <w:r>
                          <w:rPr>
                            <w:rFonts w:ascii="宋体" w:hAnsi="宋体" w:cs="宋体" w:eastAsia="宋体" w:hint="default"/>
                            <w:sz w:val="20"/>
                            <w:szCs w:val="20"/>
                          </w:rPr>
                          <w:t>一、坏账准备合计</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0" w:right="0"/>
                          <w:jc w:val="left"/>
                          <w:rPr>
                            <w:rFonts w:ascii="Times New Roman" w:hAnsi="Times New Roman" w:cs="Times New Roman" w:eastAsia="Times New Roman" w:hint="default"/>
                            <w:sz w:val="20"/>
                            <w:szCs w:val="20"/>
                          </w:rPr>
                        </w:pPr>
                        <w:r>
                          <w:rPr>
                            <w:rFonts w:ascii="Times New Roman"/>
                            <w:sz w:val="20"/>
                          </w:rPr>
                          <w:t>4,021,770.45</w:t>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77" w:right="0"/>
                          <w:jc w:val="left"/>
                          <w:rPr>
                            <w:rFonts w:ascii="Times New Roman" w:hAnsi="Times New Roman" w:cs="Times New Roman" w:eastAsia="Times New Roman" w:hint="default"/>
                            <w:sz w:val="20"/>
                            <w:szCs w:val="20"/>
                          </w:rPr>
                        </w:pPr>
                        <w:r>
                          <w:rPr>
                            <w:rFonts w:ascii="Times New Roman"/>
                            <w:sz w:val="20"/>
                          </w:rPr>
                          <w:t>923,318.72</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89" w:right="0"/>
                          <w:jc w:val="left"/>
                          <w:rPr>
                            <w:rFonts w:ascii="Times New Roman" w:hAnsi="Times New Roman" w:cs="Times New Roman" w:eastAsia="Times New Roman" w:hint="default"/>
                            <w:sz w:val="20"/>
                            <w:szCs w:val="20"/>
                          </w:rPr>
                        </w:pPr>
                        <w:r>
                          <w:rPr>
                            <w:rFonts w:ascii="Times New Roman"/>
                            <w:sz w:val="20"/>
                          </w:rPr>
                          <w:t>14,197.00</w:t>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72"/>
                          <w:jc w:val="right"/>
                          <w:rPr>
                            <w:rFonts w:ascii="Times New Roman" w:hAnsi="Times New Roman" w:cs="Times New Roman" w:eastAsia="Times New Roman" w:hint="default"/>
                            <w:sz w:val="20"/>
                            <w:szCs w:val="20"/>
                          </w:rPr>
                        </w:pPr>
                        <w:r>
                          <w:rPr>
                            <w:rFonts w:ascii="Times New Roman"/>
                            <w:sz w:val="20"/>
                          </w:rPr>
                          <w:t>937,515.72</w:t>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left="58" w:right="0"/>
                          <w:jc w:val="left"/>
                          <w:rPr>
                            <w:rFonts w:ascii="Times New Roman" w:hAnsi="Times New Roman" w:cs="Times New Roman" w:eastAsia="Times New Roman" w:hint="default"/>
                            <w:sz w:val="20"/>
                            <w:szCs w:val="20"/>
                          </w:rPr>
                        </w:pPr>
                        <w:r>
                          <w:rPr>
                            <w:rFonts w:ascii="Times New Roman"/>
                            <w:sz w:val="20"/>
                          </w:rPr>
                          <w:t>3,084,254.73</w:t>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left="419" w:right="0"/>
                          <w:jc w:val="left"/>
                          <w:rPr>
                            <w:rFonts w:ascii="宋体" w:hAnsi="宋体" w:cs="宋体" w:eastAsia="宋体" w:hint="default"/>
                            <w:sz w:val="20"/>
                            <w:szCs w:val="20"/>
                          </w:rPr>
                        </w:pPr>
                        <w:r>
                          <w:rPr>
                            <w:rFonts w:ascii="宋体" w:hAnsi="宋体" w:cs="宋体" w:eastAsia="宋体" w:hint="default"/>
                            <w:sz w:val="20"/>
                            <w:szCs w:val="20"/>
                          </w:rPr>
                          <w:t>其中：应收账款</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0" w:right="0"/>
                          <w:jc w:val="left"/>
                          <w:rPr>
                            <w:rFonts w:ascii="Times New Roman" w:hAnsi="Times New Roman" w:cs="Times New Roman" w:eastAsia="Times New Roman" w:hint="default"/>
                            <w:sz w:val="20"/>
                            <w:szCs w:val="20"/>
                          </w:rPr>
                        </w:pPr>
                        <w:r>
                          <w:rPr>
                            <w:rFonts w:ascii="Times New Roman"/>
                            <w:sz w:val="20"/>
                          </w:rPr>
                          <w:t>2,545,961.40</w:t>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77" w:right="0"/>
                          <w:jc w:val="left"/>
                          <w:rPr>
                            <w:rFonts w:ascii="Times New Roman" w:hAnsi="Times New Roman" w:cs="Times New Roman" w:eastAsia="Times New Roman" w:hint="default"/>
                            <w:sz w:val="20"/>
                            <w:szCs w:val="20"/>
                          </w:rPr>
                        </w:pPr>
                        <w:r>
                          <w:rPr>
                            <w:rFonts w:ascii="Times New Roman"/>
                            <w:sz w:val="20"/>
                          </w:rPr>
                          <w:t>763,112.16</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89" w:right="0"/>
                          <w:jc w:val="left"/>
                          <w:rPr>
                            <w:rFonts w:ascii="Times New Roman" w:hAnsi="Times New Roman" w:cs="Times New Roman" w:eastAsia="Times New Roman" w:hint="default"/>
                            <w:sz w:val="20"/>
                            <w:szCs w:val="20"/>
                          </w:rPr>
                        </w:pPr>
                        <w:r>
                          <w:rPr>
                            <w:rFonts w:ascii="Times New Roman"/>
                            <w:sz w:val="20"/>
                          </w:rPr>
                          <w:t>14,197.00</w:t>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72"/>
                          <w:jc w:val="right"/>
                          <w:rPr>
                            <w:rFonts w:ascii="Times New Roman" w:hAnsi="Times New Roman" w:cs="Times New Roman" w:eastAsia="Times New Roman" w:hint="default"/>
                            <w:sz w:val="20"/>
                            <w:szCs w:val="20"/>
                          </w:rPr>
                        </w:pPr>
                        <w:r>
                          <w:rPr>
                            <w:rFonts w:ascii="Times New Roman"/>
                            <w:sz w:val="20"/>
                          </w:rPr>
                          <w:t>777,309.16</w:t>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left="58" w:right="0"/>
                          <w:jc w:val="left"/>
                          <w:rPr>
                            <w:rFonts w:ascii="Times New Roman" w:hAnsi="Times New Roman" w:cs="Times New Roman" w:eastAsia="Times New Roman" w:hint="default"/>
                            <w:sz w:val="20"/>
                            <w:szCs w:val="20"/>
                          </w:rPr>
                        </w:pPr>
                        <w:r>
                          <w:rPr>
                            <w:rFonts w:ascii="Times New Roman"/>
                            <w:sz w:val="20"/>
                          </w:rPr>
                          <w:t>1,768,652.24</w:t>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left="102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0" w:right="0"/>
                          <w:jc w:val="left"/>
                          <w:rPr>
                            <w:rFonts w:ascii="Times New Roman" w:hAnsi="Times New Roman" w:cs="Times New Roman" w:eastAsia="Times New Roman" w:hint="default"/>
                            <w:sz w:val="20"/>
                            <w:szCs w:val="20"/>
                          </w:rPr>
                        </w:pPr>
                        <w:r>
                          <w:rPr>
                            <w:rFonts w:ascii="Times New Roman"/>
                            <w:sz w:val="20"/>
                          </w:rPr>
                          <w:t>1,475,809.05</w:t>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77" w:right="0"/>
                          <w:jc w:val="left"/>
                          <w:rPr>
                            <w:rFonts w:ascii="Times New Roman" w:hAnsi="Times New Roman" w:cs="Times New Roman" w:eastAsia="Times New Roman" w:hint="default"/>
                            <w:sz w:val="20"/>
                            <w:szCs w:val="20"/>
                          </w:rPr>
                        </w:pPr>
                        <w:r>
                          <w:rPr>
                            <w:rFonts w:ascii="Times New Roman"/>
                            <w:sz w:val="20"/>
                          </w:rPr>
                          <w:t>160,206.56</w:t>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76"/>
                          <w:jc w:val="right"/>
                          <w:rPr>
                            <w:rFonts w:ascii="Times New Roman" w:hAnsi="Times New Roman" w:cs="Times New Roman" w:eastAsia="Times New Roman" w:hint="default"/>
                            <w:sz w:val="20"/>
                            <w:szCs w:val="20"/>
                          </w:rPr>
                        </w:pPr>
                        <w:r>
                          <w:rPr>
                            <w:rFonts w:ascii="Times New Roman"/>
                            <w:w w:val="95"/>
                            <w:sz w:val="20"/>
                          </w:rPr>
                          <w:t>160,206.56</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left="58" w:right="0"/>
                          <w:jc w:val="left"/>
                          <w:rPr>
                            <w:rFonts w:ascii="Times New Roman" w:hAnsi="Times New Roman" w:cs="Times New Roman" w:eastAsia="Times New Roman" w:hint="default"/>
                            <w:sz w:val="20"/>
                            <w:szCs w:val="20"/>
                          </w:rPr>
                        </w:pPr>
                        <w:r>
                          <w:rPr>
                            <w:rFonts w:ascii="Times New Roman"/>
                            <w:sz w:val="20"/>
                          </w:rPr>
                          <w:t>1,315,602.49</w:t>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left="16" w:right="0"/>
                          <w:jc w:val="left"/>
                          <w:rPr>
                            <w:rFonts w:ascii="宋体" w:hAnsi="宋体" w:cs="宋体" w:eastAsia="宋体" w:hint="default"/>
                            <w:sz w:val="20"/>
                            <w:szCs w:val="20"/>
                          </w:rPr>
                        </w:pPr>
                        <w:r>
                          <w:rPr>
                            <w:rFonts w:ascii="宋体" w:hAnsi="宋体" w:cs="宋体" w:eastAsia="宋体" w:hint="default"/>
                            <w:sz w:val="20"/>
                            <w:szCs w:val="20"/>
                          </w:rPr>
                          <w:t>二、存货跌价准备合计</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1"/>
                          <w:ind w:left="419" w:right="0"/>
                          <w:jc w:val="left"/>
                          <w:rPr>
                            <w:rFonts w:ascii="宋体" w:hAnsi="宋体" w:cs="宋体" w:eastAsia="宋体" w:hint="default"/>
                            <w:sz w:val="20"/>
                            <w:szCs w:val="20"/>
                          </w:rPr>
                        </w:pPr>
                        <w:r>
                          <w:rPr>
                            <w:rFonts w:ascii="宋体" w:hAnsi="宋体" w:cs="宋体" w:eastAsia="宋体" w:hint="default"/>
                            <w:sz w:val="20"/>
                            <w:szCs w:val="20"/>
                          </w:rPr>
                          <w:t>其中：库存商品</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right="388"/>
                          <w:jc w:val="center"/>
                          <w:rPr>
                            <w:rFonts w:ascii="宋体" w:hAnsi="宋体" w:cs="宋体" w:eastAsia="宋体" w:hint="default"/>
                            <w:sz w:val="20"/>
                            <w:szCs w:val="20"/>
                          </w:rPr>
                        </w:pPr>
                        <w:r>
                          <w:rPr>
                            <w:rFonts w:ascii="宋体" w:hAnsi="宋体" w:cs="宋体" w:eastAsia="宋体" w:hint="default"/>
                            <w:sz w:val="20"/>
                            <w:szCs w:val="20"/>
                          </w:rPr>
                          <w:t>原材料</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left="16" w:right="0"/>
                          <w:jc w:val="left"/>
                          <w:rPr>
                            <w:rFonts w:ascii="宋体" w:hAnsi="宋体" w:cs="宋体" w:eastAsia="宋体" w:hint="default"/>
                            <w:sz w:val="20"/>
                            <w:szCs w:val="20"/>
                          </w:rPr>
                        </w:pPr>
                        <w:r>
                          <w:rPr>
                            <w:rFonts w:ascii="宋体" w:hAnsi="宋体" w:cs="宋体" w:eastAsia="宋体" w:hint="default"/>
                            <w:sz w:val="20"/>
                            <w:szCs w:val="20"/>
                          </w:rPr>
                          <w:t>三、可供出售金融资产减值准备</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left="16" w:right="0"/>
                          <w:jc w:val="left"/>
                          <w:rPr>
                            <w:rFonts w:ascii="宋体" w:hAnsi="宋体" w:cs="宋体" w:eastAsia="宋体" w:hint="default"/>
                            <w:sz w:val="20"/>
                            <w:szCs w:val="20"/>
                          </w:rPr>
                        </w:pPr>
                        <w:r>
                          <w:rPr>
                            <w:rFonts w:ascii="宋体" w:hAnsi="宋体" w:cs="宋体" w:eastAsia="宋体" w:hint="default"/>
                            <w:sz w:val="20"/>
                            <w:szCs w:val="20"/>
                          </w:rPr>
                          <w:t>四、持有至到期投资减值准备</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left="16" w:right="0"/>
                          <w:jc w:val="left"/>
                          <w:rPr>
                            <w:rFonts w:ascii="宋体" w:hAnsi="宋体" w:cs="宋体" w:eastAsia="宋体" w:hint="default"/>
                            <w:sz w:val="20"/>
                            <w:szCs w:val="20"/>
                          </w:rPr>
                        </w:pPr>
                        <w:r>
                          <w:rPr>
                            <w:rFonts w:ascii="宋体" w:hAnsi="宋体" w:cs="宋体" w:eastAsia="宋体" w:hint="default"/>
                            <w:sz w:val="20"/>
                            <w:szCs w:val="20"/>
                          </w:rPr>
                          <w:t>五、长期股权投资减值准备</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left="16" w:right="0"/>
                          <w:jc w:val="left"/>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pacing w:val="6"/>
                            <w:sz w:val="20"/>
                            <w:szCs w:val="20"/>
                          </w:rPr>
                          <w:t> </w:t>
                        </w:r>
                        <w:r>
                          <w:rPr>
                            <w:rFonts w:ascii="宋体" w:hAnsi="宋体" w:cs="宋体" w:eastAsia="宋体" w:hint="default"/>
                            <w:sz w:val="20"/>
                            <w:szCs w:val="20"/>
                          </w:rPr>
                          <w:t>投资性房地产减值准备</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left="16" w:right="0"/>
                          <w:jc w:val="left"/>
                          <w:rPr>
                            <w:rFonts w:ascii="宋体" w:hAnsi="宋体" w:cs="宋体" w:eastAsia="宋体" w:hint="default"/>
                            <w:sz w:val="20"/>
                            <w:szCs w:val="20"/>
                          </w:rPr>
                        </w:pPr>
                        <w:r>
                          <w:rPr>
                            <w:rFonts w:ascii="宋体" w:hAnsi="宋体" w:cs="宋体" w:eastAsia="宋体" w:hint="default"/>
                            <w:sz w:val="20"/>
                            <w:szCs w:val="20"/>
                          </w:rPr>
                          <w:t>七、固定资产减值准备合计</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left="419" w:right="0"/>
                          <w:jc w:val="left"/>
                          <w:rPr>
                            <w:rFonts w:ascii="宋体" w:hAnsi="宋体" w:cs="宋体" w:eastAsia="宋体" w:hint="default"/>
                            <w:sz w:val="20"/>
                            <w:szCs w:val="20"/>
                          </w:rPr>
                        </w:pPr>
                        <w:r>
                          <w:rPr>
                            <w:rFonts w:ascii="宋体" w:hAnsi="宋体" w:cs="宋体" w:eastAsia="宋体" w:hint="default"/>
                            <w:sz w:val="20"/>
                            <w:szCs w:val="20"/>
                          </w:rPr>
                          <w:t>其中：房屋、建筑物</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right="188"/>
                          <w:jc w:val="center"/>
                          <w:rPr>
                            <w:rFonts w:ascii="宋体" w:hAnsi="宋体" w:cs="宋体" w:eastAsia="宋体" w:hint="default"/>
                            <w:sz w:val="20"/>
                            <w:szCs w:val="20"/>
                          </w:rPr>
                        </w:pPr>
                        <w:r>
                          <w:rPr>
                            <w:rFonts w:ascii="宋体" w:hAnsi="宋体" w:cs="宋体" w:eastAsia="宋体" w:hint="default"/>
                            <w:sz w:val="20"/>
                            <w:szCs w:val="20"/>
                          </w:rPr>
                          <w:t>机器设备</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1"/>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1"/>
                          <w:ind w:left="16" w:right="0"/>
                          <w:jc w:val="left"/>
                          <w:rPr>
                            <w:rFonts w:ascii="宋体" w:hAnsi="宋体" w:cs="宋体" w:eastAsia="宋体" w:hint="default"/>
                            <w:sz w:val="20"/>
                            <w:szCs w:val="20"/>
                          </w:rPr>
                        </w:pPr>
                        <w:r>
                          <w:rPr>
                            <w:rFonts w:ascii="宋体" w:hAnsi="宋体" w:cs="宋体" w:eastAsia="宋体" w:hint="default"/>
                            <w:sz w:val="20"/>
                            <w:szCs w:val="20"/>
                          </w:rPr>
                          <w:t>八、工程物资减值准备</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left="5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1"/>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left="16" w:right="0"/>
                          <w:jc w:val="left"/>
                          <w:rPr>
                            <w:rFonts w:ascii="宋体" w:hAnsi="宋体" w:cs="宋体" w:eastAsia="宋体" w:hint="default"/>
                            <w:sz w:val="20"/>
                            <w:szCs w:val="20"/>
                          </w:rPr>
                        </w:pPr>
                        <w:r>
                          <w:rPr>
                            <w:rFonts w:ascii="宋体" w:hAnsi="宋体" w:cs="宋体" w:eastAsia="宋体" w:hint="default"/>
                            <w:sz w:val="20"/>
                            <w:szCs w:val="20"/>
                          </w:rPr>
                          <w:t>九、在建工程减值准备</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left="16" w:right="0"/>
                          <w:jc w:val="left"/>
                          <w:rPr>
                            <w:rFonts w:ascii="宋体" w:hAnsi="宋体" w:cs="宋体" w:eastAsia="宋体" w:hint="default"/>
                            <w:sz w:val="20"/>
                            <w:szCs w:val="20"/>
                          </w:rPr>
                        </w:pPr>
                        <w:r>
                          <w:rPr>
                            <w:rFonts w:ascii="宋体" w:hAnsi="宋体" w:cs="宋体" w:eastAsia="宋体" w:hint="default"/>
                            <w:sz w:val="20"/>
                            <w:szCs w:val="20"/>
                          </w:rPr>
                          <w:t>十、无形资产减值准备</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left="620" w:right="0"/>
                          <w:jc w:val="left"/>
                          <w:rPr>
                            <w:rFonts w:ascii="宋体" w:hAnsi="宋体" w:cs="宋体" w:eastAsia="宋体" w:hint="default"/>
                            <w:sz w:val="20"/>
                            <w:szCs w:val="20"/>
                          </w:rPr>
                        </w:pPr>
                        <w:r>
                          <w:rPr>
                            <w:rFonts w:ascii="宋体" w:hAnsi="宋体" w:cs="宋体" w:eastAsia="宋体" w:hint="default"/>
                            <w:sz w:val="20"/>
                            <w:szCs w:val="20"/>
                          </w:rPr>
                          <w:t>其中：专利权</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left="9" w:right="0"/>
                          <w:jc w:val="center"/>
                          <w:rPr>
                            <w:rFonts w:ascii="宋体" w:hAnsi="宋体" w:cs="宋体" w:eastAsia="宋体" w:hint="default"/>
                            <w:sz w:val="20"/>
                            <w:szCs w:val="20"/>
                          </w:rPr>
                        </w:pPr>
                        <w:r>
                          <w:rPr>
                            <w:rFonts w:ascii="宋体" w:hAnsi="宋体" w:cs="宋体" w:eastAsia="宋体" w:hint="default"/>
                            <w:sz w:val="20"/>
                            <w:szCs w:val="20"/>
                          </w:rPr>
                          <w:t>商标权</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left="16" w:right="0"/>
                          <w:jc w:val="left"/>
                          <w:rPr>
                            <w:rFonts w:ascii="宋体" w:hAnsi="宋体" w:cs="宋体" w:eastAsia="宋体" w:hint="default"/>
                            <w:sz w:val="20"/>
                            <w:szCs w:val="20"/>
                          </w:rPr>
                        </w:pPr>
                        <w:r>
                          <w:rPr>
                            <w:rFonts w:ascii="宋体" w:hAnsi="宋体" w:cs="宋体" w:eastAsia="宋体" w:hint="default"/>
                            <w:sz w:val="20"/>
                            <w:szCs w:val="20"/>
                          </w:rPr>
                          <w:t>十一、商誉减值准备</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42"/>
                          <w:ind w:left="16" w:right="0"/>
                          <w:jc w:val="left"/>
                          <w:rPr>
                            <w:rFonts w:ascii="宋体" w:hAnsi="宋体" w:cs="宋体" w:eastAsia="宋体" w:hint="default"/>
                            <w:sz w:val="20"/>
                            <w:szCs w:val="20"/>
                          </w:rPr>
                        </w:pPr>
                        <w:r>
                          <w:rPr>
                            <w:rFonts w:ascii="宋体" w:hAnsi="宋体" w:cs="宋体" w:eastAsia="宋体" w:hint="default"/>
                            <w:sz w:val="20"/>
                            <w:szCs w:val="20"/>
                          </w:rPr>
                          <w:t>十二、其他</w:t>
                        </w:r>
                      </w:p>
                    </w:tc>
                    <w:tc>
                      <w:tcPr>
                        <w:tcW w:w="12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68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51"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9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627" w:right="0"/>
                          <w:jc w:val="lef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273"/>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207"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264"/>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r>
                  <w:tr>
                    <w:trPr>
                      <w:trHeight w:val="400" w:hRule="exact"/>
                    </w:trPr>
                    <w:tc>
                      <w:tcPr>
                        <w:tcW w:w="3061" w:type="dxa"/>
                        <w:tcBorders>
                          <w:top w:val="single" w:sz="8" w:space="0" w:color="000000"/>
                          <w:left w:val="single" w:sz="12" w:space="0" w:color="000000"/>
                          <w:bottom w:val="single" w:sz="15" w:space="0" w:color="000000"/>
                          <w:right w:val="single" w:sz="8" w:space="0" w:color="000000"/>
                        </w:tcBorders>
                      </w:tcPr>
                      <w:p>
                        <w:pPr>
                          <w:pStyle w:val="TableParagraph"/>
                          <w:tabs>
                            <w:tab w:pos="507" w:val="left" w:leader="none"/>
                          </w:tabs>
                          <w:spacing w:line="240" w:lineRule="auto" w:before="31"/>
                          <w:ind w:left="4"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211" w:type="dxa"/>
                        <w:tcBorders>
                          <w:top w:val="single" w:sz="8" w:space="0" w:color="000000"/>
                          <w:left w:val="single" w:sz="8" w:space="0" w:color="000000"/>
                          <w:bottom w:val="single" w:sz="15" w:space="0" w:color="000000"/>
                          <w:right w:val="single" w:sz="8" w:space="0" w:color="000000"/>
                        </w:tcBorders>
                      </w:tcPr>
                      <w:p>
                        <w:pPr>
                          <w:pStyle w:val="TableParagraph"/>
                          <w:spacing w:line="240" w:lineRule="auto" w:before="72"/>
                          <w:ind w:left="60" w:right="0"/>
                          <w:jc w:val="left"/>
                          <w:rPr>
                            <w:rFonts w:ascii="Times New Roman" w:hAnsi="Times New Roman" w:cs="Times New Roman" w:eastAsia="Times New Roman" w:hint="default"/>
                            <w:sz w:val="20"/>
                            <w:szCs w:val="20"/>
                          </w:rPr>
                        </w:pPr>
                        <w:r>
                          <w:rPr>
                            <w:rFonts w:ascii="Times New Roman"/>
                            <w:sz w:val="20"/>
                          </w:rPr>
                          <w:t>4,021,770.45</w:t>
                        </w:r>
                      </w:p>
                    </w:tc>
                    <w:tc>
                      <w:tcPr>
                        <w:tcW w:w="689" w:type="dxa"/>
                        <w:tcBorders>
                          <w:top w:val="single" w:sz="8" w:space="0" w:color="000000"/>
                          <w:left w:val="single" w:sz="8" w:space="0" w:color="000000"/>
                          <w:bottom w:val="single" w:sz="15" w:space="0" w:color="000000"/>
                          <w:right w:val="single" w:sz="8" w:space="0" w:color="000000"/>
                        </w:tcBorders>
                      </w:tcPr>
                      <w:p>
                        <w:pPr>
                          <w:pStyle w:val="TableParagraph"/>
                          <w:spacing w:line="240" w:lineRule="auto" w:before="72"/>
                          <w:ind w:left="52" w:right="0"/>
                          <w:jc w:val="center"/>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1078" w:type="dxa"/>
                        <w:tcBorders>
                          <w:top w:val="single" w:sz="8" w:space="0" w:color="000000"/>
                          <w:left w:val="single" w:sz="8" w:space="0" w:color="000000"/>
                          <w:bottom w:val="single" w:sz="15" w:space="0" w:color="000000"/>
                          <w:right w:val="single" w:sz="8" w:space="0" w:color="000000"/>
                        </w:tcBorders>
                      </w:tcPr>
                      <w:p>
                        <w:pPr>
                          <w:pStyle w:val="TableParagraph"/>
                          <w:spacing w:line="240" w:lineRule="auto" w:before="72"/>
                          <w:ind w:left="77" w:right="0"/>
                          <w:jc w:val="left"/>
                          <w:rPr>
                            <w:rFonts w:ascii="Times New Roman" w:hAnsi="Times New Roman" w:cs="Times New Roman" w:eastAsia="Times New Roman" w:hint="default"/>
                            <w:sz w:val="20"/>
                            <w:szCs w:val="20"/>
                          </w:rPr>
                        </w:pPr>
                        <w:r>
                          <w:rPr>
                            <w:rFonts w:ascii="Times New Roman"/>
                            <w:sz w:val="20"/>
                          </w:rPr>
                          <w:t>923,318.72</w:t>
                        </w:r>
                      </w:p>
                    </w:tc>
                    <w:tc>
                      <w:tcPr>
                        <w:tcW w:w="988" w:type="dxa"/>
                        <w:tcBorders>
                          <w:top w:val="single" w:sz="8" w:space="0" w:color="000000"/>
                          <w:left w:val="single" w:sz="8" w:space="0" w:color="000000"/>
                          <w:bottom w:val="single" w:sz="15" w:space="0" w:color="000000"/>
                          <w:right w:val="single" w:sz="8" w:space="0" w:color="000000"/>
                        </w:tcBorders>
                      </w:tcPr>
                      <w:p>
                        <w:pPr>
                          <w:pStyle w:val="TableParagraph"/>
                          <w:spacing w:line="240" w:lineRule="auto" w:before="72"/>
                          <w:ind w:left="89" w:right="0"/>
                          <w:jc w:val="left"/>
                          <w:rPr>
                            <w:rFonts w:ascii="Times New Roman" w:hAnsi="Times New Roman" w:cs="Times New Roman" w:eastAsia="Times New Roman" w:hint="default"/>
                            <w:sz w:val="20"/>
                            <w:szCs w:val="20"/>
                          </w:rPr>
                        </w:pPr>
                        <w:r>
                          <w:rPr>
                            <w:rFonts w:ascii="Times New Roman"/>
                            <w:sz w:val="20"/>
                          </w:rPr>
                          <w:t>14,197.00</w:t>
                        </w:r>
                      </w:p>
                    </w:tc>
                    <w:tc>
                      <w:tcPr>
                        <w:tcW w:w="1078" w:type="dxa"/>
                        <w:tcBorders>
                          <w:top w:val="single" w:sz="8" w:space="0" w:color="000000"/>
                          <w:left w:val="single" w:sz="8" w:space="0" w:color="000000"/>
                          <w:bottom w:val="single" w:sz="15" w:space="0" w:color="000000"/>
                          <w:right w:val="single" w:sz="8" w:space="0" w:color="000000"/>
                        </w:tcBorders>
                      </w:tcPr>
                      <w:p>
                        <w:pPr>
                          <w:pStyle w:val="TableParagraph"/>
                          <w:spacing w:line="240" w:lineRule="auto" w:before="72"/>
                          <w:ind w:right="72"/>
                          <w:jc w:val="right"/>
                          <w:rPr>
                            <w:rFonts w:ascii="Times New Roman" w:hAnsi="Times New Roman" w:cs="Times New Roman" w:eastAsia="Times New Roman" w:hint="default"/>
                            <w:sz w:val="20"/>
                            <w:szCs w:val="20"/>
                          </w:rPr>
                        </w:pPr>
                        <w:r>
                          <w:rPr>
                            <w:rFonts w:ascii="Times New Roman"/>
                            <w:sz w:val="20"/>
                          </w:rPr>
                          <w:t>937,515.72</w:t>
                        </w:r>
                      </w:p>
                    </w:tc>
                    <w:tc>
                      <w:tcPr>
                        <w:tcW w:w="1207" w:type="dxa"/>
                        <w:tcBorders>
                          <w:top w:val="single" w:sz="8" w:space="0" w:color="000000"/>
                          <w:left w:val="single" w:sz="8" w:space="0" w:color="000000"/>
                          <w:bottom w:val="single" w:sz="15" w:space="0" w:color="000000"/>
                          <w:right w:val="single" w:sz="12" w:space="0" w:color="000000"/>
                        </w:tcBorders>
                      </w:tcPr>
                      <w:p>
                        <w:pPr>
                          <w:pStyle w:val="TableParagraph"/>
                          <w:spacing w:line="240" w:lineRule="auto" w:before="72"/>
                          <w:ind w:left="58" w:right="0"/>
                          <w:jc w:val="left"/>
                          <w:rPr>
                            <w:rFonts w:ascii="Times New Roman" w:hAnsi="Times New Roman" w:cs="Times New Roman" w:eastAsia="Times New Roman" w:hint="default"/>
                            <w:sz w:val="20"/>
                            <w:szCs w:val="20"/>
                          </w:rPr>
                        </w:pPr>
                        <w:r>
                          <w:rPr>
                            <w:rFonts w:ascii="Times New Roman"/>
                            <w:sz w:val="20"/>
                          </w:rPr>
                          <w:t>3,084,254.73</w:t>
                        </w:r>
                      </w:p>
                    </w:tc>
                  </w:tr>
                </w:tbl>
                <w:p>
                  <w:pPr/>
                </w:p>
              </w:txbxContent>
            </v:textbox>
            <w10:wrap type="none"/>
          </v:shape>
        </w:pict>
      </w:r>
      <w:r>
        <w:rPr>
          <w:rFonts w:ascii="宋体" w:hAnsi="宋体" w:cs="宋体" w:eastAsia="宋体" w:hint="default"/>
          <w:spacing w:val="-2"/>
          <w:sz w:val="24"/>
          <w:szCs w:val="24"/>
        </w:rPr>
        <w:t>（2）本公司投资收益汇回不存在重大限制。</w:t>
      </w:r>
      <w:r>
        <w:rPr>
          <w:rFonts w:ascii="宋体" w:hAnsi="宋体" w:cs="宋体" w:eastAsia="宋体" w:hint="default"/>
          <w:spacing w:val="-2"/>
          <w:w w:val="100"/>
          <w:sz w:val="24"/>
          <w:szCs w:val="24"/>
        </w:rPr>
        <w:t> </w:t>
      </w:r>
      <w:r>
        <w:rPr>
          <w:rFonts w:ascii="Microsoft JhengHei" w:hAnsi="Microsoft JhengHei" w:cs="Microsoft JhengHei" w:eastAsia="Microsoft JhengHei" w:hint="default"/>
          <w:b/>
          <w:bCs/>
          <w:sz w:val="24"/>
          <w:szCs w:val="24"/>
        </w:rPr>
        <w:t>6、资产减值准备明细表</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pStyle w:val="Heading3"/>
        <w:spacing w:line="240" w:lineRule="auto" w:before="128"/>
        <w:ind w:left="737" w:right="0"/>
        <w:jc w:val="left"/>
        <w:rPr>
          <w:b w:val="0"/>
          <w:bCs w:val="0"/>
        </w:rPr>
      </w:pPr>
      <w:r>
        <w:rPr/>
        <w:t>7、现金流量表补充资料</w:t>
      </w:r>
      <w:r>
        <w:rPr>
          <w:b w:val="0"/>
          <w:bCs w:val="0"/>
        </w:rPr>
      </w:r>
    </w:p>
    <w:p>
      <w:pPr>
        <w:pStyle w:val="BodyText"/>
        <w:spacing w:line="240" w:lineRule="auto" w:before="80"/>
        <w:ind w:left="617" w:right="0"/>
        <w:jc w:val="left"/>
      </w:pPr>
      <w:r>
        <w:rPr/>
        <w:t>（1）将净利润调节为经营活动现金流量的信息</w:t>
      </w:r>
    </w:p>
    <w:p>
      <w:pPr>
        <w:spacing w:after="0" w:line="240" w:lineRule="auto"/>
        <w:jc w:val="left"/>
        <w:sectPr>
          <w:footerReference w:type="default" r:id="rId57"/>
          <w:pgSz w:w="11910" w:h="16840"/>
          <w:pgMar w:footer="1712" w:header="840" w:top="1160" w:bottom="1900" w:left="1660" w:right="640"/>
          <w:pgNumType w:start="130"/>
        </w:sectPr>
      </w:pPr>
    </w:p>
    <w:p>
      <w:pPr>
        <w:spacing w:line="240" w:lineRule="auto" w:before="1"/>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3325"/>
        <w:gridCol w:w="490"/>
        <w:gridCol w:w="2292"/>
        <w:gridCol w:w="490"/>
        <w:gridCol w:w="2232"/>
      </w:tblGrid>
      <w:tr>
        <w:trPr>
          <w:trHeight w:val="351" w:hRule="exact"/>
        </w:trPr>
        <w:tc>
          <w:tcPr>
            <w:tcW w:w="3325" w:type="dxa"/>
            <w:tcBorders>
              <w:top w:val="nil" w:sz="6" w:space="0" w:color="auto"/>
              <w:left w:val="nil" w:sz="6" w:space="0" w:color="auto"/>
              <w:bottom w:val="single" w:sz="8" w:space="0" w:color="000000"/>
              <w:right w:val="nil" w:sz="6" w:space="0" w:color="auto"/>
            </w:tcBorders>
          </w:tcPr>
          <w:p>
            <w:pPr>
              <w:pStyle w:val="TableParagraph"/>
              <w:tabs>
                <w:tab w:pos="468" w:val="left" w:leader="none"/>
              </w:tabs>
              <w:spacing w:line="240" w:lineRule="auto" w:before="35"/>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490"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15"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490"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left="12"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524" w:hRule="exact"/>
        </w:trPr>
        <w:tc>
          <w:tcPr>
            <w:tcW w:w="3325" w:type="dxa"/>
            <w:tcBorders>
              <w:top w:val="single" w:sz="8" w:space="0" w:color="000000"/>
              <w:left w:val="nil" w:sz="6" w:space="0" w:color="auto"/>
              <w:bottom w:val="nil" w:sz="6" w:space="0" w:color="auto"/>
              <w:right w:val="nil" w:sz="6" w:space="0" w:color="auto"/>
            </w:tcBorders>
          </w:tcPr>
          <w:p>
            <w:pPr>
              <w:pStyle w:val="TableParagraph"/>
              <w:spacing w:line="240" w:lineRule="auto" w:before="84"/>
              <w:ind w:left="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1、将净利润调节为经营活动现金流量：</w:t>
            </w:r>
            <w:r>
              <w:rPr>
                <w:rFonts w:ascii="Microsoft JhengHei" w:hAnsi="Microsoft JhengHei" w:cs="Microsoft JhengHei" w:eastAsia="Microsoft JhengHei" w:hint="default"/>
                <w:spacing w:val="3"/>
                <w:sz w:val="18"/>
                <w:szCs w:val="18"/>
              </w:rPr>
            </w:r>
          </w:p>
        </w:tc>
        <w:tc>
          <w:tcPr>
            <w:tcW w:w="490" w:type="dxa"/>
            <w:tcBorders>
              <w:top w:val="nil" w:sz="6" w:space="0" w:color="auto"/>
              <w:left w:val="nil" w:sz="6" w:space="0" w:color="auto"/>
              <w:bottom w:val="nil" w:sz="6" w:space="0" w:color="auto"/>
              <w:right w:val="nil" w:sz="6" w:space="0" w:color="auto"/>
            </w:tcBorders>
          </w:tcPr>
          <w:p>
            <w:pPr/>
          </w:p>
        </w:tc>
        <w:tc>
          <w:tcPr>
            <w:tcW w:w="2292" w:type="dxa"/>
            <w:tcBorders>
              <w:top w:val="single" w:sz="8" w:space="0" w:color="000000"/>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
        </w:tc>
        <w:tc>
          <w:tcPr>
            <w:tcW w:w="2232" w:type="dxa"/>
            <w:tcBorders>
              <w:top w:val="single" w:sz="8" w:space="0" w:color="000000"/>
              <w:left w:val="nil" w:sz="6" w:space="0" w:color="auto"/>
              <w:bottom w:val="nil" w:sz="6" w:space="0" w:color="auto"/>
              <w:right w:val="nil" w:sz="6" w:space="0" w:color="auto"/>
            </w:tcBorders>
          </w:tcPr>
          <w:p>
            <w:pPr/>
          </w:p>
        </w:tc>
      </w:tr>
      <w:tr>
        <w:trPr>
          <w:trHeight w:val="406"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2"/>
                <w:sz w:val="18"/>
                <w:szCs w:val="18"/>
              </w:rPr>
              <w:t>净利润</w:t>
            </w:r>
            <w:r>
              <w:rPr>
                <w:rFonts w:ascii="Microsoft JhengHei" w:hAnsi="Microsoft JhengHei" w:cs="Microsoft JhengHei" w:eastAsia="Microsoft JhengHei" w:hint="default"/>
                <w:spacing w:val="2"/>
                <w:sz w:val="18"/>
                <w:szCs w:val="18"/>
              </w:rPr>
            </w:r>
          </w:p>
        </w:tc>
        <w:tc>
          <w:tcPr>
            <w:tcW w:w="490"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9"/>
              <w:jc w:val="right"/>
              <w:rPr>
                <w:rFonts w:ascii="Times New Roman" w:hAnsi="Times New Roman" w:cs="Times New Roman" w:eastAsia="Times New Roman" w:hint="default"/>
                <w:sz w:val="18"/>
                <w:szCs w:val="18"/>
              </w:rPr>
            </w:pPr>
            <w:r>
              <w:rPr>
                <w:rFonts w:ascii="Times New Roman"/>
                <w:sz w:val="18"/>
              </w:rPr>
              <w:t>46,789,972.71</w:t>
            </w:r>
          </w:p>
        </w:tc>
        <w:tc>
          <w:tcPr>
            <w:tcW w:w="490"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3"/>
              <w:jc w:val="right"/>
              <w:rPr>
                <w:rFonts w:ascii="Times New Roman" w:hAnsi="Times New Roman" w:cs="Times New Roman" w:eastAsia="Times New Roman" w:hint="default"/>
                <w:sz w:val="18"/>
                <w:szCs w:val="18"/>
              </w:rPr>
            </w:pPr>
            <w:r>
              <w:rPr>
                <w:rFonts w:ascii="Times New Roman"/>
                <w:w w:val="95"/>
                <w:sz w:val="18"/>
              </w:rPr>
              <w:t>42,407,018.31</w:t>
            </w:r>
            <w:r>
              <w:rPr>
                <w:rFonts w:ascii="Times New Roman"/>
                <w:sz w:val="18"/>
              </w:rPr>
            </w:r>
          </w:p>
        </w:tc>
      </w:tr>
      <w:tr>
        <w:trPr>
          <w:trHeight w:val="352"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490"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9"/>
              <w:jc w:val="right"/>
              <w:rPr>
                <w:rFonts w:ascii="Times New Roman" w:hAnsi="Times New Roman" w:cs="Times New Roman" w:eastAsia="Times New Roman" w:hint="default"/>
                <w:sz w:val="18"/>
                <w:szCs w:val="18"/>
              </w:rPr>
            </w:pPr>
            <w:r>
              <w:rPr>
                <w:rFonts w:ascii="Times New Roman"/>
                <w:sz w:val="18"/>
              </w:rPr>
              <w:t>-923,318.72</w:t>
            </w:r>
          </w:p>
        </w:tc>
        <w:tc>
          <w:tcPr>
            <w:tcW w:w="490"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3"/>
              <w:jc w:val="right"/>
              <w:rPr>
                <w:rFonts w:ascii="Times New Roman" w:hAnsi="Times New Roman" w:cs="Times New Roman" w:eastAsia="Times New Roman" w:hint="default"/>
                <w:sz w:val="18"/>
                <w:szCs w:val="18"/>
              </w:rPr>
            </w:pPr>
            <w:r>
              <w:rPr>
                <w:rFonts w:ascii="Times New Roman"/>
                <w:w w:val="95"/>
                <w:sz w:val="18"/>
              </w:rPr>
              <w:t>2,092,606.96</w:t>
            </w:r>
            <w:r>
              <w:rPr>
                <w:rFonts w:ascii="Times New Roman"/>
                <w:sz w:val="18"/>
              </w:rPr>
            </w:r>
          </w:p>
        </w:tc>
      </w:tr>
      <w:tr>
        <w:trPr>
          <w:trHeight w:val="352"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7"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490"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9"/>
              <w:jc w:val="right"/>
              <w:rPr>
                <w:rFonts w:ascii="Times New Roman" w:hAnsi="Times New Roman" w:cs="Times New Roman" w:eastAsia="Times New Roman" w:hint="default"/>
                <w:sz w:val="18"/>
                <w:szCs w:val="18"/>
              </w:rPr>
            </w:pPr>
            <w:r>
              <w:rPr>
                <w:rFonts w:ascii="Times New Roman"/>
                <w:sz w:val="18"/>
              </w:rPr>
              <w:t>21,942,773.78</w:t>
            </w:r>
          </w:p>
        </w:tc>
        <w:tc>
          <w:tcPr>
            <w:tcW w:w="490"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3"/>
              <w:jc w:val="right"/>
              <w:rPr>
                <w:rFonts w:ascii="Times New Roman" w:hAnsi="Times New Roman" w:cs="Times New Roman" w:eastAsia="Times New Roman" w:hint="default"/>
                <w:sz w:val="18"/>
                <w:szCs w:val="18"/>
              </w:rPr>
            </w:pPr>
            <w:r>
              <w:rPr>
                <w:rFonts w:ascii="Times New Roman"/>
                <w:w w:val="95"/>
                <w:sz w:val="18"/>
              </w:rPr>
              <w:t>15,682,326.01</w:t>
            </w:r>
            <w:r>
              <w:rPr>
                <w:rFonts w:ascii="Times New Roman"/>
                <w:sz w:val="18"/>
              </w:rPr>
            </w:r>
          </w:p>
        </w:tc>
      </w:tr>
      <w:tr>
        <w:trPr>
          <w:trHeight w:val="352"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490"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9"/>
              <w:jc w:val="right"/>
              <w:rPr>
                <w:rFonts w:ascii="Times New Roman" w:hAnsi="Times New Roman" w:cs="Times New Roman" w:eastAsia="Times New Roman" w:hint="default"/>
                <w:sz w:val="18"/>
                <w:szCs w:val="18"/>
              </w:rPr>
            </w:pPr>
            <w:r>
              <w:rPr>
                <w:rFonts w:ascii="Times New Roman"/>
                <w:sz w:val="18"/>
              </w:rPr>
              <w:t>1,094,677.26</w:t>
            </w:r>
          </w:p>
        </w:tc>
        <w:tc>
          <w:tcPr>
            <w:tcW w:w="490"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3"/>
              <w:jc w:val="right"/>
              <w:rPr>
                <w:rFonts w:ascii="Times New Roman" w:hAnsi="Times New Roman" w:cs="Times New Roman" w:eastAsia="Times New Roman" w:hint="default"/>
                <w:sz w:val="18"/>
                <w:szCs w:val="18"/>
              </w:rPr>
            </w:pPr>
            <w:r>
              <w:rPr>
                <w:rFonts w:ascii="Times New Roman"/>
                <w:w w:val="95"/>
                <w:sz w:val="18"/>
              </w:rPr>
              <w:t>1,047,583.92</w:t>
            </w:r>
            <w:r>
              <w:rPr>
                <w:rFonts w:ascii="Times New Roman"/>
                <w:sz w:val="18"/>
              </w:rPr>
            </w:r>
          </w:p>
        </w:tc>
      </w:tr>
      <w:tr>
        <w:trPr>
          <w:trHeight w:val="331"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9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490"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9"/>
              <w:jc w:val="right"/>
              <w:rPr>
                <w:rFonts w:ascii="Times New Roman" w:hAnsi="Times New Roman" w:cs="Times New Roman" w:eastAsia="Times New Roman" w:hint="default"/>
                <w:sz w:val="18"/>
                <w:szCs w:val="18"/>
              </w:rPr>
            </w:pPr>
            <w:r>
              <w:rPr>
                <w:rFonts w:ascii="Times New Roman"/>
                <w:sz w:val="18"/>
              </w:rPr>
              <w:t>229,522.42</w:t>
            </w:r>
          </w:p>
        </w:tc>
        <w:tc>
          <w:tcPr>
            <w:tcW w:w="490"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3"/>
              <w:jc w:val="right"/>
              <w:rPr>
                <w:rFonts w:ascii="Times New Roman" w:hAnsi="Times New Roman" w:cs="Times New Roman" w:eastAsia="Times New Roman" w:hint="default"/>
                <w:sz w:val="18"/>
                <w:szCs w:val="18"/>
              </w:rPr>
            </w:pPr>
            <w:r>
              <w:rPr>
                <w:rFonts w:ascii="Times New Roman"/>
                <w:w w:val="95"/>
                <w:sz w:val="18"/>
              </w:rPr>
              <w:t>103,984.90</w:t>
            </w:r>
            <w:r>
              <w:rPr>
                <w:rFonts w:ascii="Times New Roman"/>
                <w:sz w:val="18"/>
              </w:rPr>
            </w:r>
          </w:p>
        </w:tc>
      </w:tr>
      <w:tr>
        <w:trPr>
          <w:trHeight w:val="490"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26" w:lineRule="exact" w:before="35"/>
              <w:ind w:left="33" w:right="196" w:firstLine="36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w:t>
            </w:r>
            <w:r>
              <w:rPr>
                <w:rFonts w:ascii="宋体" w:hAnsi="宋体" w:cs="宋体" w:eastAsia="宋体" w:hint="default"/>
                <w:spacing w:val="2"/>
                <w:w w:val="99"/>
                <w:sz w:val="18"/>
                <w:szCs w:val="18"/>
              </w:rPr>
              <w:t> </w:t>
            </w:r>
            <w:r>
              <w:rPr>
                <w:rFonts w:ascii="宋体" w:hAnsi="宋体" w:cs="宋体" w:eastAsia="宋体" w:hint="default"/>
                <w:sz w:val="18"/>
                <w:szCs w:val="18"/>
              </w:rPr>
              <w:t>期资产的损失（收益以“－ </w:t>
            </w:r>
            <w:r>
              <w:rPr>
                <w:rFonts w:ascii="宋体" w:hAnsi="宋体" w:cs="宋体" w:eastAsia="宋体" w:hint="default"/>
                <w:spacing w:val="21"/>
                <w:sz w:val="18"/>
                <w:szCs w:val="18"/>
              </w:rPr>
              <w:t> </w:t>
            </w:r>
            <w:r>
              <w:rPr>
                <w:rFonts w:ascii="宋体" w:hAnsi="宋体" w:cs="宋体" w:eastAsia="宋体" w:hint="default"/>
                <w:sz w:val="18"/>
                <w:szCs w:val="18"/>
              </w:rPr>
              <w:t>”号填</w:t>
            </w:r>
          </w:p>
        </w:tc>
        <w:tc>
          <w:tcPr>
            <w:tcW w:w="490"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z w:val="18"/>
              </w:rPr>
              <w:t>270,018.04</w:t>
            </w:r>
          </w:p>
        </w:tc>
        <w:tc>
          <w:tcPr>
            <w:tcW w:w="490"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82"/>
              <w:jc w:val="right"/>
              <w:rPr>
                <w:rFonts w:ascii="Times New Roman" w:hAnsi="Times New Roman" w:cs="Times New Roman" w:eastAsia="Times New Roman" w:hint="default"/>
                <w:sz w:val="18"/>
                <w:szCs w:val="18"/>
              </w:rPr>
            </w:pPr>
            <w:r>
              <w:rPr>
                <w:rFonts w:ascii="Times New Roman"/>
                <w:w w:val="95"/>
                <w:sz w:val="18"/>
              </w:rPr>
              <w:t>-90,801.37</w:t>
            </w:r>
            <w:r>
              <w:rPr>
                <w:rFonts w:ascii="Times New Roman"/>
                <w:sz w:val="18"/>
              </w:rPr>
            </w:r>
          </w:p>
        </w:tc>
      </w:tr>
      <w:tr>
        <w:trPr>
          <w:trHeight w:val="303"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03" w:lineRule="exact"/>
              <w:ind w:left="3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490" w:type="dxa"/>
            <w:tcBorders>
              <w:top w:val="nil" w:sz="6" w:space="0" w:color="auto"/>
              <w:left w:val="nil" w:sz="6" w:space="0" w:color="auto"/>
              <w:bottom w:val="nil" w:sz="6" w:space="0" w:color="auto"/>
              <w:right w:val="nil" w:sz="6" w:space="0" w:color="auto"/>
            </w:tcBorders>
          </w:tcPr>
          <w:p>
            <w:pPr/>
          </w:p>
        </w:tc>
        <w:tc>
          <w:tcPr>
            <w:tcW w:w="2292" w:type="dxa"/>
            <w:tcBorders>
              <w:top w:val="nil" w:sz="6" w:space="0" w:color="auto"/>
              <w:left w:val="nil" w:sz="6" w:space="0" w:color="auto"/>
              <w:bottom w:val="nil" w:sz="6" w:space="0" w:color="auto"/>
              <w:right w:val="nil" w:sz="6" w:space="0" w:color="auto"/>
            </w:tcBorders>
          </w:tcPr>
          <w:p>
            <w:pPr/>
          </w:p>
        </w:tc>
        <w:tc>
          <w:tcPr>
            <w:tcW w:w="490" w:type="dxa"/>
            <w:tcBorders>
              <w:top w:val="nil" w:sz="6" w:space="0" w:color="auto"/>
              <w:left w:val="nil" w:sz="6" w:space="0" w:color="auto"/>
              <w:bottom w:val="nil" w:sz="6" w:space="0" w:color="auto"/>
              <w:right w:val="nil" w:sz="6" w:space="0" w:color="auto"/>
            </w:tcBorders>
          </w:tcPr>
          <w:p>
            <w:pPr/>
          </w:p>
        </w:tc>
        <w:tc>
          <w:tcPr>
            <w:tcW w:w="2232" w:type="dxa"/>
            <w:tcBorders>
              <w:top w:val="nil" w:sz="6" w:space="0" w:color="auto"/>
              <w:left w:val="nil" w:sz="6" w:space="0" w:color="auto"/>
              <w:bottom w:val="nil" w:sz="6" w:space="0" w:color="auto"/>
              <w:right w:val="nil" w:sz="6" w:space="0" w:color="auto"/>
            </w:tcBorders>
          </w:tcPr>
          <w:p>
            <w:pPr/>
          </w:p>
        </w:tc>
      </w:tr>
    </w:tbl>
    <w:p>
      <w:pPr>
        <w:spacing w:line="160" w:lineRule="exact" w:before="0"/>
        <w:ind w:left="544" w:right="0" w:firstLine="0"/>
        <w:jc w:val="left"/>
        <w:rPr>
          <w:rFonts w:ascii="宋体" w:hAnsi="宋体" w:cs="宋体" w:eastAsia="宋体" w:hint="default"/>
          <w:sz w:val="18"/>
          <w:szCs w:val="18"/>
        </w:rPr>
      </w:pPr>
      <w:r>
        <w:rPr>
          <w:rFonts w:ascii="宋体" w:hAnsi="宋体" w:cs="宋体" w:eastAsia="宋体" w:hint="default"/>
          <w:sz w:val="18"/>
          <w:szCs w:val="18"/>
        </w:rPr>
        <w:t>固定资产报废损失（收益以“－”</w:t>
      </w:r>
    </w:p>
    <w:p>
      <w:pPr>
        <w:tabs>
          <w:tab w:pos="5931" w:val="left" w:leader="none"/>
          <w:tab w:pos="8652" w:val="left" w:leader="none"/>
        </w:tabs>
        <w:spacing w:line="274" w:lineRule="exact" w:before="0"/>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号填列）</w:t>
        <w:tab/>
      </w:r>
      <w:r>
        <w:rPr>
          <w:rFonts w:ascii="Times New Roman" w:hAnsi="Times New Roman" w:cs="Times New Roman" w:eastAsia="Times New Roman" w:hint="default"/>
          <w:w w:val="95"/>
          <w:position w:val="13"/>
          <w:sz w:val="18"/>
          <w:szCs w:val="18"/>
        </w:rPr>
        <w:t>-</w:t>
        <w:tab/>
      </w:r>
      <w:r>
        <w:rPr>
          <w:rFonts w:ascii="Times New Roman" w:hAnsi="Times New Roman" w:cs="Times New Roman" w:eastAsia="Times New Roman" w:hint="default"/>
          <w:position w:val="13"/>
          <w:sz w:val="18"/>
          <w:szCs w:val="18"/>
        </w:rPr>
        <w:t>-</w:t>
      </w:r>
      <w:r>
        <w:rPr>
          <w:rFonts w:ascii="Times New Roman" w:hAnsi="Times New Roman" w:cs="Times New Roman" w:eastAsia="Times New Roman" w:hint="default"/>
          <w:sz w:val="18"/>
          <w:szCs w:val="18"/>
        </w:rPr>
      </w:r>
    </w:p>
    <w:p>
      <w:pPr>
        <w:spacing w:line="186" w:lineRule="exact" w:before="115"/>
        <w:ind w:left="544" w:right="0" w:firstLine="0"/>
        <w:jc w:val="left"/>
        <w:rPr>
          <w:rFonts w:ascii="宋体" w:hAnsi="宋体" w:cs="宋体" w:eastAsia="宋体" w:hint="default"/>
          <w:sz w:val="18"/>
          <w:szCs w:val="18"/>
        </w:rPr>
      </w:pPr>
      <w:r>
        <w:rPr>
          <w:rFonts w:ascii="宋体" w:hAnsi="宋体" w:cs="宋体" w:eastAsia="宋体" w:hint="default"/>
          <w:sz w:val="18"/>
          <w:szCs w:val="18"/>
        </w:rPr>
        <w:t>公允价值变动损失（收益以“－”</w:t>
      </w:r>
    </w:p>
    <w:p>
      <w:pPr>
        <w:tabs>
          <w:tab w:pos="5931" w:val="left" w:leader="none"/>
          <w:tab w:pos="8652" w:val="left" w:leader="none"/>
        </w:tabs>
        <w:spacing w:line="274" w:lineRule="exact" w:before="0"/>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号填列）</w:t>
        <w:tab/>
      </w:r>
      <w:r>
        <w:rPr>
          <w:rFonts w:ascii="Times New Roman" w:hAnsi="Times New Roman" w:cs="Times New Roman" w:eastAsia="Times New Roman" w:hint="default"/>
          <w:w w:val="95"/>
          <w:position w:val="13"/>
          <w:sz w:val="18"/>
          <w:szCs w:val="18"/>
        </w:rPr>
        <w:t>-</w:t>
        <w:tab/>
      </w:r>
      <w:r>
        <w:rPr>
          <w:rFonts w:ascii="Times New Roman" w:hAnsi="Times New Roman" w:cs="Times New Roman" w:eastAsia="Times New Roman" w:hint="default"/>
          <w:position w:val="13"/>
          <w:sz w:val="18"/>
          <w:szCs w:val="18"/>
        </w:rPr>
        <w:t>-</w:t>
      </w:r>
      <w:r>
        <w:rPr>
          <w:rFonts w:ascii="Times New Roman" w:hAnsi="Times New Roman" w:cs="Times New Roman" w:eastAsia="Times New Roman" w:hint="default"/>
          <w:sz w:val="18"/>
          <w:szCs w:val="18"/>
        </w:rPr>
      </w:r>
    </w:p>
    <w:p>
      <w:pPr>
        <w:spacing w:line="240" w:lineRule="auto" w:before="5"/>
        <w:rPr>
          <w:rFonts w:ascii="Times New Roman" w:hAnsi="Times New Roman" w:cs="Times New Roman" w:eastAsia="Times New Roman" w:hint="default"/>
          <w:sz w:val="5"/>
          <w:szCs w:val="5"/>
        </w:rPr>
      </w:pPr>
    </w:p>
    <w:tbl>
      <w:tblPr>
        <w:tblW w:w="0" w:type="auto"/>
        <w:jc w:val="left"/>
        <w:tblInd w:w="509" w:type="dxa"/>
        <w:tblLayout w:type="fixed"/>
        <w:tblCellMar>
          <w:top w:w="0" w:type="dxa"/>
          <w:left w:w="0" w:type="dxa"/>
          <w:bottom w:w="0" w:type="dxa"/>
          <w:right w:w="0" w:type="dxa"/>
        </w:tblCellMar>
        <w:tblLook w:val="01E0"/>
      </w:tblPr>
      <w:tblGrid>
        <w:gridCol w:w="3661"/>
        <w:gridCol w:w="2840"/>
        <w:gridCol w:w="1915"/>
      </w:tblGrid>
      <w:tr>
        <w:trPr>
          <w:trHeight w:val="369"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35"/>
              <w:jc w:val="right"/>
              <w:rPr>
                <w:rFonts w:ascii="Times New Roman" w:hAnsi="Times New Roman" w:cs="Times New Roman" w:eastAsia="Times New Roman" w:hint="default"/>
                <w:sz w:val="18"/>
                <w:szCs w:val="18"/>
              </w:rPr>
            </w:pPr>
            <w:r>
              <w:rPr>
                <w:rFonts w:ascii="Times New Roman"/>
                <w:sz w:val="18"/>
              </w:rPr>
              <w:t>2,243,003.60</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w w:val="95"/>
                <w:sz w:val="18"/>
              </w:rPr>
              <w:t>4,924,304.00</w:t>
            </w:r>
            <w:r>
              <w:rPr>
                <w:rFonts w:ascii="Times New Roman"/>
                <w:sz w:val="18"/>
              </w:rPr>
            </w:r>
          </w:p>
        </w:tc>
      </w:tr>
      <w:tr>
        <w:trPr>
          <w:trHeight w:val="369" w:hRule="exact"/>
        </w:trPr>
        <w:tc>
          <w:tcPr>
            <w:tcW w:w="3661"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35"/>
              <w:jc w:val="right"/>
              <w:rPr>
                <w:rFonts w:ascii="Times New Roman" w:hAnsi="Times New Roman" w:cs="Times New Roman" w:eastAsia="Times New Roman" w:hint="default"/>
                <w:sz w:val="18"/>
                <w:szCs w:val="18"/>
              </w:rPr>
            </w:pPr>
            <w:r>
              <w:rPr>
                <w:rFonts w:ascii="Times New Roman"/>
                <w:sz w:val="18"/>
              </w:rPr>
              <w:t>-19,915,493.00</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w w:val="95"/>
                <w:sz w:val="18"/>
              </w:rPr>
              <w:t>12,382,500.00</w:t>
            </w:r>
            <w:r>
              <w:rPr>
                <w:rFonts w:ascii="Times New Roman"/>
                <w:sz w:val="18"/>
              </w:rPr>
            </w:r>
          </w:p>
        </w:tc>
      </w:tr>
    </w:tbl>
    <w:p>
      <w:pPr>
        <w:spacing w:line="187" w:lineRule="exact" w:before="12"/>
        <w:ind w:left="544"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tabs>
          <w:tab w:pos="5384" w:val="left" w:leader="none"/>
          <w:tab w:pos="8652" w:val="left" w:leader="none"/>
        </w:tabs>
        <w:spacing w:line="275" w:lineRule="exact" w:before="0"/>
        <w:ind w:left="180" w:right="0" w:firstLine="0"/>
        <w:jc w:val="left"/>
        <w:rPr>
          <w:rFonts w:ascii="Times New Roman" w:hAnsi="Times New Roman" w:cs="Times New Roman" w:eastAsia="Times New Roman" w:hint="default"/>
          <w:sz w:val="18"/>
          <w:szCs w:val="18"/>
        </w:rPr>
      </w:pPr>
      <w:r>
        <w:rPr>
          <w:rFonts w:ascii="宋体" w:hAnsi="宋体" w:cs="宋体" w:eastAsia="宋体" w:hint="default"/>
          <w:position w:val="-12"/>
          <w:sz w:val="18"/>
          <w:szCs w:val="18"/>
        </w:rPr>
        <w:t>”号填列）</w:t>
        <w:tab/>
      </w:r>
      <w:r>
        <w:rPr>
          <w:rFonts w:ascii="Times New Roman" w:hAnsi="Times New Roman" w:cs="Times New Roman" w:eastAsia="Times New Roman" w:hint="default"/>
          <w:sz w:val="18"/>
          <w:szCs w:val="18"/>
        </w:rPr>
        <w:t>-71,150.55</w:t>
        <w:tab/>
        <w:t>-</w:t>
      </w:r>
    </w:p>
    <w:p>
      <w:pPr>
        <w:spacing w:line="187" w:lineRule="exact" w:before="143"/>
        <w:ind w:left="544" w:right="0" w:firstLine="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tabs>
          <w:tab w:pos="5930" w:val="left" w:leader="none"/>
          <w:tab w:pos="8652" w:val="left" w:leader="none"/>
        </w:tabs>
        <w:spacing w:line="274" w:lineRule="exact" w:before="0"/>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”号填列）</w:t>
        <w:tab/>
      </w:r>
      <w:r>
        <w:rPr>
          <w:rFonts w:ascii="Times New Roman" w:hAnsi="Times New Roman" w:cs="Times New Roman" w:eastAsia="Times New Roman" w:hint="default"/>
          <w:w w:val="95"/>
          <w:position w:val="13"/>
          <w:sz w:val="18"/>
          <w:szCs w:val="18"/>
        </w:rPr>
        <w:t>-</w:t>
        <w:tab/>
      </w:r>
      <w:r>
        <w:rPr>
          <w:rFonts w:ascii="Times New Roman" w:hAnsi="Times New Roman" w:cs="Times New Roman" w:eastAsia="Times New Roman" w:hint="default"/>
          <w:position w:val="13"/>
          <w:sz w:val="18"/>
          <w:szCs w:val="18"/>
        </w:rPr>
        <w:t>-</w:t>
      </w:r>
      <w:r>
        <w:rPr>
          <w:rFonts w:ascii="Times New Roman" w:hAnsi="Times New Roman" w:cs="Times New Roman" w:eastAsia="Times New Roman" w:hint="default"/>
          <w:sz w:val="18"/>
          <w:szCs w:val="18"/>
        </w:rPr>
      </w:r>
    </w:p>
    <w:p>
      <w:pPr>
        <w:spacing w:line="226" w:lineRule="exact" w:before="121"/>
        <w:ind w:left="180" w:right="5701" w:firstLine="363"/>
        <w:jc w:val="left"/>
        <w:rPr>
          <w:rFonts w:ascii="宋体" w:hAnsi="宋体" w:cs="宋体" w:eastAsia="宋体" w:hint="default"/>
          <w:sz w:val="18"/>
          <w:szCs w:val="18"/>
        </w:rPr>
      </w:pPr>
      <w:r>
        <w:rPr/>
        <w:pict>
          <v:shape style="position:absolute;margin-left:334.540924pt;margin-top:7.719855pt;width:194.75pt;height:63.5pt;mso-position-horizontal-relative:page;mso-position-vertical-relative:paragraph;z-index:11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0"/>
                    <w:gridCol w:w="1945"/>
                  </w:tblGrid>
                  <w:tr>
                    <w:trPr>
                      <w:trHeight w:val="436"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18"/>
                            <w:szCs w:val="18"/>
                          </w:rPr>
                        </w:pPr>
                        <w:r>
                          <w:rPr>
                            <w:rFonts w:ascii="Times New Roman"/>
                            <w:sz w:val="18"/>
                          </w:rPr>
                          <w:t>-17,444,171.31</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w w:val="95"/>
                            <w:sz w:val="18"/>
                          </w:rPr>
                          <w:t>9,183,448.32</w:t>
                        </w:r>
                        <w:r>
                          <w:rPr>
                            <w:rFonts w:ascii="Times New Roman"/>
                            <w:sz w:val="18"/>
                          </w:rPr>
                        </w:r>
                      </w:p>
                    </w:tc>
                  </w:tr>
                  <w:tr>
                    <w:trPr>
                      <w:trHeight w:val="495"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Times New Roman" w:hAnsi="Times New Roman" w:cs="Times New Roman" w:eastAsia="Times New Roman" w:hint="default"/>
                            <w:sz w:val="18"/>
                            <w:szCs w:val="18"/>
                          </w:rPr>
                        </w:pPr>
                        <w:r>
                          <w:rPr>
                            <w:rFonts w:ascii="Times New Roman"/>
                            <w:sz w:val="18"/>
                          </w:rPr>
                          <w:t>-30,088,454.56</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
                          <w:jc w:val="right"/>
                          <w:rPr>
                            <w:rFonts w:ascii="Times New Roman" w:hAnsi="Times New Roman" w:cs="Times New Roman" w:eastAsia="Times New Roman" w:hint="default"/>
                            <w:sz w:val="18"/>
                            <w:szCs w:val="18"/>
                          </w:rPr>
                        </w:pPr>
                        <w:r>
                          <w:rPr>
                            <w:rFonts w:ascii="Times New Roman"/>
                            <w:spacing w:val="-1"/>
                            <w:sz w:val="18"/>
                          </w:rPr>
                          <w:t>-25,713,796.03</w:t>
                        </w:r>
                      </w:p>
                    </w:tc>
                  </w:tr>
                  <w:tr>
                    <w:trPr>
                      <w:trHeight w:val="339"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94" w:right="0"/>
                          <w:jc w:val="left"/>
                          <w:rPr>
                            <w:rFonts w:ascii="Times New Roman" w:hAnsi="Times New Roman" w:cs="Times New Roman" w:eastAsia="Times New Roman" w:hint="default"/>
                            <w:sz w:val="18"/>
                            <w:szCs w:val="18"/>
                          </w:rPr>
                        </w:pPr>
                        <w:r>
                          <w:rPr>
                            <w:rFonts w:ascii="Times New Roman"/>
                            <w:sz w:val="18"/>
                          </w:rPr>
                          <w:t>30,730,493.36</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Times New Roman" w:hAnsi="Times New Roman" w:cs="Times New Roman" w:eastAsia="Times New Roman" w:hint="default"/>
                            <w:sz w:val="18"/>
                            <w:szCs w:val="18"/>
                          </w:rPr>
                        </w:pPr>
                        <w:r>
                          <w:rPr>
                            <w:rFonts w:ascii="Times New Roman"/>
                            <w:w w:val="95"/>
                            <w:sz w:val="18"/>
                          </w:rPr>
                          <w:t>-1,359,901.87</w:t>
                        </w:r>
                        <w:r>
                          <w:rPr>
                            <w:rFonts w:ascii="Times New Roman"/>
                            <w:sz w:val="18"/>
                          </w:rPr>
                        </w:r>
                      </w:p>
                    </w:tc>
                  </w:tr>
                </w:tbl>
                <w:p>
                  <w:pPr/>
                </w:p>
              </w:txbxContent>
            </v:textbox>
            <w10:wrap type="none"/>
          </v:shape>
        </w:pict>
      </w:r>
      <w:r>
        <w:rPr>
          <w:rFonts w:ascii="宋体" w:hAnsi="宋体" w:cs="宋体" w:eastAsia="宋体" w:hint="default"/>
          <w:sz w:val="18"/>
          <w:szCs w:val="18"/>
        </w:rPr>
        <w:t>存货的减少（增加以“－”号填</w:t>
      </w:r>
      <w:r>
        <w:rPr>
          <w:rFonts w:ascii="宋体" w:hAnsi="宋体" w:cs="宋体" w:eastAsia="宋体" w:hint="default"/>
          <w:spacing w:val="2"/>
          <w:w w:val="99"/>
          <w:sz w:val="18"/>
          <w:szCs w:val="18"/>
        </w:rPr>
        <w:t> </w:t>
      </w:r>
      <w:r>
        <w:rPr>
          <w:rFonts w:ascii="宋体" w:hAnsi="宋体" w:cs="宋体" w:eastAsia="宋体" w:hint="default"/>
          <w:sz w:val="18"/>
          <w:szCs w:val="18"/>
        </w:rPr>
        <w:t>列）</w:t>
      </w:r>
    </w:p>
    <w:p>
      <w:pPr>
        <w:spacing w:line="230" w:lineRule="exact" w:before="11"/>
        <w:ind w:left="544" w:right="0" w:firstLine="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spacing w:line="230" w:lineRule="exact" w:before="0"/>
        <w:ind w:left="180" w:right="0" w:firstLine="0"/>
        <w:jc w:val="left"/>
        <w:rPr>
          <w:rFonts w:ascii="宋体" w:hAnsi="宋体" w:cs="宋体" w:eastAsia="宋体" w:hint="default"/>
          <w:sz w:val="18"/>
          <w:szCs w:val="18"/>
        </w:rPr>
      </w:pPr>
      <w:r>
        <w:rPr>
          <w:rFonts w:ascii="宋体" w:hAnsi="宋体" w:cs="宋体" w:eastAsia="宋体" w:hint="default"/>
          <w:sz w:val="18"/>
          <w:szCs w:val="18"/>
        </w:rPr>
        <w:t>－”号填列）</w:t>
      </w:r>
    </w:p>
    <w:p>
      <w:pPr>
        <w:spacing w:line="231" w:lineRule="exact" w:before="38"/>
        <w:ind w:left="544" w:right="0" w:firstLine="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spacing w:line="231" w:lineRule="exact" w:before="0"/>
        <w:ind w:left="180" w:right="0" w:firstLine="0"/>
        <w:jc w:val="left"/>
        <w:rPr>
          <w:rFonts w:ascii="宋体" w:hAnsi="宋体" w:cs="宋体" w:eastAsia="宋体" w:hint="default"/>
          <w:sz w:val="18"/>
          <w:szCs w:val="18"/>
        </w:rPr>
      </w:pPr>
      <w:r>
        <w:rPr>
          <w:rFonts w:ascii="宋体" w:hAnsi="宋体" w:cs="宋体" w:eastAsia="宋体" w:hint="default"/>
          <w:sz w:val="18"/>
          <w:szCs w:val="18"/>
        </w:rPr>
        <w:t>－”号填列）</w:t>
      </w:r>
    </w:p>
    <w:p>
      <w:pPr>
        <w:tabs>
          <w:tab w:pos="5930" w:val="left" w:leader="none"/>
          <w:tab w:pos="8652" w:val="left" w:leader="none"/>
        </w:tabs>
        <w:spacing w:before="75"/>
        <w:ind w:left="54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tab/>
      </w:r>
      <w:r>
        <w:rPr>
          <w:rFonts w:ascii="Times New Roman" w:hAnsi="Times New Roman" w:cs="Times New Roman" w:eastAsia="Times New Roman" w:hint="default"/>
          <w:w w:val="95"/>
          <w:position w:val="2"/>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spacing w:line="240" w:lineRule="auto" w:before="1"/>
        <w:rPr>
          <w:rFonts w:ascii="Times New Roman" w:hAnsi="Times New Roman" w:cs="Times New Roman" w:eastAsia="Times New Roman" w:hint="default"/>
          <w:sz w:val="6"/>
          <w:szCs w:val="6"/>
        </w:rPr>
      </w:pPr>
    </w:p>
    <w:p>
      <w:pPr>
        <w:tabs>
          <w:tab w:pos="6735" w:val="left" w:leader="none"/>
        </w:tabs>
        <w:spacing w:line="21" w:lineRule="exact"/>
        <w:ind w:left="3953" w:right="0" w:firstLine="0"/>
        <w:rPr>
          <w:rFonts w:ascii="Times New Roman" w:hAnsi="Times New Roman" w:cs="Times New Roman" w:eastAsia="Times New Roman" w:hint="default"/>
          <w:sz w:val="2"/>
          <w:szCs w:val="2"/>
        </w:rPr>
      </w:pPr>
      <w:r>
        <w:rPr>
          <w:rFonts w:ascii="Times New Roman"/>
          <w:sz w:val="2"/>
        </w:rPr>
        <w:pict>
          <v:group style="width:115.5pt;height:1.05pt;mso-position-horizontal-relative:char;mso-position-vertical-relative:line" coordorigin="0,0" coordsize="2310,21">
            <v:group style="position:absolute;left:8;top:1;width:2291;height:2" coordorigin="8,1" coordsize="2291,2">
              <v:shape style="position:absolute;left:8;top:1;width:2291;height:2" coordorigin="8,1" coordsize="2291,0" path="m8,1l2299,1e" filled="false" stroked="true" strokeweight=".06pt" strokecolor="#000000">
                <v:path arrowok="t"/>
              </v:shape>
            </v:group>
            <v:group style="position:absolute;left:10;top:11;width:2291;height:2" coordorigin="10,11" coordsize="2291,2">
              <v:shape style="position:absolute;left:10;top:11;width:2291;height:2" coordorigin="10,11" coordsize="2291,0" path="m10,11l2300,11e" filled="false" stroked="true" strokeweight=".95999pt" strokecolor="#000000">
                <v:path arrowok="t"/>
              </v:shape>
            </v:group>
          </v:group>
        </w:pict>
      </w:r>
      <w:r>
        <w:rPr>
          <w:rFonts w:ascii="Times New Roman"/>
          <w:sz w:val="2"/>
        </w:rPr>
      </w:r>
      <w:r>
        <w:rPr>
          <w:rFonts w:ascii="Times New Roman"/>
          <w:sz w:val="2"/>
        </w:rPr>
        <w:tab/>
      </w:r>
      <w:r>
        <w:rPr>
          <w:rFonts w:ascii="Times New Roman"/>
          <w:sz w:val="2"/>
        </w:rPr>
        <w:pict>
          <v:group style="width:112.5pt;height:1.05pt;mso-position-horizontal-relative:char;mso-position-vertical-relative:line" coordorigin="0,0" coordsize="2250,21">
            <v:group style="position:absolute;left:8;top:1;width:2231;height:2" coordorigin="8,1" coordsize="2231,2">
              <v:shape style="position:absolute;left:8;top:1;width:2231;height:2" coordorigin="8,1" coordsize="2231,0" path="m8,1l2239,1e" filled="false" stroked="true" strokeweight=".06pt" strokecolor="#000000">
                <v:path arrowok="t"/>
              </v:shape>
            </v:group>
            <v:group style="position:absolute;left:10;top:11;width:2231;height:2" coordorigin="10,11" coordsize="2231,2">
              <v:shape style="position:absolute;left:10;top:11;width:2231;height:2" coordorigin="10,11" coordsize="2231,0" path="m10,11l2240,11e" filled="false" stroked="true" strokeweight=".95999pt" strokecolor="#000000">
                <v:path arrowok="t"/>
              </v:shape>
            </v:group>
          </v:group>
        </w:pict>
      </w:r>
      <w:r>
        <w:rPr>
          <w:rFonts w:ascii="Times New Roman"/>
          <w:sz w:val="2"/>
        </w:rPr>
      </w:r>
    </w:p>
    <w:p>
      <w:pPr>
        <w:tabs>
          <w:tab w:pos="5125" w:val="left" w:leader="none"/>
          <w:tab w:pos="7847" w:val="left" w:leader="none"/>
        </w:tabs>
        <w:spacing w:before="0"/>
        <w:ind w:left="180" w:right="0" w:firstLine="0"/>
        <w:jc w:val="left"/>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pacing w:val="3"/>
          <w:sz w:val="18"/>
          <w:szCs w:val="18"/>
        </w:rPr>
        <w:t>经营活动产生的现金流量净额</w:t>
        <w:tab/>
      </w:r>
      <w:r>
        <w:rPr>
          <w:rFonts w:ascii="Times New Roman" w:hAnsi="Times New Roman" w:cs="Times New Roman" w:eastAsia="Times New Roman" w:hint="default"/>
          <w:position w:val="2"/>
          <w:sz w:val="18"/>
          <w:szCs w:val="18"/>
        </w:rPr>
        <w:t>34,857,873.03</w:t>
        <w:tab/>
        <w:t>60,659,273.15</w:t>
      </w:r>
      <w:r>
        <w:rPr>
          <w:rFonts w:ascii="Times New Roman" w:hAnsi="Times New Roman" w:cs="Times New Roman" w:eastAsia="Times New Roman" w:hint="default"/>
          <w:sz w:val="18"/>
          <w:szCs w:val="18"/>
        </w:rPr>
      </w:r>
    </w:p>
    <w:p>
      <w:pPr>
        <w:spacing w:line="240" w:lineRule="auto" w:before="8"/>
        <w:rPr>
          <w:rFonts w:ascii="Times New Roman" w:hAnsi="Times New Roman" w:cs="Times New Roman" w:eastAsia="Times New Roman" w:hint="default"/>
          <w:sz w:val="2"/>
          <w:szCs w:val="2"/>
        </w:rPr>
      </w:pPr>
    </w:p>
    <w:p>
      <w:pPr>
        <w:tabs>
          <w:tab w:pos="6735" w:val="left" w:leader="none"/>
        </w:tabs>
        <w:spacing w:line="57" w:lineRule="exact"/>
        <w:ind w:left="3953" w:right="0" w:firstLine="0"/>
        <w:rPr>
          <w:rFonts w:ascii="Times New Roman" w:hAnsi="Times New Roman" w:cs="Times New Roman" w:eastAsia="Times New Roman" w:hint="default"/>
          <w:sz w:val="5"/>
          <w:szCs w:val="5"/>
        </w:rPr>
      </w:pPr>
      <w:r>
        <w:rPr>
          <w:rFonts w:ascii="Times New Roman"/>
          <w:position w:val="0"/>
          <w:sz w:val="5"/>
        </w:rPr>
        <w:pict>
          <v:group style="width:115.5pt;height:2.9pt;mso-position-horizontal-relative:char;mso-position-vertical-relative:line" coordorigin="0,0" coordsize="2310,58">
            <v:group style="position:absolute;left:10;top:10;width:2291;height:2" coordorigin="10,10" coordsize="2291,2">
              <v:shape style="position:absolute;left:10;top:10;width:2291;height:2" coordorigin="10,10" coordsize="2291,0" path="m10,10l2300,10e" filled="false" stroked="true" strokeweight=".96002pt" strokecolor="#000000">
                <v:path arrowok="t"/>
              </v:shape>
            </v:group>
            <v:group style="position:absolute;left:10;top:48;width:2291;height:2" coordorigin="10,48" coordsize="2291,2">
              <v:shape style="position:absolute;left:10;top:48;width:2291;height:2" coordorigin="10,48" coordsize="2291,0" path="m10,48l2300,48e" filled="false" stroked="true" strokeweight=".95999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112.5pt;height:2.9pt;mso-position-horizontal-relative:char;mso-position-vertical-relative:line" coordorigin="0,0" coordsize="2250,58">
            <v:group style="position:absolute;left:10;top:10;width:2231;height:2" coordorigin="10,10" coordsize="2231,2">
              <v:shape style="position:absolute;left:10;top:10;width:2231;height:2" coordorigin="10,10" coordsize="2231,0" path="m10,10l2240,10e" filled="false" stroked="true" strokeweight=".96002pt" strokecolor="#000000">
                <v:path arrowok="t"/>
              </v:shape>
            </v:group>
            <v:group style="position:absolute;left:10;top:48;width:2231;height:2" coordorigin="10,48" coordsize="2231,2">
              <v:shape style="position:absolute;left:10;top:48;width:2231;height:2" coordorigin="10,48" coordsize="2231,0" path="m10,48l2240,48e" filled="false" stroked="true" strokeweight=".95999pt" strokecolor="#000000">
                <v:path arrowok="t"/>
              </v:shape>
            </v:group>
          </v:group>
        </w:pict>
      </w:r>
      <w:r>
        <w:rPr>
          <w:rFonts w:ascii="Times New Roman"/>
          <w:position w:val="0"/>
          <w:sz w:val="5"/>
        </w:rPr>
      </w:r>
    </w:p>
    <w:p>
      <w:pPr>
        <w:spacing w:line="172" w:lineRule="auto" w:before="0"/>
        <w:ind w:left="180" w:right="5683"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2、不涉及现金收支的重大投资和筹资活</w:t>
      </w:r>
      <w:r>
        <w:rPr>
          <w:rFonts w:ascii="Microsoft JhengHei" w:hAnsi="Microsoft JhengHei" w:cs="Microsoft JhengHei" w:eastAsia="Microsoft JhengHei" w:hint="default"/>
          <w:b/>
          <w:bCs/>
          <w:w w:val="99"/>
          <w:sz w:val="18"/>
          <w:szCs w:val="18"/>
        </w:rPr>
        <w:t> </w:t>
      </w:r>
      <w:r>
        <w:rPr>
          <w:rFonts w:ascii="Microsoft JhengHei" w:hAnsi="Microsoft JhengHei" w:cs="Microsoft JhengHei" w:eastAsia="Microsoft JhengHei" w:hint="default"/>
          <w:b/>
          <w:bCs/>
          <w:spacing w:val="5"/>
          <w:sz w:val="18"/>
          <w:szCs w:val="18"/>
        </w:rPr>
        <w:t>动：</w:t>
      </w:r>
      <w:r>
        <w:rPr>
          <w:rFonts w:ascii="Microsoft JhengHei" w:hAnsi="Microsoft JhengHei" w:cs="Microsoft JhengHei" w:eastAsia="Microsoft JhengHei" w:hint="default"/>
          <w:sz w:val="18"/>
          <w:szCs w:val="18"/>
        </w:rPr>
      </w:r>
    </w:p>
    <w:p>
      <w:pPr>
        <w:tabs>
          <w:tab w:pos="5930" w:val="left" w:leader="none"/>
          <w:tab w:pos="8652" w:val="left" w:leader="none"/>
        </w:tabs>
        <w:spacing w:before="73"/>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债务转为资本</w:t>
        <w:tab/>
      </w:r>
      <w:r>
        <w:rPr>
          <w:rFonts w:ascii="Times New Roman" w:hAnsi="Times New Roman" w:cs="Times New Roman" w:eastAsia="Times New Roman" w:hint="default"/>
          <w:w w:val="95"/>
          <w:position w:val="2"/>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5930" w:val="left" w:leader="none"/>
          <w:tab w:pos="8652" w:val="left" w:leader="none"/>
        </w:tabs>
        <w:spacing w:before="116"/>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一年内到期的可转换公司债券</w:t>
        <w:tab/>
      </w:r>
      <w:r>
        <w:rPr>
          <w:rFonts w:ascii="Times New Roman" w:hAnsi="Times New Roman" w:cs="Times New Roman" w:eastAsia="Times New Roman" w:hint="default"/>
          <w:w w:val="95"/>
          <w:position w:val="2"/>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5930" w:val="left" w:leader="none"/>
          <w:tab w:pos="8652" w:val="left" w:leader="none"/>
        </w:tabs>
        <w:spacing w:before="117"/>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融资租入固定资产</w:t>
        <w:tab/>
      </w:r>
      <w:r>
        <w:rPr>
          <w:rFonts w:ascii="Times New Roman" w:hAnsi="Times New Roman" w:cs="Times New Roman" w:eastAsia="Times New Roman" w:hint="default"/>
          <w:w w:val="95"/>
          <w:position w:val="2"/>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spacing w:before="58"/>
        <w:ind w:left="180" w:right="0" w:firstLine="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3、现金及现金等价物净变动情况：</w:t>
      </w:r>
      <w:r>
        <w:rPr>
          <w:rFonts w:ascii="Microsoft JhengHei" w:hAnsi="Microsoft JhengHei" w:cs="Microsoft JhengHei" w:eastAsia="Microsoft JhengHei" w:hint="default"/>
          <w:spacing w:val="3"/>
          <w:sz w:val="18"/>
          <w:szCs w:val="18"/>
        </w:rPr>
      </w:r>
    </w:p>
    <w:p>
      <w:pPr>
        <w:tabs>
          <w:tab w:pos="5034" w:val="left" w:leader="none"/>
          <w:tab w:pos="7847" w:val="left" w:leader="none"/>
        </w:tabs>
        <w:spacing w:before="96"/>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现金的期末余额</w:t>
        <w:tab/>
      </w:r>
      <w:r>
        <w:rPr>
          <w:rFonts w:ascii="Times New Roman" w:hAnsi="Times New Roman" w:cs="Times New Roman" w:eastAsia="Times New Roman" w:hint="default"/>
          <w:position w:val="2"/>
          <w:sz w:val="18"/>
          <w:szCs w:val="18"/>
        </w:rPr>
        <w:t>110,196,390.93</w:t>
        <w:tab/>
        <w:t>56,460,687.54</w:t>
      </w:r>
      <w:r>
        <w:rPr>
          <w:rFonts w:ascii="Times New Roman" w:hAnsi="Times New Roman" w:cs="Times New Roman" w:eastAsia="Times New Roman" w:hint="default"/>
          <w:sz w:val="18"/>
          <w:szCs w:val="18"/>
        </w:rPr>
      </w:r>
    </w:p>
    <w:p>
      <w:pPr>
        <w:tabs>
          <w:tab w:pos="5125" w:val="left" w:leader="none"/>
          <w:tab w:pos="7847" w:val="left" w:leader="none"/>
        </w:tabs>
        <w:spacing w:before="116"/>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减：现金的期初余额</w:t>
        <w:tab/>
      </w:r>
      <w:r>
        <w:rPr>
          <w:rFonts w:ascii="Times New Roman" w:hAnsi="Times New Roman" w:cs="Times New Roman" w:eastAsia="Times New Roman" w:hint="default"/>
          <w:position w:val="2"/>
          <w:sz w:val="18"/>
          <w:szCs w:val="18"/>
        </w:rPr>
        <w:t>56,460,687.54</w:t>
        <w:tab/>
        <w:t>28,554,844.77</w:t>
      </w:r>
      <w:r>
        <w:rPr>
          <w:rFonts w:ascii="Times New Roman" w:hAnsi="Times New Roman" w:cs="Times New Roman" w:eastAsia="Times New Roman" w:hint="default"/>
          <w:sz w:val="18"/>
          <w:szCs w:val="18"/>
        </w:rPr>
      </w:r>
    </w:p>
    <w:p>
      <w:pPr>
        <w:tabs>
          <w:tab w:pos="5931" w:val="left" w:leader="none"/>
          <w:tab w:pos="8652" w:val="left" w:leader="none"/>
        </w:tabs>
        <w:spacing w:before="117"/>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加：现金等价物的期末余额</w:t>
        <w:tab/>
      </w:r>
      <w:r>
        <w:rPr>
          <w:rFonts w:ascii="Times New Roman" w:hAnsi="Times New Roman" w:cs="Times New Roman" w:eastAsia="Times New Roman" w:hint="default"/>
          <w:w w:val="95"/>
          <w:position w:val="2"/>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tabs>
          <w:tab w:pos="5931" w:val="left" w:leader="none"/>
          <w:tab w:pos="8652" w:val="left" w:leader="none"/>
        </w:tabs>
        <w:spacing w:before="116"/>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减：现金等价物的期初余额</w:t>
        <w:tab/>
      </w:r>
      <w:r>
        <w:rPr>
          <w:rFonts w:ascii="Times New Roman" w:hAnsi="Times New Roman" w:cs="Times New Roman" w:eastAsia="Times New Roman" w:hint="default"/>
          <w:w w:val="95"/>
          <w:position w:val="2"/>
          <w:sz w:val="18"/>
          <w:szCs w:val="18"/>
        </w:rPr>
        <w:t>-</w:t>
        <w:tab/>
      </w:r>
      <w:r>
        <w:rPr>
          <w:rFonts w:ascii="Times New Roman" w:hAnsi="Times New Roman" w:cs="Times New Roman" w:eastAsia="Times New Roman" w:hint="default"/>
          <w:position w:val="2"/>
          <w:sz w:val="18"/>
          <w:szCs w:val="18"/>
        </w:rPr>
        <w:t>-</w:t>
      </w:r>
      <w:r>
        <w:rPr>
          <w:rFonts w:ascii="Times New Roman" w:hAnsi="Times New Roman" w:cs="Times New Roman" w:eastAsia="Times New Roman" w:hint="default"/>
          <w:sz w:val="18"/>
          <w:szCs w:val="18"/>
        </w:rPr>
      </w:r>
    </w:p>
    <w:p>
      <w:pPr>
        <w:spacing w:line="240" w:lineRule="auto" w:before="7"/>
        <w:rPr>
          <w:rFonts w:ascii="Times New Roman" w:hAnsi="Times New Roman" w:cs="Times New Roman" w:eastAsia="Times New Roman" w:hint="default"/>
          <w:sz w:val="5"/>
          <w:szCs w:val="5"/>
        </w:rPr>
      </w:pPr>
    </w:p>
    <w:p>
      <w:pPr>
        <w:tabs>
          <w:tab w:pos="6735" w:val="left" w:leader="none"/>
        </w:tabs>
        <w:spacing w:line="20" w:lineRule="exact"/>
        <w:ind w:left="3953" w:right="0" w:firstLine="0"/>
        <w:rPr>
          <w:rFonts w:ascii="Times New Roman" w:hAnsi="Times New Roman" w:cs="Times New Roman" w:eastAsia="Times New Roman" w:hint="default"/>
          <w:sz w:val="2"/>
          <w:szCs w:val="2"/>
        </w:rPr>
      </w:pPr>
      <w:r>
        <w:rPr>
          <w:rFonts w:ascii="Times New Roman"/>
          <w:sz w:val="2"/>
        </w:rPr>
        <w:pict>
          <v:group style="width:115.5pt;height:1pt;mso-position-horizontal-relative:char;mso-position-vertical-relative:line" coordorigin="0,0" coordsize="2310,20">
            <v:group style="position:absolute;left:8;top:1;width:2291;height:2" coordorigin="8,1" coordsize="2291,2">
              <v:shape style="position:absolute;left:8;top:1;width:2291;height:2" coordorigin="8,1" coordsize="2291,0" path="m8,1l2299,1e" filled="false" stroked="true" strokeweight=".06pt" strokecolor="#000000">
                <v:path arrowok="t"/>
              </v:shape>
            </v:group>
            <v:group style="position:absolute;left:10;top:10;width:2291;height:2" coordorigin="10,10" coordsize="2291,2">
              <v:shape style="position:absolute;left:10;top:10;width:2291;height:2" coordorigin="10,10" coordsize="2291,0" path="m10,10l2300,10e" filled="false" stroked="true" strokeweight=".96001pt" strokecolor="#000000">
                <v:path arrowok="t"/>
              </v:shape>
            </v:group>
          </v:group>
        </w:pict>
      </w:r>
      <w:r>
        <w:rPr>
          <w:rFonts w:ascii="Times New Roman"/>
          <w:sz w:val="2"/>
        </w:rPr>
      </w:r>
      <w:r>
        <w:rPr>
          <w:rFonts w:ascii="Times New Roman"/>
          <w:sz w:val="2"/>
        </w:rPr>
        <w:tab/>
      </w:r>
      <w:r>
        <w:rPr>
          <w:rFonts w:ascii="Times New Roman"/>
          <w:sz w:val="2"/>
        </w:rPr>
        <w:pict>
          <v:group style="width:112.5pt;height:1pt;mso-position-horizontal-relative:char;mso-position-vertical-relative:line" coordorigin="0,0" coordsize="2250,20">
            <v:group style="position:absolute;left:8;top:1;width:2231;height:2" coordorigin="8,1" coordsize="2231,2">
              <v:shape style="position:absolute;left:8;top:1;width:2231;height:2" coordorigin="8,1" coordsize="2231,0" path="m8,1l2239,1e" filled="false" stroked="true" strokeweight=".06pt" strokecolor="#000000">
                <v:path arrowok="t"/>
              </v:shape>
            </v:group>
            <v:group style="position:absolute;left:10;top:10;width:2231;height:2" coordorigin="10,10" coordsize="2231,2">
              <v:shape style="position:absolute;left:10;top:10;width:2231;height:2" coordorigin="10,10" coordsize="2231,0" path="m10,10l2240,10e" filled="false" stroked="true" strokeweight=".96001pt" strokecolor="#000000">
                <v:path arrowok="t"/>
              </v:shape>
            </v:group>
          </v:group>
        </w:pict>
      </w:r>
      <w:r>
        <w:rPr>
          <w:rFonts w:ascii="Times New Roman"/>
          <w:sz w:val="2"/>
        </w:rPr>
      </w:r>
    </w:p>
    <w:p>
      <w:pPr>
        <w:tabs>
          <w:tab w:pos="5125" w:val="left" w:leader="none"/>
          <w:tab w:pos="7847" w:val="left" w:leader="none"/>
        </w:tabs>
        <w:spacing w:before="33"/>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现金及现金等价物净增加额</w:t>
        <w:tab/>
      </w:r>
      <w:r>
        <w:rPr>
          <w:rFonts w:ascii="Times New Roman" w:hAnsi="Times New Roman" w:cs="Times New Roman" w:eastAsia="Times New Roman" w:hint="default"/>
          <w:position w:val="2"/>
          <w:sz w:val="18"/>
          <w:szCs w:val="18"/>
        </w:rPr>
        <w:t>53,735,703.39</w:t>
        <w:tab/>
        <w:t>27,905,842.77</w:t>
      </w:r>
      <w:r>
        <w:rPr>
          <w:rFonts w:ascii="Times New Roman" w:hAnsi="Times New Roman" w:cs="Times New Roman" w:eastAsia="Times New Roman" w:hint="default"/>
          <w:sz w:val="18"/>
          <w:szCs w:val="18"/>
        </w:rPr>
      </w:r>
    </w:p>
    <w:p>
      <w:pPr>
        <w:spacing w:line="240" w:lineRule="auto" w:before="11"/>
        <w:rPr>
          <w:rFonts w:ascii="Times New Roman" w:hAnsi="Times New Roman" w:cs="Times New Roman" w:eastAsia="Times New Roman" w:hint="default"/>
          <w:sz w:val="3"/>
          <w:szCs w:val="3"/>
        </w:rPr>
      </w:pPr>
    </w:p>
    <w:p>
      <w:pPr>
        <w:tabs>
          <w:tab w:pos="6735" w:val="left" w:leader="none"/>
        </w:tabs>
        <w:spacing w:line="56" w:lineRule="exact"/>
        <w:ind w:left="3953" w:right="0" w:firstLine="0"/>
        <w:rPr>
          <w:rFonts w:ascii="Times New Roman" w:hAnsi="Times New Roman" w:cs="Times New Roman" w:eastAsia="Times New Roman" w:hint="default"/>
          <w:sz w:val="5"/>
          <w:szCs w:val="5"/>
        </w:rPr>
      </w:pPr>
      <w:r>
        <w:rPr>
          <w:rFonts w:ascii="Times New Roman"/>
          <w:position w:val="0"/>
          <w:sz w:val="5"/>
        </w:rPr>
        <w:pict>
          <v:group style="width:115.5pt;height:2.85pt;mso-position-horizontal-relative:char;mso-position-vertical-relative:line" coordorigin="0,0" coordsize="2310,57">
            <v:group style="position:absolute;left:10;top:10;width:2291;height:2" coordorigin="10,10" coordsize="2291,2">
              <v:shape style="position:absolute;left:10;top:10;width:2291;height:2" coordorigin="10,10" coordsize="2291,0" path="m10,10l2300,10e" filled="false" stroked="true" strokeweight=".96001pt" strokecolor="#000000">
                <v:path arrowok="t"/>
              </v:shape>
            </v:group>
            <v:group style="position:absolute;left:10;top:47;width:2291;height:2" coordorigin="10,47" coordsize="2291,2">
              <v:shape style="position:absolute;left:10;top:47;width:2291;height:2" coordorigin="10,47" coordsize="2291,0" path="m10,47l2300,47e" filled="false" stroked="true" strokeweight=".89998pt" strokecolor="#000000">
                <v:path arrowok="t"/>
              </v:shape>
            </v:group>
          </v:group>
        </w:pict>
      </w:r>
      <w:r>
        <w:rPr>
          <w:rFonts w:ascii="Times New Roman"/>
          <w:position w:val="0"/>
          <w:sz w:val="5"/>
        </w:rPr>
      </w:r>
      <w:r>
        <w:rPr>
          <w:rFonts w:ascii="Times New Roman"/>
          <w:position w:val="0"/>
          <w:sz w:val="5"/>
        </w:rPr>
        <w:tab/>
      </w:r>
      <w:r>
        <w:rPr>
          <w:rFonts w:ascii="Times New Roman"/>
          <w:position w:val="0"/>
          <w:sz w:val="5"/>
        </w:rPr>
        <w:pict>
          <v:group style="width:112.5pt;height:2.85pt;mso-position-horizontal-relative:char;mso-position-vertical-relative:line" coordorigin="0,0" coordsize="2250,57">
            <v:group style="position:absolute;left:10;top:10;width:2231;height:2" coordorigin="10,10" coordsize="2231,2">
              <v:shape style="position:absolute;left:10;top:10;width:2231;height:2" coordorigin="10,10" coordsize="2231,0" path="m10,10l2240,10e" filled="false" stroked="true" strokeweight=".96001pt" strokecolor="#000000">
                <v:path arrowok="t"/>
              </v:shape>
            </v:group>
            <v:group style="position:absolute;left:10;top:47;width:2231;height:2" coordorigin="10,47" coordsize="2231,2">
              <v:shape style="position:absolute;left:10;top:47;width:2231;height:2" coordorigin="10,47" coordsize="2231,0" path="m10,47l2240,47e" filled="false" stroked="true" strokeweight=".89998pt" strokecolor="#000000">
                <v:path arrowok="t"/>
              </v:shape>
            </v:group>
          </v:group>
        </w:pict>
      </w:r>
      <w:r>
        <w:rPr>
          <w:rFonts w:ascii="Times New Roman"/>
          <w:position w:val="0"/>
          <w:sz w:val="5"/>
        </w:rPr>
      </w: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p>
      <w:pPr>
        <w:pStyle w:val="BodyText"/>
        <w:spacing w:line="240" w:lineRule="auto" w:before="27"/>
        <w:ind w:left="617" w:right="0"/>
        <w:jc w:val="left"/>
      </w:pPr>
      <w:r>
        <w:rPr/>
        <w:t>（2）现金及现金等价物的信息</w:t>
      </w:r>
    </w:p>
    <w:p>
      <w:pPr>
        <w:spacing w:after="0" w:line="240" w:lineRule="auto"/>
        <w:jc w:val="left"/>
        <w:sectPr>
          <w:pgSz w:w="11910" w:h="16840"/>
          <w:pgMar w:header="840" w:footer="1712" w:top="1160" w:bottom="1900" w:left="1660" w:right="1140"/>
        </w:sectPr>
      </w:pPr>
    </w:p>
    <w:p>
      <w:pPr>
        <w:spacing w:line="240" w:lineRule="auto" w:before="10"/>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4297"/>
        <w:gridCol w:w="430"/>
        <w:gridCol w:w="1844"/>
        <w:gridCol w:w="431"/>
        <w:gridCol w:w="1843"/>
      </w:tblGrid>
      <w:tr>
        <w:trPr>
          <w:trHeight w:val="429" w:hRule="exact"/>
        </w:trPr>
        <w:tc>
          <w:tcPr>
            <w:tcW w:w="4297" w:type="dxa"/>
            <w:tcBorders>
              <w:top w:val="nil" w:sz="6" w:space="0" w:color="auto"/>
              <w:left w:val="nil" w:sz="6" w:space="0" w:color="auto"/>
              <w:bottom w:val="single" w:sz="8" w:space="0" w:color="000000"/>
              <w:right w:val="nil" w:sz="6" w:space="0" w:color="auto"/>
            </w:tcBorders>
          </w:tcPr>
          <w:p>
            <w:pPr>
              <w:pStyle w:val="TableParagraph"/>
              <w:tabs>
                <w:tab w:pos="468" w:val="left" w:leader="none"/>
              </w:tabs>
              <w:spacing w:line="240" w:lineRule="auto" w:before="44"/>
              <w:ind w:left="14"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430"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6"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431"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2"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82" w:hRule="exact"/>
        </w:trPr>
        <w:tc>
          <w:tcPr>
            <w:tcW w:w="4297" w:type="dxa"/>
            <w:tcBorders>
              <w:top w:val="single" w:sz="8" w:space="0" w:color="000000"/>
              <w:left w:val="nil" w:sz="6" w:space="0" w:color="auto"/>
              <w:bottom w:val="nil" w:sz="6" w:space="0" w:color="auto"/>
              <w:right w:val="nil" w:sz="6" w:space="0" w:color="auto"/>
            </w:tcBorders>
          </w:tcPr>
          <w:p>
            <w:pPr>
              <w:pStyle w:val="TableParagraph"/>
              <w:spacing w:line="310"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一、现金</w:t>
            </w:r>
            <w:r>
              <w:rPr>
                <w:rFonts w:ascii="Microsoft JhengHei" w:hAnsi="Microsoft JhengHei" w:cs="Microsoft JhengHei" w:eastAsia="Microsoft JhengHei" w:hint="default"/>
                <w:sz w:val="20"/>
                <w:szCs w:val="20"/>
              </w:rPr>
            </w:r>
          </w:p>
        </w:tc>
        <w:tc>
          <w:tcPr>
            <w:tcW w:w="430" w:type="dxa"/>
            <w:tcBorders>
              <w:top w:val="nil" w:sz="6" w:space="0" w:color="auto"/>
              <w:left w:val="nil" w:sz="6" w:space="0" w:color="auto"/>
              <w:bottom w:val="nil" w:sz="6" w:space="0" w:color="auto"/>
              <w:right w:val="nil" w:sz="6" w:space="0" w:color="auto"/>
            </w:tcBorders>
          </w:tcPr>
          <w:p>
            <w:pPr/>
          </w:p>
        </w:tc>
        <w:tc>
          <w:tcPr>
            <w:tcW w:w="1844"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right="80"/>
              <w:jc w:val="right"/>
              <w:rPr>
                <w:rFonts w:ascii="Times New Roman" w:hAnsi="Times New Roman" w:cs="Times New Roman" w:eastAsia="Times New Roman" w:hint="default"/>
                <w:sz w:val="18"/>
                <w:szCs w:val="18"/>
              </w:rPr>
            </w:pPr>
            <w:r>
              <w:rPr>
                <w:rFonts w:ascii="Times New Roman"/>
                <w:sz w:val="18"/>
              </w:rPr>
              <w:t>110,196,390.93</w:t>
            </w:r>
          </w:p>
        </w:tc>
        <w:tc>
          <w:tcPr>
            <w:tcW w:w="431" w:type="dxa"/>
            <w:tcBorders>
              <w:top w:val="nil" w:sz="6" w:space="0" w:color="auto"/>
              <w:left w:val="nil" w:sz="6" w:space="0" w:color="auto"/>
              <w:bottom w:val="nil" w:sz="6" w:space="0" w:color="auto"/>
              <w:right w:val="nil" w:sz="6" w:space="0" w:color="auto"/>
            </w:tcBorders>
          </w:tcPr>
          <w:p>
            <w:pPr/>
          </w:p>
        </w:tc>
        <w:tc>
          <w:tcPr>
            <w:tcW w:w="1843" w:type="dxa"/>
            <w:tcBorders>
              <w:top w:val="single" w:sz="8" w:space="0" w:color="000000"/>
              <w:left w:val="nil" w:sz="6" w:space="0" w:color="auto"/>
              <w:bottom w:val="nil" w:sz="6" w:space="0" w:color="auto"/>
              <w:right w:val="nil" w:sz="6" w:space="0" w:color="auto"/>
            </w:tcBorders>
          </w:tcPr>
          <w:p>
            <w:pPr>
              <w:pStyle w:val="TableParagraph"/>
              <w:spacing w:line="240" w:lineRule="auto" w:before="70"/>
              <w:ind w:right="81"/>
              <w:jc w:val="right"/>
              <w:rPr>
                <w:rFonts w:ascii="Times New Roman" w:hAnsi="Times New Roman" w:cs="Times New Roman" w:eastAsia="Times New Roman" w:hint="default"/>
                <w:sz w:val="18"/>
                <w:szCs w:val="18"/>
              </w:rPr>
            </w:pPr>
            <w:r>
              <w:rPr>
                <w:rFonts w:ascii="Times New Roman"/>
                <w:w w:val="95"/>
                <w:sz w:val="18"/>
              </w:rPr>
              <w:t>56,460,687.54</w:t>
            </w:r>
            <w:r>
              <w:rPr>
                <w:rFonts w:ascii="Times New Roman"/>
                <w:sz w:val="18"/>
              </w:rPr>
            </w:r>
          </w:p>
        </w:tc>
      </w:tr>
      <w:tr>
        <w:trPr>
          <w:trHeight w:val="369"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38" w:right="0"/>
              <w:jc w:val="left"/>
              <w:rPr>
                <w:rFonts w:ascii="宋体" w:hAnsi="宋体" w:cs="宋体" w:eastAsia="宋体" w:hint="default"/>
                <w:sz w:val="20"/>
                <w:szCs w:val="20"/>
              </w:rPr>
            </w:pPr>
            <w:r>
              <w:rPr>
                <w:rFonts w:ascii="宋体" w:hAnsi="宋体" w:cs="宋体" w:eastAsia="宋体" w:hint="default"/>
                <w:sz w:val="20"/>
                <w:szCs w:val="20"/>
              </w:rPr>
              <w:t>其中：库存现金</w:t>
            </w:r>
          </w:p>
        </w:tc>
        <w:tc>
          <w:tcPr>
            <w:tcW w:w="430"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sz w:val="18"/>
              </w:rPr>
              <w:t>85,817.08</w:t>
            </w:r>
          </w:p>
        </w:tc>
        <w:tc>
          <w:tcPr>
            <w:tcW w:w="431"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1"/>
              <w:jc w:val="right"/>
              <w:rPr>
                <w:rFonts w:ascii="Times New Roman" w:hAnsi="Times New Roman" w:cs="Times New Roman" w:eastAsia="Times New Roman" w:hint="default"/>
                <w:sz w:val="18"/>
                <w:szCs w:val="18"/>
              </w:rPr>
            </w:pPr>
            <w:r>
              <w:rPr>
                <w:rFonts w:ascii="Times New Roman"/>
                <w:spacing w:val="-1"/>
                <w:sz w:val="18"/>
              </w:rPr>
              <w:t>49,914.86</w:t>
            </w:r>
          </w:p>
        </w:tc>
      </w:tr>
      <w:tr>
        <w:trPr>
          <w:trHeight w:val="369"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2" w:right="0"/>
              <w:jc w:val="left"/>
              <w:rPr>
                <w:rFonts w:ascii="宋体" w:hAnsi="宋体" w:cs="宋体" w:eastAsia="宋体" w:hint="default"/>
                <w:sz w:val="20"/>
                <w:szCs w:val="20"/>
              </w:rPr>
            </w:pPr>
            <w:r>
              <w:rPr>
                <w:rFonts w:ascii="宋体" w:hAnsi="宋体" w:cs="宋体" w:eastAsia="宋体" w:hint="default"/>
                <w:sz w:val="20"/>
                <w:szCs w:val="20"/>
              </w:rPr>
              <w:t>可随时用于支付的银行存款</w:t>
            </w:r>
          </w:p>
        </w:tc>
        <w:tc>
          <w:tcPr>
            <w:tcW w:w="430"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sz w:val="18"/>
              </w:rPr>
              <w:t>97,527,142.89</w:t>
            </w:r>
          </w:p>
        </w:tc>
        <w:tc>
          <w:tcPr>
            <w:tcW w:w="431"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1"/>
              <w:jc w:val="right"/>
              <w:rPr>
                <w:rFonts w:ascii="Times New Roman" w:hAnsi="Times New Roman" w:cs="Times New Roman" w:eastAsia="Times New Roman" w:hint="default"/>
                <w:sz w:val="18"/>
                <w:szCs w:val="18"/>
              </w:rPr>
            </w:pPr>
            <w:r>
              <w:rPr>
                <w:rFonts w:ascii="Times New Roman"/>
                <w:w w:val="95"/>
                <w:sz w:val="18"/>
              </w:rPr>
              <w:t>39,613,215.07</w:t>
            </w:r>
            <w:r>
              <w:rPr>
                <w:rFonts w:ascii="Times New Roman"/>
                <w:sz w:val="18"/>
              </w:rPr>
            </w:r>
          </w:p>
        </w:tc>
      </w:tr>
      <w:tr>
        <w:trPr>
          <w:trHeight w:val="368"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2" w:right="0"/>
              <w:jc w:val="left"/>
              <w:rPr>
                <w:rFonts w:ascii="宋体" w:hAnsi="宋体" w:cs="宋体" w:eastAsia="宋体" w:hint="default"/>
                <w:sz w:val="20"/>
                <w:szCs w:val="20"/>
              </w:rPr>
            </w:pPr>
            <w:r>
              <w:rPr>
                <w:rFonts w:ascii="宋体" w:hAnsi="宋体" w:cs="宋体" w:eastAsia="宋体" w:hint="default"/>
                <w:sz w:val="20"/>
                <w:szCs w:val="20"/>
              </w:rPr>
              <w:t>可随时用于支付的其他货币资金</w:t>
            </w:r>
          </w:p>
        </w:tc>
        <w:tc>
          <w:tcPr>
            <w:tcW w:w="430"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sz w:val="18"/>
              </w:rPr>
              <w:t>12,583,430.96</w:t>
            </w:r>
          </w:p>
        </w:tc>
        <w:tc>
          <w:tcPr>
            <w:tcW w:w="431"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1"/>
              <w:jc w:val="right"/>
              <w:rPr>
                <w:rFonts w:ascii="Times New Roman" w:hAnsi="Times New Roman" w:cs="Times New Roman" w:eastAsia="Times New Roman" w:hint="default"/>
                <w:sz w:val="18"/>
                <w:szCs w:val="18"/>
              </w:rPr>
            </w:pPr>
            <w:r>
              <w:rPr>
                <w:rFonts w:ascii="Times New Roman"/>
                <w:w w:val="95"/>
                <w:sz w:val="18"/>
              </w:rPr>
              <w:t>16,797,557.61</w:t>
            </w:r>
            <w:r>
              <w:rPr>
                <w:rFonts w:ascii="Times New Roman"/>
                <w:sz w:val="18"/>
              </w:rPr>
            </w:r>
          </w:p>
        </w:tc>
      </w:tr>
      <w:tr>
        <w:trPr>
          <w:trHeight w:val="368"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307"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sz w:val="20"/>
                <w:szCs w:val="20"/>
              </w:rPr>
              <w:t>二、现金等价物</w:t>
            </w:r>
            <w:r>
              <w:rPr>
                <w:rFonts w:ascii="Microsoft JhengHei" w:hAnsi="Microsoft JhengHei" w:cs="Microsoft JhengHei" w:eastAsia="Microsoft JhengHei" w:hint="default"/>
                <w:spacing w:val="3"/>
                <w:sz w:val="20"/>
                <w:szCs w:val="20"/>
              </w:rPr>
            </w:r>
          </w:p>
        </w:tc>
        <w:tc>
          <w:tcPr>
            <w:tcW w:w="430"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1"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9"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38" w:right="0"/>
              <w:jc w:val="left"/>
              <w:rPr>
                <w:rFonts w:ascii="宋体" w:hAnsi="宋体" w:cs="宋体" w:eastAsia="宋体" w:hint="default"/>
                <w:sz w:val="20"/>
                <w:szCs w:val="20"/>
              </w:rPr>
            </w:pPr>
            <w:r>
              <w:rPr>
                <w:rFonts w:ascii="宋体" w:hAnsi="宋体" w:cs="宋体" w:eastAsia="宋体" w:hint="default"/>
                <w:sz w:val="20"/>
                <w:szCs w:val="20"/>
              </w:rPr>
              <w:t>其中：三个月内到期的债券投资</w:t>
            </w:r>
          </w:p>
        </w:tc>
        <w:tc>
          <w:tcPr>
            <w:tcW w:w="430"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1"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4" w:hRule="exact"/>
        </w:trPr>
        <w:tc>
          <w:tcPr>
            <w:tcW w:w="4297" w:type="dxa"/>
            <w:tcBorders>
              <w:top w:val="nil" w:sz="6" w:space="0" w:color="auto"/>
              <w:left w:val="nil" w:sz="6" w:space="0" w:color="auto"/>
              <w:bottom w:val="nil" w:sz="6" w:space="0" w:color="auto"/>
              <w:right w:val="nil" w:sz="6" w:space="0" w:color="auto"/>
            </w:tcBorders>
          </w:tcPr>
          <w:p>
            <w:pPr>
              <w:pStyle w:val="TableParagraph"/>
              <w:spacing w:line="307" w:lineRule="exact"/>
              <w:ind w:left="35"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3"/>
                <w:sz w:val="20"/>
                <w:szCs w:val="20"/>
              </w:rPr>
              <w:t>三、期末现金及现金等价物余额</w:t>
            </w:r>
            <w:r>
              <w:rPr>
                <w:rFonts w:ascii="Microsoft JhengHei" w:hAnsi="Microsoft JhengHei" w:cs="Microsoft JhengHei" w:eastAsia="Microsoft JhengHei" w:hint="default"/>
                <w:spacing w:val="3"/>
                <w:sz w:val="20"/>
                <w:szCs w:val="20"/>
              </w:rPr>
            </w:r>
          </w:p>
        </w:tc>
        <w:tc>
          <w:tcPr>
            <w:tcW w:w="430"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0"/>
              <w:jc w:val="right"/>
              <w:rPr>
                <w:rFonts w:ascii="Times New Roman" w:hAnsi="Times New Roman" w:cs="Times New Roman" w:eastAsia="Times New Roman" w:hint="default"/>
                <w:sz w:val="18"/>
                <w:szCs w:val="18"/>
              </w:rPr>
            </w:pPr>
            <w:r>
              <w:rPr>
                <w:rFonts w:ascii="Times New Roman"/>
                <w:sz w:val="18"/>
              </w:rPr>
              <w:t>110,196,390.93</w:t>
            </w:r>
          </w:p>
        </w:tc>
        <w:tc>
          <w:tcPr>
            <w:tcW w:w="431"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81"/>
              <w:jc w:val="right"/>
              <w:rPr>
                <w:rFonts w:ascii="Times New Roman" w:hAnsi="Times New Roman" w:cs="Times New Roman" w:eastAsia="Times New Roman" w:hint="default"/>
                <w:sz w:val="18"/>
                <w:szCs w:val="18"/>
              </w:rPr>
            </w:pPr>
            <w:r>
              <w:rPr>
                <w:rFonts w:ascii="Times New Roman"/>
                <w:w w:val="95"/>
                <w:sz w:val="18"/>
              </w:rPr>
              <w:t>56,460,687.54</w:t>
            </w:r>
            <w:r>
              <w:rPr>
                <w:rFonts w:ascii="Times New Roman"/>
                <w:sz w:val="18"/>
              </w:rPr>
            </w:r>
          </w:p>
        </w:tc>
      </w:tr>
    </w:tbl>
    <w:p>
      <w:pPr>
        <w:tabs>
          <w:tab w:pos="6395" w:val="left" w:leader="none"/>
          <w:tab w:pos="8669" w:val="left" w:leader="none"/>
        </w:tabs>
        <w:spacing w:line="274" w:lineRule="exact" w:before="0"/>
        <w:ind w:left="686" w:right="0" w:firstLine="0"/>
        <w:jc w:val="left"/>
        <w:rPr>
          <w:rFonts w:ascii="Times New Roman" w:hAnsi="Times New Roman" w:cs="Times New Roman" w:eastAsia="Times New Roman" w:hint="default"/>
          <w:sz w:val="18"/>
          <w:szCs w:val="18"/>
        </w:rPr>
      </w:pPr>
      <w:r>
        <w:rPr>
          <w:rFonts w:ascii="宋体" w:hAnsi="宋体" w:cs="宋体" w:eastAsia="宋体" w:hint="default"/>
          <w:sz w:val="20"/>
          <w:szCs w:val="20"/>
        </w:rPr>
        <w:t>其中：母公司或集团内子公司使用受限制</w:t>
        <w:tab/>
      </w:r>
      <w:r>
        <w:rPr>
          <w:rFonts w:ascii="Times New Roman" w:hAnsi="Times New Roman" w:cs="Times New Roman" w:eastAsia="Times New Roman" w:hint="default"/>
          <w:w w:val="95"/>
          <w:position w:val="-9"/>
          <w:sz w:val="18"/>
          <w:szCs w:val="18"/>
        </w:rPr>
        <w:t>-</w:t>
        <w:tab/>
      </w:r>
      <w:r>
        <w:rPr>
          <w:rFonts w:ascii="Times New Roman" w:hAnsi="Times New Roman" w:cs="Times New Roman" w:eastAsia="Times New Roman" w:hint="default"/>
          <w:position w:val="-9"/>
          <w:sz w:val="18"/>
          <w:szCs w:val="18"/>
        </w:rPr>
        <w:t>-</w:t>
      </w:r>
      <w:r>
        <w:rPr>
          <w:rFonts w:ascii="Times New Roman" w:hAnsi="Times New Roman" w:cs="Times New Roman" w:eastAsia="Times New Roman" w:hint="default"/>
          <w:sz w:val="18"/>
          <w:szCs w:val="18"/>
        </w:rPr>
      </w:r>
    </w:p>
    <w:p>
      <w:pPr>
        <w:spacing w:line="199" w:lineRule="exact" w:before="0"/>
        <w:ind w:left="183" w:right="0" w:firstLine="0"/>
        <w:jc w:val="left"/>
        <w:rPr>
          <w:rFonts w:ascii="宋体" w:hAnsi="宋体" w:cs="宋体" w:eastAsia="宋体" w:hint="default"/>
          <w:sz w:val="20"/>
          <w:szCs w:val="20"/>
        </w:rPr>
      </w:pPr>
      <w:r>
        <w:rPr>
          <w:rFonts w:ascii="宋体" w:hAnsi="宋体" w:cs="宋体" w:eastAsia="宋体" w:hint="default"/>
          <w:sz w:val="20"/>
          <w:szCs w:val="20"/>
        </w:rPr>
        <w:t>的现金和现金等价物</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Heading3"/>
        <w:tabs>
          <w:tab w:pos="1397" w:val="left" w:leader="none"/>
        </w:tabs>
        <w:spacing w:line="368" w:lineRule="exact"/>
        <w:ind w:left="617" w:right="0"/>
        <w:jc w:val="left"/>
        <w:rPr>
          <w:b w:val="0"/>
          <w:bCs w:val="0"/>
        </w:rPr>
      </w:pPr>
      <w:r>
        <w:rPr/>
        <w:t>九、</w:t>
        <w:tab/>
        <w:t>关联方关系及其交易</w:t>
      </w:r>
      <w:r>
        <w:rPr>
          <w:b w:val="0"/>
          <w:bCs w:val="0"/>
        </w:rPr>
      </w:r>
    </w:p>
    <w:p>
      <w:pPr>
        <w:pStyle w:val="BodyText"/>
        <w:spacing w:line="336" w:lineRule="auto" w:before="99"/>
        <w:ind w:left="617" w:right="5701"/>
        <w:jc w:val="left"/>
      </w:pPr>
      <w:r>
        <w:rPr/>
        <w:t>（一）关联方关系</w:t>
      </w:r>
      <w:r>
        <w:rPr>
          <w:spacing w:val="-2"/>
          <w:w w:val="100"/>
        </w:rPr>
        <w:t> </w:t>
      </w:r>
      <w:r>
        <w:rPr>
          <w:spacing w:val="-2"/>
        </w:rPr>
        <w:t>1、关联方的认定标准</w:t>
      </w:r>
      <w:r>
        <w:rPr/>
      </w:r>
    </w:p>
    <w:p>
      <w:pPr>
        <w:pStyle w:val="BodyText"/>
        <w:spacing w:line="336" w:lineRule="auto" w:before="29"/>
        <w:ind w:right="651" w:firstLine="480"/>
        <w:jc w:val="both"/>
      </w:pPr>
      <w:r>
        <w:rPr>
          <w:spacing w:val="-5"/>
        </w:rPr>
        <w:t>本公司对关联方的认定标准为：一方控制、共同控制另一方或对另一方施加</w:t>
      </w:r>
      <w:r>
        <w:rPr>
          <w:spacing w:val="-2"/>
          <w:w w:val="100"/>
        </w:rPr>
        <w:t> </w:t>
      </w:r>
      <w:r>
        <w:rPr>
          <w:spacing w:val="-5"/>
        </w:rPr>
        <w:t>重大影响，以及两方或两方以上同受一方控制、共同控制或重大影响的，构成关</w:t>
      </w:r>
      <w:r>
        <w:rPr>
          <w:spacing w:val="-60"/>
        </w:rPr>
        <w:t> </w:t>
      </w:r>
      <w:r>
        <w:rPr>
          <w:spacing w:val="-60"/>
        </w:rPr>
      </w:r>
      <w:r>
        <w:rPr/>
        <w:t>联方。2006</w:t>
      </w:r>
      <w:r>
        <w:rPr>
          <w:spacing w:val="1"/>
        </w:rPr>
        <w:t> </w:t>
      </w:r>
      <w:r>
        <w:rPr/>
        <w:t>年度对关联方的认定标准为：在企业财务和经营决策中，如果一方</w:t>
      </w:r>
      <w:r>
        <w:rPr>
          <w:spacing w:val="-1"/>
          <w:w w:val="100"/>
        </w:rPr>
        <w:t> </w:t>
      </w:r>
      <w:r>
        <w:rPr>
          <w:spacing w:val="-5"/>
        </w:rPr>
        <w:t>有能力直接或间接控制、共同控制另一方或对另一方施加重大影响的或如果两方</w:t>
      </w:r>
      <w:r>
        <w:rPr>
          <w:spacing w:val="-63"/>
        </w:rPr>
        <w:t> </w:t>
      </w:r>
      <w:r>
        <w:rPr>
          <w:spacing w:val="-63"/>
        </w:rPr>
      </w:r>
      <w:r>
        <w:rPr/>
        <w:t>或多方同受一方控制，本公司将其视为关联方。</w:t>
      </w:r>
    </w:p>
    <w:p>
      <w:pPr>
        <w:pStyle w:val="BodyText"/>
        <w:spacing w:line="240" w:lineRule="auto"/>
        <w:ind w:left="617" w:right="0"/>
        <w:jc w:val="left"/>
      </w:pPr>
      <w:r>
        <w:rPr/>
        <w:t>2、本公司的母公司</w:t>
      </w:r>
    </w:p>
    <w:p>
      <w:pPr>
        <w:spacing w:after="0" w:line="240" w:lineRule="auto"/>
        <w:jc w:val="left"/>
        <w:sectPr>
          <w:pgSz w:w="11910" w:h="16840"/>
          <w:pgMar w:header="840" w:footer="1712" w:top="1160" w:bottom="1900" w:left="1660" w:right="1140"/>
        </w:sectPr>
      </w:pPr>
    </w:p>
    <w:p>
      <w:pPr>
        <w:tabs>
          <w:tab w:pos="1767" w:val="left" w:leader="none"/>
          <w:tab w:pos="3364" w:val="left" w:leader="none"/>
          <w:tab w:pos="4333" w:val="left" w:leader="none"/>
          <w:tab w:pos="5411" w:val="left" w:leader="none"/>
          <w:tab w:pos="6492" w:val="left" w:leader="none"/>
        </w:tabs>
        <w:spacing w:line="313" w:lineRule="exact" w:before="62"/>
        <w:ind w:left="363" w:right="-13" w:firstLine="0"/>
        <w:jc w:val="left"/>
        <w:rPr>
          <w:rFonts w:ascii="宋体" w:hAnsi="宋体" w:cs="宋体" w:eastAsia="宋体" w:hint="default"/>
          <w:sz w:val="20"/>
          <w:szCs w:val="20"/>
        </w:rPr>
      </w:pPr>
      <w:r>
        <w:rPr>
          <w:rFonts w:ascii="宋体" w:hAnsi="宋体" w:cs="宋体" w:eastAsia="宋体" w:hint="default"/>
          <w:sz w:val="20"/>
          <w:szCs w:val="20"/>
        </w:rPr>
        <w:t>母公司名称</w:t>
        <w:tab/>
        <w:t>组织机构代码</w:t>
        <w:tab/>
      </w:r>
      <w:r>
        <w:rPr>
          <w:rFonts w:ascii="宋体" w:hAnsi="宋体" w:cs="宋体" w:eastAsia="宋体" w:hint="default"/>
          <w:w w:val="95"/>
          <w:sz w:val="20"/>
          <w:szCs w:val="20"/>
        </w:rPr>
        <w:t>注册地</w:t>
        <w:tab/>
      </w:r>
      <w:r>
        <w:rPr>
          <w:rFonts w:ascii="宋体" w:hAnsi="宋体" w:cs="宋体" w:eastAsia="宋体" w:hint="default"/>
          <w:sz w:val="20"/>
          <w:szCs w:val="20"/>
        </w:rPr>
        <w:t>业务性质</w:t>
        <w:tab/>
      </w:r>
      <w:r>
        <w:rPr>
          <w:rFonts w:ascii="宋体" w:hAnsi="宋体" w:cs="宋体" w:eastAsia="宋体" w:hint="default"/>
          <w:w w:val="95"/>
          <w:sz w:val="20"/>
          <w:szCs w:val="20"/>
        </w:rPr>
        <w:t>注册资本</w:t>
        <w:tab/>
      </w:r>
      <w:r>
        <w:rPr>
          <w:rFonts w:ascii="宋体" w:hAnsi="宋体" w:cs="宋体" w:eastAsia="宋体" w:hint="default"/>
          <w:position w:val="12"/>
          <w:sz w:val="20"/>
          <w:szCs w:val="20"/>
        </w:rPr>
        <w:t>对本公司的</w:t>
      </w:r>
      <w:r>
        <w:rPr>
          <w:rFonts w:ascii="宋体" w:hAnsi="宋体" w:cs="宋体" w:eastAsia="宋体" w:hint="default"/>
          <w:sz w:val="20"/>
          <w:szCs w:val="20"/>
        </w:rPr>
      </w:r>
    </w:p>
    <w:p>
      <w:pPr>
        <w:spacing w:line="193" w:lineRule="exact" w:before="0"/>
        <w:ind w:left="0" w:right="98" w:firstLine="0"/>
        <w:jc w:val="right"/>
        <w:rPr>
          <w:rFonts w:ascii="宋体" w:hAnsi="宋体" w:cs="宋体" w:eastAsia="宋体" w:hint="default"/>
          <w:sz w:val="20"/>
          <w:szCs w:val="20"/>
        </w:rPr>
      </w:pPr>
      <w:r>
        <w:rPr/>
        <w:pict>
          <v:group style="position:absolute;margin-left:89.87999pt;margin-top:10.657182pt;width:438.2pt;height:1.05pt;mso-position-horizontal-relative:page;mso-position-vertical-relative:paragraph;z-index:-584896" coordorigin="1798,213" coordsize="8764,21">
            <v:group style="position:absolute;left:1807;top:214;width:1424;height:2" coordorigin="1807,214" coordsize="1424,2">
              <v:shape style="position:absolute;left:1807;top:214;width:1424;height:2" coordorigin="1807,214" coordsize="1424,0" path="m1807,214l3230,214e" filled="false" stroked="true" strokeweight=".06pt" strokecolor="#000000">
                <v:path arrowok="t"/>
              </v:shape>
            </v:group>
            <v:group style="position:absolute;left:1807;top:225;width:1425;height:2" coordorigin="1807,225" coordsize="1425,2">
              <v:shape style="position:absolute;left:1807;top:225;width:1425;height:2" coordorigin="1807,225" coordsize="1425,0" path="m1807,225l3232,225e" filled="false" stroked="true" strokeweight=".96002pt" strokecolor="#000000">
                <v:path arrowok="t"/>
              </v:shape>
            </v:group>
            <v:group style="position:absolute;left:3288;top:214;width:1470;height:2" coordorigin="3288,214" coordsize="1470,2">
              <v:shape style="position:absolute;left:3288;top:214;width:1470;height:2" coordorigin="3288,214" coordsize="1470,0" path="m3288,214l4758,214e" filled="false" stroked="true" strokeweight=".06pt" strokecolor="#000000">
                <v:path arrowok="t"/>
              </v:shape>
            </v:group>
            <v:group style="position:absolute;left:3289;top:225;width:1470;height:2" coordorigin="3289,225" coordsize="1470,2">
              <v:shape style="position:absolute;left:3289;top:225;width:1470;height:2" coordorigin="3289,225" coordsize="1470,0" path="m3289,225l4759,225e" filled="false" stroked="true" strokeweight=".96002pt" strokecolor="#000000">
                <v:path arrowok="t"/>
              </v:shape>
            </v:group>
            <v:group style="position:absolute;left:4816;top:214;width:1006;height:2" coordorigin="4816,214" coordsize="1006,2">
              <v:shape style="position:absolute;left:4816;top:214;width:1006;height:2" coordorigin="4816,214" coordsize="1006,0" path="m4816,214l5821,214e" filled="false" stroked="true" strokeweight=".06pt" strokecolor="#000000">
                <v:path arrowok="t"/>
              </v:shape>
            </v:group>
            <v:group style="position:absolute;left:4816;top:225;width:1006;height:2" coordorigin="4816,225" coordsize="1006,2">
              <v:shape style="position:absolute;left:4816;top:225;width:1006;height:2" coordorigin="4816,225" coordsize="1006,0" path="m4816,225l5821,225e" filled="false" stroked="true" strokeweight=".96002pt" strokecolor="#000000">
                <v:path arrowok="t"/>
              </v:shape>
            </v:group>
            <v:group style="position:absolute;left:5879;top:214;width:1019;height:2" coordorigin="5879,214" coordsize="1019,2">
              <v:shape style="position:absolute;left:5879;top:214;width:1019;height:2" coordorigin="5879,214" coordsize="1019,0" path="m5879,214l6898,214e" filled="false" stroked="true" strokeweight=".06pt" strokecolor="#000000">
                <v:path arrowok="t"/>
              </v:shape>
            </v:group>
            <v:group style="position:absolute;left:5879;top:225;width:1020;height:2" coordorigin="5879,225" coordsize="1020,2">
              <v:shape style="position:absolute;left:5879;top:225;width:1020;height:2" coordorigin="5879,225" coordsize="1020,0" path="m5879,225l6899,225e" filled="false" stroked="true" strokeweight=".96002pt" strokecolor="#000000">
                <v:path arrowok="t"/>
              </v:shape>
            </v:group>
            <v:group style="position:absolute;left:6955;top:214;width:1020;height:2" coordorigin="6955,214" coordsize="1020,2">
              <v:shape style="position:absolute;left:6955;top:214;width:1020;height:2" coordorigin="6955,214" coordsize="1020,0" path="m6955,214l7975,214e" filled="false" stroked="true" strokeweight=".06pt" strokecolor="#000000">
                <v:path arrowok="t"/>
              </v:shape>
            </v:group>
            <v:group style="position:absolute;left:6956;top:225;width:1020;height:2" coordorigin="6956,225" coordsize="1020,2">
              <v:shape style="position:absolute;left:6956;top:225;width:1020;height:2" coordorigin="6956,225" coordsize="1020,0" path="m6956,225l7976,225e" filled="false" stroked="true" strokeweight=".96002pt" strokecolor="#000000">
                <v:path arrowok="t"/>
              </v:shape>
            </v:group>
            <v:group style="position:absolute;left:8033;top:214;width:1230;height:2" coordorigin="8033,214" coordsize="1230,2">
              <v:shape style="position:absolute;left:8033;top:214;width:1230;height:2" coordorigin="8033,214" coordsize="1230,0" path="m8033,214l9263,214e" filled="false" stroked="true" strokeweight=".06pt" strokecolor="#000000">
                <v:path arrowok="t"/>
              </v:shape>
            </v:group>
            <v:group style="position:absolute;left:8033;top:225;width:1232;height:2" coordorigin="8033,225" coordsize="1232,2">
              <v:shape style="position:absolute;left:8033;top:225;width:1232;height:2" coordorigin="8033,225" coordsize="1232,0" path="m8033,225l9264,225e" filled="false" stroked="true" strokeweight=".96002pt" strokecolor="#000000">
                <v:path arrowok="t"/>
              </v:shape>
            </v:group>
            <v:group style="position:absolute;left:9320;top:214;width:1232;height:2" coordorigin="9320,214" coordsize="1232,2">
              <v:shape style="position:absolute;left:9320;top:214;width:1232;height:2" coordorigin="9320,214" coordsize="1232,0" path="m9320,214l10552,214e" filled="false" stroked="true" strokeweight=".06pt" strokecolor="#000000">
                <v:path arrowok="t"/>
              </v:shape>
            </v:group>
            <v:group style="position:absolute;left:9322;top:225;width:1230;height:2" coordorigin="9322,225" coordsize="1230,2">
              <v:shape style="position:absolute;left:9322;top:225;width:1230;height:2" coordorigin="9322,225" coordsize="1230,0" path="m9322,225l10552,225e" filled="false" stroked="true" strokeweight=".96002pt" strokecolor="#000000">
                <v:path arrowok="t"/>
              </v:shape>
            </v:group>
            <w10:wrap type="none"/>
          </v:group>
        </w:pict>
      </w:r>
      <w:r>
        <w:rPr>
          <w:rFonts w:ascii="宋体" w:hAnsi="宋体" w:cs="宋体" w:eastAsia="宋体" w:hint="default"/>
          <w:sz w:val="20"/>
          <w:szCs w:val="20"/>
        </w:rPr>
        <w:t>持股比例</w:t>
      </w:r>
    </w:p>
    <w:p>
      <w:pPr>
        <w:spacing w:line="246" w:lineRule="exact" w:before="97"/>
        <w:ind w:left="240" w:right="304" w:firstLine="0"/>
        <w:jc w:val="left"/>
        <w:rPr>
          <w:rFonts w:ascii="宋体" w:hAnsi="宋体" w:cs="宋体" w:eastAsia="宋体" w:hint="default"/>
          <w:sz w:val="20"/>
          <w:szCs w:val="20"/>
        </w:rPr>
      </w:pPr>
      <w:r>
        <w:rPr/>
        <w:br w:type="column"/>
      </w:r>
      <w:r>
        <w:rPr>
          <w:rFonts w:ascii="宋体" w:hAnsi="宋体" w:cs="宋体" w:eastAsia="宋体" w:hint="default"/>
          <w:sz w:val="20"/>
          <w:szCs w:val="20"/>
        </w:rPr>
        <w:t>对本公司的</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表决权比例</w:t>
      </w:r>
    </w:p>
    <w:p>
      <w:pPr>
        <w:spacing w:after="0" w:line="246" w:lineRule="exact"/>
        <w:jc w:val="left"/>
        <w:rPr>
          <w:rFonts w:ascii="宋体" w:hAnsi="宋体" w:cs="宋体" w:eastAsia="宋体" w:hint="default"/>
          <w:sz w:val="20"/>
          <w:szCs w:val="20"/>
        </w:rPr>
        <w:sectPr>
          <w:type w:val="continuous"/>
          <w:pgSz w:w="11910" w:h="16840"/>
          <w:pgMar w:top="1060" w:bottom="1460" w:left="1660" w:right="1140"/>
          <w:cols w:num="2" w:equalWidth="0">
            <w:col w:w="7500" w:space="40"/>
            <w:col w:w="1570"/>
          </w:cols>
        </w:sectPr>
      </w:pPr>
    </w:p>
    <w:p>
      <w:pPr>
        <w:spacing w:line="178" w:lineRule="exact" w:before="0"/>
        <w:ind w:left="183" w:right="0" w:firstLine="0"/>
        <w:jc w:val="left"/>
        <w:rPr>
          <w:rFonts w:ascii="宋体" w:hAnsi="宋体" w:cs="宋体" w:eastAsia="宋体" w:hint="default"/>
          <w:sz w:val="20"/>
          <w:szCs w:val="20"/>
        </w:rPr>
      </w:pPr>
      <w:r>
        <w:rPr>
          <w:rFonts w:ascii="宋体" w:hAnsi="宋体" w:cs="宋体" w:eastAsia="宋体" w:hint="default"/>
          <w:sz w:val="20"/>
          <w:szCs w:val="20"/>
        </w:rPr>
        <w:t>香港喜多来集</w:t>
      </w:r>
    </w:p>
    <w:p>
      <w:pPr>
        <w:tabs>
          <w:tab w:pos="3263" w:val="left" w:leader="none"/>
          <w:tab w:pos="4535" w:val="left" w:leader="none"/>
          <w:tab w:pos="5360" w:val="left" w:leader="none"/>
          <w:tab w:pos="6694" w:val="left" w:leader="none"/>
          <w:tab w:pos="7981" w:val="left" w:leader="none"/>
        </w:tabs>
        <w:spacing w:line="312" w:lineRule="exact" w:before="0"/>
        <w:ind w:left="183" w:right="0" w:firstLine="0"/>
        <w:jc w:val="left"/>
        <w:rPr>
          <w:rFonts w:ascii="宋体" w:hAnsi="宋体" w:cs="宋体" w:eastAsia="宋体" w:hint="default"/>
          <w:sz w:val="20"/>
          <w:szCs w:val="20"/>
        </w:rPr>
      </w:pPr>
      <w:r>
        <w:rPr>
          <w:rFonts w:ascii="宋体" w:hAnsi="宋体" w:cs="宋体" w:eastAsia="宋体" w:hint="default"/>
          <w:position w:val="-11"/>
          <w:sz w:val="20"/>
          <w:szCs w:val="20"/>
        </w:rPr>
        <w:t>团有限公司</w:t>
        <w:tab/>
      </w:r>
      <w:r>
        <w:rPr>
          <w:rFonts w:ascii="宋体" w:hAnsi="宋体" w:cs="宋体" w:eastAsia="宋体" w:hint="default"/>
          <w:sz w:val="20"/>
          <w:szCs w:val="20"/>
        </w:rPr>
        <w:t>中国香港</w:t>
        <w:tab/>
      </w:r>
      <w:r>
        <w:rPr>
          <w:rFonts w:ascii="宋体" w:hAnsi="宋体" w:cs="宋体" w:eastAsia="宋体" w:hint="default"/>
          <w:w w:val="95"/>
          <w:sz w:val="20"/>
          <w:szCs w:val="20"/>
        </w:rPr>
        <w:t>贸易</w:t>
        <w:tab/>
        <w:t>400万港币</w:t>
        <w:tab/>
      </w:r>
      <w:r>
        <w:rPr>
          <w:rFonts w:ascii="宋体" w:hAnsi="宋体" w:cs="宋体" w:eastAsia="宋体" w:hint="default"/>
          <w:sz w:val="20"/>
          <w:szCs w:val="20"/>
        </w:rPr>
        <w:t>35.41%</w:t>
        <w:tab/>
        <w:t>35.41%</w:t>
      </w:r>
    </w:p>
    <w:p>
      <w:pPr>
        <w:spacing w:line="240" w:lineRule="auto" w:before="9"/>
        <w:rPr>
          <w:rFonts w:ascii="宋体" w:hAnsi="宋体" w:cs="宋体" w:eastAsia="宋体" w:hint="default"/>
          <w:sz w:val="29"/>
          <w:szCs w:val="29"/>
        </w:rPr>
      </w:pPr>
    </w:p>
    <w:p>
      <w:pPr>
        <w:pStyle w:val="BodyText"/>
        <w:spacing w:line="240" w:lineRule="auto" w:before="27"/>
        <w:ind w:left="617" w:right="0"/>
        <w:jc w:val="left"/>
      </w:pPr>
      <w:r>
        <w:rPr/>
        <w:t>3、本公司的子公司</w:t>
      </w:r>
    </w:p>
    <w:p>
      <w:pPr>
        <w:spacing w:after="0" w:line="240" w:lineRule="auto"/>
        <w:jc w:val="left"/>
        <w:sectPr>
          <w:type w:val="continuous"/>
          <w:pgSz w:w="11910" w:h="16840"/>
          <w:pgMar w:top="1060" w:bottom="1460" w:left="1660" w:right="1140"/>
        </w:sectPr>
      </w:pPr>
    </w:p>
    <w:p>
      <w:pPr>
        <w:spacing w:line="240" w:lineRule="auto" w:before="8"/>
        <w:rPr>
          <w:rFonts w:ascii="宋体" w:hAnsi="宋体" w:cs="宋体" w:eastAsia="宋体" w:hint="default"/>
          <w:sz w:val="19"/>
          <w:szCs w:val="19"/>
        </w:rPr>
      </w:pPr>
    </w:p>
    <w:p>
      <w:pPr>
        <w:tabs>
          <w:tab w:pos="1293" w:val="left" w:leader="none"/>
          <w:tab w:pos="2762" w:val="left" w:leader="none"/>
          <w:tab w:pos="3830" w:val="left" w:leader="none"/>
          <w:tab w:pos="5020" w:val="left" w:leader="none"/>
        </w:tabs>
        <w:spacing w:line="28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子公司名称</w:t>
        <w:tab/>
        <w:t>组织机构代码</w:t>
        <w:tab/>
        <w:t>注册地</w:t>
        <w:tab/>
        <w:t>业务性质</w:t>
        <w:tab/>
      </w:r>
      <w:r>
        <w:rPr>
          <w:rFonts w:ascii="宋体" w:hAnsi="宋体" w:cs="宋体" w:eastAsia="宋体" w:hint="default"/>
          <w:position w:val="11"/>
          <w:sz w:val="18"/>
          <w:szCs w:val="18"/>
        </w:rPr>
        <w:t>注册资本</w:t>
      </w:r>
      <w:r>
        <w:rPr>
          <w:rFonts w:ascii="宋体" w:hAnsi="宋体" w:cs="宋体" w:eastAsia="宋体" w:hint="default"/>
          <w:sz w:val="18"/>
          <w:szCs w:val="18"/>
        </w:rPr>
      </w:r>
    </w:p>
    <w:p>
      <w:pPr>
        <w:spacing w:line="174" w:lineRule="exact" w:before="0"/>
        <w:ind w:left="0" w:right="0" w:firstLine="0"/>
        <w:jc w:val="right"/>
        <w:rPr>
          <w:rFonts w:ascii="宋体" w:hAnsi="宋体" w:cs="宋体" w:eastAsia="宋体" w:hint="default"/>
          <w:sz w:val="18"/>
          <w:szCs w:val="18"/>
        </w:rPr>
      </w:pPr>
      <w:r>
        <w:rPr/>
        <w:pict>
          <v:shape style="position:absolute;margin-left:90.360001pt;margin-top:6.006037pt;width:416.2pt;height:243.45pt;mso-position-horizontal-relative:page;mso-position-vertical-relative:paragraph;z-index:11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88"/>
                    <w:gridCol w:w="1025"/>
                    <w:gridCol w:w="1149"/>
                    <w:gridCol w:w="1297"/>
                    <w:gridCol w:w="913"/>
                    <w:gridCol w:w="1151"/>
                  </w:tblGrid>
                  <w:tr>
                    <w:trPr>
                      <w:trHeight w:val="331" w:hRule="exact"/>
                    </w:trPr>
                    <w:tc>
                      <w:tcPr>
                        <w:tcW w:w="6258" w:type="dxa"/>
                        <w:gridSpan w:val="4"/>
                        <w:tcBorders>
                          <w:top w:val="nil" w:sz="6" w:space="0" w:color="auto"/>
                          <w:left w:val="nil" w:sz="6" w:space="0" w:color="auto"/>
                          <w:bottom w:val="single" w:sz="8" w:space="0" w:color="000000"/>
                          <w:right w:val="nil" w:sz="6" w:space="0" w:color="auto"/>
                        </w:tcBorders>
                      </w:tcPr>
                      <w:p>
                        <w:pPr/>
                      </w:p>
                    </w:tc>
                    <w:tc>
                      <w:tcPr>
                        <w:tcW w:w="913" w:type="dxa"/>
                        <w:tcBorders>
                          <w:top w:val="nil" w:sz="6" w:space="0" w:color="auto"/>
                          <w:left w:val="nil" w:sz="6" w:space="0" w:color="auto"/>
                          <w:bottom w:val="single" w:sz="8" w:space="0" w:color="000000"/>
                          <w:right w:val="nil" w:sz="6" w:space="0" w:color="auto"/>
                        </w:tcBorders>
                      </w:tcPr>
                      <w:p>
                        <w:pPr>
                          <w:pStyle w:val="TableParagraph"/>
                          <w:spacing w:line="199" w:lineRule="exact"/>
                          <w:ind w:right="96"/>
                          <w:jc w:val="center"/>
                          <w:rPr>
                            <w:rFonts w:ascii="宋体" w:hAnsi="宋体" w:cs="宋体" w:eastAsia="宋体" w:hint="default"/>
                            <w:sz w:val="20"/>
                            <w:szCs w:val="20"/>
                          </w:rPr>
                        </w:pPr>
                        <w:r>
                          <w:rPr>
                            <w:rFonts w:ascii="宋体" w:hAnsi="宋体" w:cs="宋体" w:eastAsia="宋体" w:hint="default"/>
                            <w:w w:val="99"/>
                            <w:sz w:val="20"/>
                            <w:szCs w:val="20"/>
                          </w:rPr>
                          <w:t>例</w:t>
                        </w:r>
                        <w:r>
                          <w:rPr>
                            <w:rFonts w:ascii="宋体" w:hAnsi="宋体" w:cs="宋体" w:eastAsia="宋体" w:hint="default"/>
                            <w:sz w:val="20"/>
                            <w:szCs w:val="20"/>
                          </w:rPr>
                        </w:r>
                      </w:p>
                    </w:tc>
                    <w:tc>
                      <w:tcPr>
                        <w:tcW w:w="1151" w:type="dxa"/>
                        <w:tcBorders>
                          <w:top w:val="nil" w:sz="6" w:space="0" w:color="auto"/>
                          <w:left w:val="nil" w:sz="6" w:space="0" w:color="auto"/>
                          <w:bottom w:val="single" w:sz="8" w:space="0" w:color="000000"/>
                          <w:right w:val="nil" w:sz="6" w:space="0" w:color="auto"/>
                        </w:tcBorders>
                      </w:tcPr>
                      <w:p>
                        <w:pPr>
                          <w:pStyle w:val="TableParagraph"/>
                          <w:spacing w:line="199" w:lineRule="exact"/>
                          <w:ind w:right="7"/>
                          <w:jc w:val="center"/>
                          <w:rPr>
                            <w:rFonts w:ascii="宋体" w:hAnsi="宋体" w:cs="宋体" w:eastAsia="宋体" w:hint="default"/>
                            <w:sz w:val="20"/>
                            <w:szCs w:val="20"/>
                          </w:rPr>
                        </w:pPr>
                        <w:r>
                          <w:rPr>
                            <w:rFonts w:ascii="宋体" w:hAnsi="宋体" w:cs="宋体" w:eastAsia="宋体" w:hint="default"/>
                            <w:sz w:val="20"/>
                            <w:szCs w:val="20"/>
                          </w:rPr>
                          <w:t>权比例</w:t>
                        </w:r>
                      </w:p>
                    </w:tc>
                  </w:tr>
                  <w:tr>
                    <w:trPr>
                      <w:trHeight w:val="503" w:hRule="exact"/>
                    </w:trPr>
                    <w:tc>
                      <w:tcPr>
                        <w:tcW w:w="2788" w:type="dxa"/>
                        <w:tcBorders>
                          <w:top w:val="single" w:sz="8" w:space="0" w:color="000000"/>
                          <w:left w:val="nil" w:sz="6" w:space="0" w:color="auto"/>
                          <w:bottom w:val="nil" w:sz="6" w:space="0" w:color="auto"/>
                          <w:right w:val="nil" w:sz="6" w:space="0" w:color="auto"/>
                        </w:tcBorders>
                      </w:tcPr>
                      <w:p>
                        <w:pPr>
                          <w:pStyle w:val="TableParagraph"/>
                          <w:spacing w:line="158" w:lineRule="exact"/>
                          <w:ind w:left="36" w:right="0"/>
                          <w:jc w:val="left"/>
                          <w:rPr>
                            <w:rFonts w:ascii="宋体" w:hAnsi="宋体" w:cs="宋体" w:eastAsia="宋体" w:hint="default"/>
                            <w:sz w:val="20"/>
                            <w:szCs w:val="20"/>
                          </w:rPr>
                        </w:pPr>
                        <w:r>
                          <w:rPr>
                            <w:rFonts w:ascii="宋体" w:hAnsi="宋体" w:cs="宋体" w:eastAsia="宋体" w:hint="default"/>
                            <w:sz w:val="20"/>
                            <w:szCs w:val="20"/>
                          </w:rPr>
                          <w:t>郑州东港安全</w:t>
                        </w:r>
                      </w:p>
                      <w:p>
                        <w:pPr>
                          <w:pStyle w:val="TableParagraph"/>
                          <w:tabs>
                            <w:tab w:pos="1486" w:val="left" w:leader="none"/>
                          </w:tabs>
                          <w:spacing w:line="312" w:lineRule="exact"/>
                          <w:ind w:left="35" w:right="0"/>
                          <w:jc w:val="left"/>
                          <w:rPr>
                            <w:rFonts w:ascii="宋体" w:hAnsi="宋体" w:cs="宋体" w:eastAsia="宋体" w:hint="default"/>
                            <w:sz w:val="20"/>
                            <w:szCs w:val="20"/>
                          </w:rPr>
                        </w:pPr>
                        <w:r>
                          <w:rPr>
                            <w:rFonts w:ascii="宋体" w:hAnsi="宋体" w:cs="宋体" w:eastAsia="宋体" w:hint="default"/>
                            <w:position w:val="-11"/>
                            <w:sz w:val="20"/>
                            <w:szCs w:val="20"/>
                          </w:rPr>
                          <w:t>印刷有限公司</w:t>
                          <w:tab/>
                        </w:r>
                        <w:r>
                          <w:rPr>
                            <w:rFonts w:ascii="宋体" w:hAnsi="宋体" w:cs="宋体" w:eastAsia="宋体" w:hint="default"/>
                            <w:sz w:val="20"/>
                            <w:szCs w:val="20"/>
                          </w:rPr>
                          <w:t>74579116-9</w:t>
                        </w:r>
                      </w:p>
                    </w:tc>
                    <w:tc>
                      <w:tcPr>
                        <w:tcW w:w="1025"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right="31"/>
                          <w:jc w:val="center"/>
                          <w:rPr>
                            <w:rFonts w:ascii="宋体" w:hAnsi="宋体" w:cs="宋体" w:eastAsia="宋体" w:hint="default"/>
                            <w:sz w:val="20"/>
                            <w:szCs w:val="20"/>
                          </w:rPr>
                        </w:pPr>
                        <w:r>
                          <w:rPr>
                            <w:rFonts w:ascii="宋体" w:hAnsi="宋体" w:cs="宋体" w:eastAsia="宋体" w:hint="default"/>
                            <w:sz w:val="20"/>
                            <w:szCs w:val="20"/>
                          </w:rPr>
                          <w:t>郑州</w:t>
                        </w:r>
                      </w:p>
                    </w:tc>
                    <w:tc>
                      <w:tcPr>
                        <w:tcW w:w="1149"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right="217"/>
                          <w:jc w:val="right"/>
                          <w:rPr>
                            <w:rFonts w:ascii="宋体" w:hAnsi="宋体" w:cs="宋体" w:eastAsia="宋体" w:hint="default"/>
                            <w:sz w:val="20"/>
                            <w:szCs w:val="20"/>
                          </w:rPr>
                        </w:pPr>
                        <w:r>
                          <w:rPr>
                            <w:rFonts w:ascii="宋体" w:hAnsi="宋体" w:cs="宋体" w:eastAsia="宋体" w:hint="default"/>
                            <w:w w:val="95"/>
                            <w:sz w:val="20"/>
                            <w:szCs w:val="20"/>
                          </w:rPr>
                          <w:t>生产型</w:t>
                        </w:r>
                        <w:r>
                          <w:rPr>
                            <w:rFonts w:ascii="宋体" w:hAnsi="宋体" w:cs="宋体" w:eastAsia="宋体" w:hint="default"/>
                            <w:sz w:val="20"/>
                            <w:szCs w:val="20"/>
                          </w:rPr>
                        </w:r>
                      </w:p>
                    </w:tc>
                    <w:tc>
                      <w:tcPr>
                        <w:tcW w:w="1297"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left="45" w:right="0"/>
                          <w:jc w:val="center"/>
                          <w:rPr>
                            <w:rFonts w:ascii="Times New Roman" w:hAnsi="Times New Roman" w:cs="Times New Roman" w:eastAsia="Times New Roman" w:hint="default"/>
                            <w:sz w:val="20"/>
                            <w:szCs w:val="20"/>
                          </w:rPr>
                        </w:pPr>
                        <w:r>
                          <w:rPr>
                            <w:rFonts w:ascii="Times New Roman"/>
                            <w:sz w:val="20"/>
                          </w:rPr>
                          <w:t>3000</w:t>
                        </w:r>
                      </w:p>
                    </w:tc>
                    <w:tc>
                      <w:tcPr>
                        <w:tcW w:w="913"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90"/>
                          <w:jc w:val="center"/>
                          <w:rPr>
                            <w:rFonts w:ascii="Times New Roman" w:hAnsi="Times New Roman" w:cs="Times New Roman" w:eastAsia="Times New Roman" w:hint="default"/>
                            <w:sz w:val="20"/>
                            <w:szCs w:val="20"/>
                          </w:rPr>
                        </w:pPr>
                        <w:r>
                          <w:rPr>
                            <w:rFonts w:ascii="Times New Roman"/>
                            <w:sz w:val="20"/>
                          </w:rPr>
                          <w:t>90%</w:t>
                        </w:r>
                      </w:p>
                    </w:tc>
                    <w:tc>
                      <w:tcPr>
                        <w:tcW w:w="1151"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0"/>
                          <w:jc w:val="center"/>
                          <w:rPr>
                            <w:rFonts w:ascii="Times New Roman" w:hAnsi="Times New Roman" w:cs="Times New Roman" w:eastAsia="Times New Roman" w:hint="default"/>
                            <w:sz w:val="20"/>
                            <w:szCs w:val="20"/>
                          </w:rPr>
                        </w:pPr>
                        <w:r>
                          <w:rPr>
                            <w:rFonts w:ascii="Times New Roman"/>
                            <w:sz w:val="20"/>
                          </w:rPr>
                          <w:t>100%</w:t>
                        </w:r>
                      </w:p>
                    </w:tc>
                  </w:tr>
                  <w:tr>
                    <w:trPr>
                      <w:trHeight w:val="491"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156" w:lineRule="exact"/>
                          <w:ind w:left="36" w:right="0"/>
                          <w:jc w:val="left"/>
                          <w:rPr>
                            <w:rFonts w:ascii="宋体" w:hAnsi="宋体" w:cs="宋体" w:eastAsia="宋体" w:hint="default"/>
                            <w:sz w:val="20"/>
                            <w:szCs w:val="20"/>
                          </w:rPr>
                        </w:pPr>
                        <w:r>
                          <w:rPr>
                            <w:rFonts w:ascii="宋体" w:hAnsi="宋体" w:cs="宋体" w:eastAsia="宋体" w:hint="default"/>
                            <w:sz w:val="20"/>
                            <w:szCs w:val="20"/>
                          </w:rPr>
                          <w:t>北京东港安全</w:t>
                        </w:r>
                      </w:p>
                      <w:p>
                        <w:pPr>
                          <w:pStyle w:val="TableParagraph"/>
                          <w:tabs>
                            <w:tab w:pos="1486" w:val="left" w:leader="none"/>
                          </w:tabs>
                          <w:spacing w:line="312" w:lineRule="exact"/>
                          <w:ind w:left="35" w:right="0"/>
                          <w:jc w:val="left"/>
                          <w:rPr>
                            <w:rFonts w:ascii="宋体" w:hAnsi="宋体" w:cs="宋体" w:eastAsia="宋体" w:hint="default"/>
                            <w:sz w:val="20"/>
                            <w:szCs w:val="20"/>
                          </w:rPr>
                        </w:pPr>
                        <w:r>
                          <w:rPr>
                            <w:rFonts w:ascii="宋体" w:hAnsi="宋体" w:cs="宋体" w:eastAsia="宋体" w:hint="default"/>
                            <w:position w:val="-11"/>
                            <w:sz w:val="20"/>
                            <w:szCs w:val="20"/>
                          </w:rPr>
                          <w:t>印刷有限公司</w:t>
                          <w:tab/>
                        </w:r>
                        <w:r>
                          <w:rPr>
                            <w:rFonts w:ascii="宋体" w:hAnsi="宋体" w:cs="宋体" w:eastAsia="宋体" w:hint="default"/>
                            <w:sz w:val="20"/>
                            <w:szCs w:val="20"/>
                          </w:rPr>
                          <w:t>71785190-2</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1"/>
                          <w:jc w:val="center"/>
                          <w:rPr>
                            <w:rFonts w:ascii="宋体" w:hAnsi="宋体" w:cs="宋体" w:eastAsia="宋体" w:hint="default"/>
                            <w:sz w:val="20"/>
                            <w:szCs w:val="20"/>
                          </w:rPr>
                        </w:pPr>
                        <w:r>
                          <w:rPr>
                            <w:rFonts w:ascii="宋体" w:hAnsi="宋体" w:cs="宋体" w:eastAsia="宋体" w:hint="default"/>
                            <w:sz w:val="20"/>
                            <w:szCs w:val="20"/>
                          </w:rPr>
                          <w:t>北京</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7"/>
                          <w:jc w:val="right"/>
                          <w:rPr>
                            <w:rFonts w:ascii="宋体" w:hAnsi="宋体" w:cs="宋体" w:eastAsia="宋体" w:hint="default"/>
                            <w:sz w:val="20"/>
                            <w:szCs w:val="20"/>
                          </w:rPr>
                        </w:pPr>
                        <w:r>
                          <w:rPr>
                            <w:rFonts w:ascii="宋体" w:hAnsi="宋体" w:cs="宋体" w:eastAsia="宋体" w:hint="default"/>
                            <w:w w:val="95"/>
                            <w:sz w:val="20"/>
                            <w:szCs w:val="20"/>
                          </w:rPr>
                          <w:t>生产型</w:t>
                        </w:r>
                        <w:r>
                          <w:rPr>
                            <w:rFonts w:ascii="宋体" w:hAnsi="宋体" w:cs="宋体" w:eastAsia="宋体" w:hint="default"/>
                            <w:sz w:val="20"/>
                            <w:szCs w:val="20"/>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45" w:right="0"/>
                          <w:jc w:val="center"/>
                          <w:rPr>
                            <w:rFonts w:ascii="Times New Roman" w:hAnsi="Times New Roman" w:cs="Times New Roman" w:eastAsia="Times New Roman" w:hint="default"/>
                            <w:sz w:val="20"/>
                            <w:szCs w:val="20"/>
                          </w:rPr>
                        </w:pPr>
                        <w:r>
                          <w:rPr>
                            <w:rFonts w:ascii="Times New Roman"/>
                            <w:sz w:val="20"/>
                          </w:rPr>
                          <w:t>3000</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0"/>
                          <w:jc w:val="center"/>
                          <w:rPr>
                            <w:rFonts w:ascii="Times New Roman" w:hAnsi="Times New Roman" w:cs="Times New Roman" w:eastAsia="Times New Roman" w:hint="default"/>
                            <w:sz w:val="20"/>
                            <w:szCs w:val="20"/>
                          </w:rPr>
                        </w:pPr>
                        <w:r>
                          <w:rPr>
                            <w:rFonts w:ascii="Times New Roman"/>
                            <w:sz w:val="20"/>
                          </w:rPr>
                          <w:t>75%</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0"/>
                          <w:jc w:val="center"/>
                          <w:rPr>
                            <w:rFonts w:ascii="Times New Roman" w:hAnsi="Times New Roman" w:cs="Times New Roman" w:eastAsia="Times New Roman" w:hint="default"/>
                            <w:sz w:val="20"/>
                            <w:szCs w:val="20"/>
                          </w:rPr>
                        </w:pPr>
                        <w:r>
                          <w:rPr>
                            <w:rFonts w:ascii="Times New Roman"/>
                            <w:sz w:val="20"/>
                          </w:rPr>
                          <w:t>100%</w:t>
                        </w:r>
                      </w:p>
                    </w:tc>
                  </w:tr>
                  <w:tr>
                    <w:trPr>
                      <w:trHeight w:val="491"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157" w:lineRule="exact"/>
                          <w:ind w:left="36" w:right="0"/>
                          <w:jc w:val="left"/>
                          <w:rPr>
                            <w:rFonts w:ascii="宋体" w:hAnsi="宋体" w:cs="宋体" w:eastAsia="宋体" w:hint="default"/>
                            <w:sz w:val="20"/>
                            <w:szCs w:val="20"/>
                          </w:rPr>
                        </w:pPr>
                        <w:r>
                          <w:rPr>
                            <w:rFonts w:ascii="宋体" w:hAnsi="宋体" w:cs="宋体" w:eastAsia="宋体" w:hint="default"/>
                            <w:sz w:val="20"/>
                            <w:szCs w:val="20"/>
                          </w:rPr>
                          <w:t>新疆东港安全</w:t>
                        </w:r>
                      </w:p>
                      <w:p>
                        <w:pPr>
                          <w:pStyle w:val="TableParagraph"/>
                          <w:tabs>
                            <w:tab w:pos="1486" w:val="left" w:leader="none"/>
                          </w:tabs>
                          <w:spacing w:line="311" w:lineRule="exact"/>
                          <w:ind w:left="35" w:right="0"/>
                          <w:jc w:val="left"/>
                          <w:rPr>
                            <w:rFonts w:ascii="宋体" w:hAnsi="宋体" w:cs="宋体" w:eastAsia="宋体" w:hint="default"/>
                            <w:sz w:val="20"/>
                            <w:szCs w:val="20"/>
                          </w:rPr>
                        </w:pPr>
                        <w:r>
                          <w:rPr>
                            <w:rFonts w:ascii="宋体" w:hAnsi="宋体" w:cs="宋体" w:eastAsia="宋体" w:hint="default"/>
                            <w:position w:val="-11"/>
                            <w:sz w:val="20"/>
                            <w:szCs w:val="20"/>
                          </w:rPr>
                          <w:t>印刷有限公司</w:t>
                          <w:tab/>
                        </w:r>
                        <w:r>
                          <w:rPr>
                            <w:rFonts w:ascii="宋体" w:hAnsi="宋体" w:cs="宋体" w:eastAsia="宋体" w:hint="default"/>
                            <w:sz w:val="20"/>
                            <w:szCs w:val="20"/>
                          </w:rPr>
                          <w:t>77606809-6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1"/>
                          <w:jc w:val="center"/>
                          <w:rPr>
                            <w:rFonts w:ascii="宋体" w:hAnsi="宋体" w:cs="宋体" w:eastAsia="宋体" w:hint="default"/>
                            <w:sz w:val="20"/>
                            <w:szCs w:val="20"/>
                          </w:rPr>
                        </w:pPr>
                        <w:r>
                          <w:rPr>
                            <w:rFonts w:ascii="宋体" w:hAnsi="宋体" w:cs="宋体" w:eastAsia="宋体" w:hint="default"/>
                            <w:sz w:val="20"/>
                            <w:szCs w:val="20"/>
                          </w:rPr>
                          <w:t>新疆</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7"/>
                          <w:jc w:val="right"/>
                          <w:rPr>
                            <w:rFonts w:ascii="宋体" w:hAnsi="宋体" w:cs="宋体" w:eastAsia="宋体" w:hint="default"/>
                            <w:sz w:val="20"/>
                            <w:szCs w:val="20"/>
                          </w:rPr>
                        </w:pPr>
                        <w:r>
                          <w:rPr>
                            <w:rFonts w:ascii="宋体" w:hAnsi="宋体" w:cs="宋体" w:eastAsia="宋体" w:hint="default"/>
                            <w:w w:val="95"/>
                            <w:sz w:val="20"/>
                            <w:szCs w:val="20"/>
                          </w:rPr>
                          <w:t>生产型</w:t>
                        </w:r>
                        <w:r>
                          <w:rPr>
                            <w:rFonts w:ascii="宋体" w:hAnsi="宋体" w:cs="宋体" w:eastAsia="宋体" w:hint="default"/>
                            <w:sz w:val="20"/>
                            <w:szCs w:val="20"/>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45" w:right="0"/>
                          <w:jc w:val="center"/>
                          <w:rPr>
                            <w:rFonts w:ascii="Times New Roman" w:hAnsi="Times New Roman" w:cs="Times New Roman" w:eastAsia="Times New Roman" w:hint="default"/>
                            <w:sz w:val="20"/>
                            <w:szCs w:val="20"/>
                          </w:rPr>
                        </w:pPr>
                        <w:r>
                          <w:rPr>
                            <w:rFonts w:ascii="Times New Roman"/>
                            <w:sz w:val="20"/>
                          </w:rPr>
                          <w:t>500</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0"/>
                          <w:jc w:val="center"/>
                          <w:rPr>
                            <w:rFonts w:ascii="Times New Roman" w:hAnsi="Times New Roman" w:cs="Times New Roman" w:eastAsia="Times New Roman" w:hint="default"/>
                            <w:sz w:val="20"/>
                            <w:szCs w:val="20"/>
                          </w:rPr>
                        </w:pPr>
                        <w:r>
                          <w:rPr>
                            <w:rFonts w:ascii="Times New Roman"/>
                            <w:sz w:val="20"/>
                          </w:rPr>
                          <w:t>94%</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0"/>
                          <w:jc w:val="center"/>
                          <w:rPr>
                            <w:rFonts w:ascii="Times New Roman" w:hAnsi="Times New Roman" w:cs="Times New Roman" w:eastAsia="Times New Roman" w:hint="default"/>
                            <w:sz w:val="20"/>
                            <w:szCs w:val="20"/>
                          </w:rPr>
                        </w:pPr>
                        <w:r>
                          <w:rPr>
                            <w:rFonts w:ascii="Times New Roman"/>
                            <w:sz w:val="20"/>
                          </w:rPr>
                          <w:t>100%</w:t>
                        </w:r>
                      </w:p>
                    </w:tc>
                  </w:tr>
                  <w:tr>
                    <w:trPr>
                      <w:trHeight w:val="491"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157" w:lineRule="exact"/>
                          <w:ind w:left="36" w:right="0"/>
                          <w:jc w:val="left"/>
                          <w:rPr>
                            <w:rFonts w:ascii="宋体" w:hAnsi="宋体" w:cs="宋体" w:eastAsia="宋体" w:hint="default"/>
                            <w:sz w:val="20"/>
                            <w:szCs w:val="20"/>
                          </w:rPr>
                        </w:pPr>
                        <w:r>
                          <w:rPr>
                            <w:rFonts w:ascii="宋体" w:hAnsi="宋体" w:cs="宋体" w:eastAsia="宋体" w:hint="default"/>
                            <w:sz w:val="20"/>
                            <w:szCs w:val="20"/>
                          </w:rPr>
                          <w:t>上海东港印刷</w:t>
                        </w:r>
                      </w:p>
                      <w:p>
                        <w:pPr>
                          <w:pStyle w:val="TableParagraph"/>
                          <w:tabs>
                            <w:tab w:pos="2492" w:val="right" w:leader="none"/>
                          </w:tabs>
                          <w:spacing w:line="312" w:lineRule="exact"/>
                          <w:ind w:left="35" w:right="0"/>
                          <w:jc w:val="left"/>
                          <w:rPr>
                            <w:rFonts w:ascii="宋体" w:hAnsi="宋体" w:cs="宋体" w:eastAsia="宋体" w:hint="default"/>
                            <w:sz w:val="20"/>
                            <w:szCs w:val="20"/>
                          </w:rPr>
                        </w:pPr>
                        <w:r>
                          <w:rPr>
                            <w:rFonts w:ascii="宋体" w:hAnsi="宋体" w:cs="宋体" w:eastAsia="宋体" w:hint="default"/>
                            <w:position w:val="-11"/>
                            <w:sz w:val="20"/>
                            <w:szCs w:val="20"/>
                          </w:rPr>
                          <w:t>有限公司</w:t>
                        </w:r>
                        <w:r>
                          <w:rPr>
                            <w:rFonts w:ascii="Times New Roman" w:hAnsi="Times New Roman" w:cs="Times New Roman" w:eastAsia="Times New Roman" w:hint="default"/>
                            <w:sz w:val="20"/>
                            <w:szCs w:val="20"/>
                          </w:rPr>
                          <w:tab/>
                        </w:r>
                        <w:r>
                          <w:rPr>
                            <w:rFonts w:ascii="宋体" w:hAnsi="宋体" w:cs="宋体" w:eastAsia="宋体" w:hint="default"/>
                            <w:sz w:val="20"/>
                            <w:szCs w:val="20"/>
                          </w:rPr>
                          <w:t>74265815-1</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1"/>
                          <w:jc w:val="center"/>
                          <w:rPr>
                            <w:rFonts w:ascii="宋体" w:hAnsi="宋体" w:cs="宋体" w:eastAsia="宋体" w:hint="default"/>
                            <w:sz w:val="20"/>
                            <w:szCs w:val="20"/>
                          </w:rPr>
                        </w:pPr>
                        <w:r>
                          <w:rPr>
                            <w:rFonts w:ascii="宋体" w:hAnsi="宋体" w:cs="宋体" w:eastAsia="宋体" w:hint="default"/>
                            <w:sz w:val="20"/>
                            <w:szCs w:val="20"/>
                          </w:rPr>
                          <w:t>上海</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17"/>
                          <w:jc w:val="right"/>
                          <w:rPr>
                            <w:rFonts w:ascii="宋体" w:hAnsi="宋体" w:cs="宋体" w:eastAsia="宋体" w:hint="default"/>
                            <w:sz w:val="20"/>
                            <w:szCs w:val="20"/>
                          </w:rPr>
                        </w:pPr>
                        <w:r>
                          <w:rPr>
                            <w:rFonts w:ascii="宋体" w:hAnsi="宋体" w:cs="宋体" w:eastAsia="宋体" w:hint="default"/>
                            <w:w w:val="95"/>
                            <w:sz w:val="20"/>
                            <w:szCs w:val="20"/>
                          </w:rPr>
                          <w:t>生产型</w:t>
                        </w:r>
                        <w:r>
                          <w:rPr>
                            <w:rFonts w:ascii="宋体" w:hAnsi="宋体" w:cs="宋体" w:eastAsia="宋体" w:hint="default"/>
                            <w:sz w:val="20"/>
                            <w:szCs w:val="20"/>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45" w:right="0"/>
                          <w:jc w:val="center"/>
                          <w:rPr>
                            <w:rFonts w:ascii="Times New Roman" w:hAnsi="Times New Roman" w:cs="Times New Roman" w:eastAsia="Times New Roman" w:hint="default"/>
                            <w:sz w:val="20"/>
                            <w:szCs w:val="20"/>
                          </w:rPr>
                        </w:pPr>
                        <w:r>
                          <w:rPr>
                            <w:rFonts w:ascii="Times New Roman"/>
                            <w:sz w:val="20"/>
                          </w:rPr>
                          <w:t>3000</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90"/>
                          <w:jc w:val="center"/>
                          <w:rPr>
                            <w:rFonts w:ascii="Times New Roman" w:hAnsi="Times New Roman" w:cs="Times New Roman" w:eastAsia="Times New Roman" w:hint="default"/>
                            <w:sz w:val="20"/>
                            <w:szCs w:val="20"/>
                          </w:rPr>
                        </w:pPr>
                        <w:r>
                          <w:rPr>
                            <w:rFonts w:ascii="Times New Roman"/>
                            <w:sz w:val="20"/>
                          </w:rPr>
                          <w:t>94%</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center"/>
                          <w:rPr>
                            <w:rFonts w:ascii="Times New Roman" w:hAnsi="Times New Roman" w:cs="Times New Roman" w:eastAsia="Times New Roman" w:hint="default"/>
                            <w:sz w:val="20"/>
                            <w:szCs w:val="20"/>
                          </w:rPr>
                        </w:pPr>
                        <w:r>
                          <w:rPr>
                            <w:rFonts w:ascii="Times New Roman"/>
                            <w:sz w:val="20"/>
                          </w:rPr>
                          <w:t>100%</w:t>
                        </w:r>
                      </w:p>
                    </w:tc>
                  </w:tr>
                  <w:tr>
                    <w:trPr>
                      <w:trHeight w:val="551"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156" w:lineRule="exact"/>
                          <w:ind w:left="36" w:right="0"/>
                          <w:jc w:val="left"/>
                          <w:rPr>
                            <w:rFonts w:ascii="宋体" w:hAnsi="宋体" w:cs="宋体" w:eastAsia="宋体" w:hint="default"/>
                            <w:sz w:val="20"/>
                            <w:szCs w:val="20"/>
                          </w:rPr>
                        </w:pPr>
                        <w:r>
                          <w:rPr>
                            <w:rFonts w:ascii="宋体" w:hAnsi="宋体" w:cs="宋体" w:eastAsia="宋体" w:hint="default"/>
                            <w:sz w:val="20"/>
                            <w:szCs w:val="20"/>
                          </w:rPr>
                          <w:t>青海东港安全</w:t>
                        </w:r>
                      </w:p>
                      <w:p>
                        <w:pPr>
                          <w:pStyle w:val="TableParagraph"/>
                          <w:tabs>
                            <w:tab w:pos="1486" w:val="left" w:leader="none"/>
                          </w:tabs>
                          <w:spacing w:line="312" w:lineRule="exact"/>
                          <w:ind w:left="35" w:right="0"/>
                          <w:jc w:val="left"/>
                          <w:rPr>
                            <w:rFonts w:ascii="宋体" w:hAnsi="宋体" w:cs="宋体" w:eastAsia="宋体" w:hint="default"/>
                            <w:sz w:val="20"/>
                            <w:szCs w:val="20"/>
                          </w:rPr>
                        </w:pPr>
                        <w:r>
                          <w:rPr>
                            <w:rFonts w:ascii="宋体" w:hAnsi="宋体" w:cs="宋体" w:eastAsia="宋体" w:hint="default"/>
                            <w:position w:val="-11"/>
                            <w:sz w:val="20"/>
                            <w:szCs w:val="20"/>
                          </w:rPr>
                          <w:t>印刷有限公司</w:t>
                          <w:tab/>
                        </w:r>
                        <w:r>
                          <w:rPr>
                            <w:rFonts w:ascii="宋体" w:hAnsi="宋体" w:cs="宋体" w:eastAsia="宋体" w:hint="default"/>
                            <w:sz w:val="20"/>
                            <w:szCs w:val="20"/>
                          </w:rPr>
                          <w:t>78142526-2</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1"/>
                          <w:jc w:val="center"/>
                          <w:rPr>
                            <w:rFonts w:ascii="宋体" w:hAnsi="宋体" w:cs="宋体" w:eastAsia="宋体" w:hint="default"/>
                            <w:sz w:val="20"/>
                            <w:szCs w:val="20"/>
                          </w:rPr>
                        </w:pPr>
                        <w:r>
                          <w:rPr>
                            <w:rFonts w:ascii="宋体" w:hAnsi="宋体" w:cs="宋体" w:eastAsia="宋体" w:hint="default"/>
                            <w:sz w:val="20"/>
                            <w:szCs w:val="20"/>
                          </w:rPr>
                          <w:t>青海</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7"/>
                          <w:jc w:val="right"/>
                          <w:rPr>
                            <w:rFonts w:ascii="宋体" w:hAnsi="宋体" w:cs="宋体" w:eastAsia="宋体" w:hint="default"/>
                            <w:sz w:val="20"/>
                            <w:szCs w:val="20"/>
                          </w:rPr>
                        </w:pPr>
                        <w:r>
                          <w:rPr>
                            <w:rFonts w:ascii="宋体" w:hAnsi="宋体" w:cs="宋体" w:eastAsia="宋体" w:hint="default"/>
                            <w:w w:val="95"/>
                            <w:sz w:val="20"/>
                            <w:szCs w:val="20"/>
                          </w:rPr>
                          <w:t>生产型</w:t>
                        </w:r>
                        <w:r>
                          <w:rPr>
                            <w:rFonts w:ascii="宋体" w:hAnsi="宋体" w:cs="宋体" w:eastAsia="宋体" w:hint="default"/>
                            <w:sz w:val="20"/>
                            <w:szCs w:val="20"/>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45" w:right="0"/>
                          <w:jc w:val="center"/>
                          <w:rPr>
                            <w:rFonts w:ascii="Times New Roman" w:hAnsi="Times New Roman" w:cs="Times New Roman" w:eastAsia="Times New Roman" w:hint="default"/>
                            <w:sz w:val="20"/>
                            <w:szCs w:val="20"/>
                          </w:rPr>
                        </w:pPr>
                        <w:r>
                          <w:rPr>
                            <w:rFonts w:ascii="Times New Roman"/>
                            <w:sz w:val="20"/>
                          </w:rPr>
                          <w:t>500</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0"/>
                          <w:jc w:val="center"/>
                          <w:rPr>
                            <w:rFonts w:ascii="Times New Roman" w:hAnsi="Times New Roman" w:cs="Times New Roman" w:eastAsia="Times New Roman" w:hint="default"/>
                            <w:sz w:val="20"/>
                            <w:szCs w:val="20"/>
                          </w:rPr>
                        </w:pPr>
                        <w:r>
                          <w:rPr>
                            <w:rFonts w:ascii="Times New Roman"/>
                            <w:sz w:val="20"/>
                          </w:rPr>
                          <w:t>94%</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0"/>
                          <w:jc w:val="center"/>
                          <w:rPr>
                            <w:rFonts w:ascii="Times New Roman" w:hAnsi="Times New Roman" w:cs="Times New Roman" w:eastAsia="Times New Roman" w:hint="default"/>
                            <w:sz w:val="20"/>
                            <w:szCs w:val="20"/>
                          </w:rPr>
                        </w:pPr>
                        <w:r>
                          <w:rPr>
                            <w:rFonts w:ascii="Times New Roman"/>
                            <w:sz w:val="20"/>
                          </w:rPr>
                          <w:t>100%</w:t>
                        </w:r>
                      </w:p>
                    </w:tc>
                  </w:tr>
                  <w:tr>
                    <w:trPr>
                      <w:trHeight w:val="617"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160" w:lineRule="exact"/>
                          <w:ind w:left="36" w:right="0"/>
                          <w:jc w:val="left"/>
                          <w:rPr>
                            <w:rFonts w:ascii="宋体" w:hAnsi="宋体" w:cs="宋体" w:eastAsia="宋体" w:hint="default"/>
                            <w:sz w:val="20"/>
                            <w:szCs w:val="20"/>
                          </w:rPr>
                        </w:pPr>
                        <w:r>
                          <w:rPr>
                            <w:rFonts w:ascii="宋体" w:hAnsi="宋体" w:cs="宋体" w:eastAsia="宋体" w:hint="default"/>
                            <w:sz w:val="20"/>
                            <w:szCs w:val="20"/>
                          </w:rPr>
                          <w:t>北京东港嘉华</w:t>
                        </w:r>
                      </w:p>
                      <w:p>
                        <w:pPr>
                          <w:pStyle w:val="TableParagraph"/>
                          <w:tabs>
                            <w:tab w:pos="1486" w:val="left" w:leader="none"/>
                          </w:tabs>
                          <w:spacing w:line="246" w:lineRule="exact" w:before="29"/>
                          <w:ind w:left="35" w:right="293"/>
                          <w:jc w:val="left"/>
                          <w:rPr>
                            <w:rFonts w:ascii="宋体" w:hAnsi="宋体" w:cs="宋体" w:eastAsia="宋体" w:hint="default"/>
                            <w:sz w:val="20"/>
                            <w:szCs w:val="20"/>
                          </w:rPr>
                        </w:pPr>
                        <w:r>
                          <w:rPr>
                            <w:rFonts w:ascii="宋体" w:hAnsi="宋体" w:cs="宋体" w:eastAsia="宋体" w:hint="default"/>
                            <w:sz w:val="20"/>
                            <w:szCs w:val="20"/>
                          </w:rPr>
                          <w:t>安全信息技术</w:t>
                          <w:tab/>
                          <w:t>79755702-4</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有限公司</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1"/>
                          <w:jc w:val="center"/>
                          <w:rPr>
                            <w:rFonts w:ascii="宋体" w:hAnsi="宋体" w:cs="宋体" w:eastAsia="宋体" w:hint="default"/>
                            <w:sz w:val="20"/>
                            <w:szCs w:val="20"/>
                          </w:rPr>
                        </w:pPr>
                        <w:r>
                          <w:rPr>
                            <w:rFonts w:ascii="宋体" w:hAnsi="宋体" w:cs="宋体" w:eastAsia="宋体" w:hint="default"/>
                            <w:sz w:val="20"/>
                            <w:szCs w:val="20"/>
                          </w:rPr>
                          <w:t>北京</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17"/>
                          <w:jc w:val="right"/>
                          <w:rPr>
                            <w:rFonts w:ascii="宋体" w:hAnsi="宋体" w:cs="宋体" w:eastAsia="宋体" w:hint="default"/>
                            <w:sz w:val="20"/>
                            <w:szCs w:val="20"/>
                          </w:rPr>
                        </w:pPr>
                        <w:r>
                          <w:rPr>
                            <w:rFonts w:ascii="宋体" w:hAnsi="宋体" w:cs="宋体" w:eastAsia="宋体" w:hint="default"/>
                            <w:w w:val="95"/>
                            <w:sz w:val="20"/>
                            <w:szCs w:val="20"/>
                          </w:rPr>
                          <w:t>生产型</w:t>
                        </w:r>
                        <w:r>
                          <w:rPr>
                            <w:rFonts w:ascii="宋体" w:hAnsi="宋体" w:cs="宋体" w:eastAsia="宋体" w:hint="default"/>
                            <w:sz w:val="20"/>
                            <w:szCs w:val="20"/>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4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700</w:t>
                        </w:r>
                        <w:r>
                          <w:rPr>
                            <w:rFonts w:ascii="宋体" w:hAnsi="宋体" w:cs="宋体" w:eastAsia="宋体" w:hint="default"/>
                            <w:sz w:val="20"/>
                            <w:szCs w:val="20"/>
                          </w:rPr>
                          <w:t>万美元</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0"/>
                          <w:jc w:val="center"/>
                          <w:rPr>
                            <w:rFonts w:ascii="Times New Roman" w:hAnsi="Times New Roman" w:cs="Times New Roman" w:eastAsia="Times New Roman" w:hint="default"/>
                            <w:sz w:val="20"/>
                            <w:szCs w:val="20"/>
                          </w:rPr>
                        </w:pPr>
                        <w:r>
                          <w:rPr>
                            <w:rFonts w:ascii="Times New Roman"/>
                            <w:sz w:val="20"/>
                          </w:rPr>
                          <w:t>75%</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100%</w:t>
                        </w:r>
                      </w:p>
                    </w:tc>
                  </w:tr>
                  <w:tr>
                    <w:trPr>
                      <w:trHeight w:val="553"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192" w:lineRule="exact" w:before="25"/>
                          <w:ind w:left="36" w:right="0"/>
                          <w:jc w:val="left"/>
                          <w:rPr>
                            <w:rFonts w:ascii="宋体" w:hAnsi="宋体" w:cs="宋体" w:eastAsia="宋体" w:hint="default"/>
                            <w:sz w:val="20"/>
                            <w:szCs w:val="20"/>
                          </w:rPr>
                        </w:pPr>
                        <w:r>
                          <w:rPr>
                            <w:rFonts w:ascii="宋体" w:hAnsi="宋体" w:cs="宋体" w:eastAsia="宋体" w:hint="default"/>
                            <w:sz w:val="20"/>
                            <w:szCs w:val="20"/>
                          </w:rPr>
                          <w:t>广州东港安全</w:t>
                        </w:r>
                      </w:p>
                      <w:p>
                        <w:pPr>
                          <w:pStyle w:val="TableParagraph"/>
                          <w:tabs>
                            <w:tab w:pos="1486" w:val="left" w:leader="none"/>
                          </w:tabs>
                          <w:spacing w:line="312" w:lineRule="exact"/>
                          <w:ind w:left="35" w:right="0"/>
                          <w:jc w:val="left"/>
                          <w:rPr>
                            <w:rFonts w:ascii="宋体" w:hAnsi="宋体" w:cs="宋体" w:eastAsia="宋体" w:hint="default"/>
                            <w:sz w:val="20"/>
                            <w:szCs w:val="20"/>
                          </w:rPr>
                        </w:pPr>
                        <w:r>
                          <w:rPr>
                            <w:rFonts w:ascii="宋体" w:hAnsi="宋体" w:cs="宋体" w:eastAsia="宋体" w:hint="default"/>
                            <w:position w:val="-11"/>
                            <w:sz w:val="20"/>
                            <w:szCs w:val="20"/>
                          </w:rPr>
                          <w:t>印刷有限公司</w:t>
                          <w:tab/>
                        </w:r>
                        <w:r>
                          <w:rPr>
                            <w:rFonts w:ascii="宋体" w:hAnsi="宋体" w:cs="宋体" w:eastAsia="宋体" w:hint="default"/>
                            <w:sz w:val="20"/>
                            <w:szCs w:val="20"/>
                          </w:rPr>
                          <w:t>79739514-1</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1"/>
                          <w:jc w:val="center"/>
                          <w:rPr>
                            <w:rFonts w:ascii="宋体" w:hAnsi="宋体" w:cs="宋体" w:eastAsia="宋体" w:hint="default"/>
                            <w:sz w:val="20"/>
                            <w:szCs w:val="20"/>
                          </w:rPr>
                        </w:pPr>
                        <w:r>
                          <w:rPr>
                            <w:rFonts w:ascii="宋体" w:hAnsi="宋体" w:cs="宋体" w:eastAsia="宋体" w:hint="default"/>
                            <w:sz w:val="20"/>
                            <w:szCs w:val="20"/>
                          </w:rPr>
                          <w:t>广州</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17"/>
                          <w:jc w:val="right"/>
                          <w:rPr>
                            <w:rFonts w:ascii="宋体" w:hAnsi="宋体" w:cs="宋体" w:eastAsia="宋体" w:hint="default"/>
                            <w:sz w:val="20"/>
                            <w:szCs w:val="20"/>
                          </w:rPr>
                        </w:pPr>
                        <w:r>
                          <w:rPr>
                            <w:rFonts w:ascii="宋体" w:hAnsi="宋体" w:cs="宋体" w:eastAsia="宋体" w:hint="default"/>
                            <w:w w:val="95"/>
                            <w:sz w:val="20"/>
                            <w:szCs w:val="20"/>
                          </w:rPr>
                          <w:t>生产型</w:t>
                        </w:r>
                        <w:r>
                          <w:rPr>
                            <w:rFonts w:ascii="宋体" w:hAnsi="宋体" w:cs="宋体" w:eastAsia="宋体" w:hint="default"/>
                            <w:sz w:val="20"/>
                            <w:szCs w:val="20"/>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45" w:right="0"/>
                          <w:jc w:val="center"/>
                          <w:rPr>
                            <w:rFonts w:ascii="Times New Roman" w:hAnsi="Times New Roman" w:cs="Times New Roman" w:eastAsia="Times New Roman" w:hint="default"/>
                            <w:sz w:val="20"/>
                            <w:szCs w:val="20"/>
                          </w:rPr>
                        </w:pPr>
                        <w:r>
                          <w:rPr>
                            <w:rFonts w:ascii="Times New Roman"/>
                            <w:sz w:val="20"/>
                          </w:rPr>
                          <w:t>1000</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90"/>
                          <w:jc w:val="center"/>
                          <w:rPr>
                            <w:rFonts w:ascii="Times New Roman" w:hAnsi="Times New Roman" w:cs="Times New Roman" w:eastAsia="Times New Roman" w:hint="default"/>
                            <w:sz w:val="20"/>
                            <w:szCs w:val="20"/>
                          </w:rPr>
                        </w:pPr>
                        <w:r>
                          <w:rPr>
                            <w:rFonts w:ascii="Times New Roman"/>
                            <w:sz w:val="20"/>
                          </w:rPr>
                          <w:t>75%</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0"/>
                          <w:jc w:val="center"/>
                          <w:rPr>
                            <w:rFonts w:ascii="Times New Roman" w:hAnsi="Times New Roman" w:cs="Times New Roman" w:eastAsia="Times New Roman" w:hint="default"/>
                            <w:sz w:val="20"/>
                            <w:szCs w:val="20"/>
                          </w:rPr>
                        </w:pPr>
                        <w:r>
                          <w:rPr>
                            <w:rFonts w:ascii="Times New Roman"/>
                            <w:sz w:val="20"/>
                          </w:rPr>
                          <w:t>100%</w:t>
                        </w:r>
                      </w:p>
                    </w:tc>
                  </w:tr>
                  <w:tr>
                    <w:trPr>
                      <w:trHeight w:val="491"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156" w:lineRule="exact"/>
                          <w:ind w:left="36" w:right="0"/>
                          <w:jc w:val="left"/>
                          <w:rPr>
                            <w:rFonts w:ascii="宋体" w:hAnsi="宋体" w:cs="宋体" w:eastAsia="宋体" w:hint="default"/>
                            <w:sz w:val="20"/>
                            <w:szCs w:val="20"/>
                          </w:rPr>
                        </w:pPr>
                        <w:r>
                          <w:rPr>
                            <w:rFonts w:ascii="宋体" w:hAnsi="宋体" w:cs="宋体" w:eastAsia="宋体" w:hint="default"/>
                            <w:sz w:val="20"/>
                            <w:szCs w:val="20"/>
                          </w:rPr>
                          <w:t>成都东港安全</w:t>
                        </w:r>
                      </w:p>
                      <w:p>
                        <w:pPr>
                          <w:pStyle w:val="TableParagraph"/>
                          <w:tabs>
                            <w:tab w:pos="1486" w:val="left" w:leader="none"/>
                          </w:tabs>
                          <w:spacing w:line="312" w:lineRule="exact"/>
                          <w:ind w:left="35" w:right="0"/>
                          <w:jc w:val="left"/>
                          <w:rPr>
                            <w:rFonts w:ascii="宋体" w:hAnsi="宋体" w:cs="宋体" w:eastAsia="宋体" w:hint="default"/>
                            <w:sz w:val="20"/>
                            <w:szCs w:val="20"/>
                          </w:rPr>
                        </w:pPr>
                        <w:r>
                          <w:rPr>
                            <w:rFonts w:ascii="宋体" w:hAnsi="宋体" w:cs="宋体" w:eastAsia="宋体" w:hint="default"/>
                            <w:position w:val="-11"/>
                            <w:sz w:val="20"/>
                            <w:szCs w:val="20"/>
                          </w:rPr>
                          <w:t>印刷有限公司</w:t>
                          <w:tab/>
                        </w:r>
                        <w:r>
                          <w:rPr>
                            <w:rFonts w:ascii="宋体" w:hAnsi="宋体" w:cs="宋体" w:eastAsia="宋体" w:hint="default"/>
                            <w:sz w:val="20"/>
                            <w:szCs w:val="20"/>
                          </w:rPr>
                          <w:t>66966012-3</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1"/>
                          <w:jc w:val="center"/>
                          <w:rPr>
                            <w:rFonts w:ascii="宋体" w:hAnsi="宋体" w:cs="宋体" w:eastAsia="宋体" w:hint="default"/>
                            <w:sz w:val="20"/>
                            <w:szCs w:val="20"/>
                          </w:rPr>
                        </w:pPr>
                        <w:r>
                          <w:rPr>
                            <w:rFonts w:ascii="宋体" w:hAnsi="宋体" w:cs="宋体" w:eastAsia="宋体" w:hint="default"/>
                            <w:sz w:val="20"/>
                            <w:szCs w:val="20"/>
                          </w:rPr>
                          <w:t>成都</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17"/>
                          <w:jc w:val="right"/>
                          <w:rPr>
                            <w:rFonts w:ascii="宋体" w:hAnsi="宋体" w:cs="宋体" w:eastAsia="宋体" w:hint="default"/>
                            <w:sz w:val="20"/>
                            <w:szCs w:val="20"/>
                          </w:rPr>
                        </w:pPr>
                        <w:r>
                          <w:rPr>
                            <w:rFonts w:ascii="宋体" w:hAnsi="宋体" w:cs="宋体" w:eastAsia="宋体" w:hint="default"/>
                            <w:w w:val="95"/>
                            <w:sz w:val="20"/>
                            <w:szCs w:val="20"/>
                          </w:rPr>
                          <w:t>生产型</w:t>
                        </w:r>
                        <w:r>
                          <w:rPr>
                            <w:rFonts w:ascii="宋体" w:hAnsi="宋体" w:cs="宋体" w:eastAsia="宋体" w:hint="default"/>
                            <w:sz w:val="20"/>
                            <w:szCs w:val="20"/>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45" w:right="0"/>
                          <w:jc w:val="center"/>
                          <w:rPr>
                            <w:rFonts w:ascii="Times New Roman" w:hAnsi="Times New Roman" w:cs="Times New Roman" w:eastAsia="Times New Roman" w:hint="default"/>
                            <w:sz w:val="20"/>
                            <w:szCs w:val="20"/>
                          </w:rPr>
                        </w:pPr>
                        <w:r>
                          <w:rPr>
                            <w:rFonts w:ascii="Times New Roman"/>
                            <w:sz w:val="20"/>
                          </w:rPr>
                          <w:t>500</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2"/>
                          <w:jc w:val="center"/>
                          <w:rPr>
                            <w:rFonts w:ascii="Times New Roman" w:hAnsi="Times New Roman" w:cs="Times New Roman" w:eastAsia="Times New Roman" w:hint="default"/>
                            <w:sz w:val="20"/>
                            <w:szCs w:val="20"/>
                          </w:rPr>
                        </w:pPr>
                        <w:r>
                          <w:rPr>
                            <w:rFonts w:ascii="Times New Roman"/>
                            <w:sz w:val="20"/>
                          </w:rPr>
                          <w:t>100%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
                          <w:jc w:val="center"/>
                          <w:rPr>
                            <w:rFonts w:ascii="Times New Roman" w:hAnsi="Times New Roman" w:cs="Times New Roman" w:eastAsia="Times New Roman" w:hint="default"/>
                            <w:sz w:val="20"/>
                            <w:szCs w:val="20"/>
                          </w:rPr>
                        </w:pPr>
                        <w:r>
                          <w:rPr>
                            <w:rFonts w:ascii="Times New Roman"/>
                            <w:sz w:val="20"/>
                          </w:rPr>
                          <w:t>100%</w:t>
                        </w:r>
                      </w:p>
                    </w:tc>
                  </w:tr>
                  <w:tr>
                    <w:trPr>
                      <w:trHeight w:val="348"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157" w:lineRule="exact"/>
                          <w:ind w:left="36" w:right="0"/>
                          <w:jc w:val="left"/>
                          <w:rPr>
                            <w:rFonts w:ascii="宋体" w:hAnsi="宋体" w:cs="宋体" w:eastAsia="宋体" w:hint="default"/>
                            <w:sz w:val="20"/>
                            <w:szCs w:val="20"/>
                          </w:rPr>
                        </w:pPr>
                        <w:r>
                          <w:rPr>
                            <w:rFonts w:ascii="宋体" w:hAnsi="宋体" w:cs="宋体" w:eastAsia="宋体" w:hint="default"/>
                            <w:sz w:val="20"/>
                            <w:szCs w:val="20"/>
                          </w:rPr>
                          <w:t>山东东港安全</w:t>
                        </w:r>
                      </w:p>
                      <w:p>
                        <w:pPr>
                          <w:pStyle w:val="TableParagraph"/>
                          <w:tabs>
                            <w:tab w:pos="1486" w:val="left" w:leader="none"/>
                          </w:tabs>
                          <w:spacing w:line="232" w:lineRule="exact"/>
                          <w:ind w:left="35" w:right="0"/>
                          <w:jc w:val="left"/>
                          <w:rPr>
                            <w:rFonts w:ascii="宋体" w:hAnsi="宋体" w:cs="宋体" w:eastAsia="宋体" w:hint="default"/>
                            <w:sz w:val="20"/>
                            <w:szCs w:val="20"/>
                          </w:rPr>
                        </w:pPr>
                        <w:r>
                          <w:rPr>
                            <w:rFonts w:ascii="宋体" w:hAnsi="宋体" w:cs="宋体" w:eastAsia="宋体" w:hint="default"/>
                            <w:position w:val="-11"/>
                            <w:sz w:val="20"/>
                            <w:szCs w:val="20"/>
                          </w:rPr>
                          <w:t>印刷有限公司</w:t>
                          <w:tab/>
                        </w:r>
                        <w:r>
                          <w:rPr>
                            <w:rFonts w:ascii="宋体" w:hAnsi="宋体" w:cs="宋体" w:eastAsia="宋体" w:hint="default"/>
                            <w:sz w:val="20"/>
                            <w:szCs w:val="20"/>
                          </w:rPr>
                          <w:t>66670371-4</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1"/>
                          <w:jc w:val="center"/>
                          <w:rPr>
                            <w:rFonts w:ascii="宋体" w:hAnsi="宋体" w:cs="宋体" w:eastAsia="宋体" w:hint="default"/>
                            <w:sz w:val="20"/>
                            <w:szCs w:val="20"/>
                          </w:rPr>
                        </w:pPr>
                        <w:r>
                          <w:rPr>
                            <w:rFonts w:ascii="宋体" w:hAnsi="宋体" w:cs="宋体" w:eastAsia="宋体" w:hint="default"/>
                            <w:sz w:val="20"/>
                            <w:szCs w:val="20"/>
                          </w:rPr>
                          <w:t>济南</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17"/>
                          <w:jc w:val="right"/>
                          <w:rPr>
                            <w:rFonts w:ascii="宋体" w:hAnsi="宋体" w:cs="宋体" w:eastAsia="宋体" w:hint="default"/>
                            <w:sz w:val="20"/>
                            <w:szCs w:val="20"/>
                          </w:rPr>
                        </w:pPr>
                        <w:r>
                          <w:rPr>
                            <w:rFonts w:ascii="宋体" w:hAnsi="宋体" w:cs="宋体" w:eastAsia="宋体" w:hint="default"/>
                            <w:w w:val="95"/>
                            <w:sz w:val="20"/>
                            <w:szCs w:val="20"/>
                          </w:rPr>
                          <w:t>生产型</w:t>
                        </w:r>
                        <w:r>
                          <w:rPr>
                            <w:rFonts w:ascii="宋体" w:hAnsi="宋体" w:cs="宋体" w:eastAsia="宋体" w:hint="default"/>
                            <w:sz w:val="20"/>
                            <w:szCs w:val="20"/>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45" w:right="0"/>
                          <w:jc w:val="center"/>
                          <w:rPr>
                            <w:rFonts w:ascii="Times New Roman" w:hAnsi="Times New Roman" w:cs="Times New Roman" w:eastAsia="Times New Roman" w:hint="default"/>
                            <w:sz w:val="20"/>
                            <w:szCs w:val="20"/>
                          </w:rPr>
                        </w:pPr>
                        <w:r>
                          <w:rPr>
                            <w:rFonts w:ascii="Times New Roman"/>
                            <w:sz w:val="20"/>
                          </w:rPr>
                          <w:t>3000</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92"/>
                          <w:jc w:val="center"/>
                          <w:rPr>
                            <w:rFonts w:ascii="Times New Roman" w:hAnsi="Times New Roman" w:cs="Times New Roman" w:eastAsia="Times New Roman" w:hint="default"/>
                            <w:sz w:val="20"/>
                            <w:szCs w:val="20"/>
                          </w:rPr>
                        </w:pPr>
                        <w:r>
                          <w:rPr>
                            <w:rFonts w:ascii="Times New Roman"/>
                            <w:sz w:val="20"/>
                          </w:rPr>
                          <w:t>100%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
                          <w:jc w:val="center"/>
                          <w:rPr>
                            <w:rFonts w:ascii="Times New Roman" w:hAnsi="Times New Roman" w:cs="Times New Roman" w:eastAsia="Times New Roman" w:hint="default"/>
                            <w:sz w:val="20"/>
                            <w:szCs w:val="20"/>
                          </w:rPr>
                        </w:pPr>
                        <w:r>
                          <w:rPr>
                            <w:rFonts w:ascii="Times New Roman"/>
                            <w:sz w:val="20"/>
                          </w:rPr>
                          <w:t>100%</w:t>
                        </w:r>
                      </w:p>
                    </w:tc>
                  </w:tr>
                </w:tbl>
                <w:p>
                  <w:pPr/>
                </w:p>
              </w:txbxContent>
            </v:textbox>
            <w10:wrap type="none"/>
          </v:shape>
        </w:pict>
      </w:r>
      <w:r>
        <w:rPr>
          <w:rFonts w:ascii="宋体" w:hAnsi="宋体" w:cs="宋体" w:eastAsia="宋体" w:hint="default"/>
          <w:sz w:val="18"/>
          <w:szCs w:val="18"/>
        </w:rPr>
        <w:t>（万元）</w:t>
      </w:r>
    </w:p>
    <w:p>
      <w:pPr>
        <w:spacing w:line="248" w:lineRule="exact" w:before="140"/>
        <w:ind w:left="228" w:right="-17" w:firstLine="0"/>
        <w:jc w:val="left"/>
        <w:rPr>
          <w:rFonts w:ascii="宋体" w:hAnsi="宋体" w:cs="宋体" w:eastAsia="宋体" w:hint="default"/>
          <w:sz w:val="20"/>
          <w:szCs w:val="20"/>
        </w:rPr>
      </w:pPr>
      <w:r>
        <w:rPr/>
        <w:br w:type="column"/>
      </w:r>
      <w:r>
        <w:rPr>
          <w:rFonts w:ascii="宋体" w:hAnsi="宋体" w:cs="宋体" w:eastAsia="宋体" w:hint="default"/>
          <w:sz w:val="20"/>
          <w:szCs w:val="20"/>
        </w:rPr>
        <w:t>本公司合</w:t>
      </w:r>
      <w:r>
        <w:rPr>
          <w:rFonts w:ascii="宋体" w:hAnsi="宋体" w:cs="宋体" w:eastAsia="宋体" w:hint="default"/>
          <w:w w:val="99"/>
          <w:sz w:val="20"/>
          <w:szCs w:val="20"/>
        </w:rPr>
        <w:t> </w:t>
      </w:r>
      <w:r>
        <w:rPr>
          <w:rFonts w:ascii="宋体" w:hAnsi="宋体" w:cs="宋体" w:eastAsia="宋体" w:hint="default"/>
          <w:sz w:val="20"/>
          <w:szCs w:val="20"/>
        </w:rPr>
        <w:t>计持股比</w:t>
      </w:r>
    </w:p>
    <w:p>
      <w:pPr>
        <w:spacing w:line="248" w:lineRule="exact" w:before="140"/>
        <w:ind w:left="134" w:right="336" w:firstLine="0"/>
        <w:jc w:val="left"/>
        <w:rPr>
          <w:rFonts w:ascii="宋体" w:hAnsi="宋体" w:cs="宋体" w:eastAsia="宋体" w:hint="default"/>
          <w:sz w:val="20"/>
          <w:szCs w:val="20"/>
        </w:rPr>
      </w:pPr>
      <w:r>
        <w:rPr/>
        <w:br w:type="column"/>
      </w:r>
      <w:r>
        <w:rPr>
          <w:rFonts w:ascii="宋体" w:hAnsi="宋体" w:cs="宋体" w:eastAsia="宋体" w:hint="default"/>
          <w:sz w:val="20"/>
          <w:szCs w:val="20"/>
        </w:rPr>
        <w:t>本公司合计</w:t>
      </w:r>
      <w:r>
        <w:rPr>
          <w:rFonts w:ascii="宋体" w:hAnsi="宋体" w:cs="宋体" w:eastAsia="宋体" w:hint="default"/>
          <w:spacing w:val="-97"/>
          <w:sz w:val="20"/>
          <w:szCs w:val="20"/>
        </w:rPr>
        <w:t> </w:t>
      </w:r>
      <w:r>
        <w:rPr>
          <w:rFonts w:ascii="宋体" w:hAnsi="宋体" w:cs="宋体" w:eastAsia="宋体" w:hint="default"/>
          <w:spacing w:val="-97"/>
          <w:sz w:val="20"/>
          <w:szCs w:val="20"/>
        </w:rPr>
      </w:r>
      <w:r>
        <w:rPr>
          <w:rFonts w:ascii="宋体" w:hAnsi="宋体" w:cs="宋体" w:eastAsia="宋体" w:hint="default"/>
          <w:sz w:val="20"/>
          <w:szCs w:val="20"/>
        </w:rPr>
        <w:t>拥有的表决</w:t>
      </w:r>
    </w:p>
    <w:p>
      <w:pPr>
        <w:spacing w:after="0" w:line="248" w:lineRule="exact"/>
        <w:jc w:val="left"/>
        <w:rPr>
          <w:rFonts w:ascii="宋体" w:hAnsi="宋体" w:cs="宋体" w:eastAsia="宋体" w:hint="default"/>
          <w:sz w:val="20"/>
          <w:szCs w:val="20"/>
        </w:rPr>
        <w:sectPr>
          <w:pgSz w:w="11910" w:h="16840"/>
          <w:pgMar w:header="840" w:footer="1712" w:top="1160" w:bottom="1900" w:left="1660" w:right="1500"/>
          <w:cols w:num="3" w:equalWidth="0">
            <w:col w:w="6143" w:space="40"/>
            <w:col w:w="1032" w:space="40"/>
            <w:col w:w="149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before="27"/>
        <w:ind w:left="617" w:right="1035"/>
        <w:jc w:val="left"/>
      </w:pPr>
      <w:r>
        <w:rPr/>
        <w:t>4、不存在控制关系的关联方</w:t>
      </w:r>
    </w:p>
    <w:p>
      <w:pPr>
        <w:spacing w:line="240" w:lineRule="auto" w:before="3"/>
        <w:rPr>
          <w:rFonts w:ascii="宋体" w:hAnsi="宋体" w:cs="宋体" w:eastAsia="宋体" w:hint="default"/>
          <w:sz w:val="14"/>
          <w:szCs w:val="14"/>
        </w:rPr>
      </w:pPr>
    </w:p>
    <w:tbl>
      <w:tblPr>
        <w:tblW w:w="0" w:type="auto"/>
        <w:jc w:val="left"/>
        <w:tblInd w:w="147" w:type="dxa"/>
        <w:tblLayout w:type="fixed"/>
        <w:tblCellMar>
          <w:top w:w="0" w:type="dxa"/>
          <w:left w:w="0" w:type="dxa"/>
          <w:bottom w:w="0" w:type="dxa"/>
          <w:right w:w="0" w:type="dxa"/>
        </w:tblCellMar>
        <w:tblLook w:val="01E0"/>
      </w:tblPr>
      <w:tblGrid>
        <w:gridCol w:w="3518"/>
        <w:gridCol w:w="508"/>
        <w:gridCol w:w="1559"/>
        <w:gridCol w:w="566"/>
        <w:gridCol w:w="2336"/>
      </w:tblGrid>
      <w:tr>
        <w:trPr>
          <w:trHeight w:val="454" w:hRule="exact"/>
        </w:trPr>
        <w:tc>
          <w:tcPr>
            <w:tcW w:w="3518"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1" w:right="0"/>
              <w:jc w:val="center"/>
              <w:rPr>
                <w:rFonts w:ascii="宋体" w:hAnsi="宋体" w:cs="宋体" w:eastAsia="宋体" w:hint="default"/>
                <w:sz w:val="20"/>
                <w:szCs w:val="20"/>
              </w:rPr>
            </w:pPr>
            <w:r>
              <w:rPr>
                <w:rFonts w:ascii="宋体" w:hAnsi="宋体" w:cs="宋体" w:eastAsia="宋体" w:hint="default"/>
                <w:sz w:val="20"/>
                <w:szCs w:val="20"/>
              </w:rPr>
              <w:t>关联方名称</w:t>
            </w:r>
          </w:p>
        </w:tc>
        <w:tc>
          <w:tcPr>
            <w:tcW w:w="508"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182" w:right="0"/>
              <w:jc w:val="left"/>
              <w:rPr>
                <w:rFonts w:ascii="宋体" w:hAnsi="宋体" w:cs="宋体" w:eastAsia="宋体" w:hint="default"/>
                <w:sz w:val="20"/>
                <w:szCs w:val="20"/>
              </w:rPr>
            </w:pPr>
            <w:r>
              <w:rPr>
                <w:rFonts w:ascii="宋体" w:hAnsi="宋体" w:cs="宋体" w:eastAsia="宋体" w:hint="default"/>
                <w:sz w:val="20"/>
                <w:szCs w:val="20"/>
              </w:rPr>
              <w:t>组织机构代码</w:t>
            </w:r>
          </w:p>
        </w:tc>
        <w:tc>
          <w:tcPr>
            <w:tcW w:w="56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single" w:sz="8" w:space="0" w:color="000000"/>
              <w:right w:val="nil" w:sz="6" w:space="0" w:color="auto"/>
            </w:tcBorders>
          </w:tcPr>
          <w:p>
            <w:pPr>
              <w:pStyle w:val="TableParagraph"/>
              <w:spacing w:line="240" w:lineRule="auto" w:before="37"/>
              <w:ind w:left="572" w:right="0"/>
              <w:jc w:val="left"/>
              <w:rPr>
                <w:rFonts w:ascii="宋体" w:hAnsi="宋体" w:cs="宋体" w:eastAsia="宋体" w:hint="default"/>
                <w:sz w:val="20"/>
                <w:szCs w:val="20"/>
              </w:rPr>
            </w:pPr>
            <w:r>
              <w:rPr>
                <w:rFonts w:ascii="宋体" w:hAnsi="宋体" w:cs="宋体" w:eastAsia="宋体" w:hint="default"/>
                <w:sz w:val="20"/>
                <w:szCs w:val="20"/>
              </w:rPr>
              <w:t>与本公司关系</w:t>
            </w:r>
          </w:p>
        </w:tc>
      </w:tr>
      <w:tr>
        <w:trPr>
          <w:trHeight w:val="334" w:hRule="exact"/>
        </w:trPr>
        <w:tc>
          <w:tcPr>
            <w:tcW w:w="3518"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0"/>
                <w:szCs w:val="20"/>
              </w:rPr>
            </w:pPr>
            <w:r>
              <w:rPr>
                <w:rFonts w:ascii="宋体" w:hAnsi="宋体" w:cs="宋体" w:eastAsia="宋体" w:hint="default"/>
                <w:sz w:val="20"/>
                <w:szCs w:val="20"/>
              </w:rPr>
              <w:t>青岛奥华纸业有限公司</w:t>
            </w:r>
          </w:p>
        </w:tc>
        <w:tc>
          <w:tcPr>
            <w:tcW w:w="508" w:type="dxa"/>
            <w:tcBorders>
              <w:top w:val="nil" w:sz="6" w:space="0" w:color="auto"/>
              <w:left w:val="nil" w:sz="6" w:space="0" w:color="auto"/>
              <w:bottom w:val="nil" w:sz="6" w:space="0" w:color="auto"/>
              <w:right w:val="nil" w:sz="6" w:space="0" w:color="auto"/>
            </w:tcBorders>
          </w:tcPr>
          <w:p>
            <w:pPr/>
          </w:p>
        </w:tc>
        <w:tc>
          <w:tcPr>
            <w:tcW w:w="1559"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0"/>
                <w:szCs w:val="20"/>
              </w:rPr>
            </w:pPr>
            <w:r>
              <w:rPr>
                <w:rFonts w:ascii="宋体"/>
                <w:sz w:val="20"/>
              </w:rPr>
              <w:t>61431270-3</w:t>
            </w:r>
          </w:p>
        </w:tc>
        <w:tc>
          <w:tcPr>
            <w:tcW w:w="566" w:type="dxa"/>
            <w:tcBorders>
              <w:top w:val="nil" w:sz="6" w:space="0" w:color="auto"/>
              <w:left w:val="nil" w:sz="6" w:space="0" w:color="auto"/>
              <w:bottom w:val="nil" w:sz="6" w:space="0" w:color="auto"/>
              <w:right w:val="nil" w:sz="6" w:space="0" w:color="auto"/>
            </w:tcBorders>
          </w:tcPr>
          <w:p>
            <w:pPr/>
          </w:p>
        </w:tc>
        <w:tc>
          <w:tcPr>
            <w:tcW w:w="2336" w:type="dxa"/>
            <w:tcBorders>
              <w:top w:val="single" w:sz="8" w:space="0" w:color="000000"/>
              <w:left w:val="nil" w:sz="6" w:space="0" w:color="auto"/>
              <w:bottom w:val="nil" w:sz="6" w:space="0" w:color="auto"/>
              <w:right w:val="nil" w:sz="6" w:space="0" w:color="auto"/>
            </w:tcBorders>
          </w:tcPr>
          <w:p>
            <w:pPr>
              <w:pStyle w:val="TableParagraph"/>
              <w:spacing w:line="240" w:lineRule="auto" w:before="2"/>
              <w:ind w:left="36" w:right="0"/>
              <w:jc w:val="left"/>
              <w:rPr>
                <w:rFonts w:ascii="宋体" w:hAnsi="宋体" w:cs="宋体" w:eastAsia="宋体" w:hint="default"/>
                <w:sz w:val="20"/>
                <w:szCs w:val="20"/>
              </w:rPr>
            </w:pPr>
            <w:r>
              <w:rPr>
                <w:rFonts w:ascii="宋体" w:hAnsi="宋体" w:cs="宋体" w:eastAsia="宋体" w:hint="default"/>
                <w:sz w:val="20"/>
                <w:szCs w:val="20"/>
              </w:rPr>
              <w:t>母公司参股企业</w:t>
            </w:r>
          </w:p>
        </w:tc>
      </w:tr>
      <w:tr>
        <w:trPr>
          <w:trHeight w:val="670" w:hRule="exact"/>
        </w:trPr>
        <w:tc>
          <w:tcPr>
            <w:tcW w:w="3518" w:type="dxa"/>
            <w:tcBorders>
              <w:top w:val="nil" w:sz="6" w:space="0" w:color="auto"/>
              <w:left w:val="nil" w:sz="6" w:space="0" w:color="auto"/>
              <w:bottom w:val="nil" w:sz="6" w:space="0" w:color="auto"/>
              <w:right w:val="nil" w:sz="6" w:space="0" w:color="auto"/>
            </w:tcBorders>
          </w:tcPr>
          <w:p>
            <w:pPr>
              <w:pStyle w:val="TableParagraph"/>
              <w:spacing w:line="292" w:lineRule="auto"/>
              <w:ind w:left="35" w:right="868"/>
              <w:jc w:val="left"/>
              <w:rPr>
                <w:rFonts w:ascii="宋体" w:hAnsi="宋体" w:cs="宋体" w:eastAsia="宋体" w:hint="default"/>
                <w:sz w:val="20"/>
                <w:szCs w:val="20"/>
              </w:rPr>
            </w:pPr>
            <w:r>
              <w:rPr>
                <w:rFonts w:ascii="宋体" w:hAnsi="宋体" w:cs="宋体" w:eastAsia="宋体" w:hint="default"/>
                <w:sz w:val="20"/>
                <w:szCs w:val="20"/>
              </w:rPr>
              <w:t>日照大地依索新建材有限公司</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宋体" w:hAnsi="宋体" w:cs="宋体" w:eastAsia="宋体" w:hint="default"/>
                <w:sz w:val="20"/>
                <w:szCs w:val="20"/>
              </w:rPr>
              <w:t>北京中嘉华投资咨询有限公司</w:t>
            </w:r>
          </w:p>
        </w:tc>
        <w:tc>
          <w:tcPr>
            <w:tcW w:w="508"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0"/>
                <w:szCs w:val="20"/>
              </w:rPr>
            </w:pPr>
            <w:r>
              <w:rPr>
                <w:rFonts w:ascii="宋体"/>
                <w:sz w:val="20"/>
              </w:rPr>
              <w:t>74568885-8</w:t>
            </w:r>
          </w:p>
          <w:p>
            <w:pPr>
              <w:pStyle w:val="TableParagraph"/>
              <w:spacing w:line="240" w:lineRule="auto" w:before="58"/>
              <w:ind w:left="35" w:right="0"/>
              <w:jc w:val="left"/>
              <w:rPr>
                <w:rFonts w:ascii="宋体" w:hAnsi="宋体" w:cs="宋体" w:eastAsia="宋体" w:hint="default"/>
                <w:sz w:val="20"/>
                <w:szCs w:val="20"/>
              </w:rPr>
            </w:pPr>
            <w:r>
              <w:rPr>
                <w:rFonts w:ascii="宋体"/>
                <w:sz w:val="20"/>
              </w:rPr>
              <w:t>73347967-x</w:t>
            </w:r>
          </w:p>
        </w:tc>
        <w:tc>
          <w:tcPr>
            <w:tcW w:w="56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92" w:lineRule="auto"/>
              <w:ind w:left="36" w:right="289"/>
              <w:jc w:val="left"/>
              <w:rPr>
                <w:rFonts w:ascii="宋体" w:hAnsi="宋体" w:cs="宋体" w:eastAsia="宋体" w:hint="default"/>
                <w:sz w:val="20"/>
                <w:szCs w:val="20"/>
              </w:rPr>
            </w:pPr>
            <w:r>
              <w:rPr>
                <w:rFonts w:ascii="宋体" w:hAnsi="宋体" w:cs="宋体" w:eastAsia="宋体" w:hint="default"/>
                <w:sz w:val="20"/>
                <w:szCs w:val="20"/>
              </w:rPr>
              <w:t>同受母公司控制的公司</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z w:val="20"/>
                <w:szCs w:val="20"/>
              </w:rPr>
              <w:t>本公司股东</w:t>
            </w:r>
          </w:p>
        </w:tc>
      </w:tr>
      <w:tr>
        <w:trPr>
          <w:trHeight w:val="357" w:hRule="exact"/>
        </w:trPr>
        <w:tc>
          <w:tcPr>
            <w:tcW w:w="351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浪潮电子信息产业股份有限公司</w:t>
            </w:r>
          </w:p>
        </w:tc>
        <w:tc>
          <w:tcPr>
            <w:tcW w:w="508"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sz w:val="20"/>
              </w:rPr>
              <w:t>70626660-1</w:t>
            </w:r>
          </w:p>
        </w:tc>
        <w:tc>
          <w:tcPr>
            <w:tcW w:w="56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6" w:right="0"/>
              <w:jc w:val="left"/>
              <w:rPr>
                <w:rFonts w:ascii="宋体" w:hAnsi="宋体" w:cs="宋体" w:eastAsia="宋体" w:hint="default"/>
                <w:sz w:val="20"/>
                <w:szCs w:val="20"/>
              </w:rPr>
            </w:pPr>
            <w:r>
              <w:rPr>
                <w:rFonts w:ascii="宋体" w:hAnsi="宋体" w:cs="宋体" w:eastAsia="宋体" w:hint="default"/>
                <w:sz w:val="20"/>
                <w:szCs w:val="20"/>
              </w:rPr>
              <w:t>本公司股东</w:t>
            </w:r>
          </w:p>
        </w:tc>
      </w:tr>
      <w:tr>
        <w:trPr>
          <w:trHeight w:val="368" w:hRule="exact"/>
        </w:trPr>
        <w:tc>
          <w:tcPr>
            <w:tcW w:w="351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20"/>
                <w:szCs w:val="20"/>
              </w:rPr>
            </w:pPr>
            <w:r>
              <w:rPr>
                <w:rFonts w:ascii="宋体" w:hAnsi="宋体" w:cs="宋体" w:eastAsia="宋体" w:hint="default"/>
                <w:sz w:val="20"/>
                <w:szCs w:val="20"/>
              </w:rPr>
              <w:t>济南发展国有工业资产经营有限公司</w:t>
            </w:r>
          </w:p>
        </w:tc>
        <w:tc>
          <w:tcPr>
            <w:tcW w:w="508"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20"/>
                <w:szCs w:val="20"/>
              </w:rPr>
            </w:pPr>
            <w:r>
              <w:rPr>
                <w:rFonts w:ascii="宋体"/>
                <w:sz w:val="20"/>
              </w:rPr>
              <w:t>86309373-2</w:t>
            </w:r>
          </w:p>
        </w:tc>
        <w:tc>
          <w:tcPr>
            <w:tcW w:w="566" w:type="dxa"/>
            <w:tcBorders>
              <w:top w:val="nil" w:sz="6" w:space="0" w:color="auto"/>
              <w:left w:val="nil" w:sz="6" w:space="0" w:color="auto"/>
              <w:bottom w:val="nil" w:sz="6" w:space="0" w:color="auto"/>
              <w:right w:val="nil" w:sz="6" w:space="0" w:color="auto"/>
            </w:tcBorders>
          </w:tcPr>
          <w:p>
            <w:pP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6"/>
              <w:ind w:left="36" w:right="0"/>
              <w:jc w:val="left"/>
              <w:rPr>
                <w:rFonts w:ascii="宋体" w:hAnsi="宋体" w:cs="宋体" w:eastAsia="宋体" w:hint="default"/>
                <w:sz w:val="20"/>
                <w:szCs w:val="20"/>
              </w:rPr>
            </w:pPr>
            <w:r>
              <w:rPr>
                <w:rFonts w:ascii="宋体" w:hAnsi="宋体" w:cs="宋体" w:eastAsia="宋体" w:hint="default"/>
                <w:sz w:val="20"/>
                <w:szCs w:val="20"/>
              </w:rPr>
              <w:t>本公司股东</w:t>
            </w:r>
          </w:p>
        </w:tc>
      </w:tr>
    </w:tbl>
    <w:p>
      <w:pPr>
        <w:spacing w:line="240" w:lineRule="auto" w:before="8"/>
        <w:rPr>
          <w:rFonts w:ascii="宋体" w:hAnsi="宋体" w:cs="宋体" w:eastAsia="宋体" w:hint="default"/>
          <w:sz w:val="12"/>
          <w:szCs w:val="12"/>
        </w:rPr>
      </w:pPr>
    </w:p>
    <w:p>
      <w:pPr>
        <w:pStyle w:val="BodyText"/>
        <w:spacing w:line="333" w:lineRule="auto" w:before="27"/>
        <w:ind w:left="617" w:right="201"/>
        <w:jc w:val="left"/>
      </w:pPr>
      <w:r>
        <w:rPr/>
        <w:t>（二）定价政策</w:t>
      </w:r>
      <w:r>
        <w:rPr>
          <w:spacing w:val="-2"/>
          <w:w w:val="100"/>
        </w:rPr>
        <w:t> </w:t>
      </w:r>
      <w:r>
        <w:rPr>
          <w:spacing w:val="-2"/>
        </w:rPr>
        <w:t>公司向关联方采购和销售货物、提供和接受劳务价格均依据市场价格确定。</w:t>
      </w:r>
      <w:r>
        <w:rPr>
          <w:spacing w:val="-83"/>
        </w:rPr>
        <w:t> </w:t>
      </w:r>
      <w:r>
        <w:rPr/>
        <w:t>公司向关联方购买设备参照国内同类设备市场价格。</w:t>
      </w:r>
      <w:r>
        <w:rPr>
          <w:spacing w:val="-2"/>
          <w:w w:val="100"/>
        </w:rPr>
        <w:t> </w:t>
      </w:r>
      <w:r>
        <w:rPr/>
        <w:t>公司厂房及办公用房租赁，租金价格参照济南市相同地区市场价格。</w:t>
      </w:r>
      <w:r>
        <w:rPr>
          <w:spacing w:val="-2"/>
          <w:w w:val="100"/>
        </w:rPr>
        <w:t> </w:t>
      </w:r>
      <w:r>
        <w:rPr/>
        <w:t>公司向关联方租赁设备的价格，根据该项设备的年折旧金额确定。</w:t>
      </w:r>
      <w:r>
        <w:rPr>
          <w:spacing w:val="-2"/>
          <w:w w:val="100"/>
        </w:rPr>
        <w:t> </w:t>
      </w:r>
      <w:r>
        <w:rPr/>
        <w:t>公司委托关联方加工，参照市场价格确定。</w:t>
      </w:r>
      <w:r>
        <w:rPr>
          <w:spacing w:val="-2"/>
          <w:w w:val="100"/>
        </w:rPr>
        <w:t> </w:t>
      </w:r>
      <w:r>
        <w:rPr>
          <w:spacing w:val="-5"/>
        </w:rPr>
        <w:t>本公司报告期内与关联方单位之间的交易皆签订合同、协议并以合同、协议</w:t>
      </w:r>
      <w:r>
        <w:rPr/>
      </w:r>
    </w:p>
    <w:p>
      <w:pPr>
        <w:pStyle w:val="BodyText"/>
        <w:spacing w:line="240" w:lineRule="auto" w:before="32"/>
        <w:ind w:right="1035"/>
        <w:jc w:val="left"/>
      </w:pPr>
      <w:r>
        <w:rPr/>
        <w:t>确定的结算方式进行价款结算。</w:t>
      </w:r>
    </w:p>
    <w:p>
      <w:pPr>
        <w:pStyle w:val="BodyText"/>
        <w:spacing w:line="336" w:lineRule="auto" w:before="125"/>
        <w:ind w:left="617" w:right="6203"/>
        <w:jc w:val="left"/>
      </w:pPr>
      <w:r>
        <w:rPr>
          <w:spacing w:val="-2"/>
        </w:rPr>
        <w:t>（三）关联方交易</w:t>
      </w:r>
      <w:r>
        <w:rPr>
          <w:spacing w:val="-111"/>
        </w:rPr>
        <w:t> </w:t>
      </w:r>
      <w:r>
        <w:rPr>
          <w:spacing w:val="-2"/>
        </w:rPr>
        <w:t>1、采购货物</w:t>
      </w:r>
      <w:r>
        <w:rPr/>
      </w:r>
    </w:p>
    <w:p>
      <w:pPr>
        <w:spacing w:after="0" w:line="336" w:lineRule="auto"/>
        <w:jc w:val="left"/>
        <w:sectPr>
          <w:type w:val="continuous"/>
          <w:pgSz w:w="11910" w:h="16840"/>
          <w:pgMar w:top="1060" w:bottom="1460" w:left="1660" w:right="15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2"/>
          <w:szCs w:val="12"/>
        </w:rPr>
      </w:pPr>
    </w:p>
    <w:p>
      <w:pPr>
        <w:spacing w:line="20" w:lineRule="exact"/>
        <w:ind w:left="2654" w:right="0" w:firstLine="0"/>
        <w:rPr>
          <w:rFonts w:ascii="宋体" w:hAnsi="宋体" w:cs="宋体" w:eastAsia="宋体" w:hint="default"/>
          <w:sz w:val="2"/>
          <w:szCs w:val="2"/>
        </w:rPr>
      </w:pPr>
      <w:r>
        <w:rPr>
          <w:rFonts w:ascii="宋体"/>
          <w:sz w:val="2"/>
        </w:rPr>
        <w:pict>
          <v:group style="width:155.85pt;height:1pt;mso-position-horizontal-relative:char;mso-position-vertical-relative:line" coordorigin="0,0" coordsize="3117,20">
            <v:group style="position:absolute;left:8;top:1;width:3098;height:2" coordorigin="8,1" coordsize="3098,2">
              <v:shape style="position:absolute;left:8;top:1;width:3098;height:2" coordorigin="8,1" coordsize="3098,0" path="m8,1l3106,1e" filled="false" stroked="true" strokeweight=".06pt" strokecolor="#000000">
                <v:path arrowok="t"/>
              </v:shape>
            </v:group>
            <v:group style="position:absolute;left:10;top:10;width:3098;height:2" coordorigin="10,10" coordsize="3098,2">
              <v:shape style="position:absolute;left:10;top:10;width:3098;height:2" coordorigin="10,10" coordsize="3098,0" path="m10,10l3107,10e" filled="false" stroked="true" strokeweight=".96002pt" strokecolor="#000000">
                <v:path arrowok="t"/>
              </v:shape>
            </v:group>
          </v:group>
        </w:pict>
      </w:r>
      <w:r>
        <w:rPr>
          <w:rFonts w:ascii="宋体"/>
          <w:sz w:val="2"/>
        </w:rPr>
      </w:r>
      <w:r>
        <w:rPr>
          <w:rFonts w:ascii="Times New Roman"/>
          <w:spacing w:val="66"/>
          <w:sz w:val="2"/>
        </w:rPr>
        <w:t> </w:t>
      </w:r>
      <w:r>
        <w:rPr>
          <w:rFonts w:ascii="宋体"/>
          <w:spacing w:val="66"/>
          <w:sz w:val="2"/>
        </w:rPr>
        <w:pict>
          <v:group style="width:156.7pt;height:1pt;mso-position-horizontal-relative:char;mso-position-vertical-relative:line" coordorigin="0,0" coordsize="3134,20">
            <v:group style="position:absolute;left:8;top:1;width:3114;height:2" coordorigin="8,1" coordsize="3114,2">
              <v:shape style="position:absolute;left:8;top:1;width:3114;height:2" coordorigin="8,1" coordsize="3114,0" path="m8,1l3122,1e" filled="false" stroked="true" strokeweight=".06pt" strokecolor="#000000">
                <v:path arrowok="t"/>
              </v:shape>
            </v:group>
            <v:group style="position:absolute;left:10;top:10;width:3114;height:2" coordorigin="10,10" coordsize="3114,2">
              <v:shape style="position:absolute;left:10;top:10;width:3114;height:2" coordorigin="10,10" coordsize="3114,0" path="m10,10l3124,10e" filled="false" stroked="true" strokeweight=".96002pt" strokecolor="#000000">
                <v:path arrowok="t"/>
              </v:shape>
            </v:group>
          </v:group>
        </w:pict>
      </w:r>
      <w:r>
        <w:rPr>
          <w:rFonts w:ascii="宋体"/>
          <w:spacing w:val="66"/>
          <w:sz w:val="2"/>
        </w:rPr>
      </w:r>
    </w:p>
    <w:p>
      <w:pPr>
        <w:spacing w:line="240" w:lineRule="auto" w:before="3"/>
        <w:rPr>
          <w:rFonts w:ascii="宋体" w:hAnsi="宋体" w:cs="宋体" w:eastAsia="宋体" w:hint="default"/>
          <w:sz w:val="13"/>
          <w:szCs w:val="13"/>
        </w:rPr>
      </w:pPr>
    </w:p>
    <w:p>
      <w:pPr>
        <w:spacing w:before="37"/>
        <w:ind w:left="0" w:right="2528" w:firstLine="0"/>
        <w:jc w:val="right"/>
        <w:rPr>
          <w:rFonts w:ascii="宋体" w:hAnsi="宋体" w:cs="宋体" w:eastAsia="宋体" w:hint="default"/>
          <w:sz w:val="20"/>
          <w:szCs w:val="20"/>
        </w:rPr>
      </w:pPr>
      <w:r>
        <w:rPr/>
        <w:pict>
          <v:shape style="position:absolute;margin-left:90.360001pt;margin-top:-28.150185pt;width:440.85pt;height:111.95pt;mso-position-horizontal-relative:page;mso-position-vertical-relative:paragraph;z-index:12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8"/>
                    <w:gridCol w:w="88"/>
                    <w:gridCol w:w="1535"/>
                    <w:gridCol w:w="1563"/>
                    <w:gridCol w:w="88"/>
                    <w:gridCol w:w="1513"/>
                    <w:gridCol w:w="89"/>
                    <w:gridCol w:w="1513"/>
                  </w:tblGrid>
                  <w:tr>
                    <w:trPr>
                      <w:trHeight w:val="380" w:hRule="exact"/>
                    </w:trPr>
                    <w:tc>
                      <w:tcPr>
                        <w:tcW w:w="561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7"/>
                          <w:ind w:right="1240"/>
                          <w:jc w:val="right"/>
                          <w:rPr>
                            <w:rFonts w:ascii="宋体" w:hAnsi="宋体" w:cs="宋体" w:eastAsia="宋体" w:hint="default"/>
                            <w:sz w:val="20"/>
                            <w:szCs w:val="20"/>
                          </w:rPr>
                        </w:pPr>
                        <w:r>
                          <w:rPr>
                            <w:rFonts w:ascii="宋体" w:hAnsi="宋体" w:cs="宋体" w:eastAsia="宋体" w:hint="default"/>
                            <w:w w:val="95"/>
                            <w:sz w:val="20"/>
                            <w:szCs w:val="20"/>
                          </w:rPr>
                          <w:t>本年数</w:t>
                        </w:r>
                        <w:r>
                          <w:rPr>
                            <w:rFonts w:ascii="宋体" w:hAnsi="宋体" w:cs="宋体" w:eastAsia="宋体" w:hint="default"/>
                            <w:sz w:val="20"/>
                            <w:szCs w:val="20"/>
                          </w:rPr>
                        </w:r>
                      </w:p>
                    </w:tc>
                    <w:tc>
                      <w:tcPr>
                        <w:tcW w:w="88" w:type="dxa"/>
                        <w:tcBorders>
                          <w:top w:val="nil" w:sz="6" w:space="0" w:color="auto"/>
                          <w:left w:val="nil" w:sz="6" w:space="0" w:color="auto"/>
                          <w:bottom w:val="nil" w:sz="6" w:space="0" w:color="auto"/>
                          <w:right w:val="nil" w:sz="6" w:space="0" w:color="auto"/>
                        </w:tcBorders>
                      </w:tcPr>
                      <w:p>
                        <w:pPr/>
                      </w:p>
                    </w:tc>
                    <w:tc>
                      <w:tcPr>
                        <w:tcW w:w="311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7"/>
                          <w:ind w:left="15" w:right="0"/>
                          <w:jc w:val="center"/>
                          <w:rPr>
                            <w:rFonts w:ascii="宋体" w:hAnsi="宋体" w:cs="宋体" w:eastAsia="宋体" w:hint="default"/>
                            <w:sz w:val="20"/>
                            <w:szCs w:val="20"/>
                          </w:rPr>
                        </w:pPr>
                        <w:r>
                          <w:rPr>
                            <w:rFonts w:ascii="宋体" w:hAnsi="宋体" w:cs="宋体" w:eastAsia="宋体" w:hint="default"/>
                            <w:sz w:val="20"/>
                            <w:szCs w:val="20"/>
                          </w:rPr>
                          <w:t>上年数</w:t>
                        </w:r>
                      </w:p>
                    </w:tc>
                  </w:tr>
                  <w:tr>
                    <w:trPr>
                      <w:trHeight w:val="444" w:hRule="exact"/>
                    </w:trPr>
                    <w:tc>
                      <w:tcPr>
                        <w:tcW w:w="8816" w:type="dxa"/>
                        <w:gridSpan w:val="8"/>
                        <w:tcBorders>
                          <w:top w:val="nil" w:sz="6" w:space="0" w:color="auto"/>
                          <w:left w:val="nil" w:sz="6" w:space="0" w:color="auto"/>
                          <w:bottom w:val="nil" w:sz="6" w:space="0" w:color="auto"/>
                          <w:right w:val="nil" w:sz="6" w:space="0" w:color="auto"/>
                        </w:tcBorders>
                      </w:tcPr>
                      <w:p>
                        <w:pPr>
                          <w:pStyle w:val="TableParagraph"/>
                          <w:spacing w:line="167" w:lineRule="exact" w:before="26"/>
                          <w:ind w:left="717" w:right="0"/>
                          <w:jc w:val="left"/>
                          <w:rPr>
                            <w:rFonts w:ascii="宋体" w:hAnsi="宋体" w:cs="宋体" w:eastAsia="宋体" w:hint="default"/>
                            <w:sz w:val="20"/>
                            <w:szCs w:val="20"/>
                          </w:rPr>
                        </w:pPr>
                        <w:r>
                          <w:rPr>
                            <w:rFonts w:ascii="宋体" w:hAnsi="宋体" w:cs="宋体" w:eastAsia="宋体" w:hint="default"/>
                            <w:sz w:val="20"/>
                            <w:szCs w:val="20"/>
                          </w:rPr>
                          <w:t>关联方名称</w:t>
                        </w:r>
                      </w:p>
                      <w:p>
                        <w:pPr>
                          <w:pStyle w:val="TableParagraph"/>
                          <w:tabs>
                            <w:tab w:pos="4160" w:val="left" w:leader="none"/>
                            <w:tab w:pos="7363" w:val="left" w:leader="none"/>
                          </w:tabs>
                          <w:spacing w:line="287" w:lineRule="exact"/>
                          <w:ind w:left="3077" w:right="0"/>
                          <w:jc w:val="left"/>
                          <w:rPr>
                            <w:rFonts w:ascii="宋体" w:hAnsi="宋体" w:cs="宋体" w:eastAsia="宋体" w:hint="default"/>
                            <w:sz w:val="20"/>
                            <w:szCs w:val="20"/>
                          </w:rPr>
                        </w:pPr>
                        <w:r>
                          <w:rPr>
                            <w:rFonts w:ascii="宋体" w:hAnsi="宋体" w:cs="宋体" w:eastAsia="宋体" w:hint="default"/>
                            <w:w w:val="95"/>
                            <w:position w:val="-11"/>
                            <w:sz w:val="20"/>
                            <w:szCs w:val="20"/>
                          </w:rPr>
                          <w:t>金额</w:t>
                          <w:tab/>
                        </w:r>
                        <w:r>
                          <w:rPr>
                            <w:rFonts w:ascii="宋体" w:hAnsi="宋体" w:cs="宋体" w:eastAsia="宋体" w:hint="default"/>
                            <w:sz w:val="20"/>
                            <w:szCs w:val="20"/>
                          </w:rPr>
                          <w:t>占公司全部同类</w:t>
                          <w:tab/>
                          <w:t>占公司全部同类</w:t>
                        </w:r>
                      </w:p>
                    </w:tc>
                  </w:tr>
                  <w:tr>
                    <w:trPr>
                      <w:trHeight w:val="293" w:hRule="exact"/>
                    </w:trPr>
                    <w:tc>
                      <w:tcPr>
                        <w:tcW w:w="2428" w:type="dxa"/>
                        <w:tcBorders>
                          <w:top w:val="nil" w:sz="6" w:space="0" w:color="auto"/>
                          <w:left w:val="nil" w:sz="6" w:space="0" w:color="auto"/>
                          <w:bottom w:val="single" w:sz="8" w:space="0" w:color="000000"/>
                          <w:right w:val="nil" w:sz="6" w:space="0" w:color="auto"/>
                        </w:tcBorders>
                      </w:tcPr>
                      <w:p>
                        <w:pPr/>
                      </w:p>
                    </w:tc>
                    <w:tc>
                      <w:tcPr>
                        <w:tcW w:w="88"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single" w:sz="8" w:space="0" w:color="000000"/>
                          <w:right w:val="nil" w:sz="6" w:space="0" w:color="auto"/>
                        </w:tcBorders>
                      </w:tcPr>
                      <w:p>
                        <w:pPr/>
                      </w:p>
                    </w:tc>
                    <w:tc>
                      <w:tcPr>
                        <w:tcW w:w="1563" w:type="dxa"/>
                        <w:tcBorders>
                          <w:top w:val="nil" w:sz="6" w:space="0" w:color="auto"/>
                          <w:left w:val="nil" w:sz="6" w:space="0" w:color="auto"/>
                          <w:bottom w:val="single" w:sz="8" w:space="0" w:color="000000"/>
                          <w:right w:val="nil" w:sz="6" w:space="0" w:color="auto"/>
                        </w:tcBorders>
                      </w:tcPr>
                      <w:p>
                        <w:pPr>
                          <w:pStyle w:val="TableParagraph"/>
                          <w:spacing w:line="161" w:lineRule="exact"/>
                          <w:ind w:right="46"/>
                          <w:jc w:val="right"/>
                          <w:rPr>
                            <w:rFonts w:ascii="宋体" w:hAnsi="宋体" w:cs="宋体" w:eastAsia="宋体" w:hint="default"/>
                            <w:sz w:val="20"/>
                            <w:szCs w:val="20"/>
                          </w:rPr>
                        </w:pPr>
                        <w:r>
                          <w:rPr>
                            <w:rFonts w:ascii="宋体" w:hAnsi="宋体" w:cs="宋体" w:eastAsia="宋体" w:hint="default"/>
                            <w:sz w:val="20"/>
                            <w:szCs w:val="20"/>
                          </w:rPr>
                          <w:t>交易的金额比例</w:t>
                        </w:r>
                      </w:p>
                    </w:tc>
                    <w:tc>
                      <w:tcPr>
                        <w:tcW w:w="88"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8" w:space="0" w:color="000000"/>
                          <w:right w:val="nil" w:sz="6" w:space="0" w:color="auto"/>
                        </w:tcBorders>
                      </w:tcPr>
                      <w:p>
                        <w:pPr/>
                      </w:p>
                    </w:tc>
                    <w:tc>
                      <w:tcPr>
                        <w:tcW w:w="89" w:type="dxa"/>
                        <w:tcBorders>
                          <w:top w:val="nil" w:sz="6" w:space="0" w:color="auto"/>
                          <w:left w:val="nil" w:sz="6" w:space="0" w:color="auto"/>
                          <w:bottom w:val="single" w:sz="8" w:space="0" w:color="000000"/>
                          <w:right w:val="nil" w:sz="6" w:space="0" w:color="auto"/>
                        </w:tcBorders>
                      </w:tcPr>
                      <w:p>
                        <w:pPr/>
                      </w:p>
                    </w:tc>
                    <w:tc>
                      <w:tcPr>
                        <w:tcW w:w="1513" w:type="dxa"/>
                        <w:tcBorders>
                          <w:top w:val="nil" w:sz="6" w:space="0" w:color="auto"/>
                          <w:left w:val="nil" w:sz="6" w:space="0" w:color="auto"/>
                          <w:bottom w:val="single" w:sz="8" w:space="0" w:color="000000"/>
                          <w:right w:val="nil" w:sz="6" w:space="0" w:color="auto"/>
                        </w:tcBorders>
                      </w:tcPr>
                      <w:p>
                        <w:pPr>
                          <w:pStyle w:val="TableParagraph"/>
                          <w:spacing w:line="161" w:lineRule="exact"/>
                          <w:ind w:right="46"/>
                          <w:jc w:val="right"/>
                          <w:rPr>
                            <w:rFonts w:ascii="宋体" w:hAnsi="宋体" w:cs="宋体" w:eastAsia="宋体" w:hint="default"/>
                            <w:sz w:val="20"/>
                            <w:szCs w:val="20"/>
                          </w:rPr>
                        </w:pPr>
                        <w:r>
                          <w:rPr>
                            <w:rFonts w:ascii="宋体" w:hAnsi="宋体" w:cs="宋体" w:eastAsia="宋体" w:hint="default"/>
                            <w:sz w:val="20"/>
                            <w:szCs w:val="20"/>
                          </w:rPr>
                          <w:t>交易的金额比例</w:t>
                        </w:r>
                      </w:p>
                    </w:tc>
                  </w:tr>
                  <w:tr>
                    <w:trPr>
                      <w:trHeight w:val="391" w:hRule="exact"/>
                    </w:trPr>
                    <w:tc>
                      <w:tcPr>
                        <w:tcW w:w="2428" w:type="dxa"/>
                        <w:tcBorders>
                          <w:top w:val="single" w:sz="8" w:space="0" w:color="000000"/>
                          <w:left w:val="nil" w:sz="6" w:space="0" w:color="auto"/>
                          <w:bottom w:val="nil" w:sz="6" w:space="0" w:color="auto"/>
                          <w:right w:val="nil" w:sz="6" w:space="0" w:color="auto"/>
                        </w:tcBorders>
                      </w:tcPr>
                      <w:p>
                        <w:pPr>
                          <w:pStyle w:val="TableParagraph"/>
                          <w:spacing w:line="240" w:lineRule="auto" w:before="32"/>
                          <w:ind w:left="115" w:right="0"/>
                          <w:jc w:val="left"/>
                          <w:rPr>
                            <w:rFonts w:ascii="宋体" w:hAnsi="宋体" w:cs="宋体" w:eastAsia="宋体" w:hint="default"/>
                            <w:sz w:val="20"/>
                            <w:szCs w:val="20"/>
                          </w:rPr>
                        </w:pPr>
                        <w:r>
                          <w:rPr>
                            <w:rFonts w:ascii="宋体" w:hAnsi="宋体" w:cs="宋体" w:eastAsia="宋体" w:hint="default"/>
                            <w:sz w:val="20"/>
                            <w:szCs w:val="20"/>
                          </w:rPr>
                          <w:t>北京中嘉华投资咨询公司</w:t>
                        </w:r>
                      </w:p>
                    </w:tc>
                    <w:tc>
                      <w:tcPr>
                        <w:tcW w:w="88" w:type="dxa"/>
                        <w:tcBorders>
                          <w:top w:val="nil" w:sz="6" w:space="0" w:color="auto"/>
                          <w:left w:val="nil" w:sz="6" w:space="0" w:color="auto"/>
                          <w:bottom w:val="nil" w:sz="6" w:space="0" w:color="auto"/>
                          <w:right w:val="nil" w:sz="6" w:space="0" w:color="auto"/>
                        </w:tcBorders>
                      </w:tcPr>
                      <w:p>
                        <w:pPr/>
                      </w:p>
                    </w:tc>
                    <w:tc>
                      <w:tcPr>
                        <w:tcW w:w="1535" w:type="dxa"/>
                        <w:tcBorders>
                          <w:top w:val="single" w:sz="8" w:space="0" w:color="000000"/>
                          <w:left w:val="nil" w:sz="6" w:space="0" w:color="auto"/>
                          <w:bottom w:val="nil" w:sz="6" w:space="0" w:color="auto"/>
                          <w:right w:val="nil" w:sz="6" w:space="0" w:color="auto"/>
                        </w:tcBorders>
                      </w:tcPr>
                      <w:p>
                        <w:pPr/>
                      </w:p>
                    </w:tc>
                    <w:tc>
                      <w:tcPr>
                        <w:tcW w:w="1563" w:type="dxa"/>
                        <w:tcBorders>
                          <w:top w:val="single" w:sz="8" w:space="0" w:color="000000"/>
                          <w:left w:val="nil" w:sz="6" w:space="0" w:color="auto"/>
                          <w:bottom w:val="nil" w:sz="6" w:space="0" w:color="auto"/>
                          <w:right w:val="nil" w:sz="6" w:space="0" w:color="auto"/>
                        </w:tcBorders>
                      </w:tcPr>
                      <w:p>
                        <w:pPr/>
                      </w:p>
                    </w:tc>
                    <w:tc>
                      <w:tcPr>
                        <w:tcW w:w="88" w:type="dxa"/>
                        <w:tcBorders>
                          <w:top w:val="nil" w:sz="6" w:space="0" w:color="auto"/>
                          <w:left w:val="nil" w:sz="6" w:space="0" w:color="auto"/>
                          <w:bottom w:val="nil" w:sz="6" w:space="0" w:color="auto"/>
                          <w:right w:val="nil" w:sz="6" w:space="0" w:color="auto"/>
                        </w:tcBorders>
                      </w:tcPr>
                      <w:p>
                        <w:pPr/>
                      </w:p>
                    </w:tc>
                    <w:tc>
                      <w:tcPr>
                        <w:tcW w:w="1513"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right="85"/>
                          <w:jc w:val="right"/>
                          <w:rPr>
                            <w:rFonts w:ascii="Times New Roman" w:hAnsi="Times New Roman" w:cs="Times New Roman" w:eastAsia="Times New Roman" w:hint="default"/>
                            <w:sz w:val="20"/>
                            <w:szCs w:val="20"/>
                          </w:rPr>
                        </w:pPr>
                        <w:r>
                          <w:rPr>
                            <w:rFonts w:ascii="Times New Roman"/>
                            <w:sz w:val="20"/>
                          </w:rPr>
                          <w:t>45,667.47</w:t>
                        </w:r>
                      </w:p>
                    </w:tc>
                    <w:tc>
                      <w:tcPr>
                        <w:tcW w:w="89" w:type="dxa"/>
                        <w:tcBorders>
                          <w:top w:val="single" w:sz="8" w:space="0" w:color="000000"/>
                          <w:left w:val="nil" w:sz="6" w:space="0" w:color="auto"/>
                          <w:bottom w:val="nil" w:sz="6" w:space="0" w:color="auto"/>
                          <w:right w:val="nil" w:sz="6" w:space="0" w:color="auto"/>
                        </w:tcBorders>
                      </w:tcPr>
                      <w:p>
                        <w:pPr/>
                      </w:p>
                    </w:tc>
                    <w:tc>
                      <w:tcPr>
                        <w:tcW w:w="1513" w:type="dxa"/>
                        <w:tcBorders>
                          <w:top w:val="single" w:sz="8" w:space="0" w:color="000000"/>
                          <w:left w:val="nil" w:sz="6" w:space="0" w:color="auto"/>
                          <w:bottom w:val="nil" w:sz="6" w:space="0" w:color="auto"/>
                          <w:right w:val="nil" w:sz="6" w:space="0" w:color="auto"/>
                        </w:tcBorders>
                      </w:tcPr>
                      <w:p>
                        <w:pPr>
                          <w:pStyle w:val="TableParagraph"/>
                          <w:spacing w:line="240" w:lineRule="auto" w:before="65"/>
                          <w:ind w:right="19"/>
                          <w:jc w:val="right"/>
                          <w:rPr>
                            <w:rFonts w:ascii="Times New Roman" w:hAnsi="Times New Roman" w:cs="Times New Roman" w:eastAsia="Times New Roman" w:hint="default"/>
                            <w:sz w:val="20"/>
                            <w:szCs w:val="20"/>
                          </w:rPr>
                        </w:pPr>
                        <w:r>
                          <w:rPr>
                            <w:rFonts w:ascii="Times New Roman"/>
                            <w:w w:val="95"/>
                            <w:sz w:val="20"/>
                          </w:rPr>
                          <w:t>0.07%</w:t>
                        </w:r>
                        <w:r>
                          <w:rPr>
                            <w:rFonts w:ascii="Times New Roman"/>
                            <w:sz w:val="20"/>
                          </w:rPr>
                        </w:r>
                      </w:p>
                    </w:tc>
                  </w:tr>
                  <w:tr>
                    <w:trPr>
                      <w:trHeight w:val="360" w:hRule="exact"/>
                    </w:trPr>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0"/>
                            <w:szCs w:val="20"/>
                          </w:rPr>
                        </w:pPr>
                        <w:r>
                          <w:rPr>
                            <w:rFonts w:ascii="宋体" w:hAnsi="宋体" w:cs="宋体" w:eastAsia="宋体" w:hint="default"/>
                            <w:sz w:val="20"/>
                            <w:szCs w:val="20"/>
                          </w:rPr>
                          <w:t>青岛奥华纸业有限公司</w:t>
                        </w:r>
                      </w:p>
                    </w:tc>
                    <w:tc>
                      <w:tcPr>
                        <w:tcW w:w="88"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20"/>
                            <w:szCs w:val="20"/>
                          </w:rPr>
                        </w:pPr>
                        <w:r>
                          <w:rPr>
                            <w:rFonts w:ascii="Times New Roman"/>
                            <w:sz w:val="20"/>
                          </w:rPr>
                          <w:t>25,873,327.65</w:t>
                        </w:r>
                      </w:p>
                    </w:tc>
                    <w:tc>
                      <w:tcPr>
                        <w:tcW w:w="1563"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36"/>
                          <w:jc w:val="right"/>
                          <w:rPr>
                            <w:rFonts w:ascii="Times New Roman" w:hAnsi="Times New Roman" w:cs="Times New Roman" w:eastAsia="Times New Roman" w:hint="default"/>
                            <w:sz w:val="20"/>
                            <w:szCs w:val="20"/>
                          </w:rPr>
                        </w:pPr>
                        <w:r>
                          <w:rPr>
                            <w:rFonts w:ascii="Times New Roman"/>
                            <w:sz w:val="20"/>
                          </w:rPr>
                          <w:t>15.14%</w:t>
                        </w:r>
                      </w:p>
                    </w:tc>
                    <w:tc>
                      <w:tcPr>
                        <w:tcW w:w="88"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86"/>
                          <w:jc w:val="right"/>
                          <w:rPr>
                            <w:rFonts w:ascii="Times New Roman" w:hAnsi="Times New Roman" w:cs="Times New Roman" w:eastAsia="Times New Roman" w:hint="default"/>
                            <w:sz w:val="20"/>
                            <w:szCs w:val="20"/>
                          </w:rPr>
                        </w:pPr>
                        <w:r>
                          <w:rPr>
                            <w:rFonts w:ascii="Times New Roman"/>
                            <w:sz w:val="20"/>
                          </w:rPr>
                          <w:t>24,467,526.86</w:t>
                        </w:r>
                      </w:p>
                    </w:tc>
                    <w:tc>
                      <w:tcPr>
                        <w:tcW w:w="89"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20"/>
                          <w:jc w:val="right"/>
                          <w:rPr>
                            <w:rFonts w:ascii="Times New Roman" w:hAnsi="Times New Roman" w:cs="Times New Roman" w:eastAsia="Times New Roman" w:hint="default"/>
                            <w:sz w:val="20"/>
                            <w:szCs w:val="20"/>
                          </w:rPr>
                        </w:pPr>
                        <w:r>
                          <w:rPr>
                            <w:rFonts w:ascii="Times New Roman"/>
                            <w:sz w:val="20"/>
                          </w:rPr>
                          <w:t>35.52%</w:t>
                        </w:r>
                      </w:p>
                    </w:tc>
                  </w:tr>
                  <w:tr>
                    <w:trPr>
                      <w:trHeight w:val="351" w:hRule="exact"/>
                    </w:trPr>
                    <w:tc>
                      <w:tcPr>
                        <w:tcW w:w="2428"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35"/>
                          <w:ind w:left="11"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88" w:type="dxa"/>
                        <w:tcBorders>
                          <w:top w:val="nil" w:sz="6" w:space="0" w:color="auto"/>
                          <w:left w:val="nil" w:sz="6" w:space="0" w:color="auto"/>
                          <w:bottom w:val="nil" w:sz="6" w:space="0" w:color="auto"/>
                          <w:right w:val="nil" w:sz="6" w:space="0" w:color="auto"/>
                        </w:tcBorders>
                      </w:tcPr>
                      <w:p>
                        <w:pPr/>
                      </w:p>
                    </w:tc>
                    <w:tc>
                      <w:tcPr>
                        <w:tcW w:w="1535"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20"/>
                            <w:szCs w:val="20"/>
                          </w:rPr>
                        </w:pPr>
                        <w:r>
                          <w:rPr>
                            <w:rFonts w:ascii="Times New Roman"/>
                            <w:sz w:val="20"/>
                          </w:rPr>
                          <w:t>25,873,327.65</w:t>
                        </w:r>
                      </w:p>
                    </w:tc>
                    <w:tc>
                      <w:tcPr>
                        <w:tcW w:w="1563"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36"/>
                          <w:jc w:val="right"/>
                          <w:rPr>
                            <w:rFonts w:ascii="Times New Roman" w:hAnsi="Times New Roman" w:cs="Times New Roman" w:eastAsia="Times New Roman" w:hint="default"/>
                            <w:sz w:val="20"/>
                            <w:szCs w:val="20"/>
                          </w:rPr>
                        </w:pPr>
                        <w:r>
                          <w:rPr>
                            <w:rFonts w:ascii="Times New Roman"/>
                            <w:sz w:val="20"/>
                          </w:rPr>
                          <w:t>15.14%</w:t>
                        </w:r>
                      </w:p>
                    </w:tc>
                    <w:tc>
                      <w:tcPr>
                        <w:tcW w:w="88" w:type="dxa"/>
                        <w:tcBorders>
                          <w:top w:val="nil" w:sz="6" w:space="0" w:color="auto"/>
                          <w:left w:val="nil" w:sz="6" w:space="0" w:color="auto"/>
                          <w:bottom w:val="nil" w:sz="6" w:space="0" w:color="auto"/>
                          <w:right w:val="nil" w:sz="6" w:space="0" w:color="auto"/>
                        </w:tcBorders>
                      </w:tcPr>
                      <w:p>
                        <w:pPr/>
                      </w:p>
                    </w:tc>
                    <w:tc>
                      <w:tcPr>
                        <w:tcW w:w="1513"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86"/>
                          <w:jc w:val="right"/>
                          <w:rPr>
                            <w:rFonts w:ascii="Times New Roman" w:hAnsi="Times New Roman" w:cs="Times New Roman" w:eastAsia="Times New Roman" w:hint="default"/>
                            <w:sz w:val="20"/>
                            <w:szCs w:val="20"/>
                          </w:rPr>
                        </w:pPr>
                        <w:r>
                          <w:rPr>
                            <w:rFonts w:ascii="Times New Roman"/>
                            <w:sz w:val="20"/>
                          </w:rPr>
                          <w:t>24,513,194.33</w:t>
                        </w:r>
                      </w:p>
                    </w:tc>
                    <w:tc>
                      <w:tcPr>
                        <w:tcW w:w="89" w:type="dxa"/>
                        <w:tcBorders>
                          <w:top w:val="nil" w:sz="6" w:space="0" w:color="auto"/>
                          <w:left w:val="nil" w:sz="6" w:space="0" w:color="auto"/>
                          <w:bottom w:val="nil" w:sz="6" w:space="0" w:color="auto"/>
                          <w:right w:val="nil" w:sz="6" w:space="0" w:color="auto"/>
                        </w:tcBorders>
                      </w:tcPr>
                      <w:p>
                        <w:pPr/>
                      </w:p>
                    </w:tc>
                    <w:tc>
                      <w:tcPr>
                        <w:tcW w:w="1513"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37"/>
                          <w:jc w:val="right"/>
                          <w:rPr>
                            <w:rFonts w:ascii="Times New Roman" w:hAnsi="Times New Roman" w:cs="Times New Roman" w:eastAsia="Times New Roman" w:hint="default"/>
                            <w:sz w:val="20"/>
                            <w:szCs w:val="20"/>
                          </w:rPr>
                        </w:pPr>
                        <w:r>
                          <w:rPr>
                            <w:rFonts w:ascii="Times New Roman"/>
                            <w:sz w:val="20"/>
                          </w:rPr>
                          <w:t>35.59%</w:t>
                        </w:r>
                      </w:p>
                    </w:tc>
                  </w:tr>
                </w:tbl>
                <w:p>
                  <w:pPr/>
                </w:p>
              </w:txbxContent>
            </v:textbox>
            <w10:wrap type="none"/>
          </v:shape>
        </w:pict>
      </w:r>
      <w:r>
        <w:rPr>
          <w:rFonts w:ascii="宋体" w:hAnsi="宋体" w:cs="宋体" w:eastAsia="宋体" w:hint="default"/>
          <w:sz w:val="20"/>
          <w:szCs w:val="20"/>
        </w:rPr>
        <w:t>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spacing w:line="20" w:lineRule="exact"/>
        <w:ind w:left="2654" w:right="0" w:firstLine="0"/>
        <w:rPr>
          <w:rFonts w:ascii="宋体" w:hAnsi="宋体" w:cs="宋体" w:eastAsia="宋体" w:hint="default"/>
          <w:sz w:val="2"/>
          <w:szCs w:val="2"/>
        </w:rPr>
      </w:pPr>
      <w:r>
        <w:rPr>
          <w:rFonts w:ascii="宋体"/>
          <w:sz w:val="2"/>
        </w:rPr>
        <w:pict>
          <v:group style="width:155.8pt;height:.9pt;mso-position-horizontal-relative:char;mso-position-vertical-relative:line" coordorigin="0,0" coordsize="3116,18">
            <v:group style="position:absolute;left:9;top:9;width:1512;height:2" coordorigin="9,9" coordsize="1512,2">
              <v:shape style="position:absolute;left:9;top:9;width:1512;height:2" coordorigin="9,9" coordsize="1512,0" path="m9,9l1521,9e" filled="false" stroked="true" strokeweight=".89996pt" strokecolor="#000000">
                <v:path arrowok="t"/>
              </v:shape>
            </v:group>
            <v:group style="position:absolute;left:1593;top:9;width:1514;height:2" coordorigin="1593,9" coordsize="1514,2">
              <v:shape style="position:absolute;left:1593;top:9;width:1514;height:2" coordorigin="1593,9" coordsize="1514,0" path="m1593,9l3106,9e" filled="false" stroked="true" strokeweight=".89996pt" strokecolor="#000000">
                <v:path arrowok="t"/>
              </v:shape>
            </v:group>
          </v:group>
        </w:pict>
      </w:r>
      <w:r>
        <w:rPr>
          <w:rFonts w:ascii="宋体"/>
          <w:sz w:val="2"/>
        </w:rPr>
      </w:r>
      <w:r>
        <w:rPr>
          <w:rFonts w:ascii="Times New Roman"/>
          <w:spacing w:val="65"/>
          <w:sz w:val="2"/>
        </w:rPr>
        <w:t> </w:t>
      </w:r>
      <w:r>
        <w:rPr>
          <w:rFonts w:ascii="宋体"/>
          <w:spacing w:val="65"/>
          <w:sz w:val="2"/>
        </w:rPr>
        <w:pict>
          <v:group style="width:76.5pt;height:.9pt;mso-position-horizontal-relative:char;mso-position-vertical-relative:line" coordorigin="0,0" coordsize="1530,18">
            <v:group style="position:absolute;left:9;top:9;width:1512;height:2" coordorigin="9,9" coordsize="1512,2">
              <v:shape style="position:absolute;left:9;top:9;width:1512;height:2" coordorigin="9,9" coordsize="1512,0" path="m9,9l1521,9e" filled="false" stroked="true" strokeweight=".89996pt" strokecolor="#000000">
                <v:path arrowok="t"/>
              </v:shape>
            </v:group>
          </v:group>
        </w:pict>
      </w:r>
      <w:r>
        <w:rPr>
          <w:rFonts w:ascii="宋体"/>
          <w:spacing w:val="65"/>
          <w:sz w:val="2"/>
        </w:rPr>
      </w:r>
      <w:r>
        <w:rPr>
          <w:rFonts w:ascii="Times New Roman"/>
          <w:spacing w:val="66"/>
          <w:sz w:val="2"/>
        </w:rPr>
        <w:t> </w:t>
      </w:r>
      <w:r>
        <w:rPr>
          <w:rFonts w:ascii="宋体"/>
          <w:spacing w:val="66"/>
          <w:sz w:val="2"/>
        </w:rPr>
        <w:pict>
          <v:group style="width:76.6pt;height:.9pt;mso-position-horizontal-relative:char;mso-position-vertical-relative:line" coordorigin="0,0" coordsize="1532,18">
            <v:group style="position:absolute;left:9;top:9;width:1514;height:2" coordorigin="9,9" coordsize="1514,2">
              <v:shape style="position:absolute;left:9;top:9;width:1514;height:2" coordorigin="9,9" coordsize="1514,0" path="m9,9l1522,9e" filled="false" stroked="true" strokeweight=".89996pt" strokecolor="#000000">
                <v:path arrowok="t"/>
              </v:shape>
            </v:group>
          </v:group>
        </w:pict>
      </w:r>
      <w:r>
        <w:rPr>
          <w:rFonts w:ascii="宋体"/>
          <w:spacing w:val="66"/>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27"/>
        <w:ind w:left="620" w:right="0"/>
        <w:jc w:val="left"/>
      </w:pPr>
      <w:r>
        <w:rPr>
          <w:spacing w:val="-2"/>
        </w:rPr>
        <w:t>2、销售货物</w:t>
      </w:r>
      <w:r>
        <w:rPr/>
      </w:r>
    </w:p>
    <w:p>
      <w:pPr>
        <w:spacing w:line="240" w:lineRule="auto" w:before="8"/>
        <w:rPr>
          <w:rFonts w:ascii="宋体" w:hAnsi="宋体" w:cs="宋体" w:eastAsia="宋体" w:hint="default"/>
          <w:sz w:val="8"/>
          <w:szCs w:val="8"/>
        </w:rPr>
      </w:pPr>
    </w:p>
    <w:p>
      <w:pPr>
        <w:tabs>
          <w:tab w:pos="7113" w:val="left" w:leader="none"/>
        </w:tabs>
        <w:spacing w:before="37"/>
        <w:ind w:left="3917" w:right="0" w:firstLine="0"/>
        <w:jc w:val="left"/>
        <w:rPr>
          <w:rFonts w:ascii="宋体" w:hAnsi="宋体" w:cs="宋体" w:eastAsia="宋体" w:hint="default"/>
          <w:sz w:val="20"/>
          <w:szCs w:val="20"/>
        </w:rPr>
      </w:pPr>
      <w:r>
        <w:rPr/>
        <w:pict>
          <v:group style="position:absolute;margin-left:215.699997pt;margin-top:18.479982pt;width:155.85pt;height:1pt;mso-position-horizontal-relative:page;mso-position-vertical-relative:paragraph;z-index:12304" coordorigin="4314,370" coordsize="3117,20">
            <v:group style="position:absolute;left:4322;top:370;width:3098;height:2" coordorigin="4322,370" coordsize="3098,2">
              <v:shape style="position:absolute;left:4322;top:370;width:3098;height:2" coordorigin="4322,370" coordsize="3098,0" path="m4322,370l7420,370e" filled="false" stroked="true" strokeweight=".06pt" strokecolor="#000000">
                <v:path arrowok="t"/>
              </v:shape>
            </v:group>
            <v:group style="position:absolute;left:4324;top:380;width:3098;height:2" coordorigin="4324,380" coordsize="3098,2">
              <v:shape style="position:absolute;left:4324;top:380;width:3098;height:2" coordorigin="4324,380" coordsize="3098,0" path="m4324,380l7421,380e" filled="false" stroked="true" strokeweight=".96002pt" strokecolor="#000000">
                <v:path arrowok="t"/>
              </v:shape>
            </v:group>
            <w10:wrap type="none"/>
          </v:group>
        </w:pict>
      </w:r>
      <w:r>
        <w:rPr>
          <w:rFonts w:ascii="宋体" w:hAnsi="宋体" w:cs="宋体" w:eastAsia="宋体" w:hint="default"/>
          <w:w w:val="95"/>
          <w:sz w:val="20"/>
          <w:szCs w:val="20"/>
        </w:rPr>
        <w:t>本年数</w:t>
        <w:tab/>
      </w:r>
      <w:r>
        <w:rPr>
          <w:rFonts w:ascii="宋体" w:hAnsi="宋体" w:cs="宋体" w:eastAsia="宋体" w:hint="default"/>
          <w:sz w:val="20"/>
          <w:szCs w:val="20"/>
        </w:rPr>
        <w:t>上年数</w:t>
      </w:r>
    </w:p>
    <w:p>
      <w:pPr>
        <w:spacing w:after="0"/>
        <w:jc w:val="left"/>
        <w:rPr>
          <w:rFonts w:ascii="宋体" w:hAnsi="宋体" w:cs="宋体" w:eastAsia="宋体" w:hint="default"/>
          <w:sz w:val="20"/>
          <w:szCs w:val="20"/>
        </w:rPr>
        <w:sectPr>
          <w:headerReference w:type="default" r:id="rId58"/>
          <w:pgSz w:w="11910" w:h="16840"/>
          <w:pgMar w:header="915" w:footer="1712" w:top="1100" w:bottom="1900" w:left="1660" w:right="900"/>
        </w:sectPr>
      </w:pPr>
    </w:p>
    <w:p>
      <w:pPr>
        <w:spacing w:before="106"/>
        <w:ind w:left="864" w:right="-13" w:firstLine="0"/>
        <w:jc w:val="left"/>
        <w:rPr>
          <w:rFonts w:ascii="宋体" w:hAnsi="宋体" w:cs="宋体" w:eastAsia="宋体" w:hint="default"/>
          <w:sz w:val="20"/>
          <w:szCs w:val="20"/>
        </w:rPr>
      </w:pPr>
      <w:r>
        <w:rPr/>
        <w:pict>
          <v:shape style="position:absolute;margin-left:90.360001pt;margin-top:24.400757pt;width:440.85pt;height:53.4pt;mso-position-horizontal-relative:page;mso-position-vertical-relative:paragraph;z-index:12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8"/>
                    <w:gridCol w:w="88"/>
                    <w:gridCol w:w="1535"/>
                    <w:gridCol w:w="1563"/>
                    <w:gridCol w:w="88"/>
                    <w:gridCol w:w="1513"/>
                    <w:gridCol w:w="89"/>
                    <w:gridCol w:w="1513"/>
                  </w:tblGrid>
                  <w:tr>
                    <w:trPr>
                      <w:trHeight w:val="329" w:hRule="exact"/>
                    </w:trPr>
                    <w:tc>
                      <w:tcPr>
                        <w:tcW w:w="4051" w:type="dxa"/>
                        <w:gridSpan w:val="3"/>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single" w:sz="8" w:space="0" w:color="000000"/>
                          <w:right w:val="nil" w:sz="6" w:space="0" w:color="auto"/>
                        </w:tcBorders>
                      </w:tcPr>
                      <w:p>
                        <w:pPr>
                          <w:pStyle w:val="TableParagraph"/>
                          <w:spacing w:line="199" w:lineRule="exact"/>
                          <w:ind w:right="46"/>
                          <w:jc w:val="right"/>
                          <w:rPr>
                            <w:rFonts w:ascii="宋体" w:hAnsi="宋体" w:cs="宋体" w:eastAsia="宋体" w:hint="default"/>
                            <w:sz w:val="20"/>
                            <w:szCs w:val="20"/>
                          </w:rPr>
                        </w:pPr>
                        <w:r>
                          <w:rPr>
                            <w:rFonts w:ascii="宋体" w:hAnsi="宋体" w:cs="宋体" w:eastAsia="宋体" w:hint="default"/>
                            <w:sz w:val="20"/>
                            <w:szCs w:val="20"/>
                          </w:rPr>
                          <w:t>交易的金额比例</w:t>
                        </w:r>
                      </w:p>
                    </w:tc>
                    <w:tc>
                      <w:tcPr>
                        <w:tcW w:w="88"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single" w:sz="8" w:space="0" w:color="000000"/>
                          <w:right w:val="nil" w:sz="6" w:space="0" w:color="auto"/>
                        </w:tcBorders>
                      </w:tcPr>
                      <w:p>
                        <w:pPr/>
                      </w:p>
                    </w:tc>
                    <w:tc>
                      <w:tcPr>
                        <w:tcW w:w="89" w:type="dxa"/>
                        <w:tcBorders>
                          <w:top w:val="nil" w:sz="6" w:space="0" w:color="auto"/>
                          <w:left w:val="nil" w:sz="6" w:space="0" w:color="auto"/>
                          <w:bottom w:val="single" w:sz="8" w:space="0" w:color="000000"/>
                          <w:right w:val="nil" w:sz="6" w:space="0" w:color="auto"/>
                        </w:tcBorders>
                      </w:tcPr>
                      <w:p>
                        <w:pPr/>
                      </w:p>
                    </w:tc>
                    <w:tc>
                      <w:tcPr>
                        <w:tcW w:w="1513" w:type="dxa"/>
                        <w:tcBorders>
                          <w:top w:val="nil" w:sz="6" w:space="0" w:color="auto"/>
                          <w:left w:val="nil" w:sz="6" w:space="0" w:color="auto"/>
                          <w:bottom w:val="single" w:sz="8" w:space="0" w:color="000000"/>
                          <w:right w:val="nil" w:sz="6" w:space="0" w:color="auto"/>
                        </w:tcBorders>
                      </w:tcPr>
                      <w:p>
                        <w:pPr>
                          <w:pStyle w:val="TableParagraph"/>
                          <w:spacing w:line="199" w:lineRule="exact"/>
                          <w:ind w:right="46"/>
                          <w:jc w:val="right"/>
                          <w:rPr>
                            <w:rFonts w:ascii="宋体" w:hAnsi="宋体" w:cs="宋体" w:eastAsia="宋体" w:hint="default"/>
                            <w:sz w:val="20"/>
                            <w:szCs w:val="20"/>
                          </w:rPr>
                        </w:pPr>
                        <w:r>
                          <w:rPr>
                            <w:rFonts w:ascii="宋体" w:hAnsi="宋体" w:cs="宋体" w:eastAsia="宋体" w:hint="default"/>
                            <w:sz w:val="20"/>
                            <w:szCs w:val="20"/>
                          </w:rPr>
                          <w:t>交易的金额比例</w:t>
                        </w:r>
                      </w:p>
                    </w:tc>
                  </w:tr>
                  <w:tr>
                    <w:trPr>
                      <w:trHeight w:val="369" w:hRule="exact"/>
                    </w:trPr>
                    <w:tc>
                      <w:tcPr>
                        <w:tcW w:w="2428" w:type="dxa"/>
                        <w:tcBorders>
                          <w:top w:val="single" w:sz="8" w:space="0" w:color="000000"/>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0"/>
                            <w:szCs w:val="20"/>
                          </w:rPr>
                        </w:pPr>
                        <w:r>
                          <w:rPr>
                            <w:rFonts w:ascii="宋体" w:hAnsi="宋体" w:cs="宋体" w:eastAsia="宋体" w:hint="default"/>
                            <w:sz w:val="20"/>
                            <w:szCs w:val="20"/>
                          </w:rPr>
                          <w:t>青岛奥华纸业有限公司</w:t>
                        </w:r>
                      </w:p>
                    </w:tc>
                    <w:tc>
                      <w:tcPr>
                        <w:tcW w:w="88" w:type="dxa"/>
                        <w:tcBorders>
                          <w:top w:val="nil" w:sz="6" w:space="0" w:color="auto"/>
                          <w:left w:val="nil" w:sz="6" w:space="0" w:color="auto"/>
                          <w:bottom w:val="nil" w:sz="6" w:space="0" w:color="auto"/>
                          <w:right w:val="nil" w:sz="6" w:space="0" w:color="auto"/>
                        </w:tcBorders>
                      </w:tcPr>
                      <w:p>
                        <w:pPr/>
                      </w:p>
                    </w:tc>
                    <w:tc>
                      <w:tcPr>
                        <w:tcW w:w="1535"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20"/>
                            <w:szCs w:val="20"/>
                          </w:rPr>
                        </w:pPr>
                        <w:r>
                          <w:rPr>
                            <w:rFonts w:ascii="Times New Roman"/>
                            <w:sz w:val="20"/>
                          </w:rPr>
                          <w:t>3,787,381.22</w:t>
                        </w:r>
                      </w:p>
                    </w:tc>
                    <w:tc>
                      <w:tcPr>
                        <w:tcW w:w="1563"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36"/>
                          <w:jc w:val="right"/>
                          <w:rPr>
                            <w:rFonts w:ascii="Times New Roman" w:hAnsi="Times New Roman" w:cs="Times New Roman" w:eastAsia="Times New Roman" w:hint="default"/>
                            <w:sz w:val="20"/>
                            <w:szCs w:val="20"/>
                          </w:rPr>
                        </w:pPr>
                        <w:r>
                          <w:rPr>
                            <w:rFonts w:ascii="Times New Roman"/>
                            <w:sz w:val="20"/>
                          </w:rPr>
                          <w:t>1.03%</w:t>
                        </w:r>
                      </w:p>
                    </w:tc>
                    <w:tc>
                      <w:tcPr>
                        <w:tcW w:w="88" w:type="dxa"/>
                        <w:tcBorders>
                          <w:top w:val="nil" w:sz="6" w:space="0" w:color="auto"/>
                          <w:left w:val="nil" w:sz="6" w:space="0" w:color="auto"/>
                          <w:bottom w:val="nil" w:sz="6" w:space="0" w:color="auto"/>
                          <w:right w:val="nil" w:sz="6" w:space="0" w:color="auto"/>
                        </w:tcBorders>
                      </w:tcPr>
                      <w:p>
                        <w:pPr/>
                      </w:p>
                    </w:tc>
                    <w:tc>
                      <w:tcPr>
                        <w:tcW w:w="1513"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88"/>
                          <w:jc w:val="right"/>
                          <w:rPr>
                            <w:rFonts w:ascii="Times New Roman" w:hAnsi="Times New Roman" w:cs="Times New Roman" w:eastAsia="Times New Roman" w:hint="default"/>
                            <w:sz w:val="20"/>
                            <w:szCs w:val="20"/>
                          </w:rPr>
                        </w:pPr>
                        <w:r>
                          <w:rPr>
                            <w:rFonts w:ascii="Times New Roman"/>
                            <w:sz w:val="20"/>
                          </w:rPr>
                          <w:t>1,169,513.30</w:t>
                        </w:r>
                      </w:p>
                    </w:tc>
                    <w:tc>
                      <w:tcPr>
                        <w:tcW w:w="89" w:type="dxa"/>
                        <w:tcBorders>
                          <w:top w:val="single" w:sz="8" w:space="0" w:color="000000"/>
                          <w:left w:val="nil" w:sz="6" w:space="0" w:color="auto"/>
                          <w:bottom w:val="nil" w:sz="6" w:space="0" w:color="auto"/>
                          <w:right w:val="nil" w:sz="6" w:space="0" w:color="auto"/>
                        </w:tcBorders>
                      </w:tcPr>
                      <w:p>
                        <w:pPr/>
                      </w:p>
                    </w:tc>
                    <w:tc>
                      <w:tcPr>
                        <w:tcW w:w="1513"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36"/>
                          <w:jc w:val="right"/>
                          <w:rPr>
                            <w:rFonts w:ascii="Times New Roman" w:hAnsi="Times New Roman" w:cs="Times New Roman" w:eastAsia="Times New Roman" w:hint="default"/>
                            <w:sz w:val="20"/>
                            <w:szCs w:val="20"/>
                          </w:rPr>
                        </w:pPr>
                        <w:r>
                          <w:rPr>
                            <w:rFonts w:ascii="Times New Roman"/>
                            <w:w w:val="95"/>
                            <w:sz w:val="20"/>
                          </w:rPr>
                          <w:t>0.35%</w:t>
                        </w:r>
                        <w:r>
                          <w:rPr>
                            <w:rFonts w:ascii="Times New Roman"/>
                            <w:sz w:val="20"/>
                          </w:rPr>
                        </w:r>
                      </w:p>
                    </w:tc>
                  </w:tr>
                  <w:tr>
                    <w:trPr>
                      <w:trHeight w:val="349" w:hRule="exact"/>
                    </w:trPr>
                    <w:tc>
                      <w:tcPr>
                        <w:tcW w:w="2428"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auto" w:before="35"/>
                          <w:ind w:left="11"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88" w:type="dxa"/>
                        <w:tcBorders>
                          <w:top w:val="nil" w:sz="6" w:space="0" w:color="auto"/>
                          <w:left w:val="nil" w:sz="6" w:space="0" w:color="auto"/>
                          <w:bottom w:val="nil" w:sz="6" w:space="0" w:color="auto"/>
                          <w:right w:val="nil" w:sz="6" w:space="0" w:color="auto"/>
                        </w:tcBorders>
                      </w:tcPr>
                      <w:p>
                        <w:pPr/>
                      </w:p>
                    </w:tc>
                    <w:tc>
                      <w:tcPr>
                        <w:tcW w:w="1535"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20"/>
                            <w:szCs w:val="20"/>
                          </w:rPr>
                        </w:pPr>
                        <w:r>
                          <w:rPr>
                            <w:rFonts w:ascii="Times New Roman"/>
                            <w:sz w:val="20"/>
                          </w:rPr>
                          <w:t>3,787,381.22</w:t>
                        </w:r>
                      </w:p>
                    </w:tc>
                    <w:tc>
                      <w:tcPr>
                        <w:tcW w:w="1563"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36"/>
                          <w:jc w:val="right"/>
                          <w:rPr>
                            <w:rFonts w:ascii="Times New Roman" w:hAnsi="Times New Roman" w:cs="Times New Roman" w:eastAsia="Times New Roman" w:hint="default"/>
                            <w:sz w:val="20"/>
                            <w:szCs w:val="20"/>
                          </w:rPr>
                        </w:pPr>
                        <w:r>
                          <w:rPr>
                            <w:rFonts w:ascii="Times New Roman"/>
                            <w:sz w:val="20"/>
                          </w:rPr>
                          <w:t>1.03%</w:t>
                        </w:r>
                      </w:p>
                    </w:tc>
                    <w:tc>
                      <w:tcPr>
                        <w:tcW w:w="88" w:type="dxa"/>
                        <w:tcBorders>
                          <w:top w:val="nil" w:sz="6" w:space="0" w:color="auto"/>
                          <w:left w:val="nil" w:sz="6" w:space="0" w:color="auto"/>
                          <w:bottom w:val="nil" w:sz="6" w:space="0" w:color="auto"/>
                          <w:right w:val="nil" w:sz="6" w:space="0" w:color="auto"/>
                        </w:tcBorders>
                      </w:tcPr>
                      <w:p>
                        <w:pPr/>
                      </w:p>
                    </w:tc>
                    <w:tc>
                      <w:tcPr>
                        <w:tcW w:w="1513"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88"/>
                          <w:jc w:val="right"/>
                          <w:rPr>
                            <w:rFonts w:ascii="Times New Roman" w:hAnsi="Times New Roman" w:cs="Times New Roman" w:eastAsia="Times New Roman" w:hint="default"/>
                            <w:sz w:val="20"/>
                            <w:szCs w:val="20"/>
                          </w:rPr>
                        </w:pPr>
                        <w:r>
                          <w:rPr>
                            <w:rFonts w:ascii="Times New Roman"/>
                            <w:sz w:val="20"/>
                          </w:rPr>
                          <w:t>1,169,513.30</w:t>
                        </w:r>
                      </w:p>
                    </w:tc>
                    <w:tc>
                      <w:tcPr>
                        <w:tcW w:w="89" w:type="dxa"/>
                        <w:tcBorders>
                          <w:top w:val="nil" w:sz="6" w:space="0" w:color="auto"/>
                          <w:left w:val="nil" w:sz="6" w:space="0" w:color="auto"/>
                          <w:bottom w:val="nil" w:sz="6" w:space="0" w:color="auto"/>
                          <w:right w:val="nil" w:sz="6" w:space="0" w:color="auto"/>
                        </w:tcBorders>
                      </w:tcPr>
                      <w:p>
                        <w:pPr/>
                      </w:p>
                    </w:tc>
                    <w:tc>
                      <w:tcPr>
                        <w:tcW w:w="1513"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36"/>
                          <w:jc w:val="right"/>
                          <w:rPr>
                            <w:rFonts w:ascii="Times New Roman" w:hAnsi="Times New Roman" w:cs="Times New Roman" w:eastAsia="Times New Roman" w:hint="default"/>
                            <w:sz w:val="20"/>
                            <w:szCs w:val="20"/>
                          </w:rPr>
                        </w:pPr>
                        <w:r>
                          <w:rPr>
                            <w:rFonts w:ascii="Times New Roman"/>
                            <w:w w:val="95"/>
                            <w:sz w:val="20"/>
                          </w:rPr>
                          <w:t>0.35%</w:t>
                        </w:r>
                        <w:r>
                          <w:rPr>
                            <w:rFonts w:ascii="Times New Roman"/>
                            <w:sz w:val="20"/>
                          </w:rPr>
                        </w:r>
                      </w:p>
                    </w:tc>
                  </w:tr>
                </w:tbl>
                <w:p>
                  <w:pPr/>
                </w:p>
              </w:txbxContent>
            </v:textbox>
            <w10:wrap type="none"/>
          </v:shape>
        </w:pict>
      </w:r>
      <w:r>
        <w:rPr>
          <w:rFonts w:ascii="宋体" w:hAnsi="宋体" w:cs="宋体" w:eastAsia="宋体" w:hint="default"/>
          <w:sz w:val="20"/>
          <w:szCs w:val="20"/>
        </w:rPr>
        <w:t>关联方名称</w:t>
      </w:r>
    </w:p>
    <w:p>
      <w:pPr>
        <w:tabs>
          <w:tab w:pos="1947" w:val="left" w:leader="none"/>
        </w:tabs>
        <w:spacing w:before="178"/>
        <w:ind w:left="864" w:right="-15" w:firstLine="0"/>
        <w:jc w:val="left"/>
        <w:rPr>
          <w:rFonts w:ascii="宋体" w:hAnsi="宋体" w:cs="宋体" w:eastAsia="宋体" w:hint="default"/>
          <w:sz w:val="20"/>
          <w:szCs w:val="20"/>
        </w:rPr>
      </w:pPr>
      <w:r>
        <w:rPr>
          <w:w w:val="95"/>
        </w:rPr>
        <w:br w:type="column"/>
      </w:r>
      <w:r>
        <w:rPr>
          <w:rFonts w:ascii="宋体" w:hAnsi="宋体" w:cs="宋体" w:eastAsia="宋体" w:hint="default"/>
          <w:w w:val="95"/>
          <w:position w:val="-11"/>
          <w:sz w:val="20"/>
          <w:szCs w:val="20"/>
        </w:rPr>
        <w:t>金额</w:t>
        <w:tab/>
      </w:r>
      <w:r>
        <w:rPr>
          <w:rFonts w:ascii="宋体" w:hAnsi="宋体" w:cs="宋体" w:eastAsia="宋体" w:hint="default"/>
          <w:sz w:val="20"/>
          <w:szCs w:val="20"/>
        </w:rPr>
        <w:t>占公司全部同类</w:t>
      </w:r>
    </w:p>
    <w:p>
      <w:pPr>
        <w:spacing w:line="240" w:lineRule="auto" w:before="5"/>
        <w:rPr>
          <w:rFonts w:ascii="宋体" w:hAnsi="宋体" w:cs="宋体" w:eastAsia="宋体" w:hint="default"/>
          <w:sz w:val="5"/>
          <w:szCs w:val="5"/>
        </w:rPr>
      </w:pPr>
      <w:r>
        <w:rPr/>
        <w:br w:type="column"/>
      </w:r>
      <w:r>
        <w:rPr>
          <w:rFonts w:ascii="宋体"/>
          <w:sz w:val="5"/>
        </w:rPr>
      </w:r>
    </w:p>
    <w:p>
      <w:pPr>
        <w:spacing w:line="20" w:lineRule="exact"/>
        <w:ind w:left="87" w:right="0" w:firstLine="0"/>
        <w:rPr>
          <w:rFonts w:ascii="宋体" w:hAnsi="宋体" w:cs="宋体" w:eastAsia="宋体" w:hint="default"/>
          <w:sz w:val="2"/>
          <w:szCs w:val="2"/>
        </w:rPr>
      </w:pPr>
      <w:r>
        <w:rPr>
          <w:rFonts w:ascii="宋体" w:hAnsi="宋体" w:cs="宋体" w:eastAsia="宋体" w:hint="default"/>
          <w:sz w:val="2"/>
          <w:szCs w:val="2"/>
        </w:rPr>
        <w:pict>
          <v:group style="width:156.7pt;height:1pt;mso-position-horizontal-relative:char;mso-position-vertical-relative:line" coordorigin="0,0" coordsize="3134,20">
            <v:group style="position:absolute;left:8;top:1;width:3114;height:2" coordorigin="8,1" coordsize="3114,2">
              <v:shape style="position:absolute;left:8;top:1;width:3114;height:2" coordorigin="8,1" coordsize="3114,0" path="m8,1l3122,1e" filled="false" stroked="true" strokeweight=".06pt" strokecolor="#000000">
                <v:path arrowok="t"/>
              </v:shape>
            </v:group>
            <v:group style="position:absolute;left:10;top:10;width:3114;height:2" coordorigin="10,10" coordsize="3114,2">
              <v:shape style="position:absolute;left:10;top:10;width:3114;height:2" coordorigin="10,10" coordsize="3114,0" path="m10,10l3124,10e" filled="false" stroked="true" strokeweight=".96002pt" strokecolor="#000000">
                <v:path arrowok="t"/>
              </v:shape>
            </v:group>
          </v:group>
        </w:pict>
      </w:r>
      <w:r>
        <w:rPr>
          <w:rFonts w:ascii="宋体" w:hAnsi="宋体" w:cs="宋体" w:eastAsia="宋体" w:hint="default"/>
          <w:sz w:val="2"/>
          <w:szCs w:val="2"/>
        </w:rPr>
      </w:r>
    </w:p>
    <w:p>
      <w:pPr>
        <w:tabs>
          <w:tab w:pos="1757" w:val="left" w:leader="none"/>
        </w:tabs>
        <w:spacing w:before="87"/>
        <w:ind w:left="658" w:right="0" w:firstLine="0"/>
        <w:jc w:val="left"/>
        <w:rPr>
          <w:rFonts w:ascii="宋体" w:hAnsi="宋体" w:cs="宋体" w:eastAsia="宋体" w:hint="default"/>
          <w:sz w:val="20"/>
          <w:szCs w:val="20"/>
        </w:rPr>
      </w:pPr>
      <w:r>
        <w:rPr>
          <w:rFonts w:ascii="宋体" w:hAnsi="宋体" w:cs="宋体" w:eastAsia="宋体" w:hint="default"/>
          <w:w w:val="95"/>
          <w:position w:val="-11"/>
          <w:sz w:val="20"/>
          <w:szCs w:val="20"/>
        </w:rPr>
        <w:t>金额</w:t>
        <w:tab/>
      </w:r>
      <w:r>
        <w:rPr>
          <w:rFonts w:ascii="宋体" w:hAnsi="宋体" w:cs="宋体" w:eastAsia="宋体" w:hint="default"/>
          <w:sz w:val="20"/>
          <w:szCs w:val="20"/>
        </w:rPr>
        <w:t>占公司全部同类</w:t>
      </w:r>
    </w:p>
    <w:p>
      <w:pPr>
        <w:spacing w:after="0"/>
        <w:jc w:val="left"/>
        <w:rPr>
          <w:rFonts w:ascii="宋体" w:hAnsi="宋体" w:cs="宋体" w:eastAsia="宋体" w:hint="default"/>
          <w:sz w:val="20"/>
          <w:szCs w:val="20"/>
        </w:rPr>
        <w:sectPr>
          <w:type w:val="continuous"/>
          <w:pgSz w:w="11910" w:h="16840"/>
          <w:pgMar w:top="1060" w:bottom="1460" w:left="1660" w:right="900"/>
          <w:cols w:num="3" w:equalWidth="0">
            <w:col w:w="1872" w:space="488"/>
            <w:col w:w="3353" w:space="40"/>
            <w:col w:w="359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20" w:lineRule="exact"/>
        <w:ind w:left="2654" w:right="0" w:firstLine="0"/>
        <w:rPr>
          <w:rFonts w:ascii="宋体" w:hAnsi="宋体" w:cs="宋体" w:eastAsia="宋体" w:hint="default"/>
          <w:sz w:val="2"/>
          <w:szCs w:val="2"/>
        </w:rPr>
      </w:pPr>
      <w:r>
        <w:rPr>
          <w:rFonts w:ascii="宋体"/>
          <w:sz w:val="2"/>
        </w:rPr>
        <w:pict>
          <v:group style="width:155.85pt;height:1pt;mso-position-horizontal-relative:char;mso-position-vertical-relative:line" coordorigin="0,0" coordsize="3117,20">
            <v:group style="position:absolute;left:10;top:10;width:1512;height:2" coordorigin="10,10" coordsize="1512,2">
              <v:shape style="position:absolute;left:10;top:10;width:1512;height:2" coordorigin="10,10" coordsize="1512,0" path="m10,10l1522,10e" filled="false" stroked="true" strokeweight=".95996pt" strokecolor="#000000">
                <v:path arrowok="t"/>
              </v:shape>
            </v:group>
            <v:group style="position:absolute;left:1594;top:10;width:1514;height:2" coordorigin="1594,10" coordsize="1514,2">
              <v:shape style="position:absolute;left:1594;top:10;width:1514;height:2" coordorigin="1594,10" coordsize="1514,0" path="m1594,10l3107,10e" filled="false" stroked="true" strokeweight=".95996pt" strokecolor="#000000">
                <v:path arrowok="t"/>
              </v:shape>
            </v:group>
          </v:group>
        </w:pict>
      </w:r>
      <w:r>
        <w:rPr>
          <w:rFonts w:ascii="宋体"/>
          <w:sz w:val="2"/>
        </w:rPr>
      </w:r>
      <w:r>
        <w:rPr>
          <w:rFonts w:ascii="Times New Roman"/>
          <w:spacing w:val="66"/>
          <w:sz w:val="2"/>
        </w:rPr>
        <w:t> </w:t>
      </w:r>
      <w:r>
        <w:rPr>
          <w:rFonts w:ascii="宋体"/>
          <w:spacing w:val="66"/>
          <w:sz w:val="2"/>
        </w:rPr>
        <w:pict>
          <v:group style="width:76.6pt;height:1pt;mso-position-horizontal-relative:char;mso-position-vertical-relative:line" coordorigin="0,0" coordsize="1532,20">
            <v:group style="position:absolute;left:10;top:10;width:1512;height:2" coordorigin="10,10" coordsize="1512,2">
              <v:shape style="position:absolute;left:10;top:10;width:1512;height:2" coordorigin="10,10" coordsize="1512,0" path="m10,10l1522,10e" filled="false" stroked="true" strokeweight=".95996pt" strokecolor="#000000">
                <v:path arrowok="t"/>
              </v:shape>
            </v:group>
          </v:group>
        </w:pict>
      </w:r>
      <w:r>
        <w:rPr>
          <w:rFonts w:ascii="宋体"/>
          <w:spacing w:val="66"/>
          <w:sz w:val="2"/>
        </w:rPr>
      </w:r>
      <w:r>
        <w:rPr>
          <w:rFonts w:ascii="Times New Roman"/>
          <w:spacing w:val="66"/>
          <w:sz w:val="2"/>
        </w:rPr>
        <w:t> </w:t>
      </w:r>
      <w:r>
        <w:rPr>
          <w:rFonts w:ascii="宋体"/>
          <w:spacing w:val="66"/>
          <w:sz w:val="2"/>
        </w:rPr>
        <w:pict>
          <v:group style="width:76.650pt;height:1pt;mso-position-horizontal-relative:char;mso-position-vertical-relative:line" coordorigin="0,0" coordsize="1533,20">
            <v:group style="position:absolute;left:10;top:10;width:1514;height:2" coordorigin="10,10" coordsize="1514,2">
              <v:shape style="position:absolute;left:10;top:10;width:1514;height:2" coordorigin="10,10" coordsize="1514,0" path="m10,10l1523,10e" filled="false" stroked="true" strokeweight=".95996pt" strokecolor="#000000">
                <v:path arrowok="t"/>
              </v:shape>
            </v:group>
          </v:group>
        </w:pict>
      </w:r>
      <w:r>
        <w:rPr>
          <w:rFonts w:ascii="宋体"/>
          <w:spacing w:val="66"/>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27"/>
        <w:ind w:left="617" w:right="0"/>
        <w:jc w:val="left"/>
      </w:pPr>
      <w:r>
        <w:rPr/>
        <w:t>3、关键管理人员薪酬</w:t>
      </w:r>
    </w:p>
    <w:p>
      <w:pPr>
        <w:tabs>
          <w:tab w:pos="3759" w:val="left" w:leader="none"/>
          <w:tab w:pos="5683" w:val="left" w:leader="none"/>
          <w:tab w:pos="7055" w:val="left" w:leader="none"/>
          <w:tab w:pos="8944" w:val="left" w:leader="none"/>
        </w:tabs>
        <w:spacing w:line="257" w:lineRule="exact" w:before="26"/>
        <w:ind w:left="2421" w:right="0" w:firstLine="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thick" w:color="000000"/>
        </w:rPr>
        <w:t> </w:t>
      </w:r>
      <w:r>
        <w:rPr>
          <w:rFonts w:ascii="Times New Roman" w:hAnsi="Times New Roman" w:cs="Times New Roman" w:eastAsia="Times New Roman" w:hint="default"/>
          <w:sz w:val="20"/>
          <w:szCs w:val="20"/>
          <w:u w:val="thick" w:color="000000"/>
        </w:rPr>
        <w:tab/>
      </w:r>
      <w:r>
        <w:rPr>
          <w:rFonts w:ascii="宋体" w:hAnsi="宋体" w:cs="宋体" w:eastAsia="宋体" w:hint="default"/>
          <w:w w:val="95"/>
          <w:sz w:val="20"/>
          <w:szCs w:val="20"/>
          <w:u w:val="thick" w:color="000000"/>
        </w:rPr>
        <w:t>2007年</w:t>
        <w:tab/>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thick" w:color="000000"/>
        </w:rPr>
        <w:t> </w:t>
        <w:tab/>
      </w:r>
      <w:r>
        <w:rPr>
          <w:rFonts w:ascii="宋体" w:hAnsi="宋体" w:cs="宋体" w:eastAsia="宋体" w:hint="default"/>
          <w:sz w:val="20"/>
          <w:szCs w:val="20"/>
          <w:u w:val="thick" w:color="000000"/>
        </w:rPr>
        <w:t>2006年</w:t>
        <w:tab/>
      </w:r>
      <w:r>
        <w:rPr>
          <w:rFonts w:ascii="宋体" w:hAnsi="宋体" w:cs="宋体" w:eastAsia="宋体" w:hint="default"/>
          <w:sz w:val="20"/>
          <w:szCs w:val="20"/>
        </w:rPr>
      </w:r>
    </w:p>
    <w:p>
      <w:pPr>
        <w:tabs>
          <w:tab w:pos="979" w:val="left" w:leader="none"/>
          <w:tab w:pos="2199" w:val="left" w:leader="none"/>
          <w:tab w:pos="2421" w:val="left" w:leader="none"/>
          <w:tab w:pos="2775" w:val="left" w:leader="none"/>
          <w:tab w:pos="3515" w:val="left" w:leader="none"/>
          <w:tab w:pos="3751" w:val="left" w:leader="none"/>
          <w:tab w:pos="4475" w:val="left" w:leader="none"/>
          <w:tab w:pos="5683" w:val="left" w:leader="none"/>
          <w:tab w:pos="6109" w:val="left" w:leader="none"/>
          <w:tab w:pos="6850" w:val="left" w:leader="none"/>
          <w:tab w:pos="7735" w:val="left" w:leader="none"/>
          <w:tab w:pos="8944" w:val="left" w:leader="none"/>
        </w:tabs>
        <w:spacing w:line="257" w:lineRule="exact" w:before="0"/>
        <w:ind w:left="147" w:right="0" w:firstLine="0"/>
        <w:jc w:val="left"/>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w w:val="95"/>
          <w:sz w:val="20"/>
          <w:szCs w:val="20"/>
          <w:u w:val="single" w:color="000000"/>
        </w:rPr>
        <w:t>职务</w:t>
        <w:tab/>
      </w:r>
      <w:r>
        <w:rPr>
          <w:rFonts w:ascii="宋体" w:hAnsi="宋体" w:cs="宋体" w:eastAsia="宋体"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w w:val="95"/>
          <w:sz w:val="20"/>
          <w:szCs w:val="20"/>
          <w:u w:val="single" w:color="000000"/>
        </w:rPr>
        <w:t>人数</w:t>
        <w:tab/>
      </w:r>
      <w:r>
        <w:rPr>
          <w:rFonts w:ascii="宋体" w:hAnsi="宋体" w:cs="宋体" w:eastAsia="宋体" w:hint="default"/>
          <w:w w:val="95"/>
          <w:sz w:val="20"/>
          <w:szCs w:val="20"/>
        </w:rPr>
        <w:tab/>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w w:val="95"/>
          <w:sz w:val="20"/>
          <w:szCs w:val="20"/>
          <w:u w:val="single" w:color="000000"/>
        </w:rPr>
        <w:t>报酬</w:t>
        <w:tab/>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w w:val="95"/>
          <w:sz w:val="20"/>
          <w:szCs w:val="20"/>
          <w:u w:val="single" w:color="000000"/>
        </w:rPr>
        <w:t>人数</w:t>
        <w:tab/>
      </w:r>
      <w:r>
        <w:rPr>
          <w:rFonts w:ascii="宋体" w:hAnsi="宋体" w:cs="宋体" w:eastAsia="宋体" w:hint="default"/>
          <w:w w:val="95"/>
          <w:sz w:val="20"/>
          <w:szCs w:val="20"/>
        </w:rPr>
      </w:r>
      <w:r>
        <w:rPr>
          <w:rFonts w:ascii="Times New Roman" w:hAnsi="Times New Roman" w:cs="Times New Roman" w:eastAsia="Times New Roman" w:hint="default"/>
          <w:w w:val="95"/>
          <w:sz w:val="20"/>
          <w:szCs w:val="20"/>
        </w:rPr>
      </w:r>
      <w:r>
        <w:rPr>
          <w:rFonts w:ascii="Times New Roman" w:hAnsi="Times New Roman" w:cs="Times New Roman" w:eastAsia="Times New Roman" w:hint="default"/>
          <w:w w:val="95"/>
          <w:sz w:val="20"/>
          <w:szCs w:val="20"/>
          <w:u w:val="single" w:color="000000"/>
        </w:rPr>
        <w:t> </w:t>
        <w:tab/>
      </w:r>
      <w:r>
        <w:rPr>
          <w:rFonts w:ascii="宋体" w:hAnsi="宋体" w:cs="宋体" w:eastAsia="宋体" w:hint="default"/>
          <w:sz w:val="20"/>
          <w:szCs w:val="20"/>
          <w:u w:val="single" w:color="000000"/>
        </w:rPr>
        <w:t>报酬</w:t>
        <w:tab/>
      </w:r>
      <w:r>
        <w:rPr>
          <w:rFonts w:ascii="宋体" w:hAnsi="宋体" w:cs="宋体" w:eastAsia="宋体" w:hint="default"/>
          <w:sz w:val="20"/>
          <w:szCs w:val="20"/>
        </w:rPr>
      </w:r>
    </w:p>
    <w:p>
      <w:pPr>
        <w:spacing w:line="240" w:lineRule="auto" w:before="1"/>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210"/>
        <w:gridCol w:w="1394"/>
        <w:gridCol w:w="1932"/>
        <w:gridCol w:w="1328"/>
        <w:gridCol w:w="1932"/>
      </w:tblGrid>
      <w:tr>
        <w:trPr>
          <w:trHeight w:val="256"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20"/>
                <w:szCs w:val="20"/>
              </w:rPr>
            </w:pPr>
            <w:r>
              <w:rPr>
                <w:rFonts w:ascii="宋体" w:hAnsi="宋体" w:cs="宋体" w:eastAsia="宋体" w:hint="default"/>
                <w:sz w:val="20"/>
                <w:szCs w:val="20"/>
              </w:rPr>
              <w:t>董事</w:t>
            </w:r>
          </w:p>
        </w:tc>
        <w:tc>
          <w:tcPr>
            <w:tcW w:w="1394" w:type="dxa"/>
            <w:tcBorders>
              <w:top w:val="nil" w:sz="6" w:space="0" w:color="auto"/>
              <w:left w:val="nil" w:sz="6" w:space="0" w:color="auto"/>
              <w:bottom w:val="nil" w:sz="6" w:space="0" w:color="auto"/>
              <w:right w:val="nil" w:sz="6" w:space="0" w:color="auto"/>
            </w:tcBorders>
          </w:tcPr>
          <w:p>
            <w:pPr>
              <w:pStyle w:val="TableParagraph"/>
              <w:spacing w:line="226" w:lineRule="exact"/>
              <w:ind w:right="324"/>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932" w:type="dxa"/>
            <w:tcBorders>
              <w:top w:val="nil" w:sz="6" w:space="0" w:color="auto"/>
              <w:left w:val="nil" w:sz="6" w:space="0" w:color="auto"/>
              <w:bottom w:val="nil" w:sz="6" w:space="0" w:color="auto"/>
              <w:right w:val="nil" w:sz="6" w:space="0" w:color="auto"/>
            </w:tcBorders>
          </w:tcPr>
          <w:p>
            <w:pPr>
              <w:pStyle w:val="TableParagraph"/>
              <w:spacing w:line="226" w:lineRule="exact"/>
              <w:ind w:right="90"/>
              <w:jc w:val="right"/>
              <w:rPr>
                <w:rFonts w:ascii="Times New Roman" w:hAnsi="Times New Roman" w:cs="Times New Roman" w:eastAsia="Times New Roman" w:hint="default"/>
                <w:sz w:val="20"/>
                <w:szCs w:val="20"/>
              </w:rPr>
            </w:pPr>
            <w:r>
              <w:rPr>
                <w:rFonts w:ascii="Times New Roman"/>
                <w:spacing w:val="-1"/>
                <w:sz w:val="20"/>
              </w:rPr>
              <w:t>150,000.00</w:t>
            </w:r>
          </w:p>
        </w:tc>
        <w:tc>
          <w:tcPr>
            <w:tcW w:w="1328" w:type="dxa"/>
            <w:tcBorders>
              <w:top w:val="nil" w:sz="6" w:space="0" w:color="auto"/>
              <w:left w:val="nil" w:sz="6" w:space="0" w:color="auto"/>
              <w:bottom w:val="nil" w:sz="6" w:space="0" w:color="auto"/>
              <w:right w:val="nil" w:sz="6" w:space="0" w:color="auto"/>
            </w:tcBorders>
          </w:tcPr>
          <w:p>
            <w:pPr>
              <w:pStyle w:val="TableParagraph"/>
              <w:spacing w:line="226" w:lineRule="exact"/>
              <w:ind w:right="250"/>
              <w:jc w:val="righ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932" w:type="dxa"/>
            <w:tcBorders>
              <w:top w:val="nil" w:sz="6" w:space="0" w:color="auto"/>
              <w:left w:val="nil" w:sz="6" w:space="0" w:color="auto"/>
              <w:bottom w:val="nil" w:sz="6" w:space="0" w:color="auto"/>
              <w:right w:val="nil" w:sz="6" w:space="0" w:color="auto"/>
            </w:tcBorders>
          </w:tcPr>
          <w:p>
            <w:pPr>
              <w:pStyle w:val="TableParagraph"/>
              <w:spacing w:line="226" w:lineRule="exact"/>
              <w:ind w:right="90"/>
              <w:jc w:val="right"/>
              <w:rPr>
                <w:rFonts w:ascii="Times New Roman" w:hAnsi="Times New Roman" w:cs="Times New Roman" w:eastAsia="Times New Roman" w:hint="default"/>
                <w:sz w:val="20"/>
                <w:szCs w:val="20"/>
              </w:rPr>
            </w:pPr>
            <w:r>
              <w:rPr>
                <w:rFonts w:ascii="Times New Roman"/>
                <w:spacing w:val="-1"/>
                <w:sz w:val="20"/>
              </w:rPr>
              <w:t>110,526.30</w:t>
            </w:r>
          </w:p>
        </w:tc>
      </w:tr>
      <w:tr>
        <w:trPr>
          <w:trHeight w:val="261"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20"/>
                <w:szCs w:val="20"/>
              </w:rPr>
            </w:pPr>
            <w:r>
              <w:rPr>
                <w:rFonts w:ascii="宋体" w:hAnsi="宋体" w:cs="宋体" w:eastAsia="宋体" w:hint="default"/>
                <w:sz w:val="20"/>
                <w:szCs w:val="20"/>
              </w:rPr>
              <w:t>监事</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24"/>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0"/>
              <w:jc w:val="right"/>
              <w:rPr>
                <w:rFonts w:ascii="Times New Roman" w:hAnsi="Times New Roman" w:cs="Times New Roman" w:eastAsia="Times New Roman" w:hint="default"/>
                <w:sz w:val="20"/>
                <w:szCs w:val="20"/>
              </w:rPr>
            </w:pPr>
            <w:r>
              <w:rPr>
                <w:rFonts w:ascii="Times New Roman"/>
                <w:spacing w:val="-1"/>
                <w:sz w:val="20"/>
              </w:rPr>
              <w:t>101,502.28</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50"/>
              <w:jc w:val="right"/>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0"/>
              <w:jc w:val="right"/>
              <w:rPr>
                <w:rFonts w:ascii="Times New Roman" w:hAnsi="Times New Roman" w:cs="Times New Roman" w:eastAsia="Times New Roman" w:hint="default"/>
                <w:sz w:val="20"/>
                <w:szCs w:val="20"/>
              </w:rPr>
            </w:pPr>
            <w:r>
              <w:rPr>
                <w:rFonts w:ascii="Times New Roman"/>
                <w:spacing w:val="-1"/>
                <w:sz w:val="20"/>
              </w:rPr>
              <w:t>74,214.00</w:t>
            </w:r>
          </w:p>
        </w:tc>
      </w:tr>
      <w:tr>
        <w:trPr>
          <w:trHeight w:val="249"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20"/>
                <w:szCs w:val="20"/>
              </w:rPr>
            </w:pPr>
            <w:r>
              <w:rPr>
                <w:rFonts w:ascii="宋体" w:hAnsi="宋体" w:cs="宋体" w:eastAsia="宋体" w:hint="default"/>
                <w:sz w:val="20"/>
                <w:szCs w:val="20"/>
              </w:rPr>
              <w:t>高级管理人员</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24"/>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932"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90"/>
              <w:jc w:val="right"/>
              <w:rPr>
                <w:rFonts w:ascii="Times New Roman" w:hAnsi="Times New Roman" w:cs="Times New Roman" w:eastAsia="Times New Roman" w:hint="default"/>
                <w:sz w:val="20"/>
                <w:szCs w:val="20"/>
              </w:rPr>
            </w:pPr>
            <w:r>
              <w:rPr>
                <w:rFonts w:ascii="Times New Roman"/>
                <w:spacing w:val="-1"/>
                <w:sz w:val="20"/>
              </w:rPr>
              <w:t>2,805,321.52</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50"/>
              <w:jc w:val="righ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932"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90"/>
              <w:jc w:val="right"/>
              <w:rPr>
                <w:rFonts w:ascii="Times New Roman" w:hAnsi="Times New Roman" w:cs="Times New Roman" w:eastAsia="Times New Roman" w:hint="default"/>
                <w:sz w:val="20"/>
                <w:szCs w:val="20"/>
              </w:rPr>
            </w:pPr>
            <w:r>
              <w:rPr>
                <w:rFonts w:ascii="Times New Roman"/>
                <w:w w:val="95"/>
                <w:sz w:val="20"/>
              </w:rPr>
              <w:t>2,005,911.50</w:t>
            </w:r>
            <w:r>
              <w:rPr>
                <w:rFonts w:ascii="Times New Roman"/>
                <w:sz w:val="20"/>
              </w:rPr>
            </w:r>
          </w:p>
        </w:tc>
      </w:tr>
      <w:tr>
        <w:trPr>
          <w:trHeight w:val="295" w:hRule="exact"/>
        </w:trPr>
        <w:tc>
          <w:tcPr>
            <w:tcW w:w="2210"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394" w:type="dxa"/>
            <w:tcBorders>
              <w:top w:val="nil" w:sz="6" w:space="0" w:color="auto"/>
              <w:left w:val="nil" w:sz="6" w:space="0" w:color="auto"/>
              <w:bottom w:val="nil" w:sz="6" w:space="0" w:color="auto"/>
              <w:right w:val="nil" w:sz="6" w:space="0" w:color="auto"/>
            </w:tcBorders>
          </w:tcPr>
          <w:p>
            <w:pPr/>
          </w:p>
        </w:tc>
        <w:tc>
          <w:tcPr>
            <w:tcW w:w="1932" w:type="dxa"/>
            <w:tcBorders>
              <w:top w:val="single" w:sz="8" w:space="0" w:color="000000"/>
              <w:left w:val="nil" w:sz="6" w:space="0" w:color="auto"/>
              <w:bottom w:val="single" w:sz="8" w:space="0" w:color="000000"/>
              <w:right w:val="nil" w:sz="6" w:space="0" w:color="auto"/>
            </w:tcBorders>
          </w:tcPr>
          <w:p>
            <w:pPr>
              <w:pStyle w:val="TableParagraph"/>
              <w:spacing w:line="228" w:lineRule="exact"/>
              <w:ind w:right="87"/>
              <w:jc w:val="right"/>
              <w:rPr>
                <w:rFonts w:ascii="Times New Roman" w:hAnsi="Times New Roman" w:cs="Times New Roman" w:eastAsia="Times New Roman" w:hint="default"/>
                <w:sz w:val="20"/>
                <w:szCs w:val="20"/>
              </w:rPr>
            </w:pPr>
            <w:r>
              <w:rPr>
                <w:rFonts w:ascii="Times New Roman"/>
                <w:sz w:val="20"/>
              </w:rPr>
              <w:t>3,056,823.80</w:t>
            </w:r>
          </w:p>
        </w:tc>
        <w:tc>
          <w:tcPr>
            <w:tcW w:w="1328" w:type="dxa"/>
            <w:tcBorders>
              <w:top w:val="nil" w:sz="6" w:space="0" w:color="auto"/>
              <w:left w:val="nil" w:sz="6" w:space="0" w:color="auto"/>
              <w:bottom w:val="nil" w:sz="6" w:space="0" w:color="auto"/>
              <w:right w:val="nil" w:sz="6" w:space="0" w:color="auto"/>
            </w:tcBorders>
          </w:tcPr>
          <w:p>
            <w:pPr/>
          </w:p>
        </w:tc>
        <w:tc>
          <w:tcPr>
            <w:tcW w:w="1932" w:type="dxa"/>
            <w:tcBorders>
              <w:top w:val="single" w:sz="8" w:space="0" w:color="000000"/>
              <w:left w:val="nil" w:sz="6" w:space="0" w:color="auto"/>
              <w:bottom w:val="single" w:sz="8" w:space="0" w:color="000000"/>
              <w:right w:val="nil" w:sz="6" w:space="0" w:color="auto"/>
            </w:tcBorders>
          </w:tcPr>
          <w:p>
            <w:pPr>
              <w:pStyle w:val="TableParagraph"/>
              <w:spacing w:line="228" w:lineRule="exact"/>
              <w:ind w:right="90"/>
              <w:jc w:val="right"/>
              <w:rPr>
                <w:rFonts w:ascii="Times New Roman" w:hAnsi="Times New Roman" w:cs="Times New Roman" w:eastAsia="Times New Roman" w:hint="default"/>
                <w:sz w:val="20"/>
                <w:szCs w:val="20"/>
              </w:rPr>
            </w:pPr>
            <w:r>
              <w:rPr>
                <w:rFonts w:ascii="Times New Roman"/>
                <w:w w:val="95"/>
                <w:sz w:val="20"/>
              </w:rPr>
              <w:t>2,190,651.80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060" w:bottom="1460" w:left="1660" w:right="900"/>
        </w:sectPr>
      </w:pPr>
    </w:p>
    <w:p>
      <w:pPr>
        <w:pStyle w:val="BodyText"/>
        <w:spacing w:line="240" w:lineRule="auto" w:before="27"/>
        <w:ind w:left="617" w:right="-20"/>
        <w:jc w:val="left"/>
      </w:pPr>
      <w:r>
        <w:rPr/>
        <w:pict>
          <v:group style="position:absolute;margin-left:270.600006pt;margin-top:-25.434389pt;width:96.6pt;height:.1pt;mso-position-horizontal-relative:page;mso-position-vertical-relative:paragraph;z-index:-584440" coordorigin="5412,-509" coordsize="1932,2">
            <v:shape style="position:absolute;left:5412;top:-509;width:1932;height:2" coordorigin="5412,-509" coordsize="1932,0" path="m5412,-509l7344,-509e" filled="false" stroked="true" strokeweight=".96002pt" strokecolor="#000000">
              <v:path arrowok="t"/>
            </v:shape>
            <w10:wrap type="none"/>
          </v:group>
        </w:pict>
      </w:r>
      <w:r>
        <w:rPr/>
        <w:pict>
          <v:group style="position:absolute;margin-left:433.619995pt;margin-top:-25.434389pt;width:96.6pt;height:.1pt;mso-position-horizontal-relative:page;mso-position-vertical-relative:paragraph;z-index:-584416" coordorigin="8672,-509" coordsize="1932,2">
            <v:shape style="position:absolute;left:8672;top:-509;width:1932;height:2" coordorigin="8672,-509" coordsize="1932,0" path="m8672,-509l10604,-509e" filled="false" stroked="true" strokeweight=".96002pt" strokecolor="#000000">
              <v:path arrowok="t"/>
            </v:shape>
            <w10:wrap type="none"/>
          </v:group>
        </w:pict>
      </w:r>
      <w:r>
        <w:rPr/>
        <w:t>4、关联方应收应付款项余额</w:t>
      </w:r>
    </w:p>
    <w:p>
      <w:pPr>
        <w:tabs>
          <w:tab w:pos="1945" w:val="left" w:leader="none"/>
          <w:tab w:pos="4227" w:val="left" w:leader="none"/>
          <w:tab w:pos="6006" w:val="left" w:leader="none"/>
          <w:tab w:pos="7413" w:val="left" w:leader="none"/>
        </w:tabs>
        <w:spacing w:line="306" w:lineRule="exact" w:before="163"/>
        <w:ind w:left="1530" w:right="-20" w:firstLine="0"/>
        <w:jc w:val="left"/>
        <w:rPr>
          <w:rFonts w:ascii="宋体" w:hAnsi="宋体" w:cs="宋体" w:eastAsia="宋体" w:hint="default"/>
          <w:sz w:val="20"/>
          <w:szCs w:val="20"/>
        </w:rPr>
      </w:pPr>
      <w:r>
        <w:rPr>
          <w:rFonts w:ascii="宋体" w:hAnsi="宋体" w:cs="宋体" w:eastAsia="宋体" w:hint="default"/>
          <w:w w:val="95"/>
          <w:position w:val="1"/>
          <w:sz w:val="20"/>
          <w:szCs w:val="20"/>
        </w:rPr>
        <w:t>项</w:t>
        <w:tab/>
        <w:t>目</w:t>
        <w:tab/>
      </w:r>
      <w:r>
        <w:rPr>
          <w:rFonts w:ascii="宋体" w:hAnsi="宋体" w:cs="宋体" w:eastAsia="宋体" w:hint="default"/>
          <w:spacing w:val="5"/>
          <w:sz w:val="20"/>
          <w:szCs w:val="20"/>
        </w:rPr>
        <w:t>年末数</w:t>
        <w:tab/>
        <w:t>年初数</w:t>
        <w:tab/>
      </w:r>
      <w:r>
        <w:rPr>
          <w:rFonts w:ascii="宋体" w:hAnsi="宋体" w:cs="宋体" w:eastAsia="宋体" w:hint="default"/>
          <w:spacing w:val="5"/>
          <w:position w:val="13"/>
          <w:sz w:val="20"/>
          <w:szCs w:val="20"/>
        </w:rPr>
        <w:t>条款和</w:t>
      </w:r>
      <w:r>
        <w:rPr>
          <w:rFonts w:ascii="宋体" w:hAnsi="宋体" w:cs="宋体" w:eastAsia="宋体" w:hint="default"/>
          <w:spacing w:val="5"/>
          <w:sz w:val="20"/>
          <w:szCs w:val="20"/>
        </w:rPr>
      </w:r>
    </w:p>
    <w:p>
      <w:pPr>
        <w:spacing w:line="240" w:lineRule="auto" w:before="0"/>
        <w:rPr>
          <w:rFonts w:ascii="宋体" w:hAnsi="宋体" w:cs="宋体" w:eastAsia="宋体" w:hint="default"/>
          <w:sz w:val="20"/>
          <w:szCs w:val="20"/>
        </w:rPr>
      </w:pPr>
      <w:r>
        <w:rPr/>
        <w:br w:type="column"/>
      </w:r>
      <w:r>
        <w:rPr>
          <w:rFonts w:ascii="宋体"/>
          <w:sz w:val="20"/>
        </w:rPr>
      </w:r>
    </w:p>
    <w:p>
      <w:pPr>
        <w:spacing w:line="256" w:lineRule="exact" w:before="144"/>
        <w:ind w:left="420" w:right="236" w:firstLine="0"/>
        <w:jc w:val="left"/>
        <w:rPr>
          <w:rFonts w:ascii="宋体" w:hAnsi="宋体" w:cs="宋体" w:eastAsia="宋体" w:hint="default"/>
          <w:sz w:val="20"/>
          <w:szCs w:val="20"/>
        </w:rPr>
      </w:pPr>
      <w:r>
        <w:rPr>
          <w:rFonts w:ascii="宋体" w:hAnsi="宋体" w:cs="宋体" w:eastAsia="宋体" w:hint="default"/>
          <w:sz w:val="20"/>
          <w:szCs w:val="20"/>
        </w:rPr>
        <w:t>是否取 得或提</w:t>
      </w:r>
    </w:p>
    <w:p>
      <w:pPr>
        <w:spacing w:after="0" w:line="256" w:lineRule="exact"/>
        <w:jc w:val="left"/>
        <w:rPr>
          <w:rFonts w:ascii="宋体" w:hAnsi="宋体" w:cs="宋体" w:eastAsia="宋体" w:hint="default"/>
          <w:sz w:val="20"/>
          <w:szCs w:val="20"/>
        </w:rPr>
        <w:sectPr>
          <w:type w:val="continuous"/>
          <w:pgSz w:w="11910" w:h="16840"/>
          <w:pgMar w:top="1060" w:bottom="1460" w:left="1660" w:right="900"/>
          <w:cols w:num="2" w:equalWidth="0">
            <w:col w:w="8029" w:space="40"/>
            <w:col w:w="1281"/>
          </w:cols>
        </w:sectPr>
      </w:pPr>
    </w:p>
    <w:p>
      <w:pPr>
        <w:tabs>
          <w:tab w:pos="7068" w:val="left" w:leader="none"/>
          <w:tab w:pos="7355" w:val="left" w:leader="none"/>
          <w:tab w:pos="8073" w:val="left" w:leader="none"/>
        </w:tabs>
        <w:spacing w:line="91" w:lineRule="exact" w:before="0"/>
        <w:ind w:left="5547" w:right="0" w:firstLine="0"/>
        <w:jc w:val="left"/>
        <w:rPr>
          <w:rFonts w:ascii="宋体" w:hAnsi="宋体" w:cs="宋体" w:eastAsia="宋体" w:hint="default"/>
          <w:sz w:val="20"/>
          <w:szCs w:val="20"/>
        </w:rPr>
      </w:pPr>
      <w:r>
        <w:rPr/>
        <w:pict>
          <v:group style="position:absolute;margin-left:88.019981pt;margin-top:41.999668pt;width:419.35pt;height:16.4pt;mso-position-horizontal-relative:page;mso-position-vertical-relative:page;z-index:-58448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pict>
          <v:shape style="position:absolute;margin-left:90.660004pt;margin-top:.974698pt;width:454.4pt;height:173.8pt;mso-position-horizontal-relative:page;mso-position-vertical-relative:paragraph;z-index:12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8"/>
                    <w:gridCol w:w="287"/>
                    <w:gridCol w:w="1463"/>
                    <w:gridCol w:w="287"/>
                    <w:gridCol w:w="1522"/>
                    <w:gridCol w:w="1025"/>
                    <w:gridCol w:w="1147"/>
                  </w:tblGrid>
                  <w:tr>
                    <w:trPr>
                      <w:trHeight w:val="211" w:hRule="exact"/>
                    </w:trPr>
                    <w:tc>
                      <w:tcPr>
                        <w:tcW w:w="7941" w:type="dxa"/>
                        <w:gridSpan w:val="6"/>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tabs>
                            <w:tab w:pos="1077" w:val="left" w:leader="none"/>
                          </w:tabs>
                          <w:spacing w:line="200" w:lineRule="exact"/>
                          <w:ind w:left="231" w:right="0"/>
                          <w:jc w:val="center"/>
                          <w:rPr>
                            <w:rFonts w:ascii="宋体" w:hAnsi="宋体" w:cs="宋体" w:eastAsia="宋体" w:hint="default"/>
                            <w:sz w:val="20"/>
                            <w:szCs w:val="20"/>
                          </w:rPr>
                        </w:pPr>
                        <w:r>
                          <w:rPr>
                            <w:rFonts w:ascii="Times New Roman" w:hAnsi="Times New Roman" w:cs="Times New Roman" w:eastAsia="Times New Roman" w:hint="default"/>
                            <w:w w:val="99"/>
                            <w:sz w:val="20"/>
                            <w:szCs w:val="20"/>
                          </w:rPr>
                        </w:r>
                        <w:r>
                          <w:rPr>
                            <w:rFonts w:ascii="Times New Roman" w:hAnsi="Times New Roman" w:cs="Times New Roman" w:eastAsia="Times New Roman" w:hint="default"/>
                            <w:w w:val="99"/>
                            <w:sz w:val="20"/>
                            <w:szCs w:val="20"/>
                            <w:u w:val="single" w:color="000000"/>
                          </w:rPr>
                          <w:t> </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22"/>
                            <w:sz w:val="20"/>
                            <w:szCs w:val="20"/>
                            <w:u w:val="single" w:color="000000"/>
                          </w:rPr>
                          <w:t> </w:t>
                        </w:r>
                        <w:r>
                          <w:rPr>
                            <w:rFonts w:ascii="宋体" w:hAnsi="宋体" w:cs="宋体" w:eastAsia="宋体" w:hint="default"/>
                            <w:sz w:val="20"/>
                            <w:szCs w:val="20"/>
                            <w:u w:val="single" w:color="000000"/>
                          </w:rPr>
                          <w:t>供担保</w:t>
                          <w:tab/>
                        </w:r>
                        <w:r>
                          <w:rPr>
                            <w:rFonts w:ascii="宋体" w:hAnsi="宋体" w:cs="宋体" w:eastAsia="宋体" w:hint="default"/>
                            <w:sz w:val="20"/>
                            <w:szCs w:val="20"/>
                          </w:rPr>
                        </w:r>
                      </w:p>
                    </w:tc>
                  </w:tr>
                  <w:tr>
                    <w:trPr>
                      <w:trHeight w:val="306" w:hRule="exact"/>
                    </w:trPr>
                    <w:tc>
                      <w:tcPr>
                        <w:tcW w:w="3358" w:type="dxa"/>
                        <w:tcBorders>
                          <w:top w:val="single" w:sz="6" w:space="0" w:color="000000"/>
                          <w:left w:val="nil" w:sz="6" w:space="0" w:color="auto"/>
                          <w:bottom w:val="nil" w:sz="6" w:space="0" w:color="auto"/>
                          <w:right w:val="nil" w:sz="6" w:space="0" w:color="auto"/>
                        </w:tcBorders>
                      </w:tcPr>
                      <w:p>
                        <w:pPr>
                          <w:pStyle w:val="TableParagraph"/>
                          <w:spacing w:line="280" w:lineRule="exact"/>
                          <w:ind w:left="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应付账款</w:t>
                        </w:r>
                        <w:r>
                          <w:rPr>
                            <w:rFonts w:ascii="Microsoft JhengHei" w:hAnsi="Microsoft JhengHei" w:cs="Microsoft JhengHei" w:eastAsia="Microsoft JhengHei" w:hint="default"/>
                            <w:spacing w:val="4"/>
                            <w:sz w:val="20"/>
                            <w:szCs w:val="20"/>
                          </w:rPr>
                        </w:r>
                      </w:p>
                    </w:tc>
                    <w:tc>
                      <w:tcPr>
                        <w:tcW w:w="287" w:type="dxa"/>
                        <w:tcBorders>
                          <w:top w:val="nil" w:sz="6" w:space="0" w:color="auto"/>
                          <w:left w:val="nil" w:sz="6" w:space="0" w:color="auto"/>
                          <w:bottom w:val="nil" w:sz="6" w:space="0" w:color="auto"/>
                          <w:right w:val="nil" w:sz="6" w:space="0" w:color="auto"/>
                        </w:tcBorders>
                      </w:tcPr>
                      <w:p>
                        <w:pPr/>
                      </w:p>
                    </w:tc>
                    <w:tc>
                      <w:tcPr>
                        <w:tcW w:w="1463" w:type="dxa"/>
                        <w:tcBorders>
                          <w:top w:val="single" w:sz="6" w:space="0" w:color="000000"/>
                          <w:left w:val="nil" w:sz="6" w:space="0" w:color="auto"/>
                          <w:bottom w:val="nil" w:sz="6" w:space="0" w:color="auto"/>
                          <w:right w:val="nil" w:sz="6" w:space="0" w:color="auto"/>
                        </w:tcBorders>
                      </w:tcPr>
                      <w:p>
                        <w:pPr/>
                      </w:p>
                    </w:tc>
                    <w:tc>
                      <w:tcPr>
                        <w:tcW w:w="28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283" w:hRule="exact"/>
                    </w:trPr>
                    <w:tc>
                      <w:tcPr>
                        <w:tcW w:w="3358" w:type="dxa"/>
                        <w:tcBorders>
                          <w:top w:val="nil" w:sz="6" w:space="0" w:color="auto"/>
                          <w:left w:val="nil" w:sz="6" w:space="0" w:color="auto"/>
                          <w:bottom w:val="nil" w:sz="6" w:space="0" w:color="auto"/>
                          <w:right w:val="nil" w:sz="6" w:space="0" w:color="auto"/>
                        </w:tcBorders>
                      </w:tcPr>
                      <w:p>
                        <w:pPr>
                          <w:pStyle w:val="TableParagraph"/>
                          <w:spacing w:line="255" w:lineRule="exact"/>
                          <w:ind w:left="28" w:right="0"/>
                          <w:jc w:val="left"/>
                          <w:rPr>
                            <w:rFonts w:ascii="宋体" w:hAnsi="宋体" w:cs="宋体" w:eastAsia="宋体" w:hint="default"/>
                            <w:sz w:val="20"/>
                            <w:szCs w:val="20"/>
                          </w:rPr>
                        </w:pPr>
                        <w:r>
                          <w:rPr>
                            <w:rFonts w:ascii="宋体" w:hAnsi="宋体" w:cs="宋体" w:eastAsia="宋体" w:hint="default"/>
                            <w:spacing w:val="3"/>
                            <w:sz w:val="20"/>
                            <w:szCs w:val="20"/>
                          </w:rPr>
                          <w:t>青岛奥华纸业有限公司</w:t>
                        </w:r>
                      </w:p>
                    </w:tc>
                    <w:tc>
                      <w:tcPr>
                        <w:tcW w:w="287"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left="301" w:right="0"/>
                          <w:jc w:val="left"/>
                          <w:rPr>
                            <w:rFonts w:ascii="Times New Roman" w:hAnsi="Times New Roman" w:cs="Times New Roman" w:eastAsia="Times New Roman" w:hint="default"/>
                            <w:sz w:val="20"/>
                            <w:szCs w:val="20"/>
                          </w:rPr>
                        </w:pPr>
                        <w:r>
                          <w:rPr>
                            <w:rFonts w:ascii="Times New Roman"/>
                            <w:sz w:val="20"/>
                          </w:rPr>
                          <w:t>4,931,429.99</w:t>
                        </w:r>
                      </w:p>
                    </w:tc>
                    <w:tc>
                      <w:tcPr>
                        <w:tcW w:w="28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left="273" w:right="0"/>
                          <w:jc w:val="left"/>
                          <w:rPr>
                            <w:rFonts w:ascii="Times New Roman" w:hAnsi="Times New Roman" w:cs="Times New Roman" w:eastAsia="Times New Roman" w:hint="default"/>
                            <w:sz w:val="20"/>
                            <w:szCs w:val="20"/>
                          </w:rPr>
                        </w:pPr>
                        <w:r>
                          <w:rPr>
                            <w:rFonts w:ascii="Times New Roman"/>
                            <w:sz w:val="20"/>
                          </w:rPr>
                          <w:t>12,783,888.50</w:t>
                        </w:r>
                      </w:p>
                    </w:tc>
                    <w:tc>
                      <w:tcPr>
                        <w:tcW w:w="1025" w:type="dxa"/>
                        <w:tcBorders>
                          <w:top w:val="nil" w:sz="6" w:space="0" w:color="auto"/>
                          <w:left w:val="nil" w:sz="6" w:space="0" w:color="auto"/>
                          <w:bottom w:val="nil" w:sz="6" w:space="0" w:color="auto"/>
                          <w:right w:val="nil" w:sz="6" w:space="0" w:color="auto"/>
                        </w:tcBorders>
                      </w:tcPr>
                      <w:p>
                        <w:pPr>
                          <w:pStyle w:val="TableParagraph"/>
                          <w:spacing w:line="255" w:lineRule="exact"/>
                          <w:ind w:right="264"/>
                          <w:jc w:val="right"/>
                          <w:rPr>
                            <w:rFonts w:ascii="宋体" w:hAnsi="宋体" w:cs="宋体" w:eastAsia="宋体" w:hint="default"/>
                            <w:sz w:val="20"/>
                            <w:szCs w:val="20"/>
                          </w:rPr>
                        </w:pPr>
                        <w:r>
                          <w:rPr>
                            <w:rFonts w:ascii="宋体" w:hAnsi="宋体" w:cs="宋体" w:eastAsia="宋体" w:hint="default"/>
                            <w:sz w:val="20"/>
                            <w:szCs w:val="20"/>
                          </w:rPr>
                          <w:t>无</w:t>
                        </w:r>
                      </w:p>
                    </w:tc>
                    <w:tc>
                      <w:tcPr>
                        <w:tcW w:w="1147" w:type="dxa"/>
                        <w:tcBorders>
                          <w:top w:val="nil" w:sz="6" w:space="0" w:color="auto"/>
                          <w:left w:val="nil" w:sz="6" w:space="0" w:color="auto"/>
                          <w:bottom w:val="nil" w:sz="6" w:space="0" w:color="auto"/>
                          <w:right w:val="nil" w:sz="6" w:space="0" w:color="auto"/>
                        </w:tcBorders>
                      </w:tcPr>
                      <w:p>
                        <w:pPr>
                          <w:pStyle w:val="TableParagraph"/>
                          <w:spacing w:line="255" w:lineRule="exact"/>
                          <w:ind w:left="244" w:right="0"/>
                          <w:jc w:val="center"/>
                          <w:rPr>
                            <w:rFonts w:ascii="宋体" w:hAnsi="宋体" w:cs="宋体" w:eastAsia="宋体" w:hint="default"/>
                            <w:sz w:val="20"/>
                            <w:szCs w:val="20"/>
                          </w:rPr>
                        </w:pPr>
                        <w:r>
                          <w:rPr>
                            <w:rFonts w:ascii="宋体" w:hAnsi="宋体" w:cs="宋体" w:eastAsia="宋体" w:hint="default"/>
                            <w:sz w:val="20"/>
                            <w:szCs w:val="20"/>
                          </w:rPr>
                          <w:t>否</w:t>
                        </w:r>
                      </w:p>
                    </w:tc>
                  </w:tr>
                  <w:tr>
                    <w:trPr>
                      <w:trHeight w:val="314" w:hRule="exact"/>
                    </w:trPr>
                    <w:tc>
                      <w:tcPr>
                        <w:tcW w:w="3358" w:type="dxa"/>
                        <w:tcBorders>
                          <w:top w:val="nil" w:sz="6" w:space="0" w:color="auto"/>
                          <w:left w:val="nil" w:sz="6" w:space="0" w:color="auto"/>
                          <w:bottom w:val="nil" w:sz="6" w:space="0" w:color="auto"/>
                          <w:right w:val="nil" w:sz="6" w:space="0" w:color="auto"/>
                        </w:tcBorders>
                      </w:tcPr>
                      <w:p>
                        <w:pPr>
                          <w:pStyle w:val="TableParagraph"/>
                          <w:tabs>
                            <w:tab w:pos="458" w:val="left" w:leader="none"/>
                          </w:tabs>
                          <w:spacing w:line="258" w:lineRule="exact"/>
                          <w:ind w:right="1"/>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87" w:type="dxa"/>
                        <w:tcBorders>
                          <w:top w:val="nil" w:sz="6" w:space="0" w:color="auto"/>
                          <w:left w:val="nil" w:sz="6" w:space="0" w:color="auto"/>
                          <w:bottom w:val="nil" w:sz="6" w:space="0" w:color="auto"/>
                          <w:right w:val="nil" w:sz="6" w:space="0" w:color="auto"/>
                        </w:tcBorders>
                      </w:tcPr>
                      <w:p>
                        <w:pPr/>
                      </w:p>
                    </w:tc>
                    <w:tc>
                      <w:tcPr>
                        <w:tcW w:w="1463" w:type="dxa"/>
                        <w:tcBorders>
                          <w:top w:val="single" w:sz="12" w:space="0" w:color="000000"/>
                          <w:left w:val="nil" w:sz="6" w:space="0" w:color="auto"/>
                          <w:bottom w:val="single" w:sz="11" w:space="0" w:color="000000"/>
                          <w:right w:val="nil" w:sz="6" w:space="0" w:color="auto"/>
                        </w:tcBorders>
                      </w:tcPr>
                      <w:p>
                        <w:pPr>
                          <w:pStyle w:val="TableParagraph"/>
                          <w:spacing w:line="240" w:lineRule="auto" w:before="22"/>
                          <w:ind w:left="301" w:right="0"/>
                          <w:jc w:val="left"/>
                          <w:rPr>
                            <w:rFonts w:ascii="Times New Roman" w:hAnsi="Times New Roman" w:cs="Times New Roman" w:eastAsia="Times New Roman" w:hint="default"/>
                            <w:sz w:val="20"/>
                            <w:szCs w:val="20"/>
                          </w:rPr>
                        </w:pPr>
                        <w:r>
                          <w:rPr>
                            <w:rFonts w:ascii="Times New Roman"/>
                            <w:sz w:val="20"/>
                          </w:rPr>
                          <w:t>4,931,429.99</w:t>
                        </w:r>
                      </w:p>
                    </w:tc>
                    <w:tc>
                      <w:tcPr>
                        <w:tcW w:w="287" w:type="dxa"/>
                        <w:tcBorders>
                          <w:top w:val="nil" w:sz="6" w:space="0" w:color="auto"/>
                          <w:left w:val="nil" w:sz="6" w:space="0" w:color="auto"/>
                          <w:bottom w:val="nil" w:sz="6" w:space="0" w:color="auto"/>
                          <w:right w:val="nil" w:sz="6" w:space="0" w:color="auto"/>
                        </w:tcBorders>
                      </w:tcPr>
                      <w:p>
                        <w:pPr/>
                      </w:p>
                    </w:tc>
                    <w:tc>
                      <w:tcPr>
                        <w:tcW w:w="1522" w:type="dxa"/>
                        <w:tcBorders>
                          <w:top w:val="single" w:sz="12" w:space="0" w:color="000000"/>
                          <w:left w:val="nil" w:sz="6" w:space="0" w:color="auto"/>
                          <w:bottom w:val="single" w:sz="11" w:space="0" w:color="000000"/>
                          <w:right w:val="nil" w:sz="6" w:space="0" w:color="auto"/>
                        </w:tcBorders>
                      </w:tcPr>
                      <w:p>
                        <w:pPr>
                          <w:pStyle w:val="TableParagraph"/>
                          <w:spacing w:line="240" w:lineRule="auto" w:before="22"/>
                          <w:ind w:left="273" w:right="0"/>
                          <w:jc w:val="left"/>
                          <w:rPr>
                            <w:rFonts w:ascii="Times New Roman" w:hAnsi="Times New Roman" w:cs="Times New Roman" w:eastAsia="Times New Roman" w:hint="default"/>
                            <w:sz w:val="20"/>
                            <w:szCs w:val="20"/>
                          </w:rPr>
                        </w:pPr>
                        <w:r>
                          <w:rPr>
                            <w:rFonts w:ascii="Times New Roman"/>
                            <w:sz w:val="20"/>
                          </w:rPr>
                          <w:t>12,783,888.50</w:t>
                        </w:r>
                      </w:p>
                    </w:tc>
                    <w:tc>
                      <w:tcPr>
                        <w:tcW w:w="1025"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285" w:hRule="exact"/>
                    </w:trPr>
                    <w:tc>
                      <w:tcPr>
                        <w:tcW w:w="3358" w:type="dxa"/>
                        <w:tcBorders>
                          <w:top w:val="nil" w:sz="6" w:space="0" w:color="auto"/>
                          <w:left w:val="nil" w:sz="6" w:space="0" w:color="auto"/>
                          <w:bottom w:val="nil" w:sz="6" w:space="0" w:color="auto"/>
                          <w:right w:val="nil" w:sz="6" w:space="0" w:color="auto"/>
                        </w:tcBorders>
                      </w:tcPr>
                      <w:p>
                        <w:pPr>
                          <w:pStyle w:val="TableParagraph"/>
                          <w:spacing w:line="265" w:lineRule="exact"/>
                          <w:ind w:left="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应付票据</w:t>
                        </w:r>
                        <w:r>
                          <w:rPr>
                            <w:rFonts w:ascii="Microsoft JhengHei" w:hAnsi="Microsoft JhengHei" w:cs="Microsoft JhengHei" w:eastAsia="Microsoft JhengHei" w:hint="default"/>
                            <w:spacing w:val="4"/>
                            <w:sz w:val="20"/>
                            <w:szCs w:val="20"/>
                          </w:rPr>
                        </w:r>
                      </w:p>
                    </w:tc>
                    <w:tc>
                      <w:tcPr>
                        <w:tcW w:w="287" w:type="dxa"/>
                        <w:tcBorders>
                          <w:top w:val="nil" w:sz="6" w:space="0" w:color="auto"/>
                          <w:left w:val="nil" w:sz="6" w:space="0" w:color="auto"/>
                          <w:bottom w:val="nil" w:sz="6" w:space="0" w:color="auto"/>
                          <w:right w:val="nil" w:sz="6" w:space="0" w:color="auto"/>
                        </w:tcBorders>
                      </w:tcPr>
                      <w:p>
                        <w:pPr/>
                      </w:p>
                    </w:tc>
                    <w:tc>
                      <w:tcPr>
                        <w:tcW w:w="1463" w:type="dxa"/>
                        <w:tcBorders>
                          <w:top w:val="single" w:sz="11" w:space="0" w:color="000000"/>
                          <w:left w:val="nil" w:sz="6" w:space="0" w:color="auto"/>
                          <w:bottom w:val="nil" w:sz="6" w:space="0" w:color="auto"/>
                          <w:right w:val="nil" w:sz="6" w:space="0" w:color="auto"/>
                        </w:tcBorders>
                      </w:tcPr>
                      <w:p>
                        <w:pPr/>
                      </w:p>
                    </w:tc>
                    <w:tc>
                      <w:tcPr>
                        <w:tcW w:w="287" w:type="dxa"/>
                        <w:tcBorders>
                          <w:top w:val="nil" w:sz="6" w:space="0" w:color="auto"/>
                          <w:left w:val="nil" w:sz="6" w:space="0" w:color="auto"/>
                          <w:bottom w:val="nil" w:sz="6" w:space="0" w:color="auto"/>
                          <w:right w:val="nil" w:sz="6" w:space="0" w:color="auto"/>
                        </w:tcBorders>
                      </w:tcPr>
                      <w:p>
                        <w:pPr/>
                      </w:p>
                    </w:tc>
                    <w:tc>
                      <w:tcPr>
                        <w:tcW w:w="1522" w:type="dxa"/>
                        <w:tcBorders>
                          <w:top w:val="single" w:sz="11" w:space="0" w:color="000000"/>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285" w:hRule="exact"/>
                    </w:trPr>
                    <w:tc>
                      <w:tcPr>
                        <w:tcW w:w="3358" w:type="dxa"/>
                        <w:tcBorders>
                          <w:top w:val="nil" w:sz="6" w:space="0" w:color="auto"/>
                          <w:left w:val="nil" w:sz="6" w:space="0" w:color="auto"/>
                          <w:bottom w:val="nil" w:sz="6" w:space="0" w:color="auto"/>
                          <w:right w:val="nil" w:sz="6" w:space="0" w:color="auto"/>
                        </w:tcBorders>
                      </w:tcPr>
                      <w:p>
                        <w:pPr>
                          <w:pStyle w:val="TableParagraph"/>
                          <w:spacing w:line="243" w:lineRule="exact"/>
                          <w:ind w:left="28" w:right="0"/>
                          <w:jc w:val="left"/>
                          <w:rPr>
                            <w:rFonts w:ascii="宋体" w:hAnsi="宋体" w:cs="宋体" w:eastAsia="宋体" w:hint="default"/>
                            <w:sz w:val="20"/>
                            <w:szCs w:val="20"/>
                          </w:rPr>
                        </w:pPr>
                        <w:r>
                          <w:rPr>
                            <w:rFonts w:ascii="宋体" w:hAnsi="宋体" w:cs="宋体" w:eastAsia="宋体" w:hint="default"/>
                            <w:spacing w:val="3"/>
                            <w:sz w:val="20"/>
                            <w:szCs w:val="20"/>
                          </w:rPr>
                          <w:t>青岛奥华纸业有限公司</w:t>
                        </w:r>
                      </w:p>
                    </w:tc>
                    <w:tc>
                      <w:tcPr>
                        <w:tcW w:w="287"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29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85"/>
                          <w:jc w:val="right"/>
                          <w:rPr>
                            <w:rFonts w:ascii="Times New Roman" w:hAnsi="Times New Roman" w:cs="Times New Roman" w:eastAsia="Times New Roman" w:hint="default"/>
                            <w:sz w:val="20"/>
                            <w:szCs w:val="20"/>
                          </w:rPr>
                        </w:pPr>
                        <w:r>
                          <w:rPr>
                            <w:rFonts w:ascii="Times New Roman"/>
                            <w:sz w:val="20"/>
                          </w:rPr>
                          <w:t>6,520,000.00</w:t>
                        </w:r>
                      </w:p>
                    </w:tc>
                    <w:tc>
                      <w:tcPr>
                        <w:tcW w:w="1025" w:type="dxa"/>
                        <w:tcBorders>
                          <w:top w:val="nil" w:sz="6" w:space="0" w:color="auto"/>
                          <w:left w:val="nil" w:sz="6" w:space="0" w:color="auto"/>
                          <w:bottom w:val="nil" w:sz="6" w:space="0" w:color="auto"/>
                          <w:right w:val="nil" w:sz="6" w:space="0" w:color="auto"/>
                        </w:tcBorders>
                      </w:tcPr>
                      <w:p>
                        <w:pPr>
                          <w:pStyle w:val="TableParagraph"/>
                          <w:spacing w:line="243" w:lineRule="exact"/>
                          <w:ind w:right="264"/>
                          <w:jc w:val="righ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147" w:type="dxa"/>
                        <w:tcBorders>
                          <w:top w:val="nil" w:sz="6" w:space="0" w:color="auto"/>
                          <w:left w:val="nil" w:sz="6" w:space="0" w:color="auto"/>
                          <w:bottom w:val="nil" w:sz="6" w:space="0" w:color="auto"/>
                          <w:right w:val="nil" w:sz="6" w:space="0" w:color="auto"/>
                        </w:tcBorders>
                      </w:tcPr>
                      <w:p>
                        <w:pPr>
                          <w:pStyle w:val="TableParagraph"/>
                          <w:spacing w:line="243" w:lineRule="exact"/>
                          <w:ind w:left="244"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15" w:hRule="exact"/>
                    </w:trPr>
                    <w:tc>
                      <w:tcPr>
                        <w:tcW w:w="3358" w:type="dxa"/>
                        <w:tcBorders>
                          <w:top w:val="nil" w:sz="6" w:space="0" w:color="auto"/>
                          <w:left w:val="nil" w:sz="6" w:space="0" w:color="auto"/>
                          <w:bottom w:val="nil" w:sz="6" w:space="0" w:color="auto"/>
                          <w:right w:val="nil" w:sz="6" w:space="0" w:color="auto"/>
                        </w:tcBorders>
                      </w:tcPr>
                      <w:p>
                        <w:pPr>
                          <w:pStyle w:val="TableParagraph"/>
                          <w:tabs>
                            <w:tab w:pos="458" w:val="left" w:leader="none"/>
                          </w:tabs>
                          <w:spacing w:line="243" w:lineRule="exact"/>
                          <w:ind w:right="1"/>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87" w:type="dxa"/>
                        <w:tcBorders>
                          <w:top w:val="nil" w:sz="6" w:space="0" w:color="auto"/>
                          <w:left w:val="nil" w:sz="6" w:space="0" w:color="auto"/>
                          <w:bottom w:val="nil" w:sz="6" w:space="0" w:color="auto"/>
                          <w:right w:val="nil" w:sz="6" w:space="0" w:color="auto"/>
                        </w:tcBorders>
                      </w:tcPr>
                      <w:p>
                        <w:pPr/>
                      </w:p>
                    </w:tc>
                    <w:tc>
                      <w:tcPr>
                        <w:tcW w:w="1463"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right="290"/>
                          <w:jc w:val="right"/>
                          <w:rPr>
                            <w:rFonts w:ascii="Times New Roman" w:hAnsi="Times New Roman" w:cs="Times New Roman" w:eastAsia="Times New Roman" w:hint="default"/>
                            <w:sz w:val="20"/>
                            <w:szCs w:val="20"/>
                          </w:rPr>
                        </w:pPr>
                        <w:r>
                          <w:rPr>
                            <w:rFonts w:ascii="Times New Roman"/>
                            <w:w w:val="99"/>
                            <w:sz w:val="20"/>
                          </w:rPr>
                          <w:t>-</w:t>
                        </w:r>
                        <w:r>
                          <w:rPr>
                            <w:rFonts w:ascii="Times New Roman"/>
                            <w:sz w:val="20"/>
                          </w:rPr>
                        </w:r>
                      </w:p>
                    </w:tc>
                    <w:tc>
                      <w:tcPr>
                        <w:tcW w:w="287" w:type="dxa"/>
                        <w:tcBorders>
                          <w:top w:val="nil" w:sz="6" w:space="0" w:color="auto"/>
                          <w:left w:val="nil" w:sz="6" w:space="0" w:color="auto"/>
                          <w:bottom w:val="nil" w:sz="6" w:space="0" w:color="auto"/>
                          <w:right w:val="nil" w:sz="6" w:space="0" w:color="auto"/>
                        </w:tcBorders>
                      </w:tcPr>
                      <w:p>
                        <w:pPr/>
                      </w:p>
                    </w:tc>
                    <w:tc>
                      <w:tcPr>
                        <w:tcW w:w="15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right="85"/>
                          <w:jc w:val="right"/>
                          <w:rPr>
                            <w:rFonts w:ascii="Times New Roman" w:hAnsi="Times New Roman" w:cs="Times New Roman" w:eastAsia="Times New Roman" w:hint="default"/>
                            <w:sz w:val="20"/>
                            <w:szCs w:val="20"/>
                          </w:rPr>
                        </w:pPr>
                        <w:r>
                          <w:rPr>
                            <w:rFonts w:ascii="Times New Roman"/>
                            <w:sz w:val="20"/>
                          </w:rPr>
                          <w:t>6,520,000.00</w:t>
                        </w:r>
                      </w:p>
                    </w:tc>
                    <w:tc>
                      <w:tcPr>
                        <w:tcW w:w="1025"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286" w:hRule="exact"/>
                    </w:trPr>
                    <w:tc>
                      <w:tcPr>
                        <w:tcW w:w="3358" w:type="dxa"/>
                        <w:tcBorders>
                          <w:top w:val="nil" w:sz="6" w:space="0" w:color="auto"/>
                          <w:left w:val="nil" w:sz="6" w:space="0" w:color="auto"/>
                          <w:bottom w:val="nil" w:sz="6" w:space="0" w:color="auto"/>
                          <w:right w:val="nil" w:sz="6" w:space="0" w:color="auto"/>
                        </w:tcBorders>
                      </w:tcPr>
                      <w:p>
                        <w:pPr>
                          <w:pStyle w:val="TableParagraph"/>
                          <w:spacing w:line="266" w:lineRule="exact"/>
                          <w:ind w:left="28" w:right="0"/>
                          <w:jc w:val="left"/>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b/>
                            <w:bCs/>
                            <w:spacing w:val="4"/>
                            <w:sz w:val="20"/>
                            <w:szCs w:val="20"/>
                          </w:rPr>
                          <w:t>应付股利</w:t>
                        </w:r>
                        <w:r>
                          <w:rPr>
                            <w:rFonts w:ascii="Microsoft JhengHei" w:hAnsi="Microsoft JhengHei" w:cs="Microsoft JhengHei" w:eastAsia="Microsoft JhengHei" w:hint="default"/>
                            <w:spacing w:val="4"/>
                            <w:sz w:val="20"/>
                            <w:szCs w:val="20"/>
                          </w:rPr>
                        </w:r>
                      </w:p>
                    </w:tc>
                    <w:tc>
                      <w:tcPr>
                        <w:tcW w:w="287" w:type="dxa"/>
                        <w:tcBorders>
                          <w:top w:val="nil" w:sz="6" w:space="0" w:color="auto"/>
                          <w:left w:val="nil" w:sz="6" w:space="0" w:color="auto"/>
                          <w:bottom w:val="nil" w:sz="6" w:space="0" w:color="auto"/>
                          <w:right w:val="nil" w:sz="6" w:space="0" w:color="auto"/>
                        </w:tcBorders>
                      </w:tcPr>
                      <w:p>
                        <w:pPr/>
                      </w:p>
                    </w:tc>
                    <w:tc>
                      <w:tcPr>
                        <w:tcW w:w="1463" w:type="dxa"/>
                        <w:tcBorders>
                          <w:top w:val="single" w:sz="12" w:space="0" w:color="000000"/>
                          <w:left w:val="nil" w:sz="6" w:space="0" w:color="auto"/>
                          <w:bottom w:val="nil" w:sz="6" w:space="0" w:color="auto"/>
                          <w:right w:val="nil" w:sz="6" w:space="0" w:color="auto"/>
                        </w:tcBorders>
                      </w:tcPr>
                      <w:p>
                        <w:pPr/>
                      </w:p>
                    </w:tc>
                    <w:tc>
                      <w:tcPr>
                        <w:tcW w:w="287" w:type="dxa"/>
                        <w:tcBorders>
                          <w:top w:val="nil" w:sz="6" w:space="0" w:color="auto"/>
                          <w:left w:val="nil" w:sz="6" w:space="0" w:color="auto"/>
                          <w:bottom w:val="nil" w:sz="6" w:space="0" w:color="auto"/>
                          <w:right w:val="nil" w:sz="6" w:space="0" w:color="auto"/>
                        </w:tcBorders>
                      </w:tcPr>
                      <w:p>
                        <w:pPr/>
                      </w:p>
                    </w:tc>
                    <w:tc>
                      <w:tcPr>
                        <w:tcW w:w="1522" w:type="dxa"/>
                        <w:tcBorders>
                          <w:top w:val="single" w:sz="12" w:space="0" w:color="000000"/>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r>
                    <w:trPr>
                      <w:trHeight w:val="291" w:hRule="exact"/>
                    </w:trPr>
                    <w:tc>
                      <w:tcPr>
                        <w:tcW w:w="3358" w:type="dxa"/>
                        <w:tcBorders>
                          <w:top w:val="nil" w:sz="6" w:space="0" w:color="auto"/>
                          <w:left w:val="nil" w:sz="6" w:space="0" w:color="auto"/>
                          <w:bottom w:val="nil" w:sz="6" w:space="0" w:color="auto"/>
                          <w:right w:val="nil" w:sz="6" w:space="0" w:color="auto"/>
                        </w:tcBorders>
                      </w:tcPr>
                      <w:p>
                        <w:pPr>
                          <w:pStyle w:val="TableParagraph"/>
                          <w:spacing w:line="243" w:lineRule="exact"/>
                          <w:ind w:left="28" w:right="0"/>
                          <w:jc w:val="left"/>
                          <w:rPr>
                            <w:rFonts w:ascii="宋体" w:hAnsi="宋体" w:cs="宋体" w:eastAsia="宋体" w:hint="default"/>
                            <w:sz w:val="20"/>
                            <w:szCs w:val="20"/>
                          </w:rPr>
                        </w:pPr>
                        <w:r>
                          <w:rPr>
                            <w:rFonts w:ascii="宋体" w:hAnsi="宋体" w:cs="宋体" w:eastAsia="宋体" w:hint="default"/>
                            <w:spacing w:val="3"/>
                            <w:sz w:val="20"/>
                            <w:szCs w:val="20"/>
                          </w:rPr>
                          <w:t>浪潮电子信息产业股份有限公司</w:t>
                        </w:r>
                      </w:p>
                    </w:tc>
                    <w:tc>
                      <w:tcPr>
                        <w:tcW w:w="287"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28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5"/>
                          <w:jc w:val="right"/>
                          <w:rPr>
                            <w:rFonts w:ascii="Times New Roman" w:hAnsi="Times New Roman" w:cs="Times New Roman" w:eastAsia="Times New Roman" w:hint="default"/>
                            <w:sz w:val="20"/>
                            <w:szCs w:val="20"/>
                          </w:rPr>
                        </w:pPr>
                        <w:r>
                          <w:rPr>
                            <w:rFonts w:ascii="Times New Roman"/>
                            <w:sz w:val="20"/>
                          </w:rPr>
                          <w:t>8,469,746.06</w:t>
                        </w:r>
                      </w:p>
                    </w:tc>
                    <w:tc>
                      <w:tcPr>
                        <w:tcW w:w="1025" w:type="dxa"/>
                        <w:tcBorders>
                          <w:top w:val="nil" w:sz="6" w:space="0" w:color="auto"/>
                          <w:left w:val="nil" w:sz="6" w:space="0" w:color="auto"/>
                          <w:bottom w:val="nil" w:sz="6" w:space="0" w:color="auto"/>
                          <w:right w:val="nil" w:sz="6" w:space="0" w:color="auto"/>
                        </w:tcBorders>
                      </w:tcPr>
                      <w:p>
                        <w:pPr>
                          <w:pStyle w:val="TableParagraph"/>
                          <w:spacing w:line="243" w:lineRule="exact"/>
                          <w:ind w:right="264"/>
                          <w:jc w:val="right"/>
                          <w:rPr>
                            <w:rFonts w:ascii="宋体" w:hAnsi="宋体" w:cs="宋体" w:eastAsia="宋体" w:hint="default"/>
                            <w:sz w:val="20"/>
                            <w:szCs w:val="20"/>
                          </w:rPr>
                        </w:pPr>
                        <w:r>
                          <w:rPr>
                            <w:rFonts w:ascii="宋体" w:hAnsi="宋体" w:cs="宋体" w:eastAsia="宋体" w:hint="default"/>
                            <w:sz w:val="20"/>
                            <w:szCs w:val="20"/>
                          </w:rPr>
                          <w:t>无</w:t>
                        </w:r>
                      </w:p>
                    </w:tc>
                    <w:tc>
                      <w:tcPr>
                        <w:tcW w:w="1147" w:type="dxa"/>
                        <w:tcBorders>
                          <w:top w:val="nil" w:sz="6" w:space="0" w:color="auto"/>
                          <w:left w:val="nil" w:sz="6" w:space="0" w:color="auto"/>
                          <w:bottom w:val="nil" w:sz="6" w:space="0" w:color="auto"/>
                          <w:right w:val="nil" w:sz="6" w:space="0" w:color="auto"/>
                        </w:tcBorders>
                      </w:tcPr>
                      <w:p>
                        <w:pPr>
                          <w:pStyle w:val="TableParagraph"/>
                          <w:spacing w:line="243" w:lineRule="exact"/>
                          <w:ind w:left="244" w:right="0"/>
                          <w:jc w:val="center"/>
                          <w:rPr>
                            <w:rFonts w:ascii="宋体" w:hAnsi="宋体" w:cs="宋体" w:eastAsia="宋体" w:hint="default"/>
                            <w:sz w:val="20"/>
                            <w:szCs w:val="20"/>
                          </w:rPr>
                        </w:pPr>
                        <w:r>
                          <w:rPr>
                            <w:rFonts w:ascii="宋体" w:hAnsi="宋体" w:cs="宋体" w:eastAsia="宋体" w:hint="default"/>
                            <w:sz w:val="20"/>
                            <w:szCs w:val="20"/>
                          </w:rPr>
                          <w:t>否</w:t>
                        </w:r>
                      </w:p>
                    </w:tc>
                  </w:tr>
                  <w:tr>
                    <w:trPr>
                      <w:trHeight w:val="289" w:hRule="exact"/>
                    </w:trPr>
                    <w:tc>
                      <w:tcPr>
                        <w:tcW w:w="3358" w:type="dxa"/>
                        <w:tcBorders>
                          <w:top w:val="nil" w:sz="6" w:space="0" w:color="auto"/>
                          <w:left w:val="nil" w:sz="6" w:space="0" w:color="auto"/>
                          <w:bottom w:val="nil" w:sz="6" w:space="0" w:color="auto"/>
                          <w:right w:val="nil" w:sz="6" w:space="0" w:color="auto"/>
                        </w:tcBorders>
                      </w:tcPr>
                      <w:p>
                        <w:pPr>
                          <w:pStyle w:val="TableParagraph"/>
                          <w:spacing w:line="251" w:lineRule="exact"/>
                          <w:ind w:left="28" w:right="0"/>
                          <w:jc w:val="left"/>
                          <w:rPr>
                            <w:rFonts w:ascii="宋体" w:hAnsi="宋体" w:cs="宋体" w:eastAsia="宋体" w:hint="default"/>
                            <w:sz w:val="20"/>
                            <w:szCs w:val="20"/>
                          </w:rPr>
                        </w:pPr>
                        <w:r>
                          <w:rPr>
                            <w:rFonts w:ascii="宋体" w:hAnsi="宋体" w:cs="宋体" w:eastAsia="宋体" w:hint="default"/>
                            <w:spacing w:val="3"/>
                            <w:sz w:val="20"/>
                            <w:szCs w:val="20"/>
                          </w:rPr>
                          <w:t>济南发展国有工业资产经营公司</w:t>
                        </w:r>
                      </w:p>
                    </w:tc>
                    <w:tc>
                      <w:tcPr>
                        <w:tcW w:w="287"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01" w:right="0"/>
                          <w:jc w:val="left"/>
                          <w:rPr>
                            <w:rFonts w:ascii="Times New Roman" w:hAnsi="Times New Roman" w:cs="Times New Roman" w:eastAsia="Times New Roman" w:hint="default"/>
                            <w:sz w:val="20"/>
                            <w:szCs w:val="20"/>
                          </w:rPr>
                        </w:pPr>
                        <w:r>
                          <w:rPr>
                            <w:rFonts w:ascii="Times New Roman"/>
                            <w:sz w:val="20"/>
                          </w:rPr>
                          <w:t>3,099,600.00</w:t>
                        </w:r>
                      </w:p>
                    </w:tc>
                    <w:tc>
                      <w:tcPr>
                        <w:tcW w:w="28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5"/>
                          <w:jc w:val="right"/>
                          <w:rPr>
                            <w:rFonts w:ascii="Times New Roman" w:hAnsi="Times New Roman" w:cs="Times New Roman" w:eastAsia="Times New Roman" w:hint="default"/>
                            <w:sz w:val="20"/>
                            <w:szCs w:val="20"/>
                          </w:rPr>
                        </w:pPr>
                        <w:r>
                          <w:rPr>
                            <w:rFonts w:ascii="Times New Roman"/>
                            <w:sz w:val="20"/>
                          </w:rPr>
                          <w:t>4,871,914.00</w:t>
                        </w:r>
                      </w:p>
                    </w:tc>
                    <w:tc>
                      <w:tcPr>
                        <w:tcW w:w="1025" w:type="dxa"/>
                        <w:tcBorders>
                          <w:top w:val="nil" w:sz="6" w:space="0" w:color="auto"/>
                          <w:left w:val="nil" w:sz="6" w:space="0" w:color="auto"/>
                          <w:bottom w:val="nil" w:sz="6" w:space="0" w:color="auto"/>
                          <w:right w:val="nil" w:sz="6" w:space="0" w:color="auto"/>
                        </w:tcBorders>
                      </w:tcPr>
                      <w:p>
                        <w:pPr>
                          <w:pStyle w:val="TableParagraph"/>
                          <w:spacing w:line="251" w:lineRule="exact"/>
                          <w:ind w:right="264"/>
                          <w:jc w:val="righ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147" w:type="dxa"/>
                        <w:tcBorders>
                          <w:top w:val="nil" w:sz="6" w:space="0" w:color="auto"/>
                          <w:left w:val="nil" w:sz="6" w:space="0" w:color="auto"/>
                          <w:bottom w:val="nil" w:sz="6" w:space="0" w:color="auto"/>
                          <w:right w:val="nil" w:sz="6" w:space="0" w:color="auto"/>
                        </w:tcBorders>
                      </w:tcPr>
                      <w:p>
                        <w:pPr>
                          <w:pStyle w:val="TableParagraph"/>
                          <w:spacing w:line="251" w:lineRule="exact"/>
                          <w:ind w:left="244"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289" w:hRule="exact"/>
                    </w:trPr>
                    <w:tc>
                      <w:tcPr>
                        <w:tcW w:w="3358" w:type="dxa"/>
                        <w:tcBorders>
                          <w:top w:val="nil" w:sz="6" w:space="0" w:color="auto"/>
                          <w:left w:val="nil" w:sz="6" w:space="0" w:color="auto"/>
                          <w:bottom w:val="nil" w:sz="6" w:space="0" w:color="auto"/>
                          <w:right w:val="nil" w:sz="6" w:space="0" w:color="auto"/>
                        </w:tcBorders>
                      </w:tcPr>
                      <w:p>
                        <w:pPr>
                          <w:pStyle w:val="TableParagraph"/>
                          <w:spacing w:line="247" w:lineRule="exact"/>
                          <w:ind w:left="28" w:right="0"/>
                          <w:jc w:val="left"/>
                          <w:rPr>
                            <w:rFonts w:ascii="宋体" w:hAnsi="宋体" w:cs="宋体" w:eastAsia="宋体" w:hint="default"/>
                            <w:sz w:val="20"/>
                            <w:szCs w:val="20"/>
                          </w:rPr>
                        </w:pPr>
                        <w:r>
                          <w:rPr>
                            <w:rFonts w:ascii="宋体" w:hAnsi="宋体" w:cs="宋体" w:eastAsia="宋体" w:hint="default"/>
                            <w:spacing w:val="2"/>
                            <w:sz w:val="20"/>
                            <w:szCs w:val="20"/>
                          </w:rPr>
                          <w:t>北京中嘉华投资咨询有限公司</w:t>
                        </w:r>
                      </w:p>
                    </w:tc>
                    <w:tc>
                      <w:tcPr>
                        <w:tcW w:w="287"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Style w:val="TableParagraph"/>
                          <w:tabs>
                            <w:tab w:pos="1462" w:val="left" w:leader="none"/>
                          </w:tabs>
                          <w:spacing w:line="240" w:lineRule="auto" w:before="32"/>
                          <w:ind w:right="0"/>
                          <w:jc w:val="left"/>
                          <w:rPr>
                            <w:rFonts w:ascii="Times New Roman" w:hAnsi="Times New Roman" w:cs="Times New Roman" w:eastAsia="Times New Roman" w:hint="default"/>
                            <w:sz w:val="20"/>
                            <w:szCs w:val="20"/>
                          </w:rPr>
                        </w:pPr>
                        <w:r>
                          <w:rPr>
                            <w:rFonts w:ascii="Times New Roman"/>
                            <w:w w:val="99"/>
                            <w:sz w:val="20"/>
                          </w:rPr>
                        </w:r>
                        <w:r>
                          <w:rPr>
                            <w:rFonts w:ascii="Times New Roman"/>
                            <w:w w:val="99"/>
                            <w:sz w:val="20"/>
                            <w:u w:val="single" w:color="000000"/>
                          </w:rPr>
                          <w:t> </w:t>
                        </w:r>
                        <w:r>
                          <w:rPr>
                            <w:rFonts w:ascii="Times New Roman"/>
                            <w:sz w:val="20"/>
                            <w:u w:val="single" w:color="000000"/>
                          </w:rPr>
                          <w:tab/>
                        </w:r>
                        <w:r>
                          <w:rPr>
                            <w:rFonts w:ascii="Times New Roman"/>
                            <w:sz w:val="20"/>
                          </w:rPr>
                        </w:r>
                      </w:p>
                    </w:tc>
                    <w:tc>
                      <w:tcPr>
                        <w:tcW w:w="28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Style w:val="TableParagraph"/>
                          <w:tabs>
                            <w:tab w:pos="373" w:val="left" w:leader="none"/>
                            <w:tab w:pos="1521" w:val="left" w:leader="none"/>
                          </w:tabs>
                          <w:spacing w:line="240" w:lineRule="auto" w:before="12"/>
                          <w:ind w:right="0"/>
                          <w:jc w:val="right"/>
                          <w:rPr>
                            <w:rFonts w:ascii="Times New Roman" w:hAnsi="Times New Roman" w:cs="Times New Roman" w:eastAsia="Times New Roman" w:hint="default"/>
                            <w:sz w:val="20"/>
                            <w:szCs w:val="20"/>
                          </w:rPr>
                        </w:pPr>
                        <w:r>
                          <w:rPr>
                            <w:rFonts w:ascii="Times New Roman"/>
                            <w:sz w:val="20"/>
                          </w:rPr>
                        </w:r>
                        <w:r>
                          <w:rPr>
                            <w:rFonts w:ascii="Times New Roman"/>
                            <w:sz w:val="20"/>
                            <w:u w:val="single" w:color="000000"/>
                          </w:rPr>
                          <w:t> </w:t>
                          <w:tab/>
                          <w:t>3,050,000.00</w:t>
                          <w:tab/>
                        </w:r>
                        <w:r>
                          <w:rPr>
                            <w:rFonts w:ascii="Times New Roman"/>
                            <w:sz w:val="20"/>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7" w:lineRule="exact"/>
                          <w:ind w:right="264"/>
                          <w:jc w:val="right"/>
                          <w:rPr>
                            <w:rFonts w:ascii="宋体" w:hAnsi="宋体" w:cs="宋体" w:eastAsia="宋体" w:hint="default"/>
                            <w:sz w:val="20"/>
                            <w:szCs w:val="20"/>
                          </w:rPr>
                        </w:pPr>
                        <w:r>
                          <w:rPr>
                            <w:rFonts w:ascii="宋体" w:hAnsi="宋体" w:cs="宋体" w:eastAsia="宋体" w:hint="default"/>
                            <w:w w:val="99"/>
                            <w:sz w:val="20"/>
                            <w:szCs w:val="20"/>
                          </w:rPr>
                          <w:t>无</w:t>
                        </w:r>
                        <w:r>
                          <w:rPr>
                            <w:rFonts w:ascii="宋体" w:hAnsi="宋体" w:cs="宋体" w:eastAsia="宋体" w:hint="default"/>
                            <w:sz w:val="20"/>
                            <w:szCs w:val="20"/>
                          </w:rPr>
                        </w:r>
                      </w:p>
                    </w:tc>
                    <w:tc>
                      <w:tcPr>
                        <w:tcW w:w="1147" w:type="dxa"/>
                        <w:tcBorders>
                          <w:top w:val="nil" w:sz="6" w:space="0" w:color="auto"/>
                          <w:left w:val="nil" w:sz="6" w:space="0" w:color="auto"/>
                          <w:bottom w:val="nil" w:sz="6" w:space="0" w:color="auto"/>
                          <w:right w:val="nil" w:sz="6" w:space="0" w:color="auto"/>
                        </w:tcBorders>
                      </w:tcPr>
                      <w:p>
                        <w:pPr>
                          <w:pStyle w:val="TableParagraph"/>
                          <w:spacing w:line="247" w:lineRule="exact"/>
                          <w:ind w:left="244"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09" w:hRule="exact"/>
                    </w:trPr>
                    <w:tc>
                      <w:tcPr>
                        <w:tcW w:w="3358" w:type="dxa"/>
                        <w:tcBorders>
                          <w:top w:val="nil" w:sz="6" w:space="0" w:color="auto"/>
                          <w:left w:val="nil" w:sz="6" w:space="0" w:color="auto"/>
                          <w:bottom w:val="nil" w:sz="6" w:space="0" w:color="auto"/>
                          <w:right w:val="nil" w:sz="6" w:space="0" w:color="auto"/>
                        </w:tcBorders>
                      </w:tcPr>
                      <w:p>
                        <w:pPr>
                          <w:pStyle w:val="TableParagraph"/>
                          <w:tabs>
                            <w:tab w:pos="458" w:val="left" w:leader="none"/>
                          </w:tabs>
                          <w:spacing w:line="230" w:lineRule="exact"/>
                          <w:ind w:right="1"/>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87"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single" w:sz="6" w:space="0" w:color="000000"/>
                          <w:right w:val="nil" w:sz="6" w:space="0" w:color="auto"/>
                        </w:tcBorders>
                      </w:tcPr>
                      <w:p>
                        <w:pPr>
                          <w:pStyle w:val="TableParagraph"/>
                          <w:spacing w:line="240" w:lineRule="auto" w:before="23"/>
                          <w:ind w:left="301" w:right="0"/>
                          <w:jc w:val="left"/>
                          <w:rPr>
                            <w:rFonts w:ascii="Times New Roman" w:hAnsi="Times New Roman" w:cs="Times New Roman" w:eastAsia="Times New Roman" w:hint="default"/>
                            <w:sz w:val="20"/>
                            <w:szCs w:val="20"/>
                          </w:rPr>
                        </w:pPr>
                        <w:r>
                          <w:rPr>
                            <w:rFonts w:ascii="Times New Roman"/>
                            <w:sz w:val="20"/>
                          </w:rPr>
                          <w:t>3,099,600.00</w:t>
                        </w:r>
                      </w:p>
                    </w:tc>
                    <w:tc>
                      <w:tcPr>
                        <w:tcW w:w="287"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single" w:sz="6" w:space="0" w:color="000000"/>
                          <w:right w:val="nil" w:sz="6" w:space="0" w:color="auto"/>
                        </w:tcBorders>
                      </w:tcPr>
                      <w:p>
                        <w:pPr>
                          <w:pStyle w:val="TableParagraph"/>
                          <w:spacing w:line="240" w:lineRule="auto" w:before="23"/>
                          <w:ind w:left="273" w:right="0"/>
                          <w:jc w:val="left"/>
                          <w:rPr>
                            <w:rFonts w:ascii="Times New Roman" w:hAnsi="Times New Roman" w:cs="Times New Roman" w:eastAsia="Times New Roman" w:hint="default"/>
                            <w:sz w:val="20"/>
                            <w:szCs w:val="20"/>
                          </w:rPr>
                        </w:pPr>
                        <w:r>
                          <w:rPr>
                            <w:rFonts w:ascii="Times New Roman"/>
                            <w:sz w:val="20"/>
                          </w:rPr>
                          <w:t>16,391,660.06</w:t>
                        </w:r>
                      </w:p>
                    </w:tc>
                    <w:tc>
                      <w:tcPr>
                        <w:tcW w:w="1025"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Times New Roman" w:hAnsi="Times New Roman" w:cs="Times New Roman" w:eastAsia="Times New Roman" w:hint="default"/>
          <w:sz w:val="20"/>
          <w:szCs w:val="20"/>
        </w:rPr>
        <w:tab/>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7"/>
          <w:sz w:val="20"/>
          <w:szCs w:val="20"/>
          <w:u w:val="single" w:color="000000"/>
        </w:rPr>
        <w:t> </w:t>
      </w:r>
      <w:r>
        <w:rPr>
          <w:rFonts w:ascii="宋体" w:hAnsi="宋体" w:cs="宋体" w:eastAsia="宋体" w:hint="default"/>
          <w:spacing w:val="8"/>
          <w:sz w:val="20"/>
          <w:szCs w:val="20"/>
          <w:u w:val="single" w:color="000000"/>
        </w:rPr>
        <w:t>条件</w:t>
        <w:tab/>
      </w:r>
      <w:r>
        <w:rPr>
          <w:rFonts w:ascii="宋体" w:hAnsi="宋体" w:cs="宋体" w:eastAsia="宋体" w:hint="default"/>
          <w:spacing w:val="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tabs>
          <w:tab w:pos="5540" w:val="left" w:leader="none"/>
        </w:tabs>
        <w:spacing w:line="20" w:lineRule="exact"/>
        <w:ind w:left="3790" w:right="0" w:firstLine="0"/>
        <w:rPr>
          <w:rFonts w:ascii="宋体" w:hAnsi="宋体" w:cs="宋体" w:eastAsia="宋体" w:hint="default"/>
          <w:sz w:val="2"/>
          <w:szCs w:val="2"/>
        </w:rPr>
      </w:pPr>
      <w:r>
        <w:rPr>
          <w:rFonts w:ascii="宋体"/>
          <w:sz w:val="2"/>
        </w:rPr>
        <w:pict>
          <v:group style="width:73.9pt;height:.75pt;mso-position-horizontal-relative:char;mso-position-vertical-relative:line" coordorigin="0,0" coordsize="1478,15">
            <v:group style="position:absolute;left:7;top:7;width:1463;height:2" coordorigin="7,7" coordsize="1463,2">
              <v:shape style="position:absolute;left:7;top:7;width:1463;height:2" coordorigin="7,7" coordsize="1463,0" path="m7,7l1470,7e" filled="false" stroked="true" strokeweight=".72pt" strokecolor="#000000">
                <v:path arrowok="t"/>
              </v:shape>
            </v:group>
          </v:group>
        </w:pict>
      </w:r>
      <w:r>
        <w:rPr>
          <w:rFonts w:ascii="宋体"/>
          <w:sz w:val="2"/>
        </w:rPr>
      </w:r>
      <w:r>
        <w:rPr>
          <w:rFonts w:ascii="宋体"/>
          <w:sz w:val="2"/>
        </w:rPr>
        <w:tab/>
      </w:r>
      <w:r>
        <w:rPr>
          <w:rFonts w:ascii="宋体"/>
          <w:sz w:val="2"/>
        </w:rPr>
        <w:pict>
          <v:group style="width:76.8pt;height:.75pt;mso-position-horizontal-relative:char;mso-position-vertical-relative:line" coordorigin="0,0" coordsize="1536,15">
            <v:group style="position:absolute;left:7;top:7;width:1522;height:2" coordorigin="7,7" coordsize="1522,2">
              <v:shape style="position:absolute;left:7;top:7;width:1522;height:2" coordorigin="7,7" coordsize="1522,0" path="m7,7l1529,7e" filled="false" stroked="true" strokeweight=".72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tabs>
          <w:tab w:pos="5532" w:val="left" w:leader="none"/>
        </w:tabs>
        <w:spacing w:line="28" w:lineRule="exact"/>
        <w:ind w:left="3783" w:right="0" w:firstLine="0"/>
        <w:rPr>
          <w:rFonts w:ascii="宋体" w:hAnsi="宋体" w:cs="宋体" w:eastAsia="宋体" w:hint="default"/>
          <w:sz w:val="2"/>
          <w:szCs w:val="2"/>
        </w:rPr>
      </w:pPr>
      <w:r>
        <w:rPr>
          <w:rFonts w:ascii="宋体"/>
          <w:position w:val="0"/>
          <w:sz w:val="2"/>
        </w:rPr>
        <w:pict>
          <v:group style="width:74.6pt;height:1.45pt;mso-position-horizontal-relative:char;mso-position-vertical-relative:line" coordorigin="0,0" coordsize="1492,29">
            <v:group style="position:absolute;left:14;top:14;width:1463;height:2" coordorigin="14,14" coordsize="1463,2">
              <v:shape style="position:absolute;left:14;top:14;width:1463;height:2" coordorigin="14,14" coordsize="1463,0" path="m14,14l1477,14e" filled="false" stroked="true" strokeweight="1.4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7.55pt;height:1.45pt;mso-position-horizontal-relative:char;mso-position-vertical-relative:line" coordorigin="0,0" coordsize="1551,29">
            <v:group style="position:absolute;left:14;top:14;width:1522;height:2" coordorigin="14,14" coordsize="1522,2">
              <v:shape style="position:absolute;left:14;top:14;width:1522;height:2" coordorigin="14,14" coordsize="1522,0" path="m14,14l1536,14e" filled="false" stroked="true" strokeweight="1.44pt" strokecolor="#000000">
                <v:path arrowok="t"/>
              </v:shape>
            </v:group>
          </v:group>
        </w:pict>
      </w:r>
      <w:r>
        <w:rPr>
          <w:rFonts w:ascii="宋体"/>
          <w:position w:val="0"/>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tabs>
          <w:tab w:pos="5532" w:val="left" w:leader="none"/>
        </w:tabs>
        <w:spacing w:line="28" w:lineRule="exact"/>
        <w:ind w:left="3783" w:right="0" w:firstLine="0"/>
        <w:rPr>
          <w:rFonts w:ascii="宋体" w:hAnsi="宋体" w:cs="宋体" w:eastAsia="宋体" w:hint="default"/>
          <w:sz w:val="2"/>
          <w:szCs w:val="2"/>
        </w:rPr>
      </w:pPr>
      <w:r>
        <w:rPr>
          <w:rFonts w:ascii="宋体"/>
          <w:position w:val="0"/>
          <w:sz w:val="2"/>
        </w:rPr>
        <w:pict>
          <v:group style="width:74.6pt;height:1.45pt;mso-position-horizontal-relative:char;mso-position-vertical-relative:line" coordorigin="0,0" coordsize="1492,29">
            <v:group style="position:absolute;left:14;top:14;width:1463;height:2" coordorigin="14,14" coordsize="1463,2">
              <v:shape style="position:absolute;left:14;top:14;width:1463;height:2" coordorigin="14,14" coordsize="1463,0" path="m14,14l1477,14e" filled="false" stroked="true" strokeweight="1.44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7.55pt;height:1.45pt;mso-position-horizontal-relative:char;mso-position-vertical-relative:line" coordorigin="0,0" coordsize="1551,29">
            <v:group style="position:absolute;left:14;top:14;width:1522;height:2" coordorigin="14,14" coordsize="1522,2">
              <v:shape style="position:absolute;left:14;top:14;width:1522;height:2" coordorigin="14,14" coordsize="1522,0" path="m14,14l1536,14e" filled="false" stroked="true" strokeweight="1.44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type w:val="continuous"/>
          <w:pgSz w:w="11910" w:h="16840"/>
          <w:pgMar w:top="1060" w:bottom="1460" w:left="1660" w:right="900"/>
        </w:sectPr>
      </w:pPr>
    </w:p>
    <w:p>
      <w:pPr>
        <w:pStyle w:val="Heading3"/>
        <w:tabs>
          <w:tab w:pos="1397" w:val="left" w:leader="none"/>
        </w:tabs>
        <w:spacing w:line="297" w:lineRule="auto" w:before="47"/>
        <w:ind w:left="617" w:right="4312"/>
        <w:jc w:val="left"/>
        <w:rPr>
          <w:rFonts w:ascii="宋体" w:hAnsi="宋体" w:cs="宋体" w:eastAsia="宋体" w:hint="default"/>
          <w:b w:val="0"/>
          <w:bCs w:val="0"/>
        </w:rPr>
      </w:pPr>
      <w:r>
        <w:rPr/>
        <w:pict>
          <v:group style="position:absolute;margin-left:88.019981pt;margin-top:41.999668pt;width:419.35pt;height:16.4pt;mso-position-horizontal-relative:page;mso-position-vertical-relative:page;z-index:-58432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r>
        <w:rPr/>
        <w:t>十、</w:t>
        <w:tab/>
        <w:t>资产证券化业务的会计处理</w:t>
      </w:r>
      <w:r>
        <w:rPr>
          <w:spacing w:val="-1"/>
          <w:w w:val="100"/>
        </w:rPr>
        <w:t> </w:t>
      </w:r>
      <w:r>
        <w:rPr>
          <w:rFonts w:ascii="宋体" w:hAnsi="宋体" w:cs="宋体" w:eastAsia="宋体" w:hint="default"/>
          <w:b w:val="0"/>
          <w:bCs w:val="0"/>
        </w:rPr>
        <w:t>无</w:t>
      </w:r>
    </w:p>
    <w:p>
      <w:pPr>
        <w:pStyle w:val="Heading3"/>
        <w:spacing w:line="331" w:lineRule="auto" w:before="51"/>
        <w:ind w:left="618" w:right="6226" w:hanging="2"/>
        <w:jc w:val="left"/>
        <w:rPr>
          <w:rFonts w:ascii="宋体" w:hAnsi="宋体" w:cs="宋体" w:eastAsia="宋体" w:hint="default"/>
          <w:b w:val="0"/>
          <w:bCs w:val="0"/>
        </w:rPr>
      </w:pPr>
      <w:r>
        <w:rPr/>
        <w:t>十一、</w:t>
      </w:r>
      <w:r>
        <w:rPr>
          <w:spacing w:val="2"/>
        </w:rPr>
        <w:t> </w:t>
      </w:r>
      <w:r>
        <w:rPr/>
        <w:t>股份支付</w:t>
      </w:r>
      <w:r>
        <w:rPr>
          <w:w w:val="100"/>
        </w:rPr>
        <w:t> </w:t>
      </w:r>
      <w:r>
        <w:rPr>
          <w:rFonts w:ascii="宋体" w:hAnsi="宋体" w:cs="宋体" w:eastAsia="宋体" w:hint="default"/>
          <w:b w:val="0"/>
          <w:bCs w:val="0"/>
        </w:rPr>
        <w:t>无</w:t>
      </w:r>
    </w:p>
    <w:p>
      <w:pPr>
        <w:pStyle w:val="Heading3"/>
        <w:spacing w:line="377" w:lineRule="exact"/>
        <w:ind w:left="617" w:right="0"/>
        <w:jc w:val="left"/>
        <w:rPr>
          <w:b w:val="0"/>
          <w:bCs w:val="0"/>
        </w:rPr>
      </w:pPr>
      <w:r>
        <w:rPr/>
        <w:t>十二、</w:t>
      </w:r>
      <w:r>
        <w:rPr>
          <w:spacing w:val="3"/>
        </w:rPr>
        <w:t> </w:t>
      </w:r>
      <w:r>
        <w:rPr/>
        <w:t>或有事项</w:t>
      </w:r>
      <w:r>
        <w:rPr>
          <w:b w:val="0"/>
          <w:bCs w:val="0"/>
        </w:rPr>
      </w:r>
    </w:p>
    <w:p>
      <w:pPr>
        <w:pStyle w:val="BodyText"/>
        <w:spacing w:line="278" w:lineRule="auto" w:before="98"/>
        <w:ind w:left="617" w:right="1376"/>
        <w:jc w:val="left"/>
        <w:rPr>
          <w:rFonts w:ascii="Microsoft JhengHei" w:hAnsi="Microsoft JhengHei" w:cs="Microsoft JhengHei" w:eastAsia="Microsoft JhengHei" w:hint="default"/>
        </w:rPr>
      </w:pPr>
      <w:r>
        <w:rPr/>
        <w:t>截至</w:t>
      </w:r>
      <w:r>
        <w:rPr>
          <w:spacing w:val="-62"/>
        </w:rPr>
        <w:t> </w:t>
      </w:r>
      <w:r>
        <w:rPr/>
        <w:t>2007</w:t>
      </w:r>
      <w:r>
        <w:rPr>
          <w:spacing w:val="-61"/>
        </w:rPr>
        <w:t> </w:t>
      </w:r>
      <w:r>
        <w:rPr/>
        <w:t>年</w:t>
      </w:r>
      <w:r>
        <w:rPr>
          <w:spacing w:val="-62"/>
        </w:rPr>
        <w:t> </w:t>
      </w:r>
      <w:r>
        <w:rPr/>
        <w:t>12</w:t>
      </w:r>
      <w:r>
        <w:rPr>
          <w:spacing w:val="-61"/>
        </w:rPr>
        <w:t> </w:t>
      </w:r>
      <w:r>
        <w:rPr/>
        <w:t>月</w:t>
      </w:r>
      <w:r>
        <w:rPr>
          <w:spacing w:val="-62"/>
        </w:rPr>
        <w:t> </w:t>
      </w:r>
      <w:r>
        <w:rPr/>
        <w:t>31</w:t>
      </w:r>
      <w:r>
        <w:rPr>
          <w:spacing w:val="-61"/>
        </w:rPr>
        <w:t> </w:t>
      </w:r>
      <w:r>
        <w:rPr/>
        <w:t>日，本公司无需要披露的重大或有事项。</w:t>
      </w:r>
      <w:r>
        <w:rPr>
          <w:spacing w:val="-1"/>
          <w:w w:val="100"/>
        </w:rPr>
        <w:t> </w:t>
      </w:r>
      <w:r>
        <w:rPr>
          <w:rFonts w:ascii="Microsoft JhengHei" w:hAnsi="Microsoft JhengHei" w:cs="Microsoft JhengHei" w:eastAsia="Microsoft JhengHei" w:hint="default"/>
          <w:b/>
          <w:bCs/>
        </w:rPr>
        <w:t>十三、</w:t>
      </w:r>
      <w:r>
        <w:rPr>
          <w:rFonts w:ascii="Microsoft JhengHei" w:hAnsi="Microsoft JhengHei" w:cs="Microsoft JhengHei" w:eastAsia="Microsoft JhengHei" w:hint="default"/>
          <w:b/>
          <w:bCs/>
          <w:spacing w:val="3"/>
        </w:rPr>
        <w:t> </w:t>
      </w:r>
      <w:r>
        <w:rPr>
          <w:rFonts w:ascii="Microsoft JhengHei" w:hAnsi="Microsoft JhengHei" w:cs="Microsoft JhengHei" w:eastAsia="Microsoft JhengHei" w:hint="default"/>
          <w:b/>
          <w:bCs/>
        </w:rPr>
        <w:t>承诺事项</w:t>
      </w:r>
      <w:r>
        <w:rPr>
          <w:rFonts w:ascii="Microsoft JhengHei" w:hAnsi="Microsoft JhengHei" w:cs="Microsoft JhengHei" w:eastAsia="Microsoft JhengHei" w:hint="default"/>
        </w:rPr>
      </w:r>
    </w:p>
    <w:p>
      <w:pPr>
        <w:spacing w:line="278" w:lineRule="auto" w:before="48"/>
        <w:ind w:left="617" w:right="1376"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截至</w:t>
      </w:r>
      <w:r>
        <w:rPr>
          <w:rFonts w:ascii="宋体" w:hAnsi="宋体" w:cs="宋体" w:eastAsia="宋体" w:hint="default"/>
          <w:spacing w:val="-62"/>
          <w:sz w:val="24"/>
          <w:szCs w:val="24"/>
        </w:rPr>
        <w:t> </w:t>
      </w:r>
      <w:r>
        <w:rPr>
          <w:rFonts w:ascii="宋体" w:hAnsi="宋体" w:cs="宋体" w:eastAsia="宋体" w:hint="default"/>
          <w:sz w:val="24"/>
          <w:szCs w:val="24"/>
        </w:rPr>
        <w:t>2007</w:t>
      </w:r>
      <w:r>
        <w:rPr>
          <w:rFonts w:ascii="宋体" w:hAnsi="宋体" w:cs="宋体" w:eastAsia="宋体" w:hint="default"/>
          <w:spacing w:val="-61"/>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宋体" w:hAnsi="宋体" w:cs="宋体" w:eastAsia="宋体" w:hint="default"/>
          <w:sz w:val="24"/>
          <w:szCs w:val="24"/>
        </w:rPr>
        <w:t>31</w:t>
      </w:r>
      <w:r>
        <w:rPr>
          <w:rFonts w:ascii="宋体" w:hAnsi="宋体" w:cs="宋体" w:eastAsia="宋体" w:hint="default"/>
          <w:spacing w:val="-61"/>
          <w:sz w:val="24"/>
          <w:szCs w:val="24"/>
        </w:rPr>
        <w:t> </w:t>
      </w:r>
      <w:r>
        <w:rPr>
          <w:rFonts w:ascii="宋体" w:hAnsi="宋体" w:cs="宋体" w:eastAsia="宋体" w:hint="default"/>
          <w:sz w:val="24"/>
          <w:szCs w:val="24"/>
        </w:rPr>
        <w:t>日，本公司无需要披露的重大承诺事项。</w:t>
      </w:r>
      <w:r>
        <w:rPr>
          <w:rFonts w:ascii="宋体" w:hAnsi="宋体" w:cs="宋体" w:eastAsia="宋体" w:hint="default"/>
          <w:spacing w:val="-1"/>
          <w:w w:val="100"/>
          <w:sz w:val="24"/>
          <w:szCs w:val="24"/>
        </w:rPr>
        <w:t> </w:t>
      </w:r>
      <w:r>
        <w:rPr>
          <w:rFonts w:ascii="Microsoft JhengHei" w:hAnsi="Microsoft JhengHei" w:cs="Microsoft JhengHei" w:eastAsia="Microsoft JhengHei" w:hint="default"/>
          <w:b/>
          <w:bCs/>
          <w:sz w:val="24"/>
          <w:szCs w:val="24"/>
        </w:rPr>
        <w:t>十四、 资产负债表日后事项</w:t>
      </w:r>
      <w:r>
        <w:rPr>
          <w:rFonts w:ascii="Microsoft JhengHei" w:hAnsi="Microsoft JhengHei" w:cs="Microsoft JhengHei" w:eastAsia="Microsoft JhengHei" w:hint="default"/>
          <w:sz w:val="24"/>
          <w:szCs w:val="24"/>
        </w:rPr>
      </w:r>
    </w:p>
    <w:p>
      <w:pPr>
        <w:pStyle w:val="BodyText"/>
        <w:spacing w:line="336" w:lineRule="auto" w:before="48"/>
        <w:ind w:right="144" w:firstLine="480"/>
        <w:jc w:val="left"/>
      </w:pPr>
      <w:r>
        <w:rPr>
          <w:spacing w:val="-1"/>
          <w:w w:val="100"/>
        </w:rPr>
        <w:t>根据</w:t>
      </w:r>
      <w:r>
        <w:rPr>
          <w:spacing w:val="-82"/>
          <w:w w:val="100"/>
        </w:rPr>
        <w:t> </w:t>
      </w:r>
      <w:r>
        <w:rPr>
          <w:spacing w:val="-1"/>
          <w:w w:val="100"/>
        </w:rPr>
        <w:t>2008</w:t>
      </w:r>
      <w:r>
        <w:rPr>
          <w:spacing w:val="-80"/>
          <w:w w:val="100"/>
        </w:rPr>
        <w:t> </w:t>
      </w:r>
      <w:r>
        <w:rPr>
          <w:w w:val="100"/>
        </w:rPr>
        <w:t>年</w:t>
      </w:r>
      <w:r>
        <w:rPr>
          <w:spacing w:val="-82"/>
          <w:w w:val="100"/>
        </w:rPr>
        <w:t> </w:t>
      </w:r>
      <w:r>
        <w:rPr>
          <w:w w:val="100"/>
        </w:rPr>
        <w:t>1</w:t>
      </w:r>
      <w:r>
        <w:rPr>
          <w:spacing w:val="-82"/>
          <w:w w:val="100"/>
        </w:rPr>
        <w:t> </w:t>
      </w:r>
      <w:r>
        <w:rPr>
          <w:w w:val="100"/>
        </w:rPr>
        <w:t>月</w:t>
      </w:r>
      <w:r>
        <w:rPr>
          <w:spacing w:val="-82"/>
          <w:w w:val="100"/>
        </w:rPr>
        <w:t> </w:t>
      </w:r>
      <w:r>
        <w:rPr>
          <w:spacing w:val="-1"/>
          <w:w w:val="100"/>
        </w:rPr>
        <w:t>26</w:t>
      </w:r>
      <w:r>
        <w:rPr>
          <w:spacing w:val="-80"/>
          <w:w w:val="100"/>
        </w:rPr>
        <w:t> </w:t>
      </w:r>
      <w:r>
        <w:rPr>
          <w:spacing w:val="-7"/>
          <w:w w:val="100"/>
        </w:rPr>
        <w:t>日董事会制定的利润分配方案，拟以现金分配股利</w:t>
      </w:r>
      <w:r>
        <w:rPr>
          <w:spacing w:val="-82"/>
          <w:w w:val="100"/>
        </w:rPr>
        <w:t> </w:t>
      </w:r>
      <w:r>
        <w:rPr>
          <w:spacing w:val="-1"/>
          <w:w w:val="100"/>
        </w:rPr>
        <w:t>2,970</w:t>
      </w:r>
      <w:r>
        <w:rPr>
          <w:spacing w:val="-1"/>
          <w:w w:val="100"/>
        </w:rPr>
        <w:t> </w:t>
      </w:r>
      <w:r>
        <w:rPr/>
        <w:t>万元，该议案尚需公司股东大会批准后实施。</w:t>
      </w:r>
    </w:p>
    <w:p>
      <w:pPr>
        <w:spacing w:after="0" w:line="336" w:lineRule="auto"/>
        <w:jc w:val="left"/>
        <w:sectPr>
          <w:pgSz w:w="11910" w:h="16840"/>
          <w:pgMar w:header="915" w:footer="1712" w:top="1100" w:bottom="1900" w:left="1660" w:right="16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2"/>
        <w:spacing w:line="412" w:lineRule="exact"/>
        <w:ind w:left="3502" w:right="4137"/>
        <w:jc w:val="center"/>
        <w:rPr>
          <w:b w:val="0"/>
          <w:bCs w:val="0"/>
        </w:rPr>
      </w:pPr>
      <w:r>
        <w:rPr/>
        <w:t>补  充  资 </w:t>
      </w:r>
      <w:r>
        <w:rPr>
          <w:spacing w:val="4"/>
        </w:rPr>
        <w:t> </w:t>
      </w:r>
      <w:r>
        <w:rPr/>
        <w:t>料</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11"/>
          <w:szCs w:val="11"/>
        </w:rPr>
      </w:pPr>
    </w:p>
    <w:p>
      <w:pPr>
        <w:pStyle w:val="Heading3"/>
        <w:spacing w:line="368" w:lineRule="exact"/>
        <w:ind w:right="388"/>
        <w:jc w:val="left"/>
        <w:rPr>
          <w:b w:val="0"/>
          <w:bCs w:val="0"/>
        </w:rPr>
      </w:pPr>
      <w:r>
        <w:rPr/>
        <w:t>一、相关财务指标</w:t>
      </w:r>
      <w:r>
        <w:rPr>
          <w:b w:val="0"/>
          <w:bCs w:val="0"/>
        </w:rPr>
      </w:r>
    </w:p>
    <w:p>
      <w:pPr>
        <w:spacing w:line="240" w:lineRule="auto" w:before="6"/>
        <w:rPr>
          <w:rFonts w:ascii="Microsoft JhengHei" w:hAnsi="Microsoft JhengHei" w:cs="Microsoft JhengHei" w:eastAsia="Microsoft JhengHei" w:hint="default"/>
          <w:b/>
          <w:bCs/>
          <w:sz w:val="18"/>
          <w:szCs w:val="18"/>
        </w:rPr>
      </w:pPr>
    </w:p>
    <w:tbl>
      <w:tblPr>
        <w:tblW w:w="0" w:type="auto"/>
        <w:jc w:val="left"/>
        <w:tblInd w:w="137" w:type="dxa"/>
        <w:tblLayout w:type="fixed"/>
        <w:tblCellMar>
          <w:top w:w="0" w:type="dxa"/>
          <w:left w:w="0" w:type="dxa"/>
          <w:bottom w:w="0" w:type="dxa"/>
          <w:right w:w="0" w:type="dxa"/>
        </w:tblCellMar>
        <w:tblLook w:val="01E0"/>
      </w:tblPr>
      <w:tblGrid>
        <w:gridCol w:w="2066"/>
        <w:gridCol w:w="1601"/>
        <w:gridCol w:w="1197"/>
        <w:gridCol w:w="1197"/>
        <w:gridCol w:w="1468"/>
        <w:gridCol w:w="1422"/>
      </w:tblGrid>
      <w:tr>
        <w:trPr>
          <w:trHeight w:val="476" w:hRule="exact"/>
        </w:trPr>
        <w:tc>
          <w:tcPr>
            <w:tcW w:w="2066"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7"/>
                <w:szCs w:val="17"/>
              </w:rPr>
            </w:pPr>
          </w:p>
          <w:p>
            <w:pPr>
              <w:pStyle w:val="TableParagraph"/>
              <w:spacing w:line="240" w:lineRule="auto"/>
              <w:ind w:left="529" w:right="0"/>
              <w:jc w:val="left"/>
              <w:rPr>
                <w:rFonts w:ascii="宋体" w:hAnsi="宋体" w:cs="宋体" w:eastAsia="宋体" w:hint="default"/>
                <w:sz w:val="20"/>
                <w:szCs w:val="20"/>
              </w:rPr>
            </w:pPr>
            <w:r>
              <w:rPr>
                <w:rFonts w:ascii="宋体" w:hAnsi="宋体" w:cs="宋体" w:eastAsia="宋体" w:hint="default"/>
                <w:sz w:val="20"/>
                <w:szCs w:val="20"/>
              </w:rPr>
              <w:t>报告期利润</w:t>
            </w:r>
          </w:p>
        </w:tc>
        <w:tc>
          <w:tcPr>
            <w:tcW w:w="1601" w:type="dxa"/>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7"/>
                <w:szCs w:val="17"/>
              </w:rPr>
            </w:pPr>
          </w:p>
          <w:p>
            <w:pPr>
              <w:pStyle w:val="TableParagraph"/>
              <w:spacing w:line="240" w:lineRule="auto"/>
              <w:ind w:left="397" w:right="0"/>
              <w:jc w:val="left"/>
              <w:rPr>
                <w:rFonts w:ascii="宋体" w:hAnsi="宋体" w:cs="宋体" w:eastAsia="宋体" w:hint="default"/>
                <w:sz w:val="20"/>
                <w:szCs w:val="20"/>
              </w:rPr>
            </w:pPr>
            <w:r>
              <w:rPr>
                <w:rFonts w:ascii="宋体" w:hAnsi="宋体" w:cs="宋体" w:eastAsia="宋体" w:hint="default"/>
                <w:sz w:val="20"/>
                <w:szCs w:val="20"/>
              </w:rPr>
              <w:t>报告期间</w:t>
            </w:r>
          </w:p>
        </w:tc>
        <w:tc>
          <w:tcPr>
            <w:tcW w:w="239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left="594" w:right="0"/>
              <w:jc w:val="left"/>
              <w:rPr>
                <w:rFonts w:ascii="宋体" w:hAnsi="宋体" w:cs="宋体" w:eastAsia="宋体" w:hint="default"/>
                <w:sz w:val="20"/>
                <w:szCs w:val="20"/>
              </w:rPr>
            </w:pPr>
            <w:r>
              <w:rPr>
                <w:rFonts w:ascii="宋体" w:hAnsi="宋体" w:cs="宋体" w:eastAsia="宋体" w:hint="default"/>
                <w:sz w:val="20"/>
                <w:szCs w:val="20"/>
              </w:rPr>
              <w:t>净资产收益率</w:t>
            </w:r>
          </w:p>
        </w:tc>
        <w:tc>
          <w:tcPr>
            <w:tcW w:w="289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left="589" w:right="0"/>
              <w:jc w:val="left"/>
              <w:rPr>
                <w:rFonts w:ascii="宋体" w:hAnsi="宋体" w:cs="宋体" w:eastAsia="宋体" w:hint="default"/>
                <w:sz w:val="20"/>
                <w:szCs w:val="20"/>
              </w:rPr>
            </w:pPr>
            <w:r>
              <w:rPr>
                <w:rFonts w:ascii="宋体" w:hAnsi="宋体" w:cs="宋体" w:eastAsia="宋体" w:hint="default"/>
                <w:sz w:val="20"/>
                <w:szCs w:val="20"/>
              </w:rPr>
              <w:t>每股收益（元/股）</w:t>
            </w:r>
          </w:p>
        </w:tc>
      </w:tr>
      <w:tr>
        <w:trPr>
          <w:trHeight w:val="477" w:hRule="exact"/>
        </w:trPr>
        <w:tc>
          <w:tcPr>
            <w:tcW w:w="2066" w:type="dxa"/>
            <w:vMerge/>
            <w:tcBorders>
              <w:left w:val="single" w:sz="8" w:space="0" w:color="000000"/>
              <w:bottom w:val="single" w:sz="8" w:space="0" w:color="000000"/>
              <w:right w:val="single" w:sz="8" w:space="0" w:color="000000"/>
            </w:tcBorders>
          </w:tcPr>
          <w:p>
            <w:pPr/>
          </w:p>
        </w:tc>
        <w:tc>
          <w:tcPr>
            <w:tcW w:w="1601" w:type="dxa"/>
            <w:vMerge/>
            <w:tcBorders>
              <w:left w:val="single" w:sz="8" w:space="0" w:color="000000"/>
              <w:bottom w:val="single" w:sz="8" w:space="0" w:color="000000"/>
              <w:right w:val="single" w:sz="8" w:space="0" w:color="000000"/>
            </w:tcBorders>
          </w:tcPr>
          <w:p>
            <w:pPr/>
          </w:p>
        </w:tc>
        <w:tc>
          <w:tcPr>
            <w:tcW w:w="11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197" w:right="0"/>
              <w:jc w:val="left"/>
              <w:rPr>
                <w:rFonts w:ascii="宋体" w:hAnsi="宋体" w:cs="宋体" w:eastAsia="宋体" w:hint="default"/>
                <w:sz w:val="20"/>
                <w:szCs w:val="20"/>
              </w:rPr>
            </w:pPr>
            <w:r>
              <w:rPr>
                <w:rFonts w:ascii="宋体" w:hAnsi="宋体" w:cs="宋体" w:eastAsia="宋体" w:hint="default"/>
                <w:sz w:val="20"/>
                <w:szCs w:val="20"/>
              </w:rPr>
              <w:t>全面摊薄</w:t>
            </w:r>
          </w:p>
        </w:tc>
        <w:tc>
          <w:tcPr>
            <w:tcW w:w="11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left="195" w:right="0"/>
              <w:jc w:val="left"/>
              <w:rPr>
                <w:rFonts w:ascii="宋体" w:hAnsi="宋体" w:cs="宋体" w:eastAsia="宋体" w:hint="default"/>
                <w:sz w:val="20"/>
                <w:szCs w:val="20"/>
              </w:rPr>
            </w:pPr>
            <w:r>
              <w:rPr>
                <w:rFonts w:ascii="宋体" w:hAnsi="宋体" w:cs="宋体" w:eastAsia="宋体" w:hint="default"/>
                <w:sz w:val="20"/>
                <w:szCs w:val="20"/>
              </w:rPr>
              <w:t>加权平均</w:t>
            </w:r>
          </w:p>
        </w:tc>
        <w:tc>
          <w:tcPr>
            <w:tcW w:w="14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112"/>
              <w:jc w:val="right"/>
              <w:rPr>
                <w:rFonts w:ascii="宋体" w:hAnsi="宋体" w:cs="宋体" w:eastAsia="宋体" w:hint="default"/>
                <w:sz w:val="20"/>
                <w:szCs w:val="20"/>
              </w:rPr>
            </w:pPr>
            <w:r>
              <w:rPr>
                <w:rFonts w:ascii="宋体" w:hAnsi="宋体" w:cs="宋体" w:eastAsia="宋体" w:hint="default"/>
                <w:sz w:val="20"/>
                <w:szCs w:val="20"/>
              </w:rPr>
              <w:t>基本每股收益</w:t>
            </w:r>
          </w:p>
        </w:tc>
        <w:tc>
          <w:tcPr>
            <w:tcW w:w="1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1"/>
              <w:ind w:right="88"/>
              <w:jc w:val="right"/>
              <w:rPr>
                <w:rFonts w:ascii="宋体" w:hAnsi="宋体" w:cs="宋体" w:eastAsia="宋体" w:hint="default"/>
                <w:sz w:val="20"/>
                <w:szCs w:val="20"/>
              </w:rPr>
            </w:pPr>
            <w:r>
              <w:rPr>
                <w:rFonts w:ascii="宋体" w:hAnsi="宋体" w:cs="宋体" w:eastAsia="宋体" w:hint="default"/>
                <w:sz w:val="20"/>
                <w:szCs w:val="20"/>
              </w:rPr>
              <w:t>稀释每股收益</w:t>
            </w:r>
          </w:p>
        </w:tc>
      </w:tr>
      <w:tr>
        <w:trPr>
          <w:trHeight w:val="553" w:hRule="exact"/>
        </w:trPr>
        <w:tc>
          <w:tcPr>
            <w:tcW w:w="206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5"/>
                <w:szCs w:val="15"/>
              </w:rPr>
            </w:pPr>
          </w:p>
          <w:p>
            <w:pPr>
              <w:pStyle w:val="TableParagraph"/>
              <w:spacing w:line="240" w:lineRule="auto"/>
              <w:ind w:left="26" w:right="0"/>
              <w:jc w:val="left"/>
              <w:rPr>
                <w:rFonts w:ascii="宋体" w:hAnsi="宋体" w:cs="宋体" w:eastAsia="宋体" w:hint="default"/>
                <w:sz w:val="20"/>
                <w:szCs w:val="20"/>
              </w:rPr>
            </w:pPr>
            <w:r>
              <w:rPr>
                <w:rFonts w:ascii="宋体" w:hAnsi="宋体" w:cs="宋体" w:eastAsia="宋体" w:hint="default"/>
                <w:sz w:val="20"/>
                <w:szCs w:val="20"/>
              </w:rPr>
              <w:t>归属于公司普通股股东</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8"/>
              <w:ind w:right="376"/>
              <w:jc w:val="righ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宋体" w:hAnsi="宋体" w:cs="宋体" w:eastAsia="宋体" w:hint="default"/>
                <w:sz w:val="20"/>
                <w:szCs w:val="20"/>
              </w:rPr>
              <w:t>年度</w:t>
            </w:r>
          </w:p>
        </w:tc>
        <w:tc>
          <w:tcPr>
            <w:tcW w:w="11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73"/>
              <w:jc w:val="right"/>
              <w:rPr>
                <w:rFonts w:ascii="Times New Roman" w:hAnsi="Times New Roman" w:cs="Times New Roman" w:eastAsia="Times New Roman" w:hint="default"/>
                <w:sz w:val="20"/>
                <w:szCs w:val="20"/>
              </w:rPr>
            </w:pPr>
            <w:r>
              <w:rPr>
                <w:rFonts w:ascii="Times New Roman"/>
                <w:sz w:val="20"/>
              </w:rPr>
              <w:t>0.11</w:t>
            </w:r>
          </w:p>
        </w:tc>
        <w:tc>
          <w:tcPr>
            <w:tcW w:w="11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74"/>
              <w:jc w:val="right"/>
              <w:rPr>
                <w:rFonts w:ascii="Times New Roman" w:hAnsi="Times New Roman" w:cs="Times New Roman" w:eastAsia="Times New Roman" w:hint="default"/>
                <w:sz w:val="20"/>
                <w:szCs w:val="20"/>
              </w:rPr>
            </w:pPr>
            <w:r>
              <w:rPr>
                <w:rFonts w:ascii="Times New Roman"/>
                <w:w w:val="95"/>
                <w:sz w:val="20"/>
              </w:rPr>
              <w:t>0.11</w:t>
            </w:r>
            <w:r>
              <w:rPr>
                <w:rFonts w:ascii="Times New Roman"/>
                <w:sz w:val="20"/>
              </w:rPr>
            </w:r>
          </w:p>
        </w:tc>
        <w:tc>
          <w:tcPr>
            <w:tcW w:w="14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74"/>
              <w:jc w:val="right"/>
              <w:rPr>
                <w:rFonts w:ascii="Times New Roman" w:hAnsi="Times New Roman" w:cs="Times New Roman" w:eastAsia="Times New Roman" w:hint="default"/>
                <w:sz w:val="20"/>
                <w:szCs w:val="20"/>
              </w:rPr>
            </w:pPr>
            <w:r>
              <w:rPr>
                <w:rFonts w:ascii="Times New Roman"/>
                <w:w w:val="95"/>
                <w:sz w:val="20"/>
              </w:rPr>
              <w:t>0.53</w:t>
            </w:r>
            <w:r>
              <w:rPr>
                <w:rFonts w:ascii="Times New Roman"/>
                <w:sz w:val="20"/>
              </w:rPr>
            </w:r>
          </w:p>
        </w:tc>
        <w:tc>
          <w:tcPr>
            <w:tcW w:w="1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75"/>
              <w:jc w:val="right"/>
              <w:rPr>
                <w:rFonts w:ascii="Times New Roman" w:hAnsi="Times New Roman" w:cs="Times New Roman" w:eastAsia="Times New Roman" w:hint="default"/>
                <w:sz w:val="20"/>
                <w:szCs w:val="20"/>
              </w:rPr>
            </w:pPr>
            <w:r>
              <w:rPr>
                <w:rFonts w:ascii="Times New Roman"/>
                <w:w w:val="95"/>
                <w:sz w:val="20"/>
              </w:rPr>
              <w:t>0.53</w:t>
            </w:r>
            <w:r>
              <w:rPr>
                <w:rFonts w:ascii="Times New Roman"/>
                <w:sz w:val="20"/>
              </w:rPr>
            </w:r>
          </w:p>
        </w:tc>
      </w:tr>
      <w:tr>
        <w:trPr>
          <w:trHeight w:val="554" w:hRule="exact"/>
        </w:trPr>
        <w:tc>
          <w:tcPr>
            <w:tcW w:w="2066" w:type="dxa"/>
            <w:tcBorders>
              <w:top w:val="nil" w:sz="6" w:space="0" w:color="auto"/>
              <w:left w:val="single" w:sz="8" w:space="0" w:color="000000"/>
              <w:bottom w:val="single" w:sz="8" w:space="0" w:color="000000"/>
              <w:right w:val="single" w:sz="8"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的净利润</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9"/>
              <w:ind w:right="376"/>
              <w:jc w:val="right"/>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宋体" w:hAnsi="宋体" w:cs="宋体" w:eastAsia="宋体" w:hint="default"/>
                <w:sz w:val="20"/>
                <w:szCs w:val="20"/>
              </w:rPr>
              <w:t>年度</w:t>
            </w:r>
          </w:p>
        </w:tc>
        <w:tc>
          <w:tcPr>
            <w:tcW w:w="11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74"/>
              <w:jc w:val="right"/>
              <w:rPr>
                <w:rFonts w:ascii="Times New Roman" w:hAnsi="Times New Roman" w:cs="Times New Roman" w:eastAsia="Times New Roman" w:hint="default"/>
                <w:sz w:val="20"/>
                <w:szCs w:val="20"/>
              </w:rPr>
            </w:pPr>
            <w:r>
              <w:rPr>
                <w:rFonts w:ascii="Times New Roman"/>
                <w:sz w:val="20"/>
              </w:rPr>
              <w:t>0.26</w:t>
            </w:r>
          </w:p>
        </w:tc>
        <w:tc>
          <w:tcPr>
            <w:tcW w:w="11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74"/>
              <w:jc w:val="right"/>
              <w:rPr>
                <w:rFonts w:ascii="Times New Roman" w:hAnsi="Times New Roman" w:cs="Times New Roman" w:eastAsia="Times New Roman" w:hint="default"/>
                <w:sz w:val="20"/>
                <w:szCs w:val="20"/>
              </w:rPr>
            </w:pPr>
            <w:r>
              <w:rPr>
                <w:rFonts w:ascii="Times New Roman"/>
                <w:w w:val="95"/>
                <w:sz w:val="20"/>
              </w:rPr>
              <w:t>0.26</w:t>
            </w:r>
            <w:r>
              <w:rPr>
                <w:rFonts w:ascii="Times New Roman"/>
                <w:sz w:val="20"/>
              </w:rPr>
            </w:r>
          </w:p>
        </w:tc>
        <w:tc>
          <w:tcPr>
            <w:tcW w:w="14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74"/>
              <w:jc w:val="right"/>
              <w:rPr>
                <w:rFonts w:ascii="Times New Roman" w:hAnsi="Times New Roman" w:cs="Times New Roman" w:eastAsia="Times New Roman" w:hint="default"/>
                <w:sz w:val="20"/>
                <w:szCs w:val="20"/>
              </w:rPr>
            </w:pPr>
            <w:r>
              <w:rPr>
                <w:rFonts w:ascii="Times New Roman"/>
                <w:w w:val="95"/>
                <w:sz w:val="20"/>
              </w:rPr>
              <w:t>0.64</w:t>
            </w:r>
            <w:r>
              <w:rPr>
                <w:rFonts w:ascii="Times New Roman"/>
                <w:sz w:val="20"/>
              </w:rPr>
            </w:r>
          </w:p>
        </w:tc>
        <w:tc>
          <w:tcPr>
            <w:tcW w:w="1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9"/>
              <w:ind w:right="75"/>
              <w:jc w:val="right"/>
              <w:rPr>
                <w:rFonts w:ascii="Times New Roman" w:hAnsi="Times New Roman" w:cs="Times New Roman" w:eastAsia="Times New Roman" w:hint="default"/>
                <w:sz w:val="20"/>
                <w:szCs w:val="20"/>
              </w:rPr>
            </w:pPr>
            <w:r>
              <w:rPr>
                <w:rFonts w:ascii="Times New Roman"/>
                <w:w w:val="95"/>
                <w:sz w:val="20"/>
              </w:rPr>
              <w:t>0.64</w:t>
            </w:r>
            <w:r>
              <w:rPr>
                <w:rFonts w:ascii="Times New Roman"/>
                <w:sz w:val="20"/>
              </w:rPr>
            </w:r>
          </w:p>
        </w:tc>
      </w:tr>
      <w:tr>
        <w:trPr>
          <w:trHeight w:val="433" w:hRule="exact"/>
        </w:trPr>
        <w:tc>
          <w:tcPr>
            <w:tcW w:w="206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8"/>
              <w:ind w:left="26" w:right="0"/>
              <w:jc w:val="left"/>
              <w:rPr>
                <w:rFonts w:ascii="宋体" w:hAnsi="宋体" w:cs="宋体" w:eastAsia="宋体" w:hint="default"/>
                <w:sz w:val="20"/>
                <w:szCs w:val="20"/>
              </w:rPr>
            </w:pPr>
            <w:r>
              <w:rPr>
                <w:rFonts w:ascii="宋体" w:hAnsi="宋体" w:cs="宋体" w:eastAsia="宋体" w:hint="default"/>
                <w:sz w:val="20"/>
                <w:szCs w:val="20"/>
              </w:rPr>
              <w:t>扣除非经常性损益后归</w:t>
            </w:r>
          </w:p>
        </w:tc>
        <w:tc>
          <w:tcPr>
            <w:tcW w:w="1601"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10"/>
              <w:ind w:right="376"/>
              <w:jc w:val="righ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宋体" w:hAnsi="宋体" w:cs="宋体" w:eastAsia="宋体" w:hint="default"/>
                <w:sz w:val="20"/>
                <w:szCs w:val="20"/>
              </w:rPr>
              <w:t>年度</w:t>
            </w:r>
          </w:p>
        </w:tc>
        <w:tc>
          <w:tcPr>
            <w:tcW w:w="119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9"/>
              <w:ind w:right="72"/>
              <w:jc w:val="right"/>
              <w:rPr>
                <w:rFonts w:ascii="Times New Roman" w:hAnsi="Times New Roman" w:cs="Times New Roman" w:eastAsia="Times New Roman" w:hint="default"/>
                <w:sz w:val="20"/>
                <w:szCs w:val="20"/>
              </w:rPr>
            </w:pPr>
            <w:r>
              <w:rPr>
                <w:rFonts w:ascii="Times New Roman"/>
                <w:sz w:val="20"/>
              </w:rPr>
              <w:t>0.11</w:t>
            </w:r>
          </w:p>
        </w:tc>
        <w:tc>
          <w:tcPr>
            <w:tcW w:w="119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9"/>
              <w:ind w:right="74"/>
              <w:jc w:val="right"/>
              <w:rPr>
                <w:rFonts w:ascii="Times New Roman" w:hAnsi="Times New Roman" w:cs="Times New Roman" w:eastAsia="Times New Roman" w:hint="default"/>
                <w:sz w:val="20"/>
                <w:szCs w:val="20"/>
              </w:rPr>
            </w:pPr>
            <w:r>
              <w:rPr>
                <w:rFonts w:ascii="Times New Roman"/>
                <w:w w:val="95"/>
                <w:sz w:val="20"/>
              </w:rPr>
              <w:t>0.11</w:t>
            </w:r>
            <w:r>
              <w:rPr>
                <w:rFonts w:ascii="Times New Roman"/>
                <w:sz w:val="20"/>
              </w:rPr>
            </w:r>
          </w:p>
        </w:tc>
        <w:tc>
          <w:tcPr>
            <w:tcW w:w="146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9"/>
              <w:ind w:right="74"/>
              <w:jc w:val="right"/>
              <w:rPr>
                <w:rFonts w:ascii="Times New Roman" w:hAnsi="Times New Roman" w:cs="Times New Roman" w:eastAsia="Times New Roman" w:hint="default"/>
                <w:sz w:val="20"/>
                <w:szCs w:val="20"/>
              </w:rPr>
            </w:pPr>
            <w:r>
              <w:rPr>
                <w:rFonts w:ascii="Times New Roman"/>
                <w:w w:val="95"/>
                <w:sz w:val="20"/>
              </w:rPr>
              <w:t>0.52</w:t>
            </w:r>
            <w:r>
              <w:rPr>
                <w:rFonts w:ascii="Times New Roman"/>
                <w:sz w:val="20"/>
              </w:rPr>
            </w:r>
          </w:p>
        </w:tc>
        <w:tc>
          <w:tcPr>
            <w:tcW w:w="142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49"/>
              <w:ind w:right="76"/>
              <w:jc w:val="right"/>
              <w:rPr>
                <w:rFonts w:ascii="Times New Roman" w:hAnsi="Times New Roman" w:cs="Times New Roman" w:eastAsia="Times New Roman" w:hint="default"/>
                <w:sz w:val="20"/>
                <w:szCs w:val="20"/>
              </w:rPr>
            </w:pPr>
            <w:r>
              <w:rPr>
                <w:rFonts w:ascii="Times New Roman"/>
                <w:w w:val="95"/>
                <w:sz w:val="20"/>
              </w:rPr>
              <w:t>0.52</w:t>
            </w:r>
            <w:r>
              <w:rPr>
                <w:rFonts w:ascii="Times New Roman"/>
                <w:sz w:val="20"/>
              </w:rPr>
            </w:r>
          </w:p>
        </w:tc>
      </w:tr>
      <w:tr>
        <w:trPr>
          <w:trHeight w:val="120" w:hRule="exact"/>
        </w:trPr>
        <w:tc>
          <w:tcPr>
            <w:tcW w:w="2066" w:type="dxa"/>
            <w:vMerge w:val="restart"/>
            <w:tcBorders>
              <w:top w:val="nil" w:sz="6" w:space="0" w:color="auto"/>
              <w:left w:val="single" w:sz="8" w:space="0" w:color="000000"/>
              <w:right w:val="single" w:sz="8" w:space="0" w:color="000000"/>
            </w:tcBorders>
          </w:tcPr>
          <w:p>
            <w:pPr>
              <w:pStyle w:val="TableParagraph"/>
              <w:spacing w:line="223" w:lineRule="exact"/>
              <w:ind w:left="26" w:right="0"/>
              <w:jc w:val="left"/>
              <w:rPr>
                <w:rFonts w:ascii="宋体" w:hAnsi="宋体" w:cs="宋体" w:eastAsia="宋体" w:hint="default"/>
                <w:sz w:val="20"/>
                <w:szCs w:val="20"/>
              </w:rPr>
            </w:pPr>
            <w:r>
              <w:rPr>
                <w:rFonts w:ascii="宋体" w:hAnsi="宋体" w:cs="宋体" w:eastAsia="宋体" w:hint="default"/>
                <w:sz w:val="20"/>
                <w:szCs w:val="20"/>
              </w:rPr>
              <w:t>属于普通股股东的净利</w:t>
            </w:r>
          </w:p>
        </w:tc>
        <w:tc>
          <w:tcPr>
            <w:tcW w:w="1601" w:type="dxa"/>
            <w:tcBorders>
              <w:top w:val="nil" w:sz="6" w:space="0" w:color="auto"/>
              <w:left w:val="single" w:sz="8" w:space="0" w:color="000000"/>
              <w:bottom w:val="single" w:sz="8" w:space="0" w:color="000000"/>
              <w:right w:val="single" w:sz="8" w:space="0" w:color="000000"/>
            </w:tcBorders>
          </w:tcPr>
          <w:p>
            <w:pPr/>
          </w:p>
        </w:tc>
        <w:tc>
          <w:tcPr>
            <w:tcW w:w="1197" w:type="dxa"/>
            <w:tcBorders>
              <w:top w:val="nil" w:sz="6" w:space="0" w:color="auto"/>
              <w:left w:val="single" w:sz="8" w:space="0" w:color="000000"/>
              <w:bottom w:val="single" w:sz="8" w:space="0" w:color="000000"/>
              <w:right w:val="single" w:sz="8" w:space="0" w:color="000000"/>
            </w:tcBorders>
          </w:tcPr>
          <w:p>
            <w:pPr/>
          </w:p>
        </w:tc>
        <w:tc>
          <w:tcPr>
            <w:tcW w:w="1197" w:type="dxa"/>
            <w:tcBorders>
              <w:top w:val="nil" w:sz="6" w:space="0" w:color="auto"/>
              <w:left w:val="single" w:sz="8" w:space="0" w:color="000000"/>
              <w:bottom w:val="single" w:sz="8" w:space="0" w:color="000000"/>
              <w:right w:val="single" w:sz="8" w:space="0" w:color="000000"/>
            </w:tcBorders>
          </w:tcPr>
          <w:p>
            <w:pPr/>
          </w:p>
        </w:tc>
        <w:tc>
          <w:tcPr>
            <w:tcW w:w="1468" w:type="dxa"/>
            <w:tcBorders>
              <w:top w:val="nil" w:sz="6" w:space="0" w:color="auto"/>
              <w:left w:val="single" w:sz="8" w:space="0" w:color="000000"/>
              <w:bottom w:val="single" w:sz="8" w:space="0" w:color="000000"/>
              <w:right w:val="single" w:sz="8" w:space="0" w:color="000000"/>
            </w:tcBorders>
          </w:tcPr>
          <w:p>
            <w:pPr/>
          </w:p>
        </w:tc>
        <w:tc>
          <w:tcPr>
            <w:tcW w:w="1422" w:type="dxa"/>
            <w:tcBorders>
              <w:top w:val="nil" w:sz="6" w:space="0" w:color="auto"/>
              <w:left w:val="single" w:sz="8" w:space="0" w:color="000000"/>
              <w:bottom w:val="single" w:sz="8" w:space="0" w:color="000000"/>
              <w:right w:val="single" w:sz="8" w:space="0" w:color="000000"/>
            </w:tcBorders>
          </w:tcPr>
          <w:p>
            <w:pPr/>
          </w:p>
        </w:tc>
      </w:tr>
      <w:tr>
        <w:trPr>
          <w:trHeight w:val="127" w:hRule="exact"/>
        </w:trPr>
        <w:tc>
          <w:tcPr>
            <w:tcW w:w="2066" w:type="dxa"/>
            <w:vMerge/>
            <w:tcBorders>
              <w:left w:val="single" w:sz="8" w:space="0" w:color="000000"/>
              <w:bottom w:val="nil" w:sz="6" w:space="0" w:color="auto"/>
              <w:right w:val="single" w:sz="8" w:space="0" w:color="000000"/>
            </w:tcBorders>
          </w:tcPr>
          <w:p>
            <w:pPr/>
          </w:p>
        </w:tc>
        <w:tc>
          <w:tcPr>
            <w:tcW w:w="1601" w:type="dxa"/>
            <w:vMerge w:val="restart"/>
            <w:tcBorders>
              <w:top w:val="single" w:sz="8" w:space="0" w:color="000000"/>
              <w:left w:val="single" w:sz="8" w:space="0" w:color="000000"/>
              <w:right w:val="single" w:sz="8" w:space="0" w:color="000000"/>
            </w:tcBorders>
          </w:tcPr>
          <w:p>
            <w:pPr>
              <w:pStyle w:val="TableParagraph"/>
              <w:spacing w:line="240" w:lineRule="auto" w:before="110"/>
              <w:ind w:left="39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宋体" w:hAnsi="宋体" w:cs="宋体" w:eastAsia="宋体" w:hint="default"/>
                <w:sz w:val="20"/>
                <w:szCs w:val="20"/>
              </w:rPr>
              <w:t>年度</w:t>
            </w:r>
          </w:p>
        </w:tc>
        <w:tc>
          <w:tcPr>
            <w:tcW w:w="1197" w:type="dxa"/>
            <w:vMerge w:val="restart"/>
            <w:tcBorders>
              <w:top w:val="single" w:sz="8" w:space="0" w:color="000000"/>
              <w:left w:val="single" w:sz="8" w:space="0" w:color="000000"/>
              <w:right w:val="single" w:sz="8" w:space="0" w:color="000000"/>
            </w:tcBorders>
          </w:tcPr>
          <w:p>
            <w:pPr>
              <w:pStyle w:val="TableParagraph"/>
              <w:spacing w:line="240" w:lineRule="auto" w:before="149"/>
              <w:ind w:left="750" w:right="0"/>
              <w:jc w:val="left"/>
              <w:rPr>
                <w:rFonts w:ascii="Times New Roman" w:hAnsi="Times New Roman" w:cs="Times New Roman" w:eastAsia="Times New Roman" w:hint="default"/>
                <w:sz w:val="20"/>
                <w:szCs w:val="20"/>
              </w:rPr>
            </w:pPr>
            <w:r>
              <w:rPr>
                <w:rFonts w:ascii="Times New Roman"/>
                <w:sz w:val="20"/>
              </w:rPr>
              <w:t>0.27</w:t>
            </w:r>
          </w:p>
        </w:tc>
        <w:tc>
          <w:tcPr>
            <w:tcW w:w="1197" w:type="dxa"/>
            <w:vMerge w:val="restart"/>
            <w:tcBorders>
              <w:top w:val="single" w:sz="8" w:space="0" w:color="000000"/>
              <w:left w:val="single" w:sz="8" w:space="0" w:color="000000"/>
              <w:right w:val="single" w:sz="8" w:space="0" w:color="000000"/>
            </w:tcBorders>
          </w:tcPr>
          <w:p>
            <w:pPr>
              <w:pStyle w:val="TableParagraph"/>
              <w:spacing w:line="240" w:lineRule="auto" w:before="149"/>
              <w:ind w:left="748" w:right="0"/>
              <w:jc w:val="left"/>
              <w:rPr>
                <w:rFonts w:ascii="Times New Roman" w:hAnsi="Times New Roman" w:cs="Times New Roman" w:eastAsia="Times New Roman" w:hint="default"/>
                <w:sz w:val="20"/>
                <w:szCs w:val="20"/>
              </w:rPr>
            </w:pPr>
            <w:r>
              <w:rPr>
                <w:rFonts w:ascii="Times New Roman"/>
                <w:sz w:val="20"/>
              </w:rPr>
              <w:t>0.27</w:t>
            </w:r>
          </w:p>
        </w:tc>
        <w:tc>
          <w:tcPr>
            <w:tcW w:w="1468" w:type="dxa"/>
            <w:vMerge w:val="restart"/>
            <w:tcBorders>
              <w:top w:val="single" w:sz="8" w:space="0" w:color="000000"/>
              <w:left w:val="single" w:sz="8" w:space="0" w:color="000000"/>
              <w:right w:val="single" w:sz="8" w:space="0" w:color="000000"/>
            </w:tcBorders>
          </w:tcPr>
          <w:p>
            <w:pPr>
              <w:pStyle w:val="TableParagraph"/>
              <w:spacing w:line="240" w:lineRule="auto" w:before="149"/>
              <w:ind w:right="74"/>
              <w:jc w:val="right"/>
              <w:rPr>
                <w:rFonts w:ascii="Times New Roman" w:hAnsi="Times New Roman" w:cs="Times New Roman" w:eastAsia="Times New Roman" w:hint="default"/>
                <w:sz w:val="20"/>
                <w:szCs w:val="20"/>
              </w:rPr>
            </w:pPr>
            <w:r>
              <w:rPr>
                <w:rFonts w:ascii="Times New Roman"/>
                <w:w w:val="95"/>
                <w:sz w:val="20"/>
              </w:rPr>
              <w:t>0.64</w:t>
            </w:r>
            <w:r>
              <w:rPr>
                <w:rFonts w:ascii="Times New Roman"/>
                <w:sz w:val="20"/>
              </w:rPr>
            </w:r>
          </w:p>
        </w:tc>
        <w:tc>
          <w:tcPr>
            <w:tcW w:w="1422" w:type="dxa"/>
            <w:vMerge w:val="restart"/>
            <w:tcBorders>
              <w:top w:val="single" w:sz="8" w:space="0" w:color="000000"/>
              <w:left w:val="single" w:sz="8" w:space="0" w:color="000000"/>
              <w:right w:val="single" w:sz="8" w:space="0" w:color="000000"/>
            </w:tcBorders>
          </w:tcPr>
          <w:p>
            <w:pPr>
              <w:pStyle w:val="TableParagraph"/>
              <w:spacing w:line="240" w:lineRule="auto" w:before="149"/>
              <w:ind w:right="74"/>
              <w:jc w:val="right"/>
              <w:rPr>
                <w:rFonts w:ascii="Times New Roman" w:hAnsi="Times New Roman" w:cs="Times New Roman" w:eastAsia="Times New Roman" w:hint="default"/>
                <w:sz w:val="20"/>
                <w:szCs w:val="20"/>
              </w:rPr>
            </w:pPr>
            <w:r>
              <w:rPr>
                <w:rFonts w:ascii="Times New Roman"/>
                <w:w w:val="95"/>
                <w:sz w:val="20"/>
              </w:rPr>
              <w:t>0.64</w:t>
            </w:r>
            <w:r>
              <w:rPr>
                <w:rFonts w:ascii="Times New Roman"/>
                <w:sz w:val="20"/>
              </w:rPr>
            </w:r>
          </w:p>
        </w:tc>
      </w:tr>
      <w:tr>
        <w:trPr>
          <w:trHeight w:val="426" w:hRule="exact"/>
        </w:trPr>
        <w:tc>
          <w:tcPr>
            <w:tcW w:w="2066" w:type="dxa"/>
            <w:tcBorders>
              <w:top w:val="nil" w:sz="6" w:space="0" w:color="auto"/>
              <w:left w:val="single" w:sz="8" w:space="0" w:color="000000"/>
              <w:bottom w:val="single" w:sz="8" w:space="0" w:color="000000"/>
              <w:right w:val="single" w:sz="8" w:space="0" w:color="000000"/>
            </w:tcBorders>
          </w:tcPr>
          <w:p>
            <w:pPr>
              <w:pStyle w:val="TableParagraph"/>
              <w:spacing w:line="223" w:lineRule="exact"/>
              <w:ind w:left="26" w:right="0"/>
              <w:jc w:val="left"/>
              <w:rPr>
                <w:rFonts w:ascii="宋体" w:hAnsi="宋体" w:cs="宋体" w:eastAsia="宋体" w:hint="default"/>
                <w:sz w:val="20"/>
                <w:szCs w:val="20"/>
              </w:rPr>
            </w:pPr>
            <w:r>
              <w:rPr>
                <w:rFonts w:ascii="宋体" w:hAnsi="宋体" w:cs="宋体" w:eastAsia="宋体" w:hint="default"/>
                <w:w w:val="99"/>
                <w:sz w:val="20"/>
                <w:szCs w:val="20"/>
              </w:rPr>
              <w:t>润</w:t>
            </w:r>
            <w:r>
              <w:rPr>
                <w:rFonts w:ascii="宋体" w:hAnsi="宋体" w:cs="宋体" w:eastAsia="宋体" w:hint="default"/>
                <w:sz w:val="20"/>
                <w:szCs w:val="20"/>
              </w:rPr>
            </w:r>
          </w:p>
        </w:tc>
        <w:tc>
          <w:tcPr>
            <w:tcW w:w="1601" w:type="dxa"/>
            <w:vMerge/>
            <w:tcBorders>
              <w:left w:val="single" w:sz="8" w:space="0" w:color="000000"/>
              <w:bottom w:val="single" w:sz="8" w:space="0" w:color="000000"/>
              <w:right w:val="single" w:sz="8" w:space="0" w:color="000000"/>
            </w:tcBorders>
          </w:tcPr>
          <w:p>
            <w:pPr/>
          </w:p>
        </w:tc>
        <w:tc>
          <w:tcPr>
            <w:tcW w:w="1197" w:type="dxa"/>
            <w:vMerge/>
            <w:tcBorders>
              <w:left w:val="single" w:sz="8" w:space="0" w:color="000000"/>
              <w:bottom w:val="single" w:sz="8" w:space="0" w:color="000000"/>
              <w:right w:val="single" w:sz="8" w:space="0" w:color="000000"/>
            </w:tcBorders>
          </w:tcPr>
          <w:p>
            <w:pPr/>
          </w:p>
        </w:tc>
        <w:tc>
          <w:tcPr>
            <w:tcW w:w="1197" w:type="dxa"/>
            <w:vMerge/>
            <w:tcBorders>
              <w:left w:val="single" w:sz="8" w:space="0" w:color="000000"/>
              <w:bottom w:val="single" w:sz="8" w:space="0" w:color="000000"/>
              <w:right w:val="single" w:sz="8" w:space="0" w:color="000000"/>
            </w:tcBorders>
          </w:tcPr>
          <w:p>
            <w:pPr/>
          </w:p>
        </w:tc>
        <w:tc>
          <w:tcPr>
            <w:tcW w:w="1468" w:type="dxa"/>
            <w:vMerge/>
            <w:tcBorders>
              <w:left w:val="single" w:sz="8" w:space="0" w:color="000000"/>
              <w:bottom w:val="single" w:sz="8" w:space="0" w:color="000000"/>
              <w:right w:val="single" w:sz="8" w:space="0" w:color="000000"/>
            </w:tcBorders>
          </w:tcPr>
          <w:p>
            <w:pPr/>
          </w:p>
        </w:tc>
        <w:tc>
          <w:tcPr>
            <w:tcW w:w="1422" w:type="dxa"/>
            <w:vMerge/>
            <w:tcBorders>
              <w:left w:val="single" w:sz="8" w:space="0" w:color="000000"/>
              <w:bottom w:val="single" w:sz="8" w:space="0" w:color="000000"/>
              <w:right w:val="single" w:sz="8" w:space="0" w:color="000000"/>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28"/>
          <w:szCs w:val="28"/>
        </w:rPr>
      </w:pPr>
    </w:p>
    <w:p>
      <w:pPr>
        <w:pStyle w:val="BodyText"/>
        <w:spacing w:line="368" w:lineRule="exact" w:before="0"/>
        <w:ind w:left="620" w:right="388"/>
        <w:jc w:val="left"/>
      </w:pPr>
      <w:r>
        <w:rPr>
          <w:rFonts w:ascii="Microsoft JhengHei" w:hAnsi="Microsoft JhengHei" w:cs="Microsoft JhengHei" w:eastAsia="Microsoft JhengHei" w:hint="default"/>
          <w:b/>
          <w:bCs/>
          <w:color w:val="212121"/>
        </w:rPr>
        <w:t>注：</w:t>
      </w:r>
      <w:r>
        <w:rPr>
          <w:color w:val="212121"/>
        </w:rPr>
        <w:t>净资产收益率和每股收益的计算方法如下：</w:t>
      </w:r>
      <w:r>
        <w:rPr/>
      </w:r>
    </w:p>
    <w:p>
      <w:pPr>
        <w:pStyle w:val="BodyText"/>
        <w:spacing w:line="336" w:lineRule="auto" w:before="99"/>
        <w:ind w:left="617" w:right="5601"/>
        <w:jc w:val="left"/>
      </w:pPr>
      <w:r>
        <w:rPr>
          <w:color w:val="212121"/>
          <w:spacing w:val="-2"/>
        </w:rPr>
        <w:t>（1）全面摊薄净资产收益率</w:t>
      </w:r>
      <w:r>
        <w:rPr>
          <w:color w:val="212121"/>
          <w:spacing w:val="-106"/>
        </w:rPr>
        <w:t> </w:t>
      </w:r>
      <w:r>
        <w:rPr>
          <w:color w:val="212121"/>
          <w:spacing w:val="-1"/>
        </w:rPr>
        <w:t>全面摊薄净资产收益率=P÷E</w:t>
      </w:r>
      <w:r>
        <w:rPr/>
      </w:r>
    </w:p>
    <w:p>
      <w:pPr>
        <w:pStyle w:val="BodyText"/>
        <w:spacing w:line="336" w:lineRule="auto" w:before="29"/>
        <w:ind w:right="772" w:firstLine="480"/>
        <w:jc w:val="both"/>
      </w:pPr>
      <w:r>
        <w:rPr>
          <w:color w:val="212121"/>
          <w:spacing w:val="-9"/>
        </w:rPr>
        <w:t>其中，P</w:t>
      </w:r>
      <w:r>
        <w:rPr>
          <w:color w:val="212121"/>
          <w:spacing w:val="-73"/>
        </w:rPr>
        <w:t> </w:t>
      </w:r>
      <w:r>
        <w:rPr>
          <w:color w:val="212121"/>
        </w:rPr>
        <w:t>为归属于公司普通股股东的净利润或扣除非经常性损益后归属于公</w:t>
      </w:r>
      <w:r>
        <w:rPr>
          <w:color w:val="212121"/>
          <w:spacing w:val="-2"/>
          <w:w w:val="100"/>
        </w:rPr>
        <w:t> </w:t>
      </w:r>
      <w:r>
        <w:rPr>
          <w:color w:val="212121"/>
          <w:spacing w:val="-2"/>
        </w:rPr>
        <w:t>司普通股股东的净利润；E</w:t>
      </w:r>
      <w:r>
        <w:rPr>
          <w:color w:val="212121"/>
          <w:spacing w:val="-26"/>
        </w:rPr>
        <w:t> </w:t>
      </w:r>
      <w:r>
        <w:rPr>
          <w:color w:val="212121"/>
          <w:spacing w:val="-2"/>
        </w:rPr>
        <w:t>为归属于公司普通股股东的期末净资产。</w:t>
      </w:r>
      <w:r>
        <w:rPr/>
      </w:r>
    </w:p>
    <w:p>
      <w:pPr>
        <w:pStyle w:val="BodyText"/>
        <w:spacing w:line="336" w:lineRule="auto"/>
        <w:ind w:right="772" w:firstLine="480"/>
        <w:jc w:val="both"/>
      </w:pPr>
      <w:r>
        <w:rPr>
          <w:color w:val="212121"/>
          <w:spacing w:val="-5"/>
        </w:rPr>
        <w:t>编制和披露合并报表时，“归属于公司普通股股东的净利润”不包括少数股</w:t>
      </w:r>
      <w:r>
        <w:rPr>
          <w:color w:val="212121"/>
          <w:spacing w:val="-2"/>
          <w:w w:val="100"/>
        </w:rPr>
        <w:t> </w:t>
      </w:r>
      <w:r>
        <w:rPr>
          <w:color w:val="212121"/>
          <w:spacing w:val="-5"/>
        </w:rPr>
        <w:t>东损益金额；“扣除非经常性损益后归属于公司普通股股东的净利润”以扣除少</w:t>
      </w:r>
      <w:r>
        <w:rPr>
          <w:color w:val="212121"/>
          <w:spacing w:val="-61"/>
        </w:rPr>
        <w:t> </w:t>
      </w:r>
      <w:r>
        <w:rPr>
          <w:color w:val="212121"/>
          <w:spacing w:val="-61"/>
        </w:rPr>
      </w:r>
      <w:r>
        <w:rPr>
          <w:color w:val="212121"/>
          <w:spacing w:val="-5"/>
        </w:rPr>
        <w:t>数股东损益后的合并净利润为基础，扣除母公司非经常性损益（应考虑所得税影</w:t>
      </w:r>
      <w:r>
        <w:rPr>
          <w:color w:val="212121"/>
          <w:spacing w:val="-64"/>
        </w:rPr>
        <w:t> </w:t>
      </w:r>
      <w:r>
        <w:rPr>
          <w:color w:val="212121"/>
          <w:spacing w:val="-64"/>
        </w:rPr>
      </w:r>
      <w:r>
        <w:rPr>
          <w:color w:val="212121"/>
          <w:spacing w:val="-5"/>
        </w:rPr>
        <w:t>响）、各子公司非经常性损益（应考虑所得税影响）中母公司普通股股东所占份</w:t>
      </w:r>
      <w:r>
        <w:rPr>
          <w:color w:val="212121"/>
          <w:spacing w:val="-60"/>
        </w:rPr>
        <w:t> </w:t>
      </w:r>
      <w:r>
        <w:rPr>
          <w:color w:val="212121"/>
          <w:spacing w:val="-60"/>
        </w:rPr>
      </w:r>
      <w:r>
        <w:rPr>
          <w:color w:val="212121"/>
        </w:rPr>
        <w:t>额；“归属于公司普通股股东的期末净资产”不包括少数股东权益金额。</w:t>
      </w:r>
      <w:r>
        <w:rPr/>
      </w:r>
    </w:p>
    <w:p>
      <w:pPr>
        <w:pStyle w:val="BodyText"/>
        <w:spacing w:line="333" w:lineRule="auto"/>
        <w:ind w:left="617" w:right="388"/>
        <w:jc w:val="left"/>
      </w:pPr>
      <w:r>
        <w:rPr>
          <w:color w:val="212121"/>
        </w:rPr>
        <w:t>（2）加权平均净资产收益率</w:t>
      </w:r>
      <w:r>
        <w:rPr>
          <w:color w:val="212121"/>
          <w:spacing w:val="-2"/>
          <w:w w:val="100"/>
        </w:rPr>
        <w:t> </w:t>
      </w:r>
      <w:r>
        <w:rPr>
          <w:color w:val="212121"/>
          <w:spacing w:val="-3"/>
          <w:w w:val="100"/>
        </w:rPr>
        <w:t>加权平均净资产收益率=P/（E</w:t>
      </w:r>
      <w:r>
        <w:rPr>
          <w:color w:val="212121"/>
          <w:spacing w:val="-3"/>
          <w:w w:val="100"/>
          <w:position w:val="-1"/>
          <w:sz w:val="12"/>
          <w:szCs w:val="12"/>
        </w:rPr>
        <w:t>0</w:t>
      </w:r>
      <w:r>
        <w:rPr>
          <w:color w:val="212121"/>
          <w:spacing w:val="-3"/>
          <w:w w:val="100"/>
        </w:rPr>
        <w:t>＋NP÷2＋E</w:t>
      </w:r>
      <w:r>
        <w:rPr>
          <w:color w:val="212121"/>
          <w:spacing w:val="-3"/>
          <w:w w:val="100"/>
          <w:position w:val="-1"/>
          <w:sz w:val="12"/>
          <w:szCs w:val="12"/>
        </w:rPr>
        <w:t>i</w:t>
      </w:r>
      <w:r>
        <w:rPr>
          <w:color w:val="212121"/>
          <w:spacing w:val="-3"/>
          <w:w w:val="100"/>
        </w:rPr>
        <w:t>×M</w:t>
      </w:r>
      <w:r>
        <w:rPr>
          <w:color w:val="212121"/>
          <w:spacing w:val="-3"/>
          <w:w w:val="100"/>
          <w:position w:val="-1"/>
          <w:sz w:val="12"/>
          <w:szCs w:val="12"/>
        </w:rPr>
        <w:t>i</w:t>
      </w:r>
      <w:r>
        <w:rPr>
          <w:color w:val="212121"/>
          <w:spacing w:val="-3"/>
          <w:w w:val="100"/>
        </w:rPr>
        <w:t>÷M</w:t>
      </w:r>
      <w:r>
        <w:rPr>
          <w:color w:val="212121"/>
          <w:spacing w:val="-3"/>
          <w:w w:val="100"/>
          <w:position w:val="-1"/>
          <w:sz w:val="12"/>
          <w:szCs w:val="12"/>
        </w:rPr>
        <w:t>0</w:t>
      </w:r>
      <w:r>
        <w:rPr>
          <w:color w:val="212121"/>
          <w:spacing w:val="-3"/>
          <w:w w:val="100"/>
        </w:rPr>
        <w:t>－E</w:t>
      </w:r>
      <w:r>
        <w:rPr>
          <w:color w:val="212121"/>
          <w:spacing w:val="-3"/>
          <w:w w:val="100"/>
          <w:position w:val="-1"/>
          <w:sz w:val="12"/>
          <w:szCs w:val="12"/>
        </w:rPr>
        <w:t>j</w:t>
      </w:r>
      <w:r>
        <w:rPr>
          <w:color w:val="212121"/>
          <w:spacing w:val="-3"/>
          <w:w w:val="100"/>
        </w:rPr>
        <w:t>×M</w:t>
      </w:r>
      <w:r>
        <w:rPr>
          <w:color w:val="212121"/>
          <w:spacing w:val="-3"/>
          <w:w w:val="100"/>
          <w:position w:val="-1"/>
          <w:sz w:val="12"/>
          <w:szCs w:val="12"/>
        </w:rPr>
        <w:t>j</w:t>
      </w:r>
      <w:r>
        <w:rPr>
          <w:color w:val="212121"/>
          <w:spacing w:val="-3"/>
          <w:w w:val="100"/>
        </w:rPr>
        <w:t>÷M</w:t>
      </w:r>
      <w:r>
        <w:rPr>
          <w:color w:val="212121"/>
          <w:spacing w:val="-3"/>
          <w:w w:val="100"/>
          <w:position w:val="-1"/>
          <w:sz w:val="12"/>
          <w:szCs w:val="12"/>
        </w:rPr>
        <w:t>0</w:t>
      </w:r>
      <w:r>
        <w:rPr>
          <w:color w:val="212121"/>
          <w:spacing w:val="-3"/>
          <w:w w:val="100"/>
        </w:rPr>
        <w:t>±E</w:t>
      </w:r>
      <w:r>
        <w:rPr>
          <w:color w:val="212121"/>
          <w:spacing w:val="-3"/>
          <w:w w:val="100"/>
          <w:position w:val="-1"/>
          <w:sz w:val="12"/>
          <w:szCs w:val="12"/>
        </w:rPr>
        <w:t>k</w:t>
      </w:r>
      <w:r>
        <w:rPr>
          <w:color w:val="212121"/>
          <w:spacing w:val="-3"/>
          <w:w w:val="100"/>
        </w:rPr>
        <w:t>×M</w:t>
      </w:r>
      <w:r>
        <w:rPr>
          <w:color w:val="212121"/>
          <w:spacing w:val="-3"/>
          <w:w w:val="100"/>
          <w:position w:val="-1"/>
          <w:sz w:val="12"/>
          <w:szCs w:val="12"/>
        </w:rPr>
        <w:t>k</w:t>
      </w:r>
      <w:r>
        <w:rPr>
          <w:color w:val="212121"/>
          <w:spacing w:val="-3"/>
          <w:w w:val="100"/>
        </w:rPr>
        <w:t>÷M</w:t>
      </w:r>
      <w:r>
        <w:rPr>
          <w:color w:val="212121"/>
          <w:spacing w:val="-3"/>
          <w:w w:val="100"/>
          <w:position w:val="-1"/>
          <w:sz w:val="12"/>
          <w:szCs w:val="12"/>
        </w:rPr>
        <w:t>0</w:t>
      </w:r>
      <w:r>
        <w:rPr>
          <w:color w:val="212121"/>
          <w:spacing w:val="-3"/>
          <w:w w:val="100"/>
        </w:rPr>
        <w:t>）</w:t>
      </w:r>
      <w:r>
        <w:rPr>
          <w:color w:val="212121"/>
          <w:spacing w:val="-104"/>
          <w:w w:val="100"/>
        </w:rPr>
        <w:t> </w:t>
      </w:r>
      <w:r>
        <w:rPr>
          <w:color w:val="212121"/>
          <w:spacing w:val="-104"/>
          <w:w w:val="100"/>
        </w:rPr>
      </w:r>
      <w:r>
        <w:rPr>
          <w:color w:val="212121"/>
          <w:spacing w:val="-5"/>
        </w:rPr>
        <w:t>其中：P</w:t>
      </w:r>
      <w:r>
        <w:rPr>
          <w:color w:val="212121"/>
          <w:spacing w:val="-10"/>
        </w:rPr>
        <w:t> </w:t>
      </w:r>
      <w:r>
        <w:rPr>
          <w:color w:val="212121"/>
          <w:spacing w:val="-3"/>
        </w:rPr>
        <w:t>分别对应于归属于公司普通股股东的净利润、扣除非经常性损益后</w:t>
      </w:r>
      <w:r>
        <w:rPr/>
      </w:r>
    </w:p>
    <w:p>
      <w:pPr>
        <w:pStyle w:val="BodyText"/>
        <w:spacing w:line="333" w:lineRule="auto" w:before="32"/>
        <w:ind w:right="388"/>
        <w:jc w:val="left"/>
      </w:pPr>
      <w:r>
        <w:rPr>
          <w:color w:val="212121"/>
          <w:spacing w:val="-6"/>
          <w:w w:val="100"/>
        </w:rPr>
        <w:t>归属于公司普通股股东的净利润；NP</w:t>
      </w:r>
      <w:r>
        <w:rPr>
          <w:color w:val="212121"/>
          <w:spacing w:val="-56"/>
          <w:w w:val="100"/>
        </w:rPr>
        <w:t> </w:t>
      </w:r>
      <w:r>
        <w:rPr>
          <w:color w:val="212121"/>
          <w:spacing w:val="-5"/>
          <w:w w:val="100"/>
        </w:rPr>
        <w:t>为归属于公司普通股股东的净利润；E</w:t>
      </w:r>
      <w:r>
        <w:rPr>
          <w:color w:val="212121"/>
          <w:spacing w:val="-5"/>
          <w:w w:val="100"/>
          <w:position w:val="-1"/>
          <w:sz w:val="12"/>
          <w:szCs w:val="12"/>
        </w:rPr>
        <w:t>0</w:t>
      </w:r>
      <w:r>
        <w:rPr>
          <w:color w:val="212121"/>
          <w:spacing w:val="-28"/>
          <w:w w:val="100"/>
          <w:position w:val="-1"/>
          <w:sz w:val="12"/>
          <w:szCs w:val="12"/>
        </w:rPr>
        <w:t> </w:t>
      </w:r>
      <w:r>
        <w:rPr>
          <w:color w:val="212121"/>
          <w:spacing w:val="-2"/>
          <w:w w:val="100"/>
        </w:rPr>
        <w:t>为归</w:t>
      </w:r>
      <w:r>
        <w:rPr>
          <w:color w:val="212121"/>
          <w:spacing w:val="-117"/>
          <w:w w:val="100"/>
        </w:rPr>
        <w:t> </w:t>
      </w:r>
      <w:r>
        <w:rPr>
          <w:color w:val="212121"/>
          <w:spacing w:val="-117"/>
          <w:w w:val="100"/>
        </w:rPr>
      </w:r>
      <w:r>
        <w:rPr>
          <w:color w:val="212121"/>
          <w:spacing w:val="-4"/>
        </w:rPr>
        <w:t>属于公司普通股股东的期初净资产；E</w:t>
      </w:r>
      <w:r>
        <w:rPr>
          <w:color w:val="212121"/>
          <w:spacing w:val="-4"/>
          <w:position w:val="-1"/>
          <w:sz w:val="12"/>
          <w:szCs w:val="12"/>
        </w:rPr>
        <w:t>i</w:t>
      </w:r>
      <w:r>
        <w:rPr>
          <w:color w:val="212121"/>
          <w:spacing w:val="30"/>
          <w:position w:val="-1"/>
          <w:sz w:val="12"/>
          <w:szCs w:val="12"/>
        </w:rPr>
        <w:t> </w:t>
      </w:r>
      <w:r>
        <w:rPr>
          <w:color w:val="212121"/>
          <w:spacing w:val="-4"/>
        </w:rPr>
        <w:t>为报告期发行新股或债转股等新增的、归</w:t>
      </w:r>
      <w:r>
        <w:rPr>
          <w:spacing w:val="-4"/>
        </w:rPr>
      </w:r>
    </w:p>
    <w:p>
      <w:pPr>
        <w:spacing w:after="0" w:line="333" w:lineRule="auto"/>
        <w:jc w:val="left"/>
        <w:sectPr>
          <w:headerReference w:type="default" r:id="rId59"/>
          <w:pgSz w:w="11910" w:h="16840"/>
          <w:pgMar w:header="840" w:footer="1712" w:top="1160" w:bottom="1900" w:left="1660" w:right="1020"/>
        </w:sectPr>
      </w:pPr>
    </w:p>
    <w:p>
      <w:pPr>
        <w:pStyle w:val="BodyText"/>
        <w:spacing w:line="333" w:lineRule="auto" w:before="71"/>
        <w:ind w:right="232"/>
        <w:jc w:val="both"/>
      </w:pPr>
      <w:r>
        <w:rPr>
          <w:color w:val="212121"/>
          <w:spacing w:val="-4"/>
        </w:rPr>
        <w:t>属于公司普通股股东的净资产；E</w:t>
      </w:r>
      <w:r>
        <w:rPr>
          <w:color w:val="212121"/>
          <w:spacing w:val="-4"/>
          <w:position w:val="-1"/>
          <w:sz w:val="12"/>
          <w:szCs w:val="12"/>
        </w:rPr>
        <w:t>j </w:t>
      </w:r>
      <w:r>
        <w:rPr>
          <w:color w:val="212121"/>
          <w:spacing w:val="-4"/>
        </w:rPr>
        <w:t>为报告期回购或现金分红等减少的、归属于公</w:t>
      </w:r>
      <w:r>
        <w:rPr>
          <w:color w:val="212121"/>
          <w:spacing w:val="-88"/>
        </w:rPr>
        <w:t> </w:t>
      </w:r>
      <w:r>
        <w:rPr>
          <w:color w:val="212121"/>
          <w:spacing w:val="-88"/>
        </w:rPr>
      </w:r>
      <w:r>
        <w:rPr>
          <w:color w:val="212121"/>
          <w:spacing w:val="-3"/>
        </w:rPr>
        <w:t>司普通股股东的净资产；M</w:t>
      </w:r>
      <w:r>
        <w:rPr>
          <w:color w:val="212121"/>
          <w:spacing w:val="-3"/>
          <w:position w:val="-1"/>
          <w:sz w:val="12"/>
          <w:szCs w:val="12"/>
        </w:rPr>
        <w:t>0</w:t>
      </w:r>
      <w:r>
        <w:rPr>
          <w:color w:val="212121"/>
          <w:spacing w:val="-24"/>
          <w:position w:val="-1"/>
          <w:sz w:val="12"/>
          <w:szCs w:val="12"/>
        </w:rPr>
        <w:t> </w:t>
      </w:r>
      <w:r>
        <w:rPr>
          <w:color w:val="212121"/>
          <w:spacing w:val="-4"/>
        </w:rPr>
        <w:t>为报告期月份数；M</w:t>
      </w:r>
      <w:r>
        <w:rPr>
          <w:color w:val="212121"/>
          <w:spacing w:val="-4"/>
          <w:position w:val="-1"/>
          <w:sz w:val="12"/>
          <w:szCs w:val="12"/>
        </w:rPr>
        <w:t>i</w:t>
      </w:r>
      <w:r>
        <w:rPr>
          <w:color w:val="212121"/>
          <w:spacing w:val="-24"/>
          <w:position w:val="-1"/>
          <w:sz w:val="12"/>
          <w:szCs w:val="12"/>
        </w:rPr>
        <w:t> </w:t>
      </w:r>
      <w:r>
        <w:rPr>
          <w:color w:val="212121"/>
        </w:rPr>
        <w:t>为新增净资产下一月份起至报告</w:t>
      </w:r>
      <w:r>
        <w:rPr>
          <w:color w:val="212121"/>
          <w:spacing w:val="-112"/>
        </w:rPr>
        <w:t> </w:t>
      </w:r>
      <w:r>
        <w:rPr>
          <w:color w:val="212121"/>
          <w:spacing w:val="-112"/>
        </w:rPr>
      </w:r>
      <w:r>
        <w:rPr>
          <w:color w:val="212121"/>
          <w:spacing w:val="-4"/>
        </w:rPr>
        <w:t>期期末的月份数；M</w:t>
      </w:r>
      <w:r>
        <w:rPr>
          <w:color w:val="212121"/>
          <w:spacing w:val="-4"/>
          <w:position w:val="-1"/>
          <w:sz w:val="12"/>
          <w:szCs w:val="12"/>
        </w:rPr>
        <w:t>j</w:t>
      </w:r>
      <w:r>
        <w:rPr>
          <w:color w:val="212121"/>
          <w:spacing w:val="-12"/>
          <w:position w:val="-1"/>
          <w:sz w:val="12"/>
          <w:szCs w:val="12"/>
        </w:rPr>
        <w:t> </w:t>
      </w:r>
      <w:r>
        <w:rPr>
          <w:color w:val="212121"/>
          <w:spacing w:val="-3"/>
        </w:rPr>
        <w:t>为减少净资产下一月份起至报告期期末的月份数；E</w:t>
      </w:r>
      <w:r>
        <w:rPr>
          <w:color w:val="212121"/>
          <w:spacing w:val="-3"/>
          <w:position w:val="-1"/>
          <w:sz w:val="12"/>
          <w:szCs w:val="12"/>
        </w:rPr>
        <w:t>k</w:t>
      </w:r>
      <w:r>
        <w:rPr>
          <w:color w:val="212121"/>
          <w:spacing w:val="-12"/>
          <w:position w:val="-1"/>
          <w:sz w:val="12"/>
          <w:szCs w:val="12"/>
        </w:rPr>
        <w:t> </w:t>
      </w:r>
      <w:r>
        <w:rPr>
          <w:color w:val="212121"/>
          <w:spacing w:val="-2"/>
        </w:rPr>
        <w:t>为因其</w:t>
      </w:r>
      <w:r>
        <w:rPr>
          <w:color w:val="212121"/>
          <w:spacing w:val="-97"/>
        </w:rPr>
        <w:t> </w:t>
      </w:r>
      <w:r>
        <w:rPr>
          <w:color w:val="212121"/>
          <w:spacing w:val="-97"/>
        </w:rPr>
      </w:r>
      <w:r>
        <w:rPr>
          <w:color w:val="212121"/>
          <w:spacing w:val="-5"/>
          <w:w w:val="100"/>
        </w:rPr>
        <w:t>它交易或事项引起的净资产增减变动；M</w:t>
      </w:r>
      <w:r>
        <w:rPr>
          <w:color w:val="212121"/>
          <w:spacing w:val="-5"/>
          <w:w w:val="100"/>
          <w:position w:val="-1"/>
          <w:sz w:val="12"/>
          <w:szCs w:val="12"/>
        </w:rPr>
        <w:t>k</w:t>
      </w:r>
      <w:r>
        <w:rPr>
          <w:color w:val="212121"/>
          <w:spacing w:val="-29"/>
          <w:w w:val="100"/>
          <w:position w:val="-1"/>
          <w:sz w:val="12"/>
          <w:szCs w:val="12"/>
        </w:rPr>
        <w:t> </w:t>
      </w:r>
      <w:r>
        <w:rPr>
          <w:color w:val="212121"/>
          <w:spacing w:val="-2"/>
          <w:w w:val="100"/>
        </w:rPr>
        <w:t>为发生其它净资产增减变动下一月份起</w:t>
      </w:r>
      <w:r>
        <w:rPr>
          <w:color w:val="212121"/>
          <w:spacing w:val="-119"/>
          <w:w w:val="100"/>
        </w:rPr>
        <w:t> </w:t>
      </w:r>
      <w:r>
        <w:rPr>
          <w:color w:val="212121"/>
          <w:spacing w:val="-119"/>
          <w:w w:val="100"/>
        </w:rPr>
      </w:r>
      <w:r>
        <w:rPr>
          <w:color w:val="212121"/>
        </w:rPr>
        <w:t>至报告期期末的月份数。</w:t>
      </w:r>
      <w:r>
        <w:rPr/>
      </w:r>
    </w:p>
    <w:p>
      <w:pPr>
        <w:pStyle w:val="BodyText"/>
        <w:spacing w:line="336" w:lineRule="auto" w:before="31"/>
        <w:ind w:left="617" w:right="4524"/>
        <w:jc w:val="left"/>
        <w:rPr>
          <w:sz w:val="12"/>
          <w:szCs w:val="12"/>
        </w:rPr>
      </w:pPr>
      <w:r>
        <w:rPr>
          <w:color w:val="212121"/>
        </w:rPr>
        <w:t>（3）基本每股收益</w:t>
      </w:r>
      <w:r>
        <w:rPr>
          <w:color w:val="212121"/>
          <w:spacing w:val="-2"/>
          <w:w w:val="100"/>
        </w:rPr>
        <w:t> </w:t>
      </w:r>
      <w:r>
        <w:rPr>
          <w:color w:val="212121"/>
        </w:rPr>
        <w:t>基本每股收益=P÷S</w:t>
      </w:r>
      <w:r>
        <w:rPr>
          <w:color w:val="212121"/>
          <w:spacing w:val="-1"/>
          <w:w w:val="100"/>
        </w:rPr>
        <w:t> </w:t>
      </w:r>
      <w:r>
        <w:rPr>
          <w:color w:val="212121"/>
          <w:spacing w:val="-1"/>
        </w:rPr>
        <w:t>S=S</w:t>
      </w:r>
      <w:r>
        <w:rPr>
          <w:color w:val="212121"/>
          <w:spacing w:val="-1"/>
          <w:position w:val="-1"/>
          <w:sz w:val="12"/>
          <w:szCs w:val="12"/>
        </w:rPr>
        <w:t>0</w:t>
      </w:r>
      <w:r>
        <w:rPr>
          <w:color w:val="212121"/>
          <w:spacing w:val="-1"/>
        </w:rPr>
        <w:t>＋S</w:t>
      </w:r>
      <w:r>
        <w:rPr>
          <w:color w:val="212121"/>
          <w:spacing w:val="-1"/>
          <w:position w:val="-1"/>
          <w:sz w:val="12"/>
          <w:szCs w:val="12"/>
        </w:rPr>
        <w:t>1</w:t>
      </w:r>
      <w:r>
        <w:rPr>
          <w:color w:val="212121"/>
          <w:spacing w:val="-1"/>
        </w:rPr>
        <w:t>＋S</w:t>
      </w:r>
      <w:r>
        <w:rPr>
          <w:color w:val="212121"/>
          <w:spacing w:val="-1"/>
          <w:position w:val="-1"/>
          <w:sz w:val="12"/>
          <w:szCs w:val="12"/>
        </w:rPr>
        <w:t>i</w:t>
      </w:r>
      <w:r>
        <w:rPr>
          <w:color w:val="212121"/>
          <w:spacing w:val="-1"/>
        </w:rPr>
        <w:t>×M</w:t>
      </w:r>
      <w:r>
        <w:rPr>
          <w:color w:val="212121"/>
          <w:spacing w:val="-1"/>
          <w:position w:val="-1"/>
          <w:sz w:val="12"/>
          <w:szCs w:val="12"/>
        </w:rPr>
        <w:t>i</w:t>
      </w:r>
      <w:r>
        <w:rPr>
          <w:color w:val="212121"/>
          <w:spacing w:val="-1"/>
        </w:rPr>
        <w:t>÷M</w:t>
      </w:r>
      <w:r>
        <w:rPr>
          <w:color w:val="212121"/>
          <w:spacing w:val="-1"/>
          <w:position w:val="-1"/>
          <w:sz w:val="12"/>
          <w:szCs w:val="12"/>
        </w:rPr>
        <w:t>0</w:t>
      </w:r>
      <w:r>
        <w:rPr>
          <w:color w:val="212121"/>
          <w:spacing w:val="-1"/>
        </w:rPr>
        <w:t>-S</w:t>
      </w:r>
      <w:r>
        <w:rPr>
          <w:color w:val="212121"/>
          <w:spacing w:val="-1"/>
          <w:position w:val="-1"/>
          <w:sz w:val="12"/>
          <w:szCs w:val="12"/>
        </w:rPr>
        <w:t>j</w:t>
      </w:r>
      <w:r>
        <w:rPr>
          <w:color w:val="212121"/>
          <w:spacing w:val="-1"/>
        </w:rPr>
        <w:t>×M</w:t>
      </w:r>
      <w:r>
        <w:rPr>
          <w:color w:val="212121"/>
          <w:spacing w:val="-1"/>
          <w:position w:val="-1"/>
          <w:sz w:val="12"/>
          <w:szCs w:val="12"/>
        </w:rPr>
        <w:t>j</w:t>
      </w:r>
      <w:r>
        <w:rPr>
          <w:color w:val="212121"/>
          <w:spacing w:val="-1"/>
        </w:rPr>
        <w:t>÷M</w:t>
      </w:r>
      <w:r>
        <w:rPr>
          <w:color w:val="212121"/>
          <w:spacing w:val="-1"/>
          <w:position w:val="-1"/>
          <w:sz w:val="12"/>
          <w:szCs w:val="12"/>
        </w:rPr>
        <w:t>0</w:t>
      </w:r>
      <w:r>
        <w:rPr>
          <w:color w:val="212121"/>
          <w:spacing w:val="-1"/>
        </w:rPr>
        <w:t>-S</w:t>
      </w:r>
      <w:r>
        <w:rPr>
          <w:color w:val="212121"/>
          <w:spacing w:val="-1"/>
          <w:position w:val="-1"/>
          <w:sz w:val="12"/>
          <w:szCs w:val="12"/>
        </w:rPr>
        <w:t>k</w:t>
      </w:r>
      <w:r>
        <w:rPr>
          <w:spacing w:val="-1"/>
          <w:sz w:val="12"/>
          <w:szCs w:val="12"/>
        </w:rPr>
      </w:r>
    </w:p>
    <w:p>
      <w:pPr>
        <w:pStyle w:val="BodyText"/>
        <w:spacing w:line="333" w:lineRule="auto" w:before="24"/>
        <w:ind w:right="96" w:firstLine="480"/>
        <w:jc w:val="left"/>
      </w:pPr>
      <w:r>
        <w:rPr>
          <w:color w:val="212121"/>
          <w:spacing w:val="-9"/>
        </w:rPr>
        <w:t>其中：P</w:t>
      </w:r>
      <w:r>
        <w:rPr>
          <w:color w:val="212121"/>
          <w:spacing w:val="-66"/>
        </w:rPr>
        <w:t> </w:t>
      </w:r>
      <w:r>
        <w:rPr>
          <w:color w:val="212121"/>
        </w:rPr>
        <w:t>为归属于公司普通股股东的净利润或扣除非经常性损益后归属于普</w:t>
      </w:r>
      <w:r>
        <w:rPr>
          <w:color w:val="212121"/>
          <w:spacing w:val="-2"/>
          <w:w w:val="100"/>
        </w:rPr>
        <w:t> </w:t>
      </w:r>
      <w:r>
        <w:rPr>
          <w:color w:val="212121"/>
        </w:rPr>
        <w:t>通股股东的净利润；S</w:t>
      </w:r>
      <w:r>
        <w:rPr>
          <w:color w:val="212121"/>
          <w:spacing w:val="-67"/>
        </w:rPr>
        <w:t> </w:t>
      </w:r>
      <w:r>
        <w:rPr>
          <w:color w:val="212121"/>
        </w:rPr>
        <w:t>为发行在外的普通股加权平均数；S</w:t>
      </w:r>
      <w:r>
        <w:rPr>
          <w:color w:val="212121"/>
          <w:position w:val="-1"/>
          <w:sz w:val="12"/>
          <w:szCs w:val="12"/>
        </w:rPr>
        <w:t>0</w:t>
      </w:r>
      <w:r>
        <w:rPr>
          <w:color w:val="212121"/>
          <w:spacing w:val="-33"/>
          <w:position w:val="-1"/>
          <w:sz w:val="12"/>
          <w:szCs w:val="12"/>
        </w:rPr>
        <w:t> </w:t>
      </w:r>
      <w:r>
        <w:rPr>
          <w:color w:val="212121"/>
        </w:rPr>
        <w:t>为期初股份总数；S</w:t>
      </w:r>
      <w:r>
        <w:rPr>
          <w:color w:val="212121"/>
          <w:position w:val="-1"/>
          <w:sz w:val="12"/>
          <w:szCs w:val="12"/>
        </w:rPr>
        <w:t>1</w:t>
      </w:r>
      <w:r>
        <w:rPr>
          <w:color w:val="212121"/>
          <w:position w:val="-1"/>
          <w:sz w:val="12"/>
          <w:szCs w:val="12"/>
        </w:rPr>
        <w:t> </w:t>
      </w:r>
      <w:r>
        <w:rPr>
          <w:color w:val="212121"/>
          <w:spacing w:val="-4"/>
          <w:w w:val="100"/>
        </w:rPr>
        <w:t>为报告期因公积金转增股本或股票股利分配等增加股份数；S</w:t>
      </w:r>
      <w:r>
        <w:rPr>
          <w:color w:val="212121"/>
          <w:spacing w:val="-4"/>
          <w:w w:val="100"/>
          <w:position w:val="-1"/>
          <w:sz w:val="12"/>
          <w:szCs w:val="12"/>
        </w:rPr>
        <w:t>i</w:t>
      </w:r>
      <w:r>
        <w:rPr>
          <w:color w:val="212121"/>
          <w:spacing w:val="-30"/>
          <w:w w:val="100"/>
          <w:position w:val="-1"/>
          <w:sz w:val="12"/>
          <w:szCs w:val="12"/>
        </w:rPr>
        <w:t> </w:t>
      </w:r>
      <w:r>
        <w:rPr>
          <w:color w:val="212121"/>
          <w:spacing w:val="-2"/>
          <w:w w:val="100"/>
        </w:rPr>
        <w:t>为报告期因发行新</w:t>
      </w:r>
      <w:r>
        <w:rPr>
          <w:color w:val="212121"/>
          <w:spacing w:val="-118"/>
          <w:w w:val="100"/>
        </w:rPr>
        <w:t> </w:t>
      </w:r>
      <w:r>
        <w:rPr>
          <w:color w:val="212121"/>
          <w:spacing w:val="-118"/>
          <w:w w:val="100"/>
        </w:rPr>
      </w:r>
      <w:r>
        <w:rPr>
          <w:color w:val="212121"/>
          <w:spacing w:val="-8"/>
          <w:w w:val="100"/>
        </w:rPr>
        <w:t>股或债转股等增加股份数；S</w:t>
      </w:r>
      <w:r>
        <w:rPr>
          <w:color w:val="212121"/>
          <w:spacing w:val="-8"/>
          <w:w w:val="100"/>
          <w:position w:val="-1"/>
          <w:sz w:val="12"/>
          <w:szCs w:val="12"/>
        </w:rPr>
        <w:t>j</w:t>
      </w:r>
      <w:r>
        <w:rPr>
          <w:color w:val="212121"/>
          <w:spacing w:val="-23"/>
          <w:w w:val="100"/>
          <w:position w:val="-1"/>
          <w:sz w:val="12"/>
          <w:szCs w:val="12"/>
        </w:rPr>
        <w:t> </w:t>
      </w:r>
      <w:r>
        <w:rPr>
          <w:color w:val="212121"/>
          <w:spacing w:val="-7"/>
          <w:w w:val="100"/>
        </w:rPr>
        <w:t>为报告期因回购等减少股份数；S</w:t>
      </w:r>
      <w:r>
        <w:rPr>
          <w:color w:val="212121"/>
          <w:spacing w:val="-7"/>
          <w:w w:val="100"/>
          <w:position w:val="-1"/>
          <w:sz w:val="12"/>
          <w:szCs w:val="12"/>
        </w:rPr>
        <w:t>k</w:t>
      </w:r>
      <w:r>
        <w:rPr>
          <w:color w:val="212121"/>
          <w:spacing w:val="-23"/>
          <w:w w:val="100"/>
          <w:position w:val="-1"/>
          <w:sz w:val="12"/>
          <w:szCs w:val="12"/>
        </w:rPr>
        <w:t> </w:t>
      </w:r>
      <w:r>
        <w:rPr>
          <w:color w:val="212121"/>
          <w:spacing w:val="-2"/>
          <w:w w:val="100"/>
        </w:rPr>
        <w:t>为报告期缩股数；</w:t>
      </w:r>
      <w:r>
        <w:rPr>
          <w:color w:val="212121"/>
          <w:spacing w:val="-112"/>
          <w:w w:val="100"/>
        </w:rPr>
        <w:t> </w:t>
      </w:r>
      <w:r>
        <w:rPr>
          <w:color w:val="212121"/>
          <w:spacing w:val="-112"/>
          <w:w w:val="100"/>
        </w:rPr>
      </w:r>
      <w:r>
        <w:rPr>
          <w:color w:val="212121"/>
        </w:rPr>
        <w:t>M</w:t>
      </w:r>
      <w:r>
        <w:rPr>
          <w:color w:val="212121"/>
          <w:position w:val="-1"/>
          <w:sz w:val="12"/>
          <w:szCs w:val="12"/>
        </w:rPr>
        <w:t>0</w:t>
      </w:r>
      <w:r>
        <w:rPr>
          <w:color w:val="212121"/>
          <w:spacing w:val="-34"/>
          <w:position w:val="-1"/>
          <w:sz w:val="12"/>
          <w:szCs w:val="12"/>
        </w:rPr>
        <w:t> </w:t>
      </w:r>
      <w:r>
        <w:rPr>
          <w:color w:val="212121"/>
        </w:rPr>
        <w:t>报告期月份数；M</w:t>
      </w:r>
      <w:r>
        <w:rPr>
          <w:color w:val="212121"/>
          <w:position w:val="-1"/>
          <w:sz w:val="12"/>
          <w:szCs w:val="12"/>
        </w:rPr>
        <w:t>i</w:t>
      </w:r>
      <w:r>
        <w:rPr>
          <w:color w:val="212121"/>
          <w:spacing w:val="-34"/>
          <w:position w:val="-1"/>
          <w:sz w:val="12"/>
          <w:szCs w:val="12"/>
        </w:rPr>
        <w:t> </w:t>
      </w:r>
      <w:r>
        <w:rPr>
          <w:color w:val="212121"/>
        </w:rPr>
        <w:t>为增加股份下一月份起至报告期期末的月份数；M</w:t>
      </w:r>
      <w:r>
        <w:rPr>
          <w:color w:val="212121"/>
          <w:position w:val="-1"/>
          <w:sz w:val="12"/>
          <w:szCs w:val="12"/>
        </w:rPr>
        <w:t>j</w:t>
      </w:r>
      <w:r>
        <w:rPr>
          <w:color w:val="212121"/>
          <w:spacing w:val="-34"/>
          <w:position w:val="-1"/>
          <w:sz w:val="12"/>
          <w:szCs w:val="12"/>
        </w:rPr>
        <w:t> </w:t>
      </w:r>
      <w:r>
        <w:rPr>
          <w:color w:val="212121"/>
        </w:rPr>
        <w:t>为减少股</w:t>
      </w:r>
      <w:r>
        <w:rPr>
          <w:color w:val="212121"/>
          <w:spacing w:val="-2"/>
          <w:w w:val="100"/>
        </w:rPr>
        <w:t> </w:t>
      </w:r>
      <w:r>
        <w:rPr>
          <w:color w:val="212121"/>
        </w:rPr>
        <w:t>份下一月份起至报告期期末的月份数。</w:t>
      </w:r>
      <w:r>
        <w:rPr/>
      </w:r>
    </w:p>
    <w:p>
      <w:pPr>
        <w:pStyle w:val="BodyText"/>
        <w:spacing w:line="336" w:lineRule="auto" w:before="31"/>
        <w:ind w:left="617" w:right="227"/>
        <w:jc w:val="left"/>
      </w:pPr>
      <w:r>
        <w:rPr>
          <w:color w:val="212121"/>
        </w:rPr>
        <w:t>（4）稀释每股收益</w:t>
      </w:r>
      <w:r>
        <w:rPr>
          <w:color w:val="212121"/>
          <w:spacing w:val="-2"/>
          <w:w w:val="100"/>
        </w:rPr>
        <w:t> </w:t>
      </w:r>
      <w:r>
        <w:rPr>
          <w:color w:val="212121"/>
          <w:spacing w:val="-5"/>
        </w:rPr>
        <w:t>稀释每股收益=[P+（已确认为费用的稀释性潜在普通股利息－转换费用）×</w:t>
      </w:r>
      <w:r>
        <w:rPr>
          <w:spacing w:val="-5"/>
        </w:rPr>
      </w:r>
    </w:p>
    <w:p>
      <w:pPr>
        <w:pStyle w:val="BodyText"/>
        <w:spacing w:line="331" w:lineRule="auto"/>
        <w:ind w:right="324"/>
        <w:jc w:val="both"/>
      </w:pPr>
      <w:r>
        <w:rPr>
          <w:color w:val="212121"/>
          <w:spacing w:val="-2"/>
        </w:rPr>
        <w:t>（1-所得税率）]/（S</w:t>
      </w:r>
      <w:r>
        <w:rPr>
          <w:color w:val="212121"/>
          <w:spacing w:val="-2"/>
          <w:position w:val="-1"/>
          <w:sz w:val="12"/>
          <w:szCs w:val="12"/>
        </w:rPr>
        <w:t>0</w:t>
      </w:r>
      <w:r>
        <w:rPr>
          <w:color w:val="212121"/>
          <w:spacing w:val="-2"/>
        </w:rPr>
        <w:t>＋S</w:t>
      </w:r>
      <w:r>
        <w:rPr>
          <w:color w:val="212121"/>
          <w:spacing w:val="-2"/>
          <w:position w:val="-1"/>
          <w:sz w:val="12"/>
          <w:szCs w:val="12"/>
        </w:rPr>
        <w:t>1</w:t>
      </w:r>
      <w:r>
        <w:rPr>
          <w:color w:val="212121"/>
          <w:spacing w:val="-2"/>
        </w:rPr>
        <w:t>＋S</w:t>
      </w:r>
      <w:r>
        <w:rPr>
          <w:color w:val="212121"/>
          <w:spacing w:val="-2"/>
          <w:position w:val="-1"/>
          <w:sz w:val="12"/>
          <w:szCs w:val="12"/>
        </w:rPr>
        <w:t>i</w:t>
      </w:r>
      <w:r>
        <w:rPr>
          <w:color w:val="212121"/>
          <w:spacing w:val="-2"/>
        </w:rPr>
        <w:t>×M</w:t>
      </w:r>
      <w:r>
        <w:rPr>
          <w:color w:val="212121"/>
          <w:spacing w:val="-2"/>
          <w:position w:val="-1"/>
          <w:sz w:val="12"/>
          <w:szCs w:val="12"/>
        </w:rPr>
        <w:t>i</w:t>
      </w:r>
      <w:r>
        <w:rPr>
          <w:color w:val="212121"/>
          <w:spacing w:val="-2"/>
        </w:rPr>
        <w:t>÷M</w:t>
      </w:r>
      <w:r>
        <w:rPr>
          <w:color w:val="212121"/>
          <w:spacing w:val="-2"/>
          <w:position w:val="-1"/>
          <w:sz w:val="12"/>
          <w:szCs w:val="12"/>
        </w:rPr>
        <w:t>0</w:t>
      </w:r>
      <w:r>
        <w:rPr>
          <w:color w:val="212121"/>
          <w:spacing w:val="-2"/>
        </w:rPr>
        <w:t>-S</w:t>
      </w:r>
      <w:r>
        <w:rPr>
          <w:color w:val="212121"/>
          <w:spacing w:val="-2"/>
          <w:position w:val="-1"/>
          <w:sz w:val="12"/>
          <w:szCs w:val="12"/>
        </w:rPr>
        <w:t>j</w:t>
      </w:r>
      <w:r>
        <w:rPr>
          <w:color w:val="212121"/>
          <w:spacing w:val="-2"/>
        </w:rPr>
        <w:t>×M</w:t>
      </w:r>
      <w:r>
        <w:rPr>
          <w:color w:val="212121"/>
          <w:spacing w:val="-2"/>
          <w:position w:val="-1"/>
          <w:sz w:val="12"/>
          <w:szCs w:val="12"/>
        </w:rPr>
        <w:t>j</w:t>
      </w:r>
      <w:r>
        <w:rPr>
          <w:color w:val="212121"/>
          <w:spacing w:val="-2"/>
        </w:rPr>
        <w:t>÷M</w:t>
      </w:r>
      <w:r>
        <w:rPr>
          <w:color w:val="212121"/>
          <w:spacing w:val="-2"/>
          <w:position w:val="-1"/>
          <w:sz w:val="12"/>
          <w:szCs w:val="12"/>
        </w:rPr>
        <w:t>0</w:t>
      </w:r>
      <w:r>
        <w:rPr>
          <w:color w:val="212121"/>
          <w:spacing w:val="-2"/>
        </w:rPr>
        <w:t>-S</w:t>
      </w:r>
      <w:r>
        <w:rPr>
          <w:color w:val="212121"/>
          <w:spacing w:val="-2"/>
          <w:position w:val="-1"/>
          <w:sz w:val="12"/>
          <w:szCs w:val="12"/>
        </w:rPr>
        <w:t>k</w:t>
      </w:r>
      <w:r>
        <w:rPr>
          <w:color w:val="212121"/>
          <w:spacing w:val="-2"/>
        </w:rPr>
        <w:t>+认股权证、股份期权、可</w:t>
      </w:r>
      <w:r>
        <w:rPr>
          <w:color w:val="212121"/>
          <w:spacing w:val="-44"/>
        </w:rPr>
        <w:t> </w:t>
      </w:r>
      <w:r>
        <w:rPr>
          <w:color w:val="212121"/>
          <w:spacing w:val="-44"/>
        </w:rPr>
      </w:r>
      <w:r>
        <w:rPr>
          <w:color w:val="212121"/>
        </w:rPr>
        <w:t>转换债券等增加的普通股加权平均数）</w:t>
      </w:r>
      <w:r>
        <w:rPr/>
      </w:r>
    </w:p>
    <w:p>
      <w:pPr>
        <w:pStyle w:val="BodyText"/>
        <w:spacing w:line="333" w:lineRule="auto" w:before="35"/>
        <w:ind w:right="231" w:firstLine="480"/>
        <w:jc w:val="both"/>
      </w:pPr>
      <w:r>
        <w:rPr>
          <w:color w:val="212121"/>
          <w:spacing w:val="-9"/>
        </w:rPr>
        <w:t>其中，P</w:t>
      </w:r>
      <w:r>
        <w:rPr>
          <w:color w:val="212121"/>
          <w:spacing w:val="-73"/>
        </w:rPr>
        <w:t> </w:t>
      </w:r>
      <w:r>
        <w:rPr>
          <w:color w:val="212121"/>
        </w:rPr>
        <w:t>为归属于公司普通股股东的净利润或扣除非经常性损益后归属于公</w:t>
      </w:r>
      <w:r>
        <w:rPr>
          <w:color w:val="212121"/>
          <w:spacing w:val="-2"/>
          <w:w w:val="100"/>
        </w:rPr>
        <w:t> </w:t>
      </w:r>
      <w:r>
        <w:rPr>
          <w:color w:val="212121"/>
          <w:spacing w:val="-3"/>
        </w:rPr>
        <w:t>司普通股股东的净利润。S</w:t>
      </w:r>
      <w:r>
        <w:rPr>
          <w:color w:val="212121"/>
          <w:spacing w:val="-3"/>
          <w:position w:val="-1"/>
          <w:sz w:val="12"/>
          <w:szCs w:val="12"/>
        </w:rPr>
        <w:t>0</w:t>
      </w:r>
      <w:r>
        <w:rPr>
          <w:color w:val="212121"/>
          <w:spacing w:val="-24"/>
          <w:position w:val="-1"/>
          <w:sz w:val="12"/>
          <w:szCs w:val="12"/>
        </w:rPr>
        <w:t> </w:t>
      </w:r>
      <w:r>
        <w:rPr>
          <w:color w:val="212121"/>
          <w:spacing w:val="-4"/>
        </w:rPr>
        <w:t>为期初股份总数；S</w:t>
      </w:r>
      <w:r>
        <w:rPr>
          <w:color w:val="212121"/>
          <w:spacing w:val="-4"/>
          <w:position w:val="-1"/>
          <w:sz w:val="12"/>
          <w:szCs w:val="12"/>
        </w:rPr>
        <w:t>1</w:t>
      </w:r>
      <w:r>
        <w:rPr>
          <w:color w:val="212121"/>
          <w:spacing w:val="-24"/>
          <w:position w:val="-1"/>
          <w:sz w:val="12"/>
          <w:szCs w:val="12"/>
        </w:rPr>
        <w:t> </w:t>
      </w:r>
      <w:r>
        <w:rPr>
          <w:color w:val="212121"/>
        </w:rPr>
        <w:t>为报告期因公积金转增股本或股</w:t>
      </w:r>
      <w:r>
        <w:rPr>
          <w:color w:val="212121"/>
          <w:spacing w:val="-112"/>
        </w:rPr>
        <w:t> </w:t>
      </w:r>
      <w:r>
        <w:rPr>
          <w:color w:val="212121"/>
          <w:spacing w:val="-112"/>
        </w:rPr>
      </w:r>
      <w:r>
        <w:rPr>
          <w:color w:val="212121"/>
          <w:spacing w:val="-3"/>
        </w:rPr>
        <w:t>票股利分配等增加股份数；S</w:t>
      </w:r>
      <w:r>
        <w:rPr>
          <w:color w:val="212121"/>
          <w:spacing w:val="-3"/>
          <w:position w:val="-1"/>
          <w:sz w:val="12"/>
          <w:szCs w:val="12"/>
        </w:rPr>
        <w:t>i</w:t>
      </w:r>
      <w:r>
        <w:rPr>
          <w:color w:val="212121"/>
          <w:spacing w:val="-14"/>
          <w:position w:val="-1"/>
          <w:sz w:val="12"/>
          <w:szCs w:val="12"/>
        </w:rPr>
        <w:t> </w:t>
      </w:r>
      <w:r>
        <w:rPr>
          <w:color w:val="212121"/>
          <w:spacing w:val="-3"/>
        </w:rPr>
        <w:t>为报告期因发行新股或债转股等增加股份数；S</w:t>
      </w:r>
      <w:r>
        <w:rPr>
          <w:color w:val="212121"/>
          <w:spacing w:val="-3"/>
          <w:position w:val="-1"/>
          <w:sz w:val="12"/>
          <w:szCs w:val="12"/>
        </w:rPr>
        <w:t>j</w:t>
      </w:r>
      <w:r>
        <w:rPr>
          <w:color w:val="212121"/>
          <w:spacing w:val="-14"/>
          <w:position w:val="-1"/>
          <w:sz w:val="12"/>
          <w:szCs w:val="12"/>
        </w:rPr>
        <w:t> </w:t>
      </w:r>
      <w:r>
        <w:rPr>
          <w:color w:val="212121"/>
        </w:rPr>
        <w:t>为</w:t>
      </w:r>
      <w:r>
        <w:rPr>
          <w:color w:val="212121"/>
          <w:spacing w:val="-100"/>
        </w:rPr>
        <w:t> </w:t>
      </w:r>
      <w:r>
        <w:rPr>
          <w:color w:val="212121"/>
          <w:spacing w:val="-100"/>
        </w:rPr>
      </w:r>
      <w:r>
        <w:rPr>
          <w:color w:val="212121"/>
        </w:rPr>
        <w:t>报告期因回购等减少股份数；S</w:t>
      </w:r>
      <w:r>
        <w:rPr>
          <w:color w:val="212121"/>
          <w:position w:val="-1"/>
          <w:sz w:val="12"/>
          <w:szCs w:val="12"/>
        </w:rPr>
        <w:t>k</w:t>
      </w:r>
      <w:r>
        <w:rPr>
          <w:color w:val="212121"/>
          <w:spacing w:val="-37"/>
          <w:position w:val="-1"/>
          <w:sz w:val="12"/>
          <w:szCs w:val="12"/>
        </w:rPr>
        <w:t> </w:t>
      </w:r>
      <w:r>
        <w:rPr>
          <w:color w:val="212121"/>
        </w:rPr>
        <w:t>为报告期缩股数；M</w:t>
      </w:r>
      <w:r>
        <w:rPr>
          <w:color w:val="212121"/>
          <w:position w:val="-1"/>
          <w:sz w:val="12"/>
          <w:szCs w:val="12"/>
        </w:rPr>
        <w:t>0</w:t>
      </w:r>
      <w:r>
        <w:rPr>
          <w:color w:val="212121"/>
          <w:spacing w:val="-37"/>
          <w:position w:val="-1"/>
          <w:sz w:val="12"/>
          <w:szCs w:val="12"/>
        </w:rPr>
        <w:t> </w:t>
      </w:r>
      <w:r>
        <w:rPr>
          <w:color w:val="212121"/>
        </w:rPr>
        <w:t>报告期月份数；M</w:t>
      </w:r>
      <w:r>
        <w:rPr>
          <w:color w:val="212121"/>
          <w:position w:val="-1"/>
          <w:sz w:val="12"/>
          <w:szCs w:val="12"/>
        </w:rPr>
        <w:t>i</w:t>
      </w:r>
      <w:r>
        <w:rPr>
          <w:color w:val="212121"/>
          <w:spacing w:val="-37"/>
          <w:position w:val="-1"/>
          <w:sz w:val="12"/>
          <w:szCs w:val="12"/>
        </w:rPr>
        <w:t> </w:t>
      </w:r>
      <w:r>
        <w:rPr>
          <w:color w:val="212121"/>
        </w:rPr>
        <w:t>为增加股</w:t>
      </w:r>
      <w:r>
        <w:rPr>
          <w:color w:val="212121"/>
          <w:spacing w:val="-2"/>
          <w:w w:val="100"/>
        </w:rPr>
        <w:t> </w:t>
      </w:r>
      <w:r>
        <w:rPr>
          <w:color w:val="212121"/>
          <w:spacing w:val="-5"/>
          <w:w w:val="100"/>
        </w:rPr>
        <w:t>份下一月份起至报告期期末的月份数；M</w:t>
      </w:r>
      <w:r>
        <w:rPr>
          <w:color w:val="212121"/>
          <w:spacing w:val="-5"/>
          <w:w w:val="100"/>
          <w:position w:val="-1"/>
          <w:sz w:val="12"/>
          <w:szCs w:val="12"/>
        </w:rPr>
        <w:t>j</w:t>
      </w:r>
      <w:r>
        <w:rPr>
          <w:color w:val="212121"/>
          <w:spacing w:val="-29"/>
          <w:w w:val="100"/>
          <w:position w:val="-1"/>
          <w:sz w:val="12"/>
          <w:szCs w:val="12"/>
        </w:rPr>
        <w:t> </w:t>
      </w:r>
      <w:r>
        <w:rPr>
          <w:color w:val="212121"/>
          <w:spacing w:val="-2"/>
          <w:w w:val="100"/>
        </w:rPr>
        <w:t>为减少股份下一月份起至报告期期末的</w:t>
      </w:r>
      <w:r>
        <w:rPr>
          <w:color w:val="212121"/>
          <w:spacing w:val="-119"/>
          <w:w w:val="100"/>
        </w:rPr>
        <w:t> </w:t>
      </w:r>
      <w:r>
        <w:rPr>
          <w:color w:val="212121"/>
          <w:spacing w:val="-119"/>
          <w:w w:val="100"/>
        </w:rPr>
      </w:r>
      <w:r>
        <w:rPr>
          <w:color w:val="212121"/>
          <w:spacing w:val="-5"/>
        </w:rPr>
        <w:t>月份数。公司在计算稀释每股收益时，考虑所有稀释性潜在普通股的影响，直至</w:t>
      </w:r>
      <w:r>
        <w:rPr>
          <w:color w:val="212121"/>
          <w:spacing w:val="-60"/>
        </w:rPr>
        <w:t> </w:t>
      </w:r>
      <w:r>
        <w:rPr>
          <w:color w:val="212121"/>
          <w:spacing w:val="-60"/>
        </w:rPr>
      </w:r>
      <w:r>
        <w:rPr>
          <w:color w:val="212121"/>
        </w:rPr>
        <w:t>稀释每股收益达到最小。</w:t>
      </w:r>
      <w:r>
        <w:rPr/>
      </w:r>
    </w:p>
    <w:p>
      <w:pPr>
        <w:spacing w:after="0" w:line="333" w:lineRule="auto"/>
        <w:jc w:val="both"/>
        <w:sectPr>
          <w:pgSz w:w="11910" w:h="16840"/>
          <w:pgMar w:header="840" w:footer="1712" w:top="1160" w:bottom="1900" w:left="16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40" w:footer="1712" w:top="1160" w:bottom="1900" w:left="1200" w:right="860"/>
        </w:sectPr>
      </w:pPr>
    </w:p>
    <w:p>
      <w:pPr>
        <w:pStyle w:val="Heading3"/>
        <w:spacing w:line="368" w:lineRule="exact"/>
        <w:ind w:left="1080" w:right="0"/>
        <w:jc w:val="left"/>
        <w:rPr>
          <w:b w:val="0"/>
          <w:bCs w:val="0"/>
        </w:rPr>
      </w:pPr>
      <w:r>
        <w:rPr>
          <w:spacing w:val="-1"/>
        </w:rPr>
        <w:t>三、非经常性损益明细表</w:t>
      </w:r>
      <w:r>
        <w:rPr>
          <w:b w:val="0"/>
          <w:bCs w:val="0"/>
        </w:rPr>
      </w:r>
    </w:p>
    <w:p>
      <w:pPr>
        <w:spacing w:line="240" w:lineRule="auto" w:before="10"/>
        <w:rPr>
          <w:rFonts w:ascii="Microsoft JhengHei" w:hAnsi="Microsoft JhengHei" w:cs="Microsoft JhengHei" w:eastAsia="Microsoft JhengHei" w:hint="default"/>
          <w:b/>
          <w:bCs/>
          <w:sz w:val="17"/>
          <w:szCs w:val="17"/>
        </w:rPr>
      </w:pPr>
      <w:r>
        <w:rPr/>
        <w:br w:type="column"/>
      </w:r>
      <w:r>
        <w:rPr>
          <w:rFonts w:ascii="Microsoft JhengHei"/>
          <w:b/>
          <w:sz w:val="17"/>
        </w:rPr>
      </w:r>
    </w:p>
    <w:p>
      <w:pPr>
        <w:spacing w:before="0"/>
        <w:ind w:left="1080" w:right="0" w:firstLine="0"/>
        <w:jc w:val="left"/>
        <w:rPr>
          <w:rFonts w:ascii="Microsoft JhengHei" w:hAnsi="Microsoft JhengHei" w:cs="Microsoft JhengHei" w:eastAsia="Microsoft JhengHei" w:hint="default"/>
          <w:sz w:val="19"/>
          <w:szCs w:val="19"/>
        </w:rPr>
      </w:pPr>
      <w:r>
        <w:rPr>
          <w:rFonts w:ascii="Microsoft JhengHei" w:hAnsi="Microsoft JhengHei" w:cs="Microsoft JhengHei" w:eastAsia="Microsoft JhengHei" w:hint="default"/>
          <w:b/>
          <w:bCs/>
          <w:spacing w:val="3"/>
          <w:w w:val="105"/>
          <w:sz w:val="19"/>
          <w:szCs w:val="19"/>
        </w:rPr>
        <w:t>金额单位：人民币元</w:t>
      </w:r>
      <w:r>
        <w:rPr>
          <w:rFonts w:ascii="Microsoft JhengHei" w:hAnsi="Microsoft JhengHei" w:cs="Microsoft JhengHei" w:eastAsia="Microsoft JhengHei" w:hint="default"/>
          <w:spacing w:val="3"/>
          <w:sz w:val="19"/>
          <w:szCs w:val="19"/>
        </w:rPr>
      </w:r>
    </w:p>
    <w:p>
      <w:pPr>
        <w:spacing w:after="0"/>
        <w:jc w:val="left"/>
        <w:rPr>
          <w:rFonts w:ascii="Microsoft JhengHei" w:hAnsi="Microsoft JhengHei" w:cs="Microsoft JhengHei" w:eastAsia="Microsoft JhengHei" w:hint="default"/>
          <w:sz w:val="19"/>
          <w:szCs w:val="19"/>
        </w:rPr>
        <w:sectPr>
          <w:type w:val="continuous"/>
          <w:pgSz w:w="11910" w:h="16840"/>
          <w:pgMar w:top="1060" w:bottom="1460" w:left="1200" w:right="860"/>
          <w:cols w:num="2" w:equalWidth="0">
            <w:col w:w="3732" w:space="3044"/>
            <w:col w:w="3074"/>
          </w:cols>
        </w:sectPr>
      </w:pPr>
    </w:p>
    <w:tbl>
      <w:tblPr>
        <w:tblW w:w="0" w:type="auto"/>
        <w:jc w:val="left"/>
        <w:tblInd w:w="118" w:type="dxa"/>
        <w:tblLayout w:type="fixed"/>
        <w:tblCellMar>
          <w:top w:w="0" w:type="dxa"/>
          <w:left w:w="0" w:type="dxa"/>
          <w:bottom w:w="0" w:type="dxa"/>
          <w:right w:w="0" w:type="dxa"/>
        </w:tblCellMar>
        <w:tblLook w:val="01E0"/>
      </w:tblPr>
      <w:tblGrid>
        <w:gridCol w:w="5273"/>
        <w:gridCol w:w="2158"/>
        <w:gridCol w:w="2151"/>
      </w:tblGrid>
      <w:tr>
        <w:trPr>
          <w:trHeight w:val="561" w:hRule="exact"/>
        </w:trPr>
        <w:tc>
          <w:tcPr>
            <w:tcW w:w="5273"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135"/>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1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5"/>
              <w:ind w:left="59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2007年度</w:t>
            </w:r>
            <w:r>
              <w:rPr>
                <w:rFonts w:ascii="Microsoft JhengHei" w:hAnsi="Microsoft JhengHei" w:cs="Microsoft JhengHei" w:eastAsia="Microsoft JhengHei" w:hint="default"/>
                <w:sz w:val="24"/>
                <w:szCs w:val="24"/>
              </w:rPr>
            </w:r>
          </w:p>
        </w:tc>
        <w:tc>
          <w:tcPr>
            <w:tcW w:w="2151"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35"/>
              <w:ind w:left="59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2006年度</w:t>
            </w:r>
            <w:r>
              <w:rPr>
                <w:rFonts w:ascii="Microsoft JhengHei" w:hAnsi="Microsoft JhengHei" w:cs="Microsoft JhengHei" w:eastAsia="Microsoft JhengHei" w:hint="default"/>
                <w:sz w:val="24"/>
                <w:szCs w:val="24"/>
              </w:rPr>
            </w:r>
          </w:p>
        </w:tc>
      </w:tr>
      <w:tr>
        <w:trPr>
          <w:trHeight w:val="470" w:hRule="exact"/>
        </w:trPr>
        <w:tc>
          <w:tcPr>
            <w:tcW w:w="527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64"/>
              <w:ind w:left="14" w:right="0"/>
              <w:jc w:val="left"/>
              <w:rPr>
                <w:rFonts w:ascii="宋体" w:hAnsi="宋体" w:cs="宋体" w:eastAsia="宋体" w:hint="default"/>
                <w:sz w:val="19"/>
                <w:szCs w:val="19"/>
              </w:rPr>
            </w:pPr>
            <w:r>
              <w:rPr>
                <w:rFonts w:ascii="宋体" w:hAnsi="宋体" w:cs="宋体" w:eastAsia="宋体" w:hint="default"/>
                <w:spacing w:val="3"/>
                <w:w w:val="105"/>
                <w:sz w:val="19"/>
                <w:szCs w:val="19"/>
              </w:rPr>
              <w:t>非流动资产处置损益</w:t>
            </w:r>
            <w:r>
              <w:rPr>
                <w:rFonts w:ascii="宋体" w:hAnsi="宋体" w:cs="宋体" w:eastAsia="宋体" w:hint="default"/>
                <w:spacing w:val="3"/>
                <w:sz w:val="19"/>
                <w:szCs w:val="19"/>
              </w:rPr>
            </w:r>
          </w:p>
        </w:tc>
        <w:tc>
          <w:tcPr>
            <w:tcW w:w="21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84"/>
              <w:jc w:val="right"/>
              <w:rPr>
                <w:rFonts w:ascii="Times New Roman" w:hAnsi="Times New Roman" w:cs="Times New Roman" w:eastAsia="Times New Roman" w:hint="default"/>
                <w:sz w:val="19"/>
                <w:szCs w:val="19"/>
              </w:rPr>
            </w:pPr>
            <w:r>
              <w:rPr>
                <w:rFonts w:ascii="Times New Roman"/>
                <w:sz w:val="19"/>
              </w:rPr>
              <w:t>-377,472.44</w:t>
            </w:r>
          </w:p>
        </w:tc>
        <w:tc>
          <w:tcPr>
            <w:tcW w:w="215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70"/>
              <w:jc w:val="right"/>
              <w:rPr>
                <w:rFonts w:ascii="Times New Roman" w:hAnsi="Times New Roman" w:cs="Times New Roman" w:eastAsia="Times New Roman" w:hint="default"/>
                <w:sz w:val="19"/>
                <w:szCs w:val="19"/>
              </w:rPr>
            </w:pPr>
            <w:r>
              <w:rPr>
                <w:rFonts w:ascii="Times New Roman"/>
                <w:w w:val="105"/>
                <w:sz w:val="19"/>
              </w:rPr>
              <w:t>10,826.88</w:t>
            </w:r>
            <w:r>
              <w:rPr>
                <w:rFonts w:ascii="Times New Roman"/>
                <w:sz w:val="19"/>
              </w:rPr>
            </w:r>
          </w:p>
        </w:tc>
      </w:tr>
      <w:tr>
        <w:trPr>
          <w:trHeight w:val="505" w:hRule="exact"/>
        </w:trPr>
        <w:tc>
          <w:tcPr>
            <w:tcW w:w="52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4" w:right="0"/>
              <w:jc w:val="left"/>
              <w:rPr>
                <w:rFonts w:ascii="宋体" w:hAnsi="宋体" w:cs="宋体" w:eastAsia="宋体" w:hint="default"/>
                <w:sz w:val="19"/>
                <w:szCs w:val="19"/>
              </w:rPr>
            </w:pPr>
            <w:r>
              <w:rPr>
                <w:rFonts w:ascii="宋体" w:hAnsi="宋体" w:cs="宋体" w:eastAsia="宋体" w:hint="default"/>
                <w:spacing w:val="2"/>
                <w:sz w:val="19"/>
                <w:szCs w:val="19"/>
              </w:rPr>
              <w:t>越权审批或无正式批准文件的税收返还、</w:t>
            </w:r>
            <w:r>
              <w:rPr>
                <w:rFonts w:ascii="宋体" w:hAnsi="宋体" w:cs="宋体" w:eastAsia="宋体" w:hint="default"/>
                <w:spacing w:val="86"/>
                <w:sz w:val="19"/>
                <w:szCs w:val="19"/>
              </w:rPr>
              <w:t> </w:t>
            </w:r>
            <w:r>
              <w:rPr>
                <w:rFonts w:ascii="宋体" w:hAnsi="宋体" w:cs="宋体" w:eastAsia="宋体" w:hint="default"/>
                <w:sz w:val="19"/>
                <w:szCs w:val="19"/>
              </w:rPr>
              <w:t>减免</w:t>
            </w:r>
          </w:p>
        </w:tc>
        <w:tc>
          <w:tcPr>
            <w:tcW w:w="2158" w:type="dxa"/>
            <w:tcBorders>
              <w:top w:val="single" w:sz="6" w:space="0" w:color="000000"/>
              <w:left w:val="single" w:sz="6" w:space="0" w:color="000000"/>
              <w:bottom w:val="single" w:sz="6" w:space="0" w:color="000000"/>
              <w:right w:val="single" w:sz="6" w:space="0" w:color="000000"/>
            </w:tcBorders>
          </w:tcPr>
          <w:p>
            <w:pPr/>
          </w:p>
        </w:tc>
        <w:tc>
          <w:tcPr>
            <w:tcW w:w="2151" w:type="dxa"/>
            <w:tcBorders>
              <w:top w:val="single" w:sz="6" w:space="0" w:color="000000"/>
              <w:left w:val="single" w:sz="6" w:space="0" w:color="000000"/>
              <w:bottom w:val="single" w:sz="6" w:space="0" w:color="000000"/>
              <w:right w:val="single" w:sz="12" w:space="0" w:color="000000"/>
            </w:tcBorders>
          </w:tcPr>
          <w:p>
            <w:pPr/>
          </w:p>
        </w:tc>
      </w:tr>
      <w:tr>
        <w:trPr>
          <w:trHeight w:val="533" w:hRule="exact"/>
        </w:trPr>
        <w:tc>
          <w:tcPr>
            <w:tcW w:w="527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before="26"/>
              <w:ind w:left="14" w:right="195"/>
              <w:jc w:val="left"/>
              <w:rPr>
                <w:rFonts w:ascii="宋体" w:hAnsi="宋体" w:cs="宋体" w:eastAsia="宋体" w:hint="default"/>
                <w:sz w:val="19"/>
                <w:szCs w:val="19"/>
              </w:rPr>
            </w:pPr>
            <w:r>
              <w:rPr>
                <w:rFonts w:ascii="宋体" w:hAnsi="宋体" w:cs="宋体" w:eastAsia="宋体" w:hint="default"/>
                <w:spacing w:val="3"/>
                <w:sz w:val="19"/>
                <w:szCs w:val="19"/>
              </w:rPr>
              <w:t>计入当期损益的政府补助，但与企事业业务密切相关，按</w:t>
            </w:r>
            <w:r>
              <w:rPr>
                <w:rFonts w:ascii="宋体" w:hAnsi="宋体" w:cs="宋体" w:eastAsia="宋体" w:hint="default"/>
                <w:spacing w:val="5"/>
                <w:sz w:val="19"/>
                <w:szCs w:val="19"/>
              </w:rPr>
              <w:t> </w:t>
            </w:r>
            <w:r>
              <w:rPr>
                <w:rFonts w:ascii="宋体" w:hAnsi="宋体" w:cs="宋体" w:eastAsia="宋体" w:hint="default"/>
                <w:spacing w:val="5"/>
                <w:sz w:val="19"/>
                <w:szCs w:val="19"/>
              </w:rPr>
            </w:r>
            <w:r>
              <w:rPr>
                <w:rFonts w:ascii="宋体" w:hAnsi="宋体" w:cs="宋体" w:eastAsia="宋体" w:hint="default"/>
                <w:spacing w:val="3"/>
                <w:w w:val="105"/>
                <w:sz w:val="19"/>
                <w:szCs w:val="19"/>
              </w:rPr>
              <w:t>照国家统一标准定额或定量享受的政府补助除外</w:t>
            </w:r>
            <w:r>
              <w:rPr>
                <w:rFonts w:ascii="宋体" w:hAnsi="宋体" w:cs="宋体" w:eastAsia="宋体" w:hint="default"/>
                <w:sz w:val="19"/>
                <w:szCs w:val="19"/>
              </w:rPr>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right="84"/>
              <w:jc w:val="right"/>
              <w:rPr>
                <w:rFonts w:ascii="Times New Roman" w:hAnsi="Times New Roman" w:cs="Times New Roman" w:eastAsia="Times New Roman" w:hint="default"/>
                <w:sz w:val="19"/>
                <w:szCs w:val="19"/>
              </w:rPr>
            </w:pPr>
            <w:r>
              <w:rPr>
                <w:rFonts w:ascii="Times New Roman"/>
                <w:sz w:val="19"/>
              </w:rPr>
              <w:t>1,670,145.00</w:t>
            </w:r>
          </w:p>
        </w:tc>
        <w:tc>
          <w:tcPr>
            <w:tcW w:w="21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right="70"/>
              <w:jc w:val="right"/>
              <w:rPr>
                <w:rFonts w:ascii="Times New Roman" w:hAnsi="Times New Roman" w:cs="Times New Roman" w:eastAsia="Times New Roman" w:hint="default"/>
                <w:sz w:val="19"/>
                <w:szCs w:val="19"/>
              </w:rPr>
            </w:pPr>
            <w:r>
              <w:rPr>
                <w:rFonts w:ascii="Times New Roman"/>
                <w:w w:val="105"/>
                <w:sz w:val="19"/>
              </w:rPr>
              <w:t>12,300.00</w:t>
            </w:r>
            <w:r>
              <w:rPr>
                <w:rFonts w:ascii="Times New Roman"/>
                <w:sz w:val="19"/>
              </w:rPr>
            </w:r>
          </w:p>
        </w:tc>
      </w:tr>
      <w:tr>
        <w:trPr>
          <w:trHeight w:val="744" w:hRule="exact"/>
        </w:trPr>
        <w:tc>
          <w:tcPr>
            <w:tcW w:w="5273" w:type="dxa"/>
            <w:tcBorders>
              <w:top w:val="single" w:sz="6" w:space="0" w:color="000000"/>
              <w:left w:val="single" w:sz="12" w:space="0" w:color="000000"/>
              <w:bottom w:val="single" w:sz="6" w:space="0" w:color="000000"/>
              <w:right w:val="single" w:sz="6" w:space="0" w:color="000000"/>
            </w:tcBorders>
          </w:tcPr>
          <w:p>
            <w:pPr>
              <w:pStyle w:val="TableParagraph"/>
              <w:spacing w:line="203" w:lineRule="exact"/>
              <w:ind w:left="14" w:right="0"/>
              <w:jc w:val="left"/>
              <w:rPr>
                <w:rFonts w:ascii="宋体" w:hAnsi="宋体" w:cs="宋体" w:eastAsia="宋体" w:hint="default"/>
                <w:sz w:val="19"/>
                <w:szCs w:val="19"/>
              </w:rPr>
            </w:pPr>
            <w:r>
              <w:rPr>
                <w:rFonts w:ascii="宋体" w:hAnsi="宋体" w:cs="宋体" w:eastAsia="宋体" w:hint="default"/>
                <w:spacing w:val="3"/>
                <w:w w:val="105"/>
                <w:sz w:val="19"/>
                <w:szCs w:val="19"/>
              </w:rPr>
              <w:t>计入当期损益对非金融企业收取的资金占用费，但经国家</w:t>
            </w:r>
            <w:r>
              <w:rPr>
                <w:rFonts w:ascii="宋体" w:hAnsi="宋体" w:cs="宋体" w:eastAsia="宋体" w:hint="default"/>
                <w:sz w:val="19"/>
                <w:szCs w:val="19"/>
              </w:rPr>
            </w:r>
          </w:p>
          <w:p>
            <w:pPr>
              <w:pStyle w:val="TableParagraph"/>
              <w:spacing w:line="238" w:lineRule="exact" w:before="35"/>
              <w:ind w:left="14" w:right="198"/>
              <w:jc w:val="left"/>
              <w:rPr>
                <w:rFonts w:ascii="宋体" w:hAnsi="宋体" w:cs="宋体" w:eastAsia="宋体" w:hint="default"/>
                <w:sz w:val="19"/>
                <w:szCs w:val="19"/>
              </w:rPr>
            </w:pPr>
            <w:r>
              <w:rPr>
                <w:rFonts w:ascii="宋体" w:hAnsi="宋体" w:cs="宋体" w:eastAsia="宋体" w:hint="default"/>
                <w:spacing w:val="3"/>
                <w:sz w:val="19"/>
                <w:szCs w:val="19"/>
              </w:rPr>
              <w:t>有关部门批准设立的有经营资格的金融机构对非金融企业</w:t>
            </w:r>
            <w:r>
              <w:rPr>
                <w:rFonts w:ascii="宋体" w:hAnsi="宋体" w:cs="宋体" w:eastAsia="宋体" w:hint="default"/>
                <w:spacing w:val="4"/>
                <w:sz w:val="19"/>
                <w:szCs w:val="19"/>
              </w:rPr>
              <w:t> </w:t>
            </w:r>
            <w:r>
              <w:rPr>
                <w:rFonts w:ascii="宋体" w:hAnsi="宋体" w:cs="宋体" w:eastAsia="宋体" w:hint="default"/>
                <w:spacing w:val="4"/>
                <w:sz w:val="19"/>
                <w:szCs w:val="19"/>
              </w:rPr>
            </w:r>
            <w:r>
              <w:rPr>
                <w:rFonts w:ascii="宋体" w:hAnsi="宋体" w:cs="宋体" w:eastAsia="宋体" w:hint="default"/>
                <w:spacing w:val="3"/>
                <w:w w:val="105"/>
                <w:sz w:val="19"/>
                <w:szCs w:val="19"/>
              </w:rPr>
              <w:t>收取的资金占用费除外</w:t>
            </w:r>
            <w:r>
              <w:rPr>
                <w:rFonts w:ascii="宋体" w:hAnsi="宋体" w:cs="宋体" w:eastAsia="宋体" w:hint="default"/>
                <w:spacing w:val="3"/>
                <w:sz w:val="19"/>
                <w:szCs w:val="19"/>
              </w:rPr>
            </w:r>
          </w:p>
        </w:tc>
        <w:tc>
          <w:tcPr>
            <w:tcW w:w="2158" w:type="dxa"/>
            <w:tcBorders>
              <w:top w:val="single" w:sz="6" w:space="0" w:color="000000"/>
              <w:left w:val="single" w:sz="6" w:space="0" w:color="000000"/>
              <w:bottom w:val="single" w:sz="6" w:space="0" w:color="000000"/>
              <w:right w:val="single" w:sz="6" w:space="0" w:color="000000"/>
            </w:tcBorders>
          </w:tcPr>
          <w:p>
            <w:pPr/>
          </w:p>
        </w:tc>
        <w:tc>
          <w:tcPr>
            <w:tcW w:w="2151" w:type="dxa"/>
            <w:tcBorders>
              <w:top w:val="single" w:sz="6" w:space="0" w:color="000000"/>
              <w:left w:val="single" w:sz="6" w:space="0" w:color="000000"/>
              <w:bottom w:val="single" w:sz="6" w:space="0" w:color="000000"/>
              <w:right w:val="single" w:sz="12" w:space="0" w:color="000000"/>
            </w:tcBorders>
          </w:tcPr>
          <w:p>
            <w:pPr/>
          </w:p>
        </w:tc>
      </w:tr>
      <w:tr>
        <w:trPr>
          <w:trHeight w:val="562" w:hRule="exact"/>
        </w:trPr>
        <w:tc>
          <w:tcPr>
            <w:tcW w:w="5273" w:type="dxa"/>
            <w:tcBorders>
              <w:top w:val="single" w:sz="6" w:space="0" w:color="000000"/>
              <w:left w:val="single" w:sz="12" w:space="0" w:color="000000"/>
              <w:bottom w:val="single" w:sz="6" w:space="0" w:color="000000"/>
              <w:right w:val="single" w:sz="6" w:space="0" w:color="000000"/>
            </w:tcBorders>
          </w:tcPr>
          <w:p>
            <w:pPr>
              <w:pStyle w:val="TableParagraph"/>
              <w:spacing w:line="238" w:lineRule="exact" w:before="55"/>
              <w:ind w:left="14" w:right="198"/>
              <w:jc w:val="left"/>
              <w:rPr>
                <w:rFonts w:ascii="宋体" w:hAnsi="宋体" w:cs="宋体" w:eastAsia="宋体" w:hint="default"/>
                <w:sz w:val="19"/>
                <w:szCs w:val="19"/>
              </w:rPr>
            </w:pPr>
            <w:r>
              <w:rPr>
                <w:rFonts w:ascii="宋体" w:hAnsi="宋体" w:cs="宋体" w:eastAsia="宋体" w:hint="default"/>
                <w:spacing w:val="3"/>
                <w:sz w:val="19"/>
                <w:szCs w:val="19"/>
              </w:rPr>
              <w:t>企业合并的合并成本小于合并时应享有被合并单位可辨认</w:t>
            </w:r>
            <w:r>
              <w:rPr>
                <w:rFonts w:ascii="宋体" w:hAnsi="宋体" w:cs="宋体" w:eastAsia="宋体" w:hint="default"/>
                <w:spacing w:val="4"/>
                <w:sz w:val="19"/>
                <w:szCs w:val="19"/>
              </w:rPr>
              <w:t> </w:t>
            </w:r>
            <w:r>
              <w:rPr>
                <w:rFonts w:ascii="宋体" w:hAnsi="宋体" w:cs="宋体" w:eastAsia="宋体" w:hint="default"/>
                <w:spacing w:val="4"/>
                <w:sz w:val="19"/>
                <w:szCs w:val="19"/>
              </w:rPr>
            </w:r>
            <w:r>
              <w:rPr>
                <w:rFonts w:ascii="宋体" w:hAnsi="宋体" w:cs="宋体" w:eastAsia="宋体" w:hint="default"/>
                <w:spacing w:val="2"/>
                <w:w w:val="105"/>
                <w:sz w:val="19"/>
                <w:szCs w:val="19"/>
              </w:rPr>
              <w:t>净资产公允价值产生的损益</w:t>
            </w:r>
            <w:r>
              <w:rPr>
                <w:rFonts w:ascii="宋体" w:hAnsi="宋体" w:cs="宋体" w:eastAsia="宋体" w:hint="default"/>
                <w:spacing w:val="2"/>
                <w:sz w:val="19"/>
                <w:szCs w:val="19"/>
              </w:rPr>
            </w:r>
          </w:p>
        </w:tc>
        <w:tc>
          <w:tcPr>
            <w:tcW w:w="2158" w:type="dxa"/>
            <w:tcBorders>
              <w:top w:val="single" w:sz="6" w:space="0" w:color="000000"/>
              <w:left w:val="single" w:sz="6" w:space="0" w:color="000000"/>
              <w:bottom w:val="single" w:sz="6" w:space="0" w:color="000000"/>
              <w:right w:val="single" w:sz="6" w:space="0" w:color="000000"/>
            </w:tcBorders>
          </w:tcPr>
          <w:p>
            <w:pPr/>
          </w:p>
        </w:tc>
        <w:tc>
          <w:tcPr>
            <w:tcW w:w="2151" w:type="dxa"/>
            <w:tcBorders>
              <w:top w:val="single" w:sz="6" w:space="0" w:color="000000"/>
              <w:left w:val="single" w:sz="6" w:space="0" w:color="000000"/>
              <w:bottom w:val="single" w:sz="6" w:space="0" w:color="000000"/>
              <w:right w:val="single" w:sz="12" w:space="0" w:color="000000"/>
            </w:tcBorders>
          </w:tcPr>
          <w:p>
            <w:pPr/>
          </w:p>
        </w:tc>
      </w:tr>
      <w:tr>
        <w:trPr>
          <w:trHeight w:val="413" w:hRule="exact"/>
        </w:trPr>
        <w:tc>
          <w:tcPr>
            <w:tcW w:w="5273" w:type="dxa"/>
            <w:tcBorders>
              <w:top w:val="single" w:sz="6" w:space="0" w:color="000000"/>
              <w:left w:val="single" w:sz="12" w:space="0" w:color="000000"/>
              <w:bottom w:val="single" w:sz="11" w:space="0" w:color="000000"/>
              <w:right w:val="single" w:sz="6" w:space="0" w:color="000000"/>
            </w:tcBorders>
          </w:tcPr>
          <w:p>
            <w:pPr>
              <w:pStyle w:val="TableParagraph"/>
              <w:spacing w:line="240" w:lineRule="auto" w:before="122"/>
              <w:ind w:left="14" w:right="0"/>
              <w:jc w:val="left"/>
              <w:rPr>
                <w:rFonts w:ascii="宋体" w:hAnsi="宋体" w:cs="宋体" w:eastAsia="宋体" w:hint="default"/>
                <w:sz w:val="19"/>
                <w:szCs w:val="19"/>
              </w:rPr>
            </w:pPr>
            <w:r>
              <w:rPr>
                <w:rFonts w:ascii="宋体" w:hAnsi="宋体" w:cs="宋体" w:eastAsia="宋体" w:hint="default"/>
                <w:spacing w:val="3"/>
                <w:w w:val="105"/>
                <w:sz w:val="19"/>
                <w:szCs w:val="19"/>
              </w:rPr>
              <w:t>非货币性资产交换损益</w:t>
            </w:r>
            <w:r>
              <w:rPr>
                <w:rFonts w:ascii="宋体" w:hAnsi="宋体" w:cs="宋体" w:eastAsia="宋体" w:hint="default"/>
                <w:spacing w:val="3"/>
                <w:sz w:val="19"/>
                <w:szCs w:val="19"/>
              </w:rPr>
            </w:r>
          </w:p>
        </w:tc>
        <w:tc>
          <w:tcPr>
            <w:tcW w:w="2158" w:type="dxa"/>
            <w:tcBorders>
              <w:top w:val="single" w:sz="6" w:space="0" w:color="000000"/>
              <w:left w:val="single" w:sz="6" w:space="0" w:color="000000"/>
              <w:bottom w:val="single" w:sz="11" w:space="0" w:color="000000"/>
              <w:right w:val="single" w:sz="6" w:space="0" w:color="000000"/>
            </w:tcBorders>
          </w:tcPr>
          <w:p>
            <w:pPr/>
          </w:p>
        </w:tc>
        <w:tc>
          <w:tcPr>
            <w:tcW w:w="2151" w:type="dxa"/>
            <w:tcBorders>
              <w:top w:val="single" w:sz="6" w:space="0" w:color="000000"/>
              <w:left w:val="single" w:sz="6" w:space="0" w:color="000000"/>
              <w:bottom w:val="single" w:sz="11" w:space="0" w:color="000000"/>
              <w:right w:val="single" w:sz="12" w:space="0" w:color="000000"/>
            </w:tcBorders>
          </w:tcPr>
          <w:p>
            <w:pPr/>
          </w:p>
        </w:tc>
      </w:tr>
      <w:tr>
        <w:trPr>
          <w:trHeight w:val="457" w:hRule="exact"/>
        </w:trPr>
        <w:tc>
          <w:tcPr>
            <w:tcW w:w="5273" w:type="dxa"/>
            <w:tcBorders>
              <w:top w:val="single" w:sz="11" w:space="0" w:color="000000"/>
              <w:left w:val="single" w:sz="12" w:space="0" w:color="000000"/>
              <w:bottom w:val="single" w:sz="6" w:space="0" w:color="000000"/>
              <w:right w:val="single" w:sz="6" w:space="0" w:color="000000"/>
            </w:tcBorders>
          </w:tcPr>
          <w:p>
            <w:pPr>
              <w:pStyle w:val="TableParagraph"/>
              <w:spacing w:line="240" w:lineRule="auto" w:before="151"/>
              <w:ind w:left="14" w:right="0"/>
              <w:jc w:val="left"/>
              <w:rPr>
                <w:rFonts w:ascii="宋体" w:hAnsi="宋体" w:cs="宋体" w:eastAsia="宋体" w:hint="default"/>
                <w:sz w:val="19"/>
                <w:szCs w:val="19"/>
              </w:rPr>
            </w:pPr>
            <w:r>
              <w:rPr>
                <w:rFonts w:ascii="宋体" w:hAnsi="宋体" w:cs="宋体" w:eastAsia="宋体" w:hint="default"/>
                <w:spacing w:val="2"/>
                <w:w w:val="105"/>
                <w:sz w:val="19"/>
                <w:szCs w:val="19"/>
              </w:rPr>
              <w:t>委托投资损益</w:t>
            </w:r>
            <w:r>
              <w:rPr>
                <w:rFonts w:ascii="宋体" w:hAnsi="宋体" w:cs="宋体" w:eastAsia="宋体" w:hint="default"/>
                <w:sz w:val="19"/>
                <w:szCs w:val="19"/>
              </w:rPr>
            </w:r>
          </w:p>
        </w:tc>
        <w:tc>
          <w:tcPr>
            <w:tcW w:w="2158" w:type="dxa"/>
            <w:tcBorders>
              <w:top w:val="single" w:sz="11" w:space="0" w:color="000000"/>
              <w:left w:val="single" w:sz="6" w:space="0" w:color="000000"/>
              <w:bottom w:val="single" w:sz="6" w:space="0" w:color="000000"/>
              <w:right w:val="single" w:sz="6" w:space="0" w:color="000000"/>
            </w:tcBorders>
          </w:tcPr>
          <w:p>
            <w:pPr/>
          </w:p>
        </w:tc>
        <w:tc>
          <w:tcPr>
            <w:tcW w:w="2151" w:type="dxa"/>
            <w:tcBorders>
              <w:top w:val="single" w:sz="11" w:space="0" w:color="000000"/>
              <w:left w:val="single" w:sz="6" w:space="0" w:color="000000"/>
              <w:bottom w:val="single" w:sz="6" w:space="0" w:color="000000"/>
              <w:right w:val="single" w:sz="12" w:space="0" w:color="000000"/>
            </w:tcBorders>
          </w:tcPr>
          <w:p>
            <w:pPr/>
          </w:p>
        </w:tc>
      </w:tr>
      <w:tr>
        <w:trPr>
          <w:trHeight w:val="505" w:hRule="exact"/>
        </w:trPr>
        <w:tc>
          <w:tcPr>
            <w:tcW w:w="5273" w:type="dxa"/>
            <w:tcBorders>
              <w:top w:val="single" w:sz="6" w:space="0" w:color="000000"/>
              <w:left w:val="single" w:sz="12" w:space="0" w:color="000000"/>
              <w:bottom w:val="single" w:sz="6" w:space="0" w:color="000000"/>
              <w:right w:val="single" w:sz="6" w:space="0" w:color="000000"/>
            </w:tcBorders>
          </w:tcPr>
          <w:p>
            <w:pPr>
              <w:pStyle w:val="TableParagraph"/>
              <w:spacing w:line="202" w:lineRule="exact"/>
              <w:ind w:left="14" w:right="0"/>
              <w:jc w:val="left"/>
              <w:rPr>
                <w:rFonts w:ascii="宋体" w:hAnsi="宋体" w:cs="宋体" w:eastAsia="宋体" w:hint="default"/>
                <w:sz w:val="19"/>
                <w:szCs w:val="19"/>
              </w:rPr>
            </w:pPr>
            <w:r>
              <w:rPr>
                <w:rFonts w:ascii="宋体" w:hAnsi="宋体" w:cs="宋体" w:eastAsia="宋体" w:hint="default"/>
                <w:spacing w:val="3"/>
                <w:w w:val="105"/>
                <w:sz w:val="19"/>
                <w:szCs w:val="19"/>
              </w:rPr>
              <w:t>因不可抗力因素，如遭受自然灾害而计提的各项资产减值</w:t>
            </w:r>
            <w:r>
              <w:rPr>
                <w:rFonts w:ascii="宋体" w:hAnsi="宋体" w:cs="宋体" w:eastAsia="宋体" w:hint="default"/>
                <w:sz w:val="19"/>
                <w:szCs w:val="19"/>
              </w:rPr>
            </w:r>
          </w:p>
          <w:p>
            <w:pPr>
              <w:pStyle w:val="TableParagraph"/>
              <w:spacing w:line="240" w:lineRule="auto" w:before="4"/>
              <w:ind w:left="14" w:right="0"/>
              <w:jc w:val="left"/>
              <w:rPr>
                <w:rFonts w:ascii="宋体" w:hAnsi="宋体" w:cs="宋体" w:eastAsia="宋体" w:hint="default"/>
                <w:sz w:val="19"/>
                <w:szCs w:val="19"/>
              </w:rPr>
            </w:pPr>
            <w:r>
              <w:rPr>
                <w:rFonts w:ascii="宋体" w:hAnsi="宋体" w:cs="宋体" w:eastAsia="宋体" w:hint="default"/>
                <w:w w:val="105"/>
                <w:sz w:val="19"/>
                <w:szCs w:val="19"/>
              </w:rPr>
              <w:t>准备</w:t>
            </w:r>
            <w:r>
              <w:rPr>
                <w:rFonts w:ascii="宋体" w:hAnsi="宋体" w:cs="宋体" w:eastAsia="宋体" w:hint="default"/>
                <w:sz w:val="19"/>
                <w:szCs w:val="19"/>
              </w:rPr>
            </w:r>
          </w:p>
        </w:tc>
        <w:tc>
          <w:tcPr>
            <w:tcW w:w="2158" w:type="dxa"/>
            <w:tcBorders>
              <w:top w:val="single" w:sz="6" w:space="0" w:color="000000"/>
              <w:left w:val="single" w:sz="6" w:space="0" w:color="000000"/>
              <w:bottom w:val="single" w:sz="6" w:space="0" w:color="000000"/>
              <w:right w:val="single" w:sz="6" w:space="0" w:color="000000"/>
            </w:tcBorders>
          </w:tcPr>
          <w:p>
            <w:pPr/>
          </w:p>
        </w:tc>
        <w:tc>
          <w:tcPr>
            <w:tcW w:w="2151" w:type="dxa"/>
            <w:tcBorders>
              <w:top w:val="single" w:sz="6" w:space="0" w:color="000000"/>
              <w:left w:val="single" w:sz="6" w:space="0" w:color="000000"/>
              <w:bottom w:val="single" w:sz="6" w:space="0" w:color="000000"/>
              <w:right w:val="single" w:sz="12" w:space="0" w:color="000000"/>
            </w:tcBorders>
          </w:tcPr>
          <w:p>
            <w:pPr/>
          </w:p>
        </w:tc>
      </w:tr>
      <w:tr>
        <w:trPr>
          <w:trHeight w:val="392" w:hRule="exact"/>
        </w:trPr>
        <w:tc>
          <w:tcPr>
            <w:tcW w:w="52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3"/>
              <w:ind w:left="14" w:right="0"/>
              <w:jc w:val="left"/>
              <w:rPr>
                <w:rFonts w:ascii="宋体" w:hAnsi="宋体" w:cs="宋体" w:eastAsia="宋体" w:hint="default"/>
                <w:sz w:val="19"/>
                <w:szCs w:val="19"/>
              </w:rPr>
            </w:pPr>
            <w:r>
              <w:rPr>
                <w:rFonts w:ascii="宋体" w:hAnsi="宋体" w:cs="宋体" w:eastAsia="宋体" w:hint="default"/>
                <w:spacing w:val="2"/>
                <w:w w:val="105"/>
                <w:sz w:val="19"/>
                <w:szCs w:val="19"/>
              </w:rPr>
              <w:t>债务重组损益</w:t>
            </w:r>
            <w:r>
              <w:rPr>
                <w:rFonts w:ascii="宋体" w:hAnsi="宋体" w:cs="宋体" w:eastAsia="宋体" w:hint="default"/>
                <w:sz w:val="19"/>
                <w:szCs w:val="19"/>
              </w:rPr>
            </w:r>
          </w:p>
        </w:tc>
        <w:tc>
          <w:tcPr>
            <w:tcW w:w="2158" w:type="dxa"/>
            <w:tcBorders>
              <w:top w:val="single" w:sz="6" w:space="0" w:color="000000"/>
              <w:left w:val="single" w:sz="6" w:space="0" w:color="000000"/>
              <w:bottom w:val="single" w:sz="6" w:space="0" w:color="000000"/>
              <w:right w:val="single" w:sz="6" w:space="0" w:color="000000"/>
            </w:tcBorders>
          </w:tcPr>
          <w:p>
            <w:pPr/>
          </w:p>
        </w:tc>
        <w:tc>
          <w:tcPr>
            <w:tcW w:w="2151" w:type="dxa"/>
            <w:tcBorders>
              <w:top w:val="single" w:sz="6" w:space="0" w:color="000000"/>
              <w:left w:val="single" w:sz="6" w:space="0" w:color="000000"/>
              <w:bottom w:val="single" w:sz="6" w:space="0" w:color="000000"/>
              <w:right w:val="single" w:sz="12" w:space="0" w:color="000000"/>
            </w:tcBorders>
          </w:tcPr>
          <w:p>
            <w:pPr/>
          </w:p>
        </w:tc>
      </w:tr>
      <w:tr>
        <w:trPr>
          <w:trHeight w:val="393" w:hRule="exact"/>
        </w:trPr>
        <w:tc>
          <w:tcPr>
            <w:tcW w:w="5273" w:type="dxa"/>
            <w:tcBorders>
              <w:top w:val="single" w:sz="6" w:space="0" w:color="000000"/>
              <w:left w:val="single" w:sz="12" w:space="0" w:color="000000"/>
              <w:bottom w:val="single" w:sz="5" w:space="0" w:color="000000"/>
              <w:right w:val="single" w:sz="6" w:space="0" w:color="000000"/>
            </w:tcBorders>
          </w:tcPr>
          <w:p>
            <w:pPr>
              <w:pStyle w:val="TableParagraph"/>
              <w:spacing w:line="240" w:lineRule="auto" w:before="94"/>
              <w:ind w:left="14" w:right="0"/>
              <w:jc w:val="left"/>
              <w:rPr>
                <w:rFonts w:ascii="宋体" w:hAnsi="宋体" w:cs="宋体" w:eastAsia="宋体" w:hint="default"/>
                <w:sz w:val="19"/>
                <w:szCs w:val="19"/>
              </w:rPr>
            </w:pPr>
            <w:r>
              <w:rPr>
                <w:rFonts w:ascii="宋体" w:hAnsi="宋体" w:cs="宋体" w:eastAsia="宋体" w:hint="default"/>
                <w:spacing w:val="2"/>
                <w:w w:val="105"/>
                <w:sz w:val="19"/>
                <w:szCs w:val="19"/>
              </w:rPr>
              <w:t>企业重组费用</w:t>
            </w:r>
            <w:r>
              <w:rPr>
                <w:rFonts w:ascii="宋体" w:hAnsi="宋体" w:cs="宋体" w:eastAsia="宋体" w:hint="default"/>
                <w:sz w:val="19"/>
                <w:szCs w:val="19"/>
              </w:rPr>
            </w:r>
          </w:p>
        </w:tc>
        <w:tc>
          <w:tcPr>
            <w:tcW w:w="2158" w:type="dxa"/>
            <w:tcBorders>
              <w:top w:val="single" w:sz="6" w:space="0" w:color="000000"/>
              <w:left w:val="single" w:sz="6" w:space="0" w:color="000000"/>
              <w:bottom w:val="single" w:sz="5" w:space="0" w:color="000000"/>
              <w:right w:val="single" w:sz="6" w:space="0" w:color="000000"/>
            </w:tcBorders>
          </w:tcPr>
          <w:p>
            <w:pPr/>
          </w:p>
        </w:tc>
        <w:tc>
          <w:tcPr>
            <w:tcW w:w="2151" w:type="dxa"/>
            <w:tcBorders>
              <w:top w:val="single" w:sz="6" w:space="0" w:color="000000"/>
              <w:left w:val="single" w:sz="6" w:space="0" w:color="000000"/>
              <w:bottom w:val="single" w:sz="5" w:space="0" w:color="000000"/>
              <w:right w:val="single" w:sz="12" w:space="0" w:color="000000"/>
            </w:tcBorders>
          </w:tcPr>
          <w:p>
            <w:pPr/>
          </w:p>
        </w:tc>
      </w:tr>
      <w:tr>
        <w:trPr>
          <w:trHeight w:val="505" w:hRule="exact"/>
        </w:trPr>
        <w:tc>
          <w:tcPr>
            <w:tcW w:w="5273" w:type="dxa"/>
            <w:tcBorders>
              <w:top w:val="single" w:sz="5" w:space="0" w:color="000000"/>
              <w:left w:val="single" w:sz="12" w:space="0" w:color="000000"/>
              <w:bottom w:val="single" w:sz="5"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4" w:right="0"/>
              <w:jc w:val="left"/>
              <w:rPr>
                <w:rFonts w:ascii="宋体" w:hAnsi="宋体" w:cs="宋体" w:eastAsia="宋体" w:hint="default"/>
                <w:sz w:val="19"/>
                <w:szCs w:val="19"/>
              </w:rPr>
            </w:pPr>
            <w:r>
              <w:rPr>
                <w:rFonts w:ascii="宋体" w:hAnsi="宋体" w:cs="宋体" w:eastAsia="宋体" w:hint="default"/>
                <w:spacing w:val="3"/>
                <w:w w:val="105"/>
                <w:sz w:val="19"/>
                <w:szCs w:val="19"/>
              </w:rPr>
              <w:t>交易价格显失公允的交易产生的超过公允价值部分的损益</w:t>
            </w:r>
            <w:r>
              <w:rPr>
                <w:rFonts w:ascii="宋体" w:hAnsi="宋体" w:cs="宋体" w:eastAsia="宋体" w:hint="default"/>
                <w:spacing w:val="3"/>
                <w:sz w:val="19"/>
                <w:szCs w:val="19"/>
              </w:rPr>
            </w:r>
          </w:p>
        </w:tc>
        <w:tc>
          <w:tcPr>
            <w:tcW w:w="2158" w:type="dxa"/>
            <w:tcBorders>
              <w:top w:val="single" w:sz="5" w:space="0" w:color="000000"/>
              <w:left w:val="single" w:sz="6" w:space="0" w:color="000000"/>
              <w:bottom w:val="single" w:sz="5" w:space="0" w:color="000000"/>
              <w:right w:val="single" w:sz="6" w:space="0" w:color="000000"/>
            </w:tcBorders>
          </w:tcPr>
          <w:p>
            <w:pPr/>
          </w:p>
        </w:tc>
        <w:tc>
          <w:tcPr>
            <w:tcW w:w="2151" w:type="dxa"/>
            <w:tcBorders>
              <w:top w:val="single" w:sz="5" w:space="0" w:color="000000"/>
              <w:left w:val="single" w:sz="6" w:space="0" w:color="000000"/>
              <w:bottom w:val="single" w:sz="5" w:space="0" w:color="000000"/>
              <w:right w:val="single" w:sz="12" w:space="0" w:color="000000"/>
            </w:tcBorders>
          </w:tcPr>
          <w:p>
            <w:pPr/>
          </w:p>
        </w:tc>
      </w:tr>
      <w:tr>
        <w:trPr>
          <w:trHeight w:val="505" w:hRule="exact"/>
        </w:trPr>
        <w:tc>
          <w:tcPr>
            <w:tcW w:w="5273" w:type="dxa"/>
            <w:tcBorders>
              <w:top w:val="single" w:sz="5" w:space="0" w:color="000000"/>
              <w:left w:val="single" w:sz="12" w:space="0" w:color="000000"/>
              <w:bottom w:val="single" w:sz="5" w:space="0" w:color="000000"/>
              <w:right w:val="single" w:sz="6" w:space="0" w:color="000000"/>
            </w:tcBorders>
          </w:tcPr>
          <w:p>
            <w:pPr>
              <w:pStyle w:val="TableParagraph"/>
              <w:spacing w:line="213" w:lineRule="exact"/>
              <w:ind w:left="14" w:right="0"/>
              <w:jc w:val="left"/>
              <w:rPr>
                <w:rFonts w:ascii="宋体" w:hAnsi="宋体" w:cs="宋体" w:eastAsia="宋体" w:hint="default"/>
                <w:sz w:val="19"/>
                <w:szCs w:val="19"/>
              </w:rPr>
            </w:pPr>
            <w:r>
              <w:rPr>
                <w:rFonts w:ascii="宋体" w:hAnsi="宋体" w:cs="宋体" w:eastAsia="宋体" w:hint="default"/>
                <w:spacing w:val="3"/>
                <w:w w:val="105"/>
                <w:sz w:val="19"/>
                <w:szCs w:val="19"/>
              </w:rPr>
              <w:t>同一控制下企业合并产生的子公司期初至合并日的当期净</w:t>
            </w:r>
            <w:r>
              <w:rPr>
                <w:rFonts w:ascii="宋体" w:hAnsi="宋体" w:cs="宋体" w:eastAsia="宋体" w:hint="default"/>
                <w:spacing w:val="3"/>
                <w:sz w:val="19"/>
                <w:szCs w:val="19"/>
              </w:rPr>
            </w:r>
          </w:p>
          <w:p>
            <w:pPr>
              <w:pStyle w:val="TableParagraph"/>
              <w:spacing w:line="244" w:lineRule="exact"/>
              <w:ind w:left="14" w:right="0"/>
              <w:jc w:val="left"/>
              <w:rPr>
                <w:rFonts w:ascii="宋体" w:hAnsi="宋体" w:cs="宋体" w:eastAsia="宋体" w:hint="default"/>
                <w:sz w:val="19"/>
                <w:szCs w:val="19"/>
              </w:rPr>
            </w:pPr>
            <w:r>
              <w:rPr>
                <w:rFonts w:ascii="宋体" w:hAnsi="宋体" w:cs="宋体" w:eastAsia="宋体" w:hint="default"/>
                <w:w w:val="105"/>
                <w:sz w:val="19"/>
                <w:szCs w:val="19"/>
              </w:rPr>
              <w:t>损益</w:t>
            </w:r>
            <w:r>
              <w:rPr>
                <w:rFonts w:ascii="宋体" w:hAnsi="宋体" w:cs="宋体" w:eastAsia="宋体" w:hint="default"/>
                <w:sz w:val="19"/>
                <w:szCs w:val="19"/>
              </w:rPr>
            </w:r>
          </w:p>
        </w:tc>
        <w:tc>
          <w:tcPr>
            <w:tcW w:w="2158" w:type="dxa"/>
            <w:tcBorders>
              <w:top w:val="single" w:sz="5" w:space="0" w:color="000000"/>
              <w:left w:val="single" w:sz="6" w:space="0" w:color="000000"/>
              <w:bottom w:val="single" w:sz="5" w:space="0" w:color="000000"/>
              <w:right w:val="single" w:sz="6" w:space="0" w:color="000000"/>
            </w:tcBorders>
          </w:tcPr>
          <w:p>
            <w:pPr/>
          </w:p>
        </w:tc>
        <w:tc>
          <w:tcPr>
            <w:tcW w:w="2151" w:type="dxa"/>
            <w:tcBorders>
              <w:top w:val="single" w:sz="5" w:space="0" w:color="000000"/>
              <w:left w:val="single" w:sz="6" w:space="0" w:color="000000"/>
              <w:bottom w:val="single" w:sz="5" w:space="0" w:color="000000"/>
              <w:right w:val="single" w:sz="12" w:space="0" w:color="000000"/>
            </w:tcBorders>
          </w:tcPr>
          <w:p>
            <w:pPr/>
          </w:p>
        </w:tc>
      </w:tr>
      <w:tr>
        <w:trPr>
          <w:trHeight w:val="407" w:hRule="exact"/>
        </w:trPr>
        <w:tc>
          <w:tcPr>
            <w:tcW w:w="5273" w:type="dxa"/>
            <w:tcBorders>
              <w:top w:val="single" w:sz="5" w:space="0" w:color="000000"/>
              <w:left w:val="single" w:sz="12" w:space="0" w:color="000000"/>
              <w:bottom w:val="single" w:sz="6" w:space="0" w:color="000000"/>
              <w:right w:val="single" w:sz="6" w:space="0" w:color="000000"/>
            </w:tcBorders>
          </w:tcPr>
          <w:p>
            <w:pPr>
              <w:pStyle w:val="TableParagraph"/>
              <w:spacing w:line="240" w:lineRule="auto" w:before="109"/>
              <w:ind w:left="14" w:right="0"/>
              <w:jc w:val="left"/>
              <w:rPr>
                <w:rFonts w:ascii="宋体" w:hAnsi="宋体" w:cs="宋体" w:eastAsia="宋体" w:hint="default"/>
                <w:sz w:val="19"/>
                <w:szCs w:val="19"/>
              </w:rPr>
            </w:pPr>
            <w:r>
              <w:rPr>
                <w:rFonts w:ascii="宋体" w:hAnsi="宋体" w:cs="宋体" w:eastAsia="宋体" w:hint="default"/>
                <w:spacing w:val="3"/>
                <w:w w:val="105"/>
                <w:sz w:val="19"/>
                <w:szCs w:val="19"/>
              </w:rPr>
              <w:t>与公司主营业务无关的预计负债产后的损益</w:t>
            </w:r>
            <w:r>
              <w:rPr>
                <w:rFonts w:ascii="宋体" w:hAnsi="宋体" w:cs="宋体" w:eastAsia="宋体" w:hint="default"/>
                <w:spacing w:val="3"/>
                <w:sz w:val="19"/>
                <w:szCs w:val="19"/>
              </w:rPr>
            </w:r>
          </w:p>
        </w:tc>
        <w:tc>
          <w:tcPr>
            <w:tcW w:w="2158" w:type="dxa"/>
            <w:tcBorders>
              <w:top w:val="single" w:sz="5" w:space="0" w:color="000000"/>
              <w:left w:val="single" w:sz="6" w:space="0" w:color="000000"/>
              <w:bottom w:val="single" w:sz="6" w:space="0" w:color="000000"/>
              <w:right w:val="single" w:sz="6" w:space="0" w:color="000000"/>
            </w:tcBorders>
          </w:tcPr>
          <w:p>
            <w:pPr/>
          </w:p>
        </w:tc>
        <w:tc>
          <w:tcPr>
            <w:tcW w:w="2151" w:type="dxa"/>
            <w:tcBorders>
              <w:top w:val="single" w:sz="5" w:space="0" w:color="000000"/>
              <w:left w:val="single" w:sz="6" w:space="0" w:color="000000"/>
              <w:bottom w:val="single" w:sz="6" w:space="0" w:color="000000"/>
              <w:right w:val="single" w:sz="12" w:space="0" w:color="000000"/>
            </w:tcBorders>
          </w:tcPr>
          <w:p>
            <w:pPr/>
          </w:p>
        </w:tc>
      </w:tr>
      <w:tr>
        <w:trPr>
          <w:trHeight w:val="413" w:hRule="exact"/>
        </w:trPr>
        <w:tc>
          <w:tcPr>
            <w:tcW w:w="5273" w:type="dxa"/>
            <w:tcBorders>
              <w:top w:val="single" w:sz="6" w:space="0" w:color="000000"/>
              <w:left w:val="single" w:sz="12" w:space="0" w:color="000000"/>
              <w:bottom w:val="single" w:sz="11" w:space="0" w:color="000000"/>
              <w:right w:val="single" w:sz="6" w:space="0" w:color="000000"/>
            </w:tcBorders>
          </w:tcPr>
          <w:p>
            <w:pPr>
              <w:pStyle w:val="TableParagraph"/>
              <w:spacing w:line="240" w:lineRule="auto" w:before="108"/>
              <w:ind w:left="14" w:right="0"/>
              <w:jc w:val="left"/>
              <w:rPr>
                <w:rFonts w:ascii="宋体" w:hAnsi="宋体" w:cs="宋体" w:eastAsia="宋体" w:hint="default"/>
                <w:sz w:val="19"/>
                <w:szCs w:val="19"/>
              </w:rPr>
            </w:pPr>
            <w:r>
              <w:rPr>
                <w:rFonts w:ascii="宋体" w:hAnsi="宋体" w:cs="宋体" w:eastAsia="宋体" w:hint="default"/>
                <w:spacing w:val="3"/>
                <w:w w:val="105"/>
                <w:sz w:val="19"/>
                <w:szCs w:val="19"/>
              </w:rPr>
              <w:t>除上述各项之外的其他营业外收支净额</w:t>
            </w:r>
            <w:r>
              <w:rPr>
                <w:rFonts w:ascii="宋体" w:hAnsi="宋体" w:cs="宋体" w:eastAsia="宋体" w:hint="default"/>
                <w:sz w:val="19"/>
                <w:szCs w:val="19"/>
              </w:rPr>
            </w:r>
          </w:p>
        </w:tc>
        <w:tc>
          <w:tcPr>
            <w:tcW w:w="2158" w:type="dxa"/>
            <w:tcBorders>
              <w:top w:val="single" w:sz="6" w:space="0" w:color="000000"/>
              <w:left w:val="single" w:sz="6" w:space="0" w:color="000000"/>
              <w:bottom w:val="single" w:sz="11" w:space="0" w:color="000000"/>
              <w:right w:val="single" w:sz="6" w:space="0" w:color="000000"/>
            </w:tcBorders>
          </w:tcPr>
          <w:p>
            <w:pPr>
              <w:pStyle w:val="TableParagraph"/>
              <w:spacing w:line="240" w:lineRule="auto" w:before="158"/>
              <w:ind w:right="84"/>
              <w:jc w:val="right"/>
              <w:rPr>
                <w:rFonts w:ascii="Times New Roman" w:hAnsi="Times New Roman" w:cs="Times New Roman" w:eastAsia="Times New Roman" w:hint="default"/>
                <w:sz w:val="19"/>
                <w:szCs w:val="19"/>
              </w:rPr>
            </w:pPr>
            <w:r>
              <w:rPr>
                <w:rFonts w:ascii="Times New Roman"/>
                <w:sz w:val="19"/>
              </w:rPr>
              <w:t>-174,095.36</w:t>
            </w:r>
          </w:p>
        </w:tc>
        <w:tc>
          <w:tcPr>
            <w:tcW w:w="2151" w:type="dxa"/>
            <w:tcBorders>
              <w:top w:val="single" w:sz="6" w:space="0" w:color="000000"/>
              <w:left w:val="single" w:sz="6" w:space="0" w:color="000000"/>
              <w:bottom w:val="single" w:sz="11" w:space="0" w:color="000000"/>
              <w:right w:val="single" w:sz="12" w:space="0" w:color="000000"/>
            </w:tcBorders>
          </w:tcPr>
          <w:p>
            <w:pPr>
              <w:pStyle w:val="TableParagraph"/>
              <w:spacing w:line="240" w:lineRule="auto" w:before="158"/>
              <w:ind w:right="70"/>
              <w:jc w:val="right"/>
              <w:rPr>
                <w:rFonts w:ascii="Times New Roman" w:hAnsi="Times New Roman" w:cs="Times New Roman" w:eastAsia="Times New Roman" w:hint="default"/>
                <w:sz w:val="19"/>
                <w:szCs w:val="19"/>
              </w:rPr>
            </w:pPr>
            <w:r>
              <w:rPr>
                <w:rFonts w:ascii="Times New Roman"/>
                <w:w w:val="105"/>
                <w:sz w:val="19"/>
              </w:rPr>
              <w:t>46,403.97</w:t>
            </w:r>
            <w:r>
              <w:rPr>
                <w:rFonts w:ascii="Times New Roman"/>
                <w:sz w:val="19"/>
              </w:rPr>
            </w:r>
          </w:p>
        </w:tc>
      </w:tr>
      <w:tr>
        <w:trPr>
          <w:trHeight w:val="407" w:hRule="exact"/>
        </w:trPr>
        <w:tc>
          <w:tcPr>
            <w:tcW w:w="5273" w:type="dxa"/>
            <w:tcBorders>
              <w:top w:val="single" w:sz="11" w:space="0" w:color="000000"/>
              <w:left w:val="single" w:sz="12" w:space="0" w:color="000000"/>
              <w:bottom w:val="single" w:sz="12" w:space="0" w:color="000000"/>
              <w:right w:val="single" w:sz="6" w:space="0" w:color="000000"/>
            </w:tcBorders>
          </w:tcPr>
          <w:p>
            <w:pPr>
              <w:pStyle w:val="TableParagraph"/>
              <w:spacing w:line="240" w:lineRule="auto" w:before="109"/>
              <w:ind w:left="14" w:right="0"/>
              <w:jc w:val="left"/>
              <w:rPr>
                <w:rFonts w:ascii="宋体" w:hAnsi="宋体" w:cs="宋体" w:eastAsia="宋体" w:hint="default"/>
                <w:sz w:val="19"/>
                <w:szCs w:val="19"/>
              </w:rPr>
            </w:pPr>
            <w:r>
              <w:rPr>
                <w:rFonts w:ascii="宋体" w:hAnsi="宋体" w:cs="宋体" w:eastAsia="宋体" w:hint="default"/>
                <w:spacing w:val="2"/>
                <w:w w:val="105"/>
                <w:sz w:val="19"/>
                <w:szCs w:val="19"/>
              </w:rPr>
              <w:t>中国证监会认定的其他非经常性损益项目</w:t>
            </w:r>
            <w:r>
              <w:rPr>
                <w:rFonts w:ascii="宋体" w:hAnsi="宋体" w:cs="宋体" w:eastAsia="宋体" w:hint="default"/>
                <w:spacing w:val="2"/>
                <w:sz w:val="19"/>
                <w:szCs w:val="19"/>
              </w:rPr>
            </w:r>
          </w:p>
        </w:tc>
        <w:tc>
          <w:tcPr>
            <w:tcW w:w="2158" w:type="dxa"/>
            <w:tcBorders>
              <w:top w:val="single" w:sz="11" w:space="0" w:color="000000"/>
              <w:left w:val="single" w:sz="6" w:space="0" w:color="000000"/>
              <w:bottom w:val="single" w:sz="12" w:space="0" w:color="000000"/>
              <w:right w:val="single" w:sz="6" w:space="0" w:color="000000"/>
            </w:tcBorders>
          </w:tcPr>
          <w:p>
            <w:pPr/>
          </w:p>
        </w:tc>
        <w:tc>
          <w:tcPr>
            <w:tcW w:w="2151" w:type="dxa"/>
            <w:tcBorders>
              <w:top w:val="single" w:sz="11" w:space="0" w:color="000000"/>
              <w:left w:val="single" w:sz="6" w:space="0" w:color="000000"/>
              <w:bottom w:val="single" w:sz="12" w:space="0" w:color="000000"/>
              <w:right w:val="single" w:sz="12" w:space="0" w:color="000000"/>
            </w:tcBorders>
          </w:tcPr>
          <w:p>
            <w:pPr/>
          </w:p>
        </w:tc>
      </w:tr>
      <w:tr>
        <w:trPr>
          <w:trHeight w:val="414" w:hRule="exact"/>
        </w:trPr>
        <w:tc>
          <w:tcPr>
            <w:tcW w:w="5273" w:type="dxa"/>
            <w:tcBorders>
              <w:top w:val="single" w:sz="12" w:space="0" w:color="000000"/>
              <w:left w:val="single" w:sz="12" w:space="0" w:color="000000"/>
              <w:bottom w:val="single" w:sz="6" w:space="0" w:color="000000"/>
              <w:right w:val="single" w:sz="6" w:space="0" w:color="000000"/>
            </w:tcBorders>
          </w:tcPr>
          <w:p>
            <w:pPr>
              <w:pStyle w:val="TableParagraph"/>
              <w:spacing w:line="385"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小计</w:t>
            </w:r>
            <w:r>
              <w:rPr>
                <w:rFonts w:ascii="Microsoft JhengHei" w:hAnsi="Microsoft JhengHei" w:cs="Microsoft JhengHei" w:eastAsia="Microsoft JhengHei" w:hint="default"/>
                <w:sz w:val="24"/>
                <w:szCs w:val="24"/>
              </w:rPr>
            </w:r>
          </w:p>
        </w:tc>
        <w:tc>
          <w:tcPr>
            <w:tcW w:w="21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4"/>
              <w:ind w:right="84"/>
              <w:jc w:val="right"/>
              <w:rPr>
                <w:rFonts w:ascii="Times New Roman" w:hAnsi="Times New Roman" w:cs="Times New Roman" w:eastAsia="Times New Roman" w:hint="default"/>
                <w:sz w:val="19"/>
                <w:szCs w:val="19"/>
              </w:rPr>
            </w:pPr>
            <w:r>
              <w:rPr>
                <w:rFonts w:ascii="Times New Roman"/>
                <w:sz w:val="19"/>
              </w:rPr>
              <w:t>1,118,577.20</w:t>
            </w:r>
          </w:p>
        </w:tc>
        <w:tc>
          <w:tcPr>
            <w:tcW w:w="215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44"/>
              <w:ind w:right="70"/>
              <w:jc w:val="right"/>
              <w:rPr>
                <w:rFonts w:ascii="Times New Roman" w:hAnsi="Times New Roman" w:cs="Times New Roman" w:eastAsia="Times New Roman" w:hint="default"/>
                <w:sz w:val="19"/>
                <w:szCs w:val="19"/>
              </w:rPr>
            </w:pPr>
            <w:r>
              <w:rPr>
                <w:rFonts w:ascii="Times New Roman"/>
                <w:w w:val="105"/>
                <w:sz w:val="19"/>
              </w:rPr>
              <w:t>69,530.85</w:t>
            </w:r>
            <w:r>
              <w:rPr>
                <w:rFonts w:ascii="Times New Roman"/>
                <w:sz w:val="19"/>
              </w:rPr>
            </w:r>
          </w:p>
        </w:tc>
      </w:tr>
      <w:tr>
        <w:trPr>
          <w:trHeight w:val="407" w:hRule="exact"/>
        </w:trPr>
        <w:tc>
          <w:tcPr>
            <w:tcW w:w="52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8"/>
              <w:ind w:left="14" w:right="0"/>
              <w:jc w:val="left"/>
              <w:rPr>
                <w:rFonts w:ascii="宋体" w:hAnsi="宋体" w:cs="宋体" w:eastAsia="宋体" w:hint="default"/>
                <w:sz w:val="19"/>
                <w:szCs w:val="19"/>
              </w:rPr>
            </w:pPr>
            <w:r>
              <w:rPr>
                <w:rFonts w:ascii="宋体" w:hAnsi="宋体" w:cs="宋体" w:eastAsia="宋体" w:hint="default"/>
                <w:spacing w:val="3"/>
                <w:w w:val="105"/>
                <w:sz w:val="19"/>
                <w:szCs w:val="19"/>
              </w:rPr>
              <w:t>减：企业所得税影响数</w:t>
            </w:r>
            <w:r>
              <w:rPr>
                <w:rFonts w:ascii="宋体" w:hAnsi="宋体" w:cs="宋体" w:eastAsia="宋体" w:hint="default"/>
                <w:spacing w:val="3"/>
                <w:sz w:val="19"/>
                <w:szCs w:val="19"/>
              </w:rPr>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right="84"/>
              <w:jc w:val="right"/>
              <w:rPr>
                <w:rFonts w:ascii="Times New Roman" w:hAnsi="Times New Roman" w:cs="Times New Roman" w:eastAsia="Times New Roman" w:hint="default"/>
                <w:sz w:val="19"/>
                <w:szCs w:val="19"/>
              </w:rPr>
            </w:pPr>
            <w:r>
              <w:rPr>
                <w:rFonts w:ascii="Times New Roman"/>
                <w:sz w:val="19"/>
              </w:rPr>
              <w:t>-282,713.35</w:t>
            </w:r>
          </w:p>
        </w:tc>
        <w:tc>
          <w:tcPr>
            <w:tcW w:w="21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8"/>
              <w:ind w:right="70"/>
              <w:jc w:val="right"/>
              <w:rPr>
                <w:rFonts w:ascii="Times New Roman" w:hAnsi="Times New Roman" w:cs="Times New Roman" w:eastAsia="Times New Roman" w:hint="default"/>
                <w:sz w:val="19"/>
                <w:szCs w:val="19"/>
              </w:rPr>
            </w:pPr>
            <w:r>
              <w:rPr>
                <w:rFonts w:ascii="Times New Roman"/>
                <w:sz w:val="19"/>
              </w:rPr>
              <w:t>-10,429.63</w:t>
            </w:r>
          </w:p>
        </w:tc>
      </w:tr>
      <w:tr>
        <w:trPr>
          <w:trHeight w:val="414" w:hRule="exact"/>
        </w:trPr>
        <w:tc>
          <w:tcPr>
            <w:tcW w:w="527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93"/>
              <w:ind w:left="14" w:right="0"/>
              <w:jc w:val="left"/>
              <w:rPr>
                <w:rFonts w:ascii="宋体" w:hAnsi="宋体" w:cs="宋体" w:eastAsia="宋体" w:hint="default"/>
                <w:sz w:val="19"/>
                <w:szCs w:val="19"/>
              </w:rPr>
            </w:pPr>
            <w:r>
              <w:rPr>
                <w:rFonts w:ascii="宋体" w:hAnsi="宋体" w:cs="宋体" w:eastAsia="宋体" w:hint="default"/>
                <w:spacing w:val="4"/>
                <w:w w:val="105"/>
                <w:sz w:val="19"/>
                <w:szCs w:val="19"/>
              </w:rPr>
              <w:t>非经常性损益净额</w:t>
            </w:r>
            <w:r>
              <w:rPr>
                <w:rFonts w:ascii="宋体" w:hAnsi="宋体" w:cs="宋体" w:eastAsia="宋体" w:hint="default"/>
                <w:spacing w:val="4"/>
                <w:sz w:val="19"/>
                <w:szCs w:val="19"/>
              </w:rPr>
            </w:r>
          </w:p>
        </w:tc>
        <w:tc>
          <w:tcPr>
            <w:tcW w:w="21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4"/>
              <w:ind w:right="84"/>
              <w:jc w:val="right"/>
              <w:rPr>
                <w:rFonts w:ascii="Times New Roman" w:hAnsi="Times New Roman" w:cs="Times New Roman" w:eastAsia="Times New Roman" w:hint="default"/>
                <w:sz w:val="19"/>
                <w:szCs w:val="19"/>
              </w:rPr>
            </w:pPr>
            <w:r>
              <w:rPr>
                <w:rFonts w:ascii="Times New Roman"/>
                <w:w w:val="105"/>
                <w:sz w:val="19"/>
              </w:rPr>
              <w:t>835,863.85</w:t>
            </w:r>
            <w:r>
              <w:rPr>
                <w:rFonts w:ascii="Times New Roman"/>
                <w:sz w:val="19"/>
              </w:rPr>
            </w:r>
          </w:p>
        </w:tc>
        <w:tc>
          <w:tcPr>
            <w:tcW w:w="215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4"/>
              <w:ind w:right="70"/>
              <w:jc w:val="right"/>
              <w:rPr>
                <w:rFonts w:ascii="Times New Roman" w:hAnsi="Times New Roman" w:cs="Times New Roman" w:eastAsia="Times New Roman" w:hint="default"/>
                <w:sz w:val="19"/>
                <w:szCs w:val="19"/>
              </w:rPr>
            </w:pPr>
            <w:r>
              <w:rPr>
                <w:rFonts w:ascii="Times New Roman"/>
                <w:w w:val="105"/>
                <w:sz w:val="19"/>
              </w:rPr>
              <w:t>59,101.22</w:t>
            </w:r>
            <w:r>
              <w:rPr>
                <w:rFonts w:ascii="Times New Roman"/>
                <w:sz w:val="19"/>
              </w:rPr>
            </w:r>
          </w:p>
        </w:tc>
      </w:tr>
    </w:tbl>
    <w:p>
      <w:pPr>
        <w:spacing w:line="209" w:lineRule="exact" w:before="93"/>
        <w:ind w:left="162" w:right="0" w:firstLine="0"/>
        <w:jc w:val="left"/>
        <w:rPr>
          <w:rFonts w:ascii="宋体" w:hAnsi="宋体" w:cs="宋体" w:eastAsia="宋体" w:hint="default"/>
          <w:sz w:val="19"/>
          <w:szCs w:val="19"/>
        </w:rPr>
      </w:pPr>
      <w:r>
        <w:rPr>
          <w:rFonts w:ascii="宋体" w:hAnsi="宋体" w:cs="宋体" w:eastAsia="宋体" w:hint="default"/>
          <w:sz w:val="19"/>
          <w:szCs w:val="19"/>
        </w:rPr>
        <w:t>注： </w:t>
      </w:r>
      <w:r>
        <w:rPr>
          <w:rFonts w:ascii="宋体" w:hAnsi="宋体" w:cs="宋体" w:eastAsia="宋体" w:hint="default"/>
          <w:spacing w:val="41"/>
          <w:sz w:val="19"/>
          <w:szCs w:val="19"/>
        </w:rPr>
        <w:t> </w:t>
      </w:r>
      <w:r>
        <w:rPr>
          <w:rFonts w:ascii="宋体" w:hAnsi="宋体" w:cs="宋体" w:eastAsia="宋体" w:hint="default"/>
          <w:spacing w:val="2"/>
          <w:sz w:val="19"/>
          <w:szCs w:val="19"/>
        </w:rPr>
        <w:t>表中数字“+”表示收益及收入，“-”表示损失或支出</w:t>
      </w:r>
      <w:r>
        <w:rPr>
          <w:rFonts w:ascii="宋体" w:hAnsi="宋体" w:cs="宋体" w:eastAsia="宋体" w:hint="default"/>
          <w:sz w:val="19"/>
          <w:szCs w:val="19"/>
        </w:rPr>
      </w:r>
    </w:p>
    <w:p>
      <w:pPr>
        <w:spacing w:line="209" w:lineRule="exact" w:before="0"/>
        <w:ind w:left="0" w:right="469" w:firstLine="0"/>
        <w:jc w:val="right"/>
        <w:rPr>
          <w:rFonts w:ascii="宋体" w:hAnsi="宋体" w:cs="宋体" w:eastAsia="宋体" w:hint="default"/>
          <w:sz w:val="19"/>
          <w:szCs w:val="19"/>
        </w:rPr>
      </w:pPr>
      <w:r>
        <w:rPr>
          <w:rFonts w:ascii="宋体"/>
          <w:w w:val="103"/>
          <w:sz w:val="19"/>
        </w:rPr>
        <w:t>-</w:t>
      </w:r>
      <w:r>
        <w:rPr>
          <w:rFonts w:ascii="宋体"/>
          <w:sz w:val="19"/>
        </w:rPr>
      </w:r>
    </w:p>
    <w:p>
      <w:pPr>
        <w:spacing w:after="0" w:line="209" w:lineRule="exact"/>
        <w:jc w:val="right"/>
        <w:rPr>
          <w:rFonts w:ascii="宋体" w:hAnsi="宋体" w:cs="宋体" w:eastAsia="宋体" w:hint="default"/>
          <w:sz w:val="19"/>
          <w:szCs w:val="19"/>
        </w:rPr>
        <w:sectPr>
          <w:type w:val="continuous"/>
          <w:pgSz w:w="11910" w:h="16840"/>
          <w:pgMar w:top="1060" w:bottom="1460" w:left="1200" w:right="860"/>
        </w:sectPr>
      </w:pPr>
    </w:p>
    <w:p>
      <w:pPr>
        <w:spacing w:line="240" w:lineRule="auto" w:before="2"/>
        <w:rPr>
          <w:rFonts w:ascii="宋体" w:hAnsi="宋体" w:cs="宋体" w:eastAsia="宋体" w:hint="default"/>
          <w:sz w:val="27"/>
          <w:szCs w:val="27"/>
        </w:rPr>
      </w:pPr>
    </w:p>
    <w:p>
      <w:pPr>
        <w:pStyle w:val="Heading3"/>
        <w:spacing w:line="305" w:lineRule="exact"/>
        <w:ind w:left="860" w:right="0"/>
        <w:jc w:val="left"/>
        <w:rPr>
          <w:b w:val="0"/>
          <w:bCs w:val="0"/>
        </w:rPr>
      </w:pPr>
      <w:r>
        <w:rPr/>
        <w:t>四、新旧会计准则比较财务会计信息</w:t>
      </w:r>
      <w:r>
        <w:rPr>
          <w:b w:val="0"/>
          <w:bCs w:val="0"/>
        </w:rPr>
      </w:r>
    </w:p>
    <w:p>
      <w:pPr>
        <w:spacing w:line="493" w:lineRule="exact" w:before="0"/>
        <w:ind w:left="2" w:right="0"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新旧会计准则净利润差异调节表</w:t>
      </w:r>
      <w:r>
        <w:rPr>
          <w:rFonts w:ascii="Microsoft JhengHei" w:hAnsi="Microsoft JhengHei" w:cs="Microsoft JhengHei" w:eastAsia="Microsoft JhengHei" w:hint="default"/>
          <w:sz w:val="32"/>
          <w:szCs w:val="32"/>
        </w:rPr>
      </w:r>
    </w:p>
    <w:p>
      <w:pPr>
        <w:pStyle w:val="BodyText"/>
        <w:tabs>
          <w:tab w:pos="6196" w:val="left" w:leader="none"/>
        </w:tabs>
        <w:spacing w:line="240" w:lineRule="auto" w:before="94"/>
        <w:ind w:left="3" w:right="0"/>
        <w:jc w:val="center"/>
      </w:pPr>
      <w:r>
        <w:rPr>
          <w:spacing w:val="-5"/>
        </w:rPr>
        <w:t>编织单位：东港安全印刷股份有限公司</w:t>
        <w:tab/>
      </w:r>
      <w:r>
        <w:rPr>
          <w:spacing w:val="-6"/>
        </w:rPr>
        <w:t>金额单位：人民币元</w:t>
      </w:r>
      <w:r>
        <w:rPr/>
      </w:r>
    </w:p>
    <w:p>
      <w:pPr>
        <w:spacing w:line="240" w:lineRule="auto" w:before="1"/>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427"/>
        <w:gridCol w:w="2195"/>
        <w:gridCol w:w="1458"/>
        <w:gridCol w:w="1423"/>
        <w:gridCol w:w="1536"/>
        <w:gridCol w:w="1783"/>
      </w:tblGrid>
      <w:tr>
        <w:trPr>
          <w:trHeight w:val="662"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180" w:lineRule="auto" w:before="27"/>
              <w:ind w:left="100" w:right="10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目</w:t>
            </w:r>
            <w:r>
              <w:rPr>
                <w:rFonts w:ascii="Microsoft JhengHei" w:hAnsi="Microsoft JhengHei" w:cs="Microsoft JhengHei" w:eastAsia="Microsoft JhengHei"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66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项目名称</w:t>
            </w:r>
            <w:r>
              <w:rPr>
                <w:rFonts w:ascii="Microsoft JhengHei" w:hAnsi="Microsoft JhengHei" w:cs="Microsoft JhengHei" w:eastAsia="Microsoft JhengHei" w:hint="default"/>
                <w:sz w:val="21"/>
                <w:szCs w:val="21"/>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180" w:lineRule="auto" w:before="27"/>
              <w:ind w:left="510" w:right="138" w:hanging="37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2007</w:t>
            </w:r>
            <w:r>
              <w:rPr>
                <w:rFonts w:ascii="Microsoft JhengHei" w:hAnsi="Microsoft JhengHei" w:cs="Microsoft JhengHei" w:eastAsia="Microsoft JhengHei" w:hint="default"/>
                <w:b/>
                <w:bCs/>
                <w:spacing w:val="-12"/>
                <w:sz w:val="21"/>
                <w:szCs w:val="21"/>
              </w:rPr>
              <w:t> </w:t>
            </w:r>
            <w:r>
              <w:rPr>
                <w:rFonts w:ascii="Microsoft JhengHei" w:hAnsi="Microsoft JhengHei" w:cs="Microsoft JhengHei" w:eastAsia="Microsoft JhengHei" w:hint="default"/>
                <w:b/>
                <w:bCs/>
                <w:sz w:val="21"/>
                <w:szCs w:val="21"/>
              </w:rPr>
              <w:t>年报披</w:t>
            </w:r>
            <w:r>
              <w:rPr>
                <w:rFonts w:ascii="Microsoft JhengHei" w:hAnsi="Microsoft JhengHei" w:cs="Microsoft JhengHei" w:eastAsia="Microsoft JhengHei" w:hint="default"/>
                <w:b/>
                <w:bCs/>
                <w:sz w:val="21"/>
                <w:szCs w:val="21"/>
              </w:rPr>
              <w:t> 露数</w:t>
            </w:r>
            <w:r>
              <w:rPr>
                <w:rFonts w:ascii="Microsoft JhengHei" w:hAnsi="Microsoft JhengHei" w:cs="Microsoft JhengHei" w:eastAsia="Microsoft JhengHei" w:hint="default"/>
                <w:sz w:val="21"/>
                <w:szCs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180" w:lineRule="auto" w:before="27"/>
              <w:ind w:left="282" w:right="17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2006</w:t>
            </w:r>
            <w:r>
              <w:rPr>
                <w:rFonts w:ascii="Microsoft JhengHei" w:hAnsi="Microsoft JhengHei" w:cs="Microsoft JhengHei" w:eastAsia="Microsoft JhengHei" w:hint="default"/>
                <w:b/>
                <w:bCs/>
                <w:spacing w:val="-13"/>
                <w:sz w:val="21"/>
                <w:szCs w:val="21"/>
              </w:rPr>
              <w:t> </w:t>
            </w:r>
            <w:r>
              <w:rPr>
                <w:rFonts w:ascii="Microsoft JhengHei" w:hAnsi="Microsoft JhengHei" w:cs="Microsoft JhengHei" w:eastAsia="Microsoft JhengHei" w:hint="default"/>
                <w:b/>
                <w:bCs/>
                <w:sz w:val="21"/>
                <w:szCs w:val="21"/>
              </w:rPr>
              <w:t>年报</w:t>
            </w:r>
            <w:r>
              <w:rPr>
                <w:rFonts w:ascii="Microsoft JhengHei" w:hAnsi="Microsoft JhengHei" w:cs="Microsoft JhengHei" w:eastAsia="Microsoft JhengHei" w:hint="default"/>
                <w:b/>
                <w:bCs/>
                <w:sz w:val="21"/>
                <w:szCs w:val="21"/>
              </w:rPr>
              <w:t> 原披露数</w:t>
            </w:r>
            <w:r>
              <w:rPr>
                <w:rFonts w:ascii="Microsoft JhengHei" w:hAnsi="Microsoft JhengHei" w:cs="Microsoft JhengHei" w:eastAsia="Microsoft JhengHei" w:hint="default"/>
                <w:sz w:val="21"/>
                <w:szCs w:val="21"/>
              </w:rPr>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差异</w:t>
            </w:r>
            <w:r>
              <w:rPr>
                <w:rFonts w:ascii="Microsoft JhengHei" w:hAnsi="Microsoft JhengHei" w:cs="Microsoft JhengHei" w:eastAsia="Microsoft JhengHei" w:hint="default"/>
                <w:sz w:val="21"/>
                <w:szCs w:val="21"/>
              </w:rPr>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说明</w:t>
            </w:r>
            <w:r>
              <w:rPr>
                <w:rFonts w:ascii="Microsoft JhengHei" w:hAnsi="Microsoft JhengHei" w:cs="Microsoft JhengHei" w:eastAsia="Microsoft JhengHei" w:hint="default"/>
                <w:sz w:val="21"/>
                <w:szCs w:val="21"/>
              </w:rPr>
            </w:r>
          </w:p>
        </w:tc>
      </w:tr>
      <w:tr>
        <w:trPr>
          <w:trHeight w:val="560" w:hRule="exact"/>
        </w:trPr>
        <w:tc>
          <w:tcPr>
            <w:tcW w:w="427"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5" w:right="0"/>
              <w:jc w:val="left"/>
              <w:rPr>
                <w:rFonts w:ascii="宋体" w:hAnsi="宋体" w:cs="宋体" w:eastAsia="宋体" w:hint="default"/>
                <w:sz w:val="21"/>
                <w:szCs w:val="21"/>
              </w:rPr>
            </w:pPr>
            <w:r>
              <w:rPr>
                <w:rFonts w:ascii="宋体" w:hAnsi="宋体" w:cs="宋体" w:eastAsia="宋体" w:hint="default"/>
                <w:sz w:val="21"/>
                <w:szCs w:val="21"/>
              </w:rPr>
              <w:t>2006 年度净利润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（原会计准则）</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16"/>
              <w:jc w:val="right"/>
              <w:rPr>
                <w:rFonts w:ascii="Times New Roman" w:hAnsi="Times New Roman" w:cs="Times New Roman" w:eastAsia="Times New Roman" w:hint="default"/>
                <w:sz w:val="21"/>
                <w:szCs w:val="21"/>
              </w:rPr>
            </w:pPr>
            <w:r>
              <w:rPr>
                <w:rFonts w:ascii="Times New Roman"/>
                <w:spacing w:val="-1"/>
                <w:sz w:val="21"/>
              </w:rPr>
              <w:t>52,315,230.81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52,315,230.81</w:t>
            </w:r>
          </w:p>
        </w:tc>
        <w:tc>
          <w:tcPr>
            <w:tcW w:w="1536" w:type="dxa"/>
            <w:tcBorders>
              <w:top w:val="single" w:sz="6" w:space="0" w:color="000000"/>
              <w:left w:val="single" w:sz="6" w:space="0" w:color="000000"/>
              <w:bottom w:val="single" w:sz="6" w:space="0" w:color="000000"/>
              <w:right w:val="single" w:sz="6" w:space="0" w:color="000000"/>
            </w:tcBorders>
          </w:tcPr>
          <w:p>
            <w:pPr/>
          </w:p>
        </w:tc>
        <w:tc>
          <w:tcPr>
            <w:tcW w:w="17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7"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调节项目</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7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783" w:type="dxa"/>
            <w:tcBorders>
              <w:top w:val="single" w:sz="6" w:space="0" w:color="000000"/>
              <w:left w:val="single" w:sz="6" w:space="0" w:color="000000"/>
              <w:bottom w:val="single" w:sz="6" w:space="0" w:color="000000"/>
              <w:right w:val="single" w:sz="6" w:space="0" w:color="000000"/>
            </w:tcBorders>
          </w:tcPr>
          <w:p>
            <w:pPr/>
          </w:p>
        </w:tc>
      </w:tr>
      <w:tr>
        <w:trPr>
          <w:trHeight w:val="325"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7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7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783"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16"/>
              <w:jc w:val="right"/>
              <w:rPr>
                <w:rFonts w:ascii="Times New Roman" w:hAnsi="Times New Roman" w:cs="Times New Roman" w:eastAsia="Times New Roman" w:hint="default"/>
                <w:sz w:val="21"/>
                <w:szCs w:val="21"/>
              </w:rPr>
            </w:pPr>
            <w:r>
              <w:rPr>
                <w:rFonts w:ascii="Times New Roman"/>
                <w:spacing w:val="-1"/>
                <w:sz w:val="21"/>
              </w:rPr>
              <w:t>19,613,434.26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23,015,898.11</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173" w:right="0"/>
              <w:jc w:val="left"/>
              <w:rPr>
                <w:rFonts w:ascii="Times New Roman" w:hAnsi="Times New Roman" w:cs="Times New Roman" w:eastAsia="Times New Roman" w:hint="default"/>
                <w:sz w:val="21"/>
                <w:szCs w:val="21"/>
              </w:rPr>
            </w:pPr>
            <w:r>
              <w:rPr>
                <w:rFonts w:ascii="Times New Roman"/>
                <w:sz w:val="21"/>
              </w:rPr>
              <w:t>-3,402,463.85</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新会计准则要求</w:t>
            </w:r>
            <w:r>
              <w:rPr>
                <w:rFonts w:ascii="宋体" w:hAnsi="宋体" w:cs="宋体" w:eastAsia="宋体" w:hint="default"/>
                <w:sz w:val="21"/>
                <w:szCs w:val="21"/>
              </w:rPr>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坏账损</w:t>
            </w:r>
          </w:p>
          <w:p>
            <w:pPr>
              <w:pStyle w:val="TableParagraph"/>
              <w:spacing w:line="272" w:lineRule="exact" w:before="26"/>
              <w:ind w:left="100" w:right="80"/>
              <w:jc w:val="both"/>
              <w:rPr>
                <w:rFonts w:ascii="宋体" w:hAnsi="宋体" w:cs="宋体" w:eastAsia="宋体" w:hint="default"/>
                <w:sz w:val="21"/>
                <w:szCs w:val="21"/>
              </w:rPr>
            </w:pPr>
            <w:r>
              <w:rPr>
                <w:rFonts w:ascii="宋体" w:hAnsi="宋体" w:cs="宋体" w:eastAsia="宋体" w:hint="default"/>
                <w:spacing w:val="15"/>
                <w:sz w:val="21"/>
                <w:szCs w:val="21"/>
              </w:rPr>
              <w:t>失在资产减值损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5"/>
                <w:sz w:val="21"/>
                <w:szCs w:val="21"/>
              </w:rPr>
              <w:t>失科目中核算，</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故管理费用减少</w:t>
            </w:r>
          </w:p>
        </w:tc>
      </w:tr>
      <w:tr>
        <w:trPr>
          <w:trHeight w:val="326"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783"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67"/>
              <w:jc w:val="right"/>
              <w:rPr>
                <w:rFonts w:ascii="Times New Roman" w:hAnsi="Times New Roman" w:cs="Times New Roman" w:eastAsia="Times New Roman" w:hint="default"/>
                <w:sz w:val="21"/>
                <w:szCs w:val="21"/>
              </w:rPr>
            </w:pPr>
            <w:r>
              <w:rPr>
                <w:rFonts w:ascii="Times New Roman"/>
                <w:spacing w:val="-1"/>
                <w:sz w:val="21"/>
              </w:rPr>
              <w:t>3,402,463.85</w:t>
            </w:r>
          </w:p>
        </w:tc>
        <w:tc>
          <w:tcPr>
            <w:tcW w:w="142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99"/>
              <w:jc w:val="right"/>
              <w:rPr>
                <w:rFonts w:ascii="Times New Roman" w:hAnsi="Times New Roman" w:cs="Times New Roman" w:eastAsia="Times New Roman" w:hint="default"/>
                <w:sz w:val="20"/>
                <w:szCs w:val="20"/>
              </w:rPr>
            </w:pPr>
            <w:r>
              <w:rPr>
                <w:rFonts w:ascii="Times New Roman"/>
                <w:spacing w:val="-1"/>
                <w:sz w:val="20"/>
              </w:rPr>
              <w:t>3,402,463.85</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新会计准则要求</w:t>
            </w:r>
          </w:p>
          <w:p>
            <w:pPr>
              <w:pStyle w:val="TableParagraph"/>
              <w:spacing w:line="272" w:lineRule="exact" w:before="26"/>
              <w:ind w:left="100" w:right="197"/>
              <w:jc w:val="left"/>
              <w:rPr>
                <w:rFonts w:ascii="宋体" w:hAnsi="宋体" w:cs="宋体" w:eastAsia="宋体" w:hint="default"/>
                <w:sz w:val="21"/>
                <w:szCs w:val="21"/>
              </w:rPr>
            </w:pPr>
            <w:r>
              <w:rPr>
                <w:rFonts w:ascii="宋体" w:hAnsi="宋体" w:cs="宋体" w:eastAsia="宋体" w:hint="default"/>
                <w:sz w:val="21"/>
                <w:szCs w:val="21"/>
              </w:rPr>
              <w:t>坏账损 失在资产减值损 失科目中核算， 故资产减值损失 增加</w:t>
            </w:r>
          </w:p>
        </w:tc>
      </w:tr>
      <w:tr>
        <w:trPr>
          <w:trHeight w:val="325"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7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7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783"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783"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6,426,575.28</w:t>
            </w:r>
            <w:r>
              <w:rPr>
                <w:rFonts w:ascii="Times New Roman"/>
                <w:sz w:val="20"/>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6,738,828.00</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-312,252.72</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按新准则调整递</w:t>
            </w:r>
          </w:p>
          <w:p>
            <w:pPr>
              <w:pStyle w:val="TableParagraph"/>
              <w:spacing w:line="272" w:lineRule="exact" w:before="26"/>
              <w:ind w:left="100" w:right="197"/>
              <w:jc w:val="both"/>
              <w:rPr>
                <w:rFonts w:ascii="宋体" w:hAnsi="宋体" w:cs="宋体" w:eastAsia="宋体" w:hint="default"/>
                <w:sz w:val="21"/>
                <w:szCs w:val="21"/>
              </w:rPr>
            </w:pPr>
            <w:r>
              <w:rPr>
                <w:rFonts w:ascii="宋体" w:hAnsi="宋体" w:cs="宋体" w:eastAsia="宋体" w:hint="default"/>
                <w:sz w:val="21"/>
                <w:szCs w:val="21"/>
              </w:rPr>
              <w:t>延所得税，调减 所得税费用，故 调增净利润</w:t>
            </w:r>
          </w:p>
        </w:tc>
      </w:tr>
      <w:tr>
        <w:trPr>
          <w:trHeight w:val="1378"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按照2007 年2 月1</w:t>
            </w:r>
          </w:p>
          <w:p>
            <w:pPr>
              <w:pStyle w:val="TableParagraph"/>
              <w:spacing w:line="272" w:lineRule="exact" w:before="26"/>
              <w:ind w:left="100" w:right="187"/>
              <w:jc w:val="both"/>
              <w:rPr>
                <w:rFonts w:ascii="宋体" w:hAnsi="宋体" w:cs="宋体" w:eastAsia="宋体" w:hint="default"/>
                <w:sz w:val="21"/>
                <w:szCs w:val="21"/>
              </w:rPr>
            </w:pPr>
            <w:r>
              <w:rPr>
                <w:rFonts w:ascii="宋体" w:hAnsi="宋体" w:cs="宋体" w:eastAsia="宋体" w:hint="default"/>
                <w:sz w:val="21"/>
                <w:szCs w:val="21"/>
              </w:rPr>
              <w:t>日发布的企业会计准 则实施问题专家工作 组意见第十项进行的 追溯调整</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783"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5,937,858.73</w:t>
            </w:r>
          </w:p>
        </w:tc>
        <w:tc>
          <w:tcPr>
            <w:tcW w:w="142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5,937,858.73</w:t>
            </w:r>
          </w:p>
        </w:tc>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新会计准则下少</w:t>
            </w:r>
            <w:r>
              <w:rPr>
                <w:rFonts w:ascii="宋体" w:hAnsi="宋体" w:cs="宋体" w:eastAsia="宋体" w:hint="default"/>
                <w:sz w:val="21"/>
                <w:szCs w:val="21"/>
              </w:rPr>
            </w:r>
          </w:p>
          <w:p>
            <w:pPr>
              <w:pStyle w:val="TableParagraph"/>
              <w:spacing w:line="237" w:lineRule="auto" w:before="1"/>
              <w:ind w:left="100" w:right="80"/>
              <w:jc w:val="both"/>
              <w:rPr>
                <w:rFonts w:ascii="宋体" w:hAnsi="宋体" w:cs="宋体" w:eastAsia="宋体" w:hint="default"/>
                <w:sz w:val="21"/>
                <w:szCs w:val="21"/>
              </w:rPr>
            </w:pPr>
            <w:r>
              <w:rPr>
                <w:rFonts w:ascii="宋体" w:hAnsi="宋体" w:cs="宋体" w:eastAsia="宋体" w:hint="default"/>
                <w:spacing w:val="15"/>
                <w:sz w:val="21"/>
                <w:szCs w:val="21"/>
              </w:rPr>
              <w:t>数股东损益计入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5"/>
                <w:sz w:val="21"/>
                <w:szCs w:val="21"/>
              </w:rPr>
              <w:t>净利润，故增加</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净利润</w:t>
            </w:r>
          </w:p>
        </w:tc>
      </w:tr>
      <w:tr>
        <w:trPr>
          <w:trHeight w:val="551"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sz w:val="21"/>
              </w:rPr>
              <w:t>15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0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58"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
        </w:tc>
        <w:tc>
          <w:tcPr>
            <w:tcW w:w="178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40" w:footer="1712" w:top="1160" w:bottom="1900" w:left="1420" w:right="1420"/>
        </w:sectPr>
      </w:pPr>
    </w:p>
    <w:p>
      <w:pPr>
        <w:spacing w:line="240" w:lineRule="auto" w:before="12"/>
        <w:rPr>
          <w:rFonts w:ascii="宋体" w:hAnsi="宋体" w:cs="宋体" w:eastAsia="宋体" w:hint="default"/>
          <w:sz w:val="2"/>
          <w:szCs w:val="2"/>
        </w:rPr>
      </w:pPr>
      <w:r>
        <w:rPr/>
        <w:pict>
          <v:shape style="position:absolute;margin-left:90.18pt;margin-top:41.999668pt;width:18.240pt;height:15.719999pt;mso-position-horizontal-relative:page;mso-position-vertical-relative:page;z-index:-584296" type="#_x0000_t75" stroked="false">
            <v:imagedata r:id="rId11" o:title=""/>
          </v:shape>
        </w:pict>
      </w:r>
    </w:p>
    <w:tbl>
      <w:tblPr>
        <w:tblW w:w="0" w:type="auto"/>
        <w:jc w:val="left"/>
        <w:tblInd w:w="114" w:type="dxa"/>
        <w:tblLayout w:type="fixed"/>
        <w:tblCellMar>
          <w:top w:w="0" w:type="dxa"/>
          <w:left w:w="0" w:type="dxa"/>
          <w:bottom w:w="0" w:type="dxa"/>
          <w:right w:w="0" w:type="dxa"/>
        </w:tblCellMar>
        <w:tblLook w:val="01E0"/>
      </w:tblPr>
      <w:tblGrid>
        <w:gridCol w:w="427"/>
        <w:gridCol w:w="2195"/>
        <w:gridCol w:w="1458"/>
        <w:gridCol w:w="1423"/>
        <w:gridCol w:w="1536"/>
        <w:gridCol w:w="1783"/>
      </w:tblGrid>
      <w:tr>
        <w:trPr>
          <w:trHeight w:val="743" w:hRule="exact"/>
        </w:trPr>
        <w:tc>
          <w:tcPr>
            <w:tcW w:w="427"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316" w:lineRule="exact"/>
              <w:ind w:left="2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2006 </w:t>
            </w:r>
            <w:r>
              <w:rPr>
                <w:rFonts w:ascii="Microsoft JhengHei" w:hAnsi="Microsoft JhengHei" w:cs="Microsoft JhengHei" w:eastAsia="Microsoft JhengHei" w:hint="default"/>
                <w:b/>
                <w:bCs/>
                <w:spacing w:val="4"/>
                <w:w w:val="95"/>
                <w:sz w:val="21"/>
                <w:szCs w:val="21"/>
              </w:rPr>
              <w:t> </w:t>
            </w:r>
            <w:r>
              <w:rPr>
                <w:rFonts w:ascii="Microsoft JhengHei" w:hAnsi="Microsoft JhengHei" w:cs="Microsoft JhengHei" w:eastAsia="Microsoft JhengHei" w:hint="default"/>
                <w:b/>
                <w:bCs/>
                <w:w w:val="95"/>
                <w:sz w:val="21"/>
                <w:szCs w:val="21"/>
              </w:rPr>
              <w:t>年度净利润</w:t>
            </w:r>
            <w:r>
              <w:rPr>
                <w:rFonts w:ascii="Microsoft JhengHei" w:hAnsi="Microsoft JhengHei" w:cs="Microsoft JhengHei" w:eastAsia="Microsoft JhengHei" w:hint="default"/>
                <w:w w:val="95"/>
                <w:sz w:val="21"/>
                <w:szCs w:val="21"/>
              </w:rPr>
            </w:r>
          </w:p>
          <w:p>
            <w:pPr>
              <w:pStyle w:val="TableParagraph"/>
              <w:spacing w:line="319" w:lineRule="exact"/>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（新会计准则）</w:t>
            </w:r>
            <w:r>
              <w:rPr>
                <w:rFonts w:ascii="Microsoft JhengHei" w:hAnsi="Microsoft JhengHei" w:cs="Microsoft JhengHei" w:eastAsia="Microsoft JhengHei" w:hint="default"/>
                <w:sz w:val="21"/>
                <w:szCs w:val="21"/>
              </w:rPr>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58,565,342.26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52,315,230.81</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2" w:right="0"/>
              <w:jc w:val="left"/>
              <w:rPr>
                <w:rFonts w:ascii="Times New Roman" w:hAnsi="Times New Roman" w:cs="Times New Roman" w:eastAsia="Times New Roman" w:hint="default"/>
                <w:sz w:val="21"/>
                <w:szCs w:val="21"/>
              </w:rPr>
            </w:pPr>
            <w:r>
              <w:rPr>
                <w:rFonts w:ascii="Times New Roman"/>
                <w:sz w:val="21"/>
              </w:rPr>
              <w:t>6,250,111.45</w:t>
            </w:r>
          </w:p>
        </w:tc>
        <w:tc>
          <w:tcPr>
            <w:tcW w:w="17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2"/>
        <w:spacing w:line="366" w:lineRule="exact"/>
        <w:ind w:right="0"/>
        <w:jc w:val="center"/>
        <w:rPr>
          <w:b w:val="0"/>
          <w:bCs w:val="0"/>
        </w:rPr>
      </w:pPr>
      <w:r>
        <w:rPr/>
        <w:t>利润表调整项目表</w:t>
      </w:r>
      <w:r>
        <w:rPr>
          <w:b w:val="0"/>
          <w:bCs w:val="0"/>
        </w:rPr>
      </w:r>
    </w:p>
    <w:p>
      <w:pPr>
        <w:tabs>
          <w:tab w:pos="6780" w:val="left" w:leader="none"/>
        </w:tabs>
        <w:spacing w:line="320" w:lineRule="exact" w:before="0"/>
        <w:ind w:left="3317" w:right="0" w:firstLine="0"/>
        <w:jc w:val="left"/>
        <w:rPr>
          <w:rFonts w:ascii="Microsoft JhengHei" w:hAnsi="Microsoft JhengHei" w:cs="Microsoft JhengHei" w:eastAsia="Microsoft JhengHei" w:hint="default"/>
          <w:sz w:val="21"/>
          <w:szCs w:val="21"/>
        </w:rPr>
      </w:pPr>
      <w:r>
        <w:rPr>
          <w:rFonts w:ascii="宋体" w:hAnsi="宋体" w:cs="宋体" w:eastAsia="宋体" w:hint="default"/>
          <w:spacing w:val="-1"/>
          <w:sz w:val="21"/>
          <w:szCs w:val="21"/>
        </w:rPr>
        <w:t>（2006.1.1—12.31）</w:t>
        <w:tab/>
      </w:r>
      <w:r>
        <w:rPr>
          <w:rFonts w:ascii="Microsoft JhengHei" w:hAnsi="Microsoft JhengHei" w:cs="Microsoft JhengHei" w:eastAsia="Microsoft JhengHei" w:hint="default"/>
          <w:b/>
          <w:bCs/>
          <w:sz w:val="21"/>
          <w:szCs w:val="21"/>
        </w:rPr>
        <w:t>单位：人民币元</w:t>
      </w:r>
      <w:r>
        <w:rPr>
          <w:rFonts w:ascii="Microsoft JhengHei" w:hAnsi="Microsoft JhengHei" w:cs="Microsoft JhengHei" w:eastAsia="Microsoft JhengHei" w:hint="default"/>
          <w:sz w:val="21"/>
          <w:szCs w:val="21"/>
        </w:rPr>
      </w:r>
    </w:p>
    <w:tbl>
      <w:tblPr>
        <w:tblW w:w="0" w:type="auto"/>
        <w:jc w:val="left"/>
        <w:tblInd w:w="414" w:type="dxa"/>
        <w:tblLayout w:type="fixed"/>
        <w:tblCellMar>
          <w:top w:w="0" w:type="dxa"/>
          <w:left w:w="0" w:type="dxa"/>
          <w:bottom w:w="0" w:type="dxa"/>
          <w:right w:w="0" w:type="dxa"/>
        </w:tblCellMar>
        <w:tblLook w:val="01E0"/>
      </w:tblPr>
      <w:tblGrid>
        <w:gridCol w:w="1676"/>
        <w:gridCol w:w="3276"/>
        <w:gridCol w:w="3276"/>
      </w:tblGrid>
      <w:tr>
        <w:trPr>
          <w:trHeight w:val="282"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调整前</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282"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279,352,389.84</w:t>
            </w:r>
            <w:r>
              <w:rPr>
                <w:rFonts w:ascii="宋体"/>
                <w:sz w:val="21"/>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279,352,389.84</w:t>
            </w:r>
            <w:r>
              <w:rPr>
                <w:rFonts w:ascii="宋体"/>
                <w:sz w:val="21"/>
              </w:rPr>
            </w:r>
          </w:p>
        </w:tc>
      </w:tr>
      <w:tr>
        <w:trPr>
          <w:trHeight w:val="28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42,980,995.10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42,980,995.10</w:t>
            </w:r>
            <w:r>
              <w:rPr>
                <w:rFonts w:ascii="宋体"/>
                <w:sz w:val="21"/>
              </w:rPr>
            </w:r>
          </w:p>
        </w:tc>
      </w:tr>
      <w:tr>
        <w:trPr>
          <w:trHeight w:val="282"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23,015,898.11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19,613,434.26</w:t>
            </w:r>
            <w:r>
              <w:rPr>
                <w:rFonts w:ascii="宋体"/>
                <w:sz w:val="21"/>
              </w:rPr>
            </w:r>
          </w:p>
        </w:tc>
      </w:tr>
      <w:tr>
        <w:trPr>
          <w:trHeight w:val="554"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公允价值变动收</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6,739,876.48</w:t>
            </w:r>
            <w:r>
              <w:rPr>
                <w:rFonts w:ascii="宋体"/>
                <w:sz w:val="21"/>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6,426,575.28</w:t>
            </w:r>
            <w:r>
              <w:rPr>
                <w:rFonts w:ascii="宋体"/>
                <w:sz w:val="21"/>
              </w:rPr>
            </w:r>
          </w:p>
        </w:tc>
      </w:tr>
      <w:tr>
        <w:trPr>
          <w:trHeight w:val="282"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52,315,230.81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52,627,483.53</w:t>
            </w:r>
          </w:p>
        </w:tc>
      </w:tr>
    </w:tbl>
    <w:p>
      <w:pPr>
        <w:spacing w:after="0" w:line="240" w:lineRule="exact"/>
        <w:jc w:val="right"/>
        <w:rPr>
          <w:rFonts w:ascii="宋体" w:hAnsi="宋体" w:cs="宋体" w:eastAsia="宋体" w:hint="default"/>
          <w:sz w:val="21"/>
          <w:szCs w:val="21"/>
        </w:rPr>
        <w:sectPr>
          <w:headerReference w:type="default" r:id="rId60"/>
          <w:footerReference w:type="default" r:id="rId61"/>
          <w:pgSz w:w="11910" w:h="16840"/>
          <w:pgMar w:header="915" w:footer="1712" w:top="1100" w:bottom="1900" w:left="1420" w:right="1420"/>
          <w:pgNumType w:start="140"/>
        </w:sectPr>
      </w:pPr>
    </w:p>
    <w:p>
      <w:pPr>
        <w:spacing w:line="240" w:lineRule="auto" w:before="0"/>
        <w:rPr>
          <w:rFonts w:ascii="Microsoft JhengHei" w:hAnsi="Microsoft JhengHei" w:cs="Microsoft JhengHei" w:eastAsia="Microsoft JhengHei" w:hint="default"/>
          <w:b/>
          <w:bCs/>
          <w:sz w:val="20"/>
          <w:szCs w:val="20"/>
        </w:rPr>
      </w:pPr>
      <w:r>
        <w:rPr/>
        <w:pict>
          <v:group style="position:absolute;margin-left:88.019981pt;margin-top:41.999668pt;width:419.35pt;height:16.4pt;mso-position-horizontal-relative:page;mso-position-vertical-relative:page;z-index:12496"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1" o:title=""/>
              </v:shape>
            </v:group>
            <w10:wrap type="none"/>
          </v:group>
        </w:pict>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8"/>
          <w:szCs w:val="18"/>
        </w:rPr>
      </w:pPr>
    </w:p>
    <w:p>
      <w:pPr>
        <w:pStyle w:val="Heading1"/>
        <w:spacing w:line="240" w:lineRule="auto"/>
        <w:ind w:left="2712" w:right="0"/>
        <w:jc w:val="left"/>
        <w:rPr>
          <w:b w:val="0"/>
          <w:bCs w:val="0"/>
        </w:rPr>
      </w:pPr>
      <w:bookmarkStart w:name="_TOC_250000" w:id="11"/>
      <w:r>
        <w:rPr/>
        <w:t>第十一节</w:t>
      </w:r>
      <w:r>
        <w:rPr>
          <w:spacing w:val="-3"/>
        </w:rPr>
        <w:t> </w:t>
      </w:r>
      <w:r>
        <w:rPr/>
        <w:t>备查文件目录</w:t>
      </w:r>
      <w:bookmarkEnd w:id="11"/>
      <w:r>
        <w:rPr>
          <w:b w:val="0"/>
          <w:bCs w:val="0"/>
        </w:rPr>
      </w:r>
    </w:p>
    <w:p>
      <w:pPr>
        <w:spacing w:line="240" w:lineRule="auto" w:before="0"/>
        <w:rPr>
          <w:rFonts w:ascii="宋体" w:hAnsi="宋体" w:cs="宋体" w:eastAsia="宋体" w:hint="default"/>
          <w:b/>
          <w:bCs/>
          <w:sz w:val="30"/>
          <w:szCs w:val="30"/>
        </w:rPr>
      </w:pPr>
    </w:p>
    <w:p>
      <w:pPr>
        <w:spacing w:line="240" w:lineRule="auto" w:before="8"/>
        <w:rPr>
          <w:rFonts w:ascii="宋体" w:hAnsi="宋体" w:cs="宋体" w:eastAsia="宋体" w:hint="default"/>
          <w:b/>
          <w:bCs/>
          <w:sz w:val="22"/>
          <w:szCs w:val="22"/>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（一）载有法定代表人、财务负责人、会计机构负责人签名并盖章的会计报表。</w:t>
      </w:r>
    </w:p>
    <w:p>
      <w:pPr>
        <w:spacing w:line="240" w:lineRule="auto" w:before="8"/>
        <w:rPr>
          <w:rFonts w:ascii="宋体" w:hAnsi="宋体" w:cs="宋体" w:eastAsia="宋体" w:hint="default"/>
          <w:sz w:val="20"/>
          <w:szCs w:val="20"/>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（二）载有会计师事务所盖章、注册会计师签名并盖章的审计报告原件。</w:t>
      </w:r>
    </w:p>
    <w:p>
      <w:pPr>
        <w:spacing w:line="240" w:lineRule="auto" w:before="8"/>
        <w:rPr>
          <w:rFonts w:ascii="宋体" w:hAnsi="宋体" w:cs="宋体" w:eastAsia="宋体" w:hint="default"/>
          <w:sz w:val="20"/>
          <w:szCs w:val="20"/>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pacing w:val="-9"/>
          <w:sz w:val="21"/>
          <w:szCs w:val="21"/>
        </w:rPr>
        <w:t>（三）报告期内，在中国证监会指定报纸上公开披露过的所有文件正本及公告原稿。</w:t>
      </w:r>
      <w:r>
        <w:rPr>
          <w:rFonts w:ascii="宋体" w:hAnsi="宋体" w:cs="宋体" w:eastAsia="宋体" w:hint="default"/>
          <w:sz w:val="21"/>
          <w:szCs w:val="21"/>
        </w:rPr>
      </w:r>
    </w:p>
    <w:p>
      <w:pPr>
        <w:spacing w:line="240" w:lineRule="auto" w:before="8"/>
        <w:rPr>
          <w:rFonts w:ascii="宋体" w:hAnsi="宋体" w:cs="宋体" w:eastAsia="宋体" w:hint="default"/>
          <w:sz w:val="20"/>
          <w:szCs w:val="20"/>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（四）以上备查文件的备置地点：公司证券办公室。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607" w:lineRule="auto" w:before="0"/>
        <w:ind w:left="5390" w:right="956" w:hanging="642"/>
        <w:jc w:val="left"/>
        <w:rPr>
          <w:rFonts w:ascii="宋体" w:hAnsi="宋体" w:cs="宋体" w:eastAsia="宋体" w:hint="default"/>
        </w:rPr>
      </w:pPr>
      <w:r>
        <w:rPr>
          <w:rFonts w:ascii="宋体" w:hAnsi="宋体" w:cs="宋体" w:eastAsia="宋体" w:hint="default"/>
        </w:rPr>
        <w:t>东港安全印刷股份有限公司 董事长：谷望江</w:t>
      </w:r>
    </w:p>
    <w:p>
      <w:pPr>
        <w:pStyle w:val="BodyText"/>
        <w:spacing w:line="240" w:lineRule="auto" w:before="125"/>
        <w:ind w:left="5343" w:right="0"/>
        <w:jc w:val="left"/>
        <w:rPr>
          <w:rFonts w:ascii="宋体" w:hAnsi="宋体" w:cs="宋体" w:eastAsia="宋体" w:hint="default"/>
        </w:rPr>
      </w:pPr>
      <w:r>
        <w:rPr>
          <w:rFonts w:ascii="宋体" w:hAnsi="宋体" w:cs="宋体" w:eastAsia="宋体" w:hint="default"/>
          <w:spacing w:val="25"/>
        </w:rPr>
        <w:t>2008年1月</w:t>
      </w:r>
      <w:r>
        <w:rPr>
          <w:rFonts w:ascii="宋体" w:hAnsi="宋体" w:cs="宋体" w:eastAsia="宋体" w:hint="default"/>
          <w:spacing w:val="-55"/>
        </w:rPr>
        <w:t> </w:t>
      </w:r>
      <w:r>
        <w:rPr>
          <w:rFonts w:ascii="宋体" w:hAnsi="宋体" w:cs="宋体" w:eastAsia="宋体" w:hint="default"/>
          <w:spacing w:val="20"/>
        </w:rPr>
        <w:t>26日</w:t>
      </w:r>
      <w:r>
        <w:rPr>
          <w:rFonts w:ascii="宋体" w:hAnsi="宋体" w:cs="宋体" w:eastAsia="宋体" w:hint="default"/>
          <w:spacing w:val="-60"/>
        </w:rPr>
        <w:t> </w:t>
      </w:r>
      <w:r>
        <w:rPr>
          <w:rFonts w:ascii="宋体" w:hAnsi="宋体" w:cs="宋体" w:eastAsia="宋体" w:hint="default"/>
        </w:rPr>
      </w:r>
    </w:p>
    <w:sectPr>
      <w:pgSz w:w="11910" w:h="16840"/>
      <w:pgMar w:header="915" w:footer="1712" w:top="1100" w:bottom="190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19989pt;margin-top:767.096252pt;width:7.25pt;height:12.5pt;mso-position-horizontal-relative:page;mso-position-vertical-relative:page;z-index:-59572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sz w:val="21"/>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300003pt;margin-top:746.399658pt;width:414.719996pt;height:27.239998pt;mso-position-horizontal-relative:page;mso-position-vertical-relative:page;z-index:-594088" type="#_x0000_t75" stroked="false">
          <v:imagedata r:id="rId1" o:title=""/>
        </v:shape>
      </w:pict>
    </w:r>
    <w:r>
      <w:rPr/>
      <w:pict>
        <v:shape style="position:absolute;margin-left:287.799988pt;margin-top:774.11615pt;width:19.75pt;height:12.5pt;mso-position-horizontal-relative:page;mso-position-vertical-relative:page;z-index:-594064" type="#_x0000_t202" filled="false" stroked="false">
          <v:textbox inset="0,0,0,0">
            <w:txbxContent>
              <w:p>
                <w:pPr>
                  <w:spacing w:line="230" w:lineRule="exact" w:before="0"/>
                  <w:ind w:left="40" w:right="0" w:firstLine="0"/>
                  <w:jc w:val="left"/>
                  <w:rPr>
                    <w:rFonts w:ascii="宋体" w:hAnsi="宋体" w:cs="宋体" w:eastAsia="宋体" w:hint="default"/>
                    <w:sz w:val="21"/>
                    <w:szCs w:val="21"/>
                  </w:rPr>
                </w:pPr>
                <w:r>
                  <w:rPr>
                    <w:rFonts w:ascii="宋体"/>
                    <w:sz w:val="21"/>
                  </w:rPr>
                </w:r>
                <w:r>
                  <w:rPr/>
                  <w:fldChar w:fldCharType="begin"/>
                </w:r>
                <w:r>
                  <w:rPr>
                    <w:rFonts w:ascii="宋体"/>
                    <w:sz w:val="21"/>
                  </w:rPr>
                  <w:instrText> PAGE </w:instrText>
                </w:r>
                <w:r>
                  <w:rPr/>
                  <w:fldChar w:fldCharType="separate"/>
                </w:r>
                <w:r>
                  <w:rPr/>
                  <w:t>140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019989pt;margin-top:767.096252pt;width:9.25pt;height:19.55pt;mso-position-horizontal-relative:page;mso-position-vertical-relative:page;z-index:-595696" type="#_x0000_t202" filled="false" stroked="false">
          <v:textbox inset="0,0,0,0">
            <w:txbxContent>
              <w:p>
                <w:pPr>
                  <w:spacing w:line="230" w:lineRule="exact" w:before="0"/>
                  <w:ind w:left="40" w:right="0" w:firstLine="0"/>
                  <w:jc w:val="left"/>
                  <w:rPr>
                    <w:rFonts w:ascii="宋体" w:hAnsi="宋体" w:cs="宋体" w:eastAsia="宋体" w:hint="default"/>
                    <w:sz w:val="21"/>
                    <w:szCs w:val="21"/>
                  </w:rPr>
                </w:pPr>
                <w:r>
                  <w:rPr>
                    <w:rFonts w:ascii="宋体"/>
                    <w:sz w:val="21"/>
                  </w:rPr>
                </w:r>
                <w:r>
                  <w:rPr/>
                  <w:fldChar w:fldCharType="begin"/>
                </w:r>
                <w:r>
                  <w:rPr>
                    <w:rFonts w:ascii="宋体"/>
                    <w:sz w:val="21"/>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300003pt;margin-top:746.399658pt;width:414.719996pt;height:27.239998pt;mso-position-horizontal-relative:page;mso-position-vertical-relative:page;z-index:-595624" type="#_x0000_t75" stroked="false">
          <v:imagedata r:id="rId1" o:title=""/>
        </v:shape>
      </w:pict>
    </w:r>
    <w:r>
      <w:rPr/>
      <w:pict>
        <v:shape style="position:absolute;margin-left:290.380005pt;margin-top:774.11615pt;width:14.6pt;height:12.5pt;mso-position-horizontal-relative:page;mso-position-vertical-relative:page;z-index:-595600" type="#_x0000_t202" filled="false" stroked="false">
          <v:textbox inset="0,0,0,0">
            <w:txbxContent>
              <w:p>
                <w:pPr>
                  <w:spacing w:line="230" w:lineRule="exact" w:before="0"/>
                  <w:ind w:left="40" w:right="0" w:firstLine="0"/>
                  <w:jc w:val="left"/>
                  <w:rPr>
                    <w:rFonts w:ascii="宋体" w:hAnsi="宋体" w:cs="宋体" w:eastAsia="宋体" w:hint="default"/>
                    <w:sz w:val="21"/>
                    <w:szCs w:val="21"/>
                  </w:rPr>
                </w:pPr>
                <w:r>
                  <w:rPr>
                    <w:rFonts w:ascii="宋体"/>
                    <w:sz w:val="21"/>
                  </w:rPr>
                </w:r>
                <w:r>
                  <w:rPr/>
                  <w:fldChar w:fldCharType="begin"/>
                </w:r>
                <w:r>
                  <w:rPr>
                    <w:rFonts w:ascii="宋体"/>
                    <w:sz w:val="21"/>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17.070541pt;margin-top:510.359985pt;width:414.720001pt;height:27.24pt;mso-position-horizontal-relative:page;mso-position-vertical-relative:page;z-index:-594952" type="#_x0000_t75" stroked="false">
          <v:imagedata r:id="rId1" o:title=""/>
        </v:shape>
      </w:pict>
    </w:r>
    <w:r>
      <w:rPr/>
      <w:pict>
        <v:shape style="position:absolute;margin-left:629.790527pt;margin-top:527.576538pt;width:14.6pt;height:12.5pt;mso-position-horizontal-relative:page;mso-position-vertical-relative:page;z-index:-594928" type="#_x0000_t202" filled="false" stroked="false">
          <v:textbox inset="0,0,0,0">
            <w:txbxContent>
              <w:p>
                <w:pPr>
                  <w:spacing w:line="230" w:lineRule="exact" w:before="0"/>
                  <w:ind w:left="40" w:right="0" w:firstLine="0"/>
                  <w:jc w:val="left"/>
                  <w:rPr>
                    <w:rFonts w:ascii="宋体" w:hAnsi="宋体" w:cs="宋体" w:eastAsia="宋体" w:hint="default"/>
                    <w:sz w:val="21"/>
                    <w:szCs w:val="21"/>
                  </w:rPr>
                </w:pPr>
                <w:r>
                  <w:rPr>
                    <w:rFonts w:ascii="宋体"/>
                    <w:sz w:val="21"/>
                  </w:rPr>
                </w:r>
                <w:r>
                  <w:rPr/>
                  <w:fldChar w:fldCharType="begin"/>
                </w:r>
                <w:r>
                  <w:rPr>
                    <w:rFonts w:ascii="宋体"/>
                    <w:sz w:val="21"/>
                  </w:rPr>
                  <w:instrText> PAGE </w:instrText>
                </w:r>
                <w:r>
                  <w:rPr/>
                  <w:fldChar w:fldCharType="separate"/>
                </w:r>
                <w:r>
                  <w:rPr/>
                  <w:t>55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300003pt;margin-top:746.399658pt;width:414.719996pt;height:27.239998pt;mso-position-horizontal-relative:page;mso-position-vertical-relative:page;z-index:-594856" type="#_x0000_t75" stroked="false">
          <v:imagedata r:id="rId1" o:title=""/>
        </v:shape>
      </w:pict>
    </w:r>
    <w:r>
      <w:rPr/>
      <w:pict>
        <v:shape style="position:absolute;margin-left:290.380005pt;margin-top:774.11615pt;width:14.6pt;height:12.5pt;mso-position-horizontal-relative:page;mso-position-vertical-relative:page;z-index:-594832" type="#_x0000_t202" filled="false" stroked="false">
          <v:textbox inset="0,0,0,0">
            <w:txbxContent>
              <w:p>
                <w:pPr>
                  <w:spacing w:line="230" w:lineRule="exact" w:before="0"/>
                  <w:ind w:left="40" w:right="0" w:firstLine="0"/>
                  <w:jc w:val="left"/>
                  <w:rPr>
                    <w:rFonts w:ascii="宋体" w:hAnsi="宋体" w:cs="宋体" w:eastAsia="宋体" w:hint="default"/>
                    <w:sz w:val="21"/>
                    <w:szCs w:val="21"/>
                  </w:rPr>
                </w:pPr>
                <w:r>
                  <w:rPr>
                    <w:rFonts w:ascii="宋体"/>
                    <w:sz w:val="21"/>
                  </w:rPr>
                </w:r>
                <w:r>
                  <w:rPr/>
                  <w:fldChar w:fldCharType="begin"/>
                </w:r>
                <w:r>
                  <w:rPr>
                    <w:rFonts w:ascii="宋体"/>
                    <w:sz w:val="21"/>
                  </w:rPr>
                  <w:instrText> PAGE </w:instrText>
                </w:r>
                <w:r>
                  <w:rPr/>
                  <w:fldChar w:fldCharType="separate"/>
                </w:r>
                <w:r>
                  <w:rPr/>
                  <w:t>57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300003pt;margin-top:746.399658pt;width:414.719996pt;height:27.239998pt;mso-position-horizontal-relative:page;mso-position-vertical-relative:page;z-index:-594592" type="#_x0000_t75" stroked="false">
          <v:imagedata r:id="rId1" o:title=""/>
        </v:shape>
      </w:pict>
    </w:r>
    <w:r>
      <w:rPr/>
      <w:pict>
        <v:shape style="position:absolute;margin-left:287.799988pt;margin-top:774.11615pt;width:19.75pt;height:12.5pt;mso-position-horizontal-relative:page;mso-position-vertical-relative:page;z-index:-594568" type="#_x0000_t202" filled="false" stroked="false">
          <v:textbox inset="0,0,0,0">
            <w:txbxContent>
              <w:p>
                <w:pPr>
                  <w:spacing w:line="230" w:lineRule="exact" w:before="0"/>
                  <w:ind w:left="40" w:right="0" w:firstLine="0"/>
                  <w:jc w:val="left"/>
                  <w:rPr>
                    <w:rFonts w:ascii="宋体" w:hAnsi="宋体" w:cs="宋体" w:eastAsia="宋体" w:hint="default"/>
                    <w:sz w:val="21"/>
                    <w:szCs w:val="21"/>
                  </w:rPr>
                </w:pPr>
                <w:r>
                  <w:rPr>
                    <w:rFonts w:ascii="宋体"/>
                    <w:sz w:val="21"/>
                  </w:rPr>
                </w:r>
                <w:r>
                  <w:rPr/>
                  <w:fldChar w:fldCharType="begin"/>
                </w:r>
                <w:r>
                  <w:rPr>
                    <w:rFonts w:ascii="宋体"/>
                    <w:sz w:val="21"/>
                  </w:rPr>
                  <w:instrText> PAGE </w:instrText>
                </w:r>
                <w:r>
                  <w:rPr/>
                  <w:fldChar w:fldCharType="separate"/>
                </w:r>
                <w:r>
                  <w:rPr/>
                  <w:t>100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300003pt;margin-top:746.399658pt;width:414.719996pt;height:27.239998pt;mso-position-horizontal-relative:page;mso-position-vertical-relative:page;z-index:-594520" type="#_x0000_t75" stroked="false">
          <v:imagedata r:id="rId1" o:title=""/>
        </v:shape>
      </w:pict>
    </w:r>
    <w:r>
      <w:rPr/>
      <w:pict>
        <v:shape style="position:absolute;margin-left:287.799988pt;margin-top:774.11615pt;width:19.75pt;height:12.5pt;mso-position-horizontal-relative:page;mso-position-vertical-relative:page;z-index:-594496" type="#_x0000_t202" filled="false" stroked="false">
          <v:textbox inset="0,0,0,0">
            <w:txbxContent>
              <w:p>
                <w:pPr>
                  <w:spacing w:line="230" w:lineRule="exact" w:before="0"/>
                  <w:ind w:left="40" w:right="0" w:firstLine="0"/>
                  <w:jc w:val="left"/>
                  <w:rPr>
                    <w:rFonts w:ascii="宋体" w:hAnsi="宋体" w:cs="宋体" w:eastAsia="宋体" w:hint="default"/>
                    <w:sz w:val="21"/>
                    <w:szCs w:val="21"/>
                  </w:rPr>
                </w:pPr>
                <w:r>
                  <w:rPr>
                    <w:rFonts w:ascii="宋体"/>
                    <w:sz w:val="21"/>
                  </w:rPr>
                </w:r>
                <w:r>
                  <w:rPr/>
                  <w:fldChar w:fldCharType="begin"/>
                </w:r>
                <w:r>
                  <w:rPr>
                    <w:rFonts w:ascii="宋体"/>
                    <w:sz w:val="21"/>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300003pt;margin-top:746.399658pt;width:414.719996pt;height:27.239998pt;mso-position-horizontal-relative:page;mso-position-vertical-relative:page;z-index:-594280" type="#_x0000_t75" stroked="false">
          <v:imagedata r:id="rId1" o:title=""/>
        </v:shape>
      </w:pict>
    </w:r>
    <w:r>
      <w:rPr/>
      <w:pict>
        <v:shape style="position:absolute;margin-left:287.799988pt;margin-top:774.11615pt;width:19.75pt;height:12.5pt;mso-position-horizontal-relative:page;mso-position-vertical-relative:page;z-index:-594256" type="#_x0000_t202" filled="false" stroked="false">
          <v:textbox inset="0,0,0,0">
            <w:txbxContent>
              <w:p>
                <w:pPr>
                  <w:spacing w:line="230" w:lineRule="exact" w:before="0"/>
                  <w:ind w:left="40" w:right="0" w:firstLine="0"/>
                  <w:jc w:val="left"/>
                  <w:rPr>
                    <w:rFonts w:ascii="宋体" w:hAnsi="宋体" w:cs="宋体" w:eastAsia="宋体" w:hint="default"/>
                    <w:sz w:val="21"/>
                    <w:szCs w:val="21"/>
                  </w:rPr>
                </w:pPr>
                <w:r>
                  <w:rPr>
                    <w:rFonts w:ascii="宋体"/>
                    <w:sz w:val="21"/>
                  </w:rPr>
                </w:r>
                <w:r>
                  <w:rPr/>
                  <w:fldChar w:fldCharType="begin"/>
                </w:r>
                <w:r>
                  <w:rPr>
                    <w:rFonts w:ascii="宋体"/>
                    <w:sz w:val="21"/>
                  </w:rPr>
                  <w:instrText> PAGE </w:instrText>
                </w:r>
                <w:r>
                  <w:rPr/>
                  <w:fldChar w:fldCharType="separate"/>
                </w:r>
                <w:r>
                  <w:rPr/>
                  <w:t>120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300003pt;margin-top:746.399658pt;width:414.719996pt;height:27.239998pt;mso-position-horizontal-relative:page;mso-position-vertical-relative:page;z-index:-594232" type="#_x0000_t75" stroked="false">
          <v:imagedata r:id="rId1" o:title=""/>
        </v:shape>
      </w:pict>
    </w:r>
    <w:r>
      <w:rPr/>
      <w:pict>
        <v:shape style="position:absolute;margin-left:287.799988pt;margin-top:774.11615pt;width:19.75pt;height:12.5pt;mso-position-horizontal-relative:page;mso-position-vertical-relative:page;z-index:-594208" type="#_x0000_t202" filled="false" stroked="false">
          <v:textbox inset="0,0,0,0">
            <w:txbxContent>
              <w:p>
                <w:pPr>
                  <w:spacing w:line="230" w:lineRule="exact" w:before="0"/>
                  <w:ind w:left="40" w:right="0" w:firstLine="0"/>
                  <w:jc w:val="left"/>
                  <w:rPr>
                    <w:rFonts w:ascii="宋体" w:hAnsi="宋体" w:cs="宋体" w:eastAsia="宋体" w:hint="default"/>
                    <w:sz w:val="21"/>
                    <w:szCs w:val="21"/>
                  </w:rPr>
                </w:pPr>
                <w:r>
                  <w:rPr>
                    <w:rFonts w:ascii="宋体"/>
                    <w:sz w:val="21"/>
                  </w:rPr>
                </w:r>
                <w:r>
                  <w:rPr/>
                  <w:fldChar w:fldCharType="begin"/>
                </w:r>
                <w:r>
                  <w:rPr>
                    <w:rFonts w:ascii="宋体"/>
                    <w:sz w:val="21"/>
                  </w:rPr>
                  <w:instrText> PAGE </w:instrText>
                </w:r>
                <w:r>
                  <w:rPr/>
                  <w:fldChar w:fldCharType="separate"/>
                </w:r>
                <w:r>
                  <w:rPr/>
                  <w:t>130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94.880005pt;margin-top:42.865326pt;width:105.45pt;height:11.5pt;mso-position-horizontal-relative:page;mso-position-vertical-relative:page;z-index:-595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18pt;margin-top:41.999668pt;width:18.240pt;height:15.719999pt;mso-position-horizontal-relative:page;mso-position-vertical-relative:page;z-index:-595336" type="#_x0000_t75" stroked="false">
          <v:imagedata r:id="rId1" o:title=""/>
        </v:shape>
      </w:pict>
    </w:r>
    <w:r>
      <w:rPr/>
      <w:pict>
        <v:shape style="position:absolute;margin-left:399.380005pt;margin-top:45.265324pt;width:105.45pt;height:11.5pt;mso-position-horizontal-relative:page;mso-position-vertical-relative:page;z-index:-595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5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5264"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52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5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18pt;margin-top:41.999668pt;width:18.240pt;height:15.719999pt;mso-position-horizontal-relative:page;mso-position-vertical-relative:page;z-index:-595192" type="#_x0000_t75" stroked="false">
          <v:imagedata r:id="rId1" o:title=""/>
        </v:shape>
      </w:pict>
    </w:r>
    <w:r>
      <w:rPr/>
      <w:pict>
        <v:shape style="position:absolute;margin-left:399.380005pt;margin-top:45.265324pt;width:105.45pt;height:11.5pt;mso-position-horizontal-relative:page;mso-position-vertical-relative:page;z-index:-5951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5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512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5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50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504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50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131004pt;margin-top:41.999996pt;width:719.2pt;height:16.4pt;mso-position-horizontal-relative:page;mso-position-vertical-relative:page;z-index:-595000" coordorigin="1403,840" coordsize="14384,328">
          <v:group style="position:absolute;left:1410;top:1160;width:14369;height:2" coordorigin="1410,1160" coordsize="14369,2">
            <v:shape style="position:absolute;left:1410;top:1160;width:14369;height:2" coordorigin="1410,1160" coordsize="14369,0" path="m1410,1160l15779,1160e" filled="false" stroked="true" strokeweight=".71999pt" strokecolor="#000000">
              <v:path arrowok="t"/>
            </v:shape>
            <v:shape style="position:absolute;left:1446;top:840;width:365;height:314" type="#_x0000_t75" stroked="false">
              <v:imagedata r:id="rId1" o:title=""/>
            </v:shape>
          </v:group>
          <w10:wrap type="none"/>
        </v:group>
      </w:pict>
    </w:r>
    <w:r>
      <w:rPr/>
      <w:pict>
        <v:shape style="position:absolute;margin-left:381.490509pt;margin-top:45.265625pt;width:105.45pt;height:11.5pt;mso-position-horizontal-relative:page;mso-position-vertical-relative:page;z-index:-594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567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56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4904"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48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4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4784"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4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4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471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4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4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464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4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4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447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4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44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55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440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4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4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432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4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4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416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4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4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5552"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55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55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5480"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54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5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019981pt;margin-top:41.999668pt;width:419.35pt;height:16.4pt;mso-position-horizontal-relative:page;mso-position-vertical-relative:page;z-index:-595408" coordorigin="1760,840" coordsize="8387,328">
          <v:group style="position:absolute;left:1768;top:1160;width:8373;height:2" coordorigin="1768,1160" coordsize="8373,2">
            <v:shape style="position:absolute;left:1768;top:1160;width:8373;height:2" coordorigin="1768,1160" coordsize="8373,0" path="m1768,1160l10140,1160e" filled="false" stroked="true" strokeweight=".72003pt" strokecolor="#000000">
              <v:path arrowok="t"/>
            </v:shape>
            <v:shape style="position:absolute;left:1804;top:840;width:365;height:314" type="#_x0000_t75" stroked="false">
              <v:imagedata r:id="rId1" o:title=""/>
            </v:shape>
          </v:group>
          <w10:wrap type="none"/>
        </v:group>
      </w:pict>
    </w:r>
    <w:r>
      <w:rPr/>
      <w:pict>
        <v:shape style="position:absolute;margin-left:399.380005pt;margin-top:45.265324pt;width:105.45pt;height:11.5pt;mso-position-horizontal-relative:page;mso-position-vertical-relative:page;z-index:-5953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80005pt;margin-top:45.265324pt;width:105.45pt;height:11.5pt;mso-position-horizontal-relative:page;mso-position-vertical-relative:page;z-index:-595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东港股份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08"/>
      <w:ind w:left="137"/>
    </w:pPr>
    <w:rPr>
      <w:rFonts w:ascii="黑体" w:hAnsi="黑体" w:eastAsia="黑体"/>
      <w:sz w:val="24"/>
      <w:szCs w:val="24"/>
    </w:rPr>
  </w:style>
  <w:style w:styleId="BodyText" w:type="paragraph">
    <w:name w:val="Body Text"/>
    <w:basedOn w:val="Normal"/>
    <w:uiPriority w:val="1"/>
    <w:qFormat/>
    <w:pPr>
      <w:spacing w:before="30"/>
      <w:ind w:left="137"/>
    </w:pPr>
    <w:rPr>
      <w:rFonts w:ascii="宋体" w:hAnsi="宋体" w:eastAsia="宋体"/>
      <w:sz w:val="24"/>
      <w:szCs w:val="24"/>
    </w:rPr>
  </w:style>
  <w:style w:styleId="Heading1" w:type="paragraph">
    <w:name w:val="Heading 1"/>
    <w:basedOn w:val="Normal"/>
    <w:uiPriority w:val="1"/>
    <w:qFormat/>
    <w:pPr>
      <w:spacing w:before="7"/>
      <w:outlineLvl w:val="1"/>
    </w:pPr>
    <w:rPr>
      <w:rFonts w:ascii="宋体" w:hAnsi="宋体" w:eastAsia="宋体"/>
      <w:b/>
      <w:bCs/>
      <w:sz w:val="30"/>
      <w:szCs w:val="30"/>
    </w:rPr>
  </w:style>
  <w:style w:styleId="Heading2" w:type="paragraph">
    <w:name w:val="Heading 2"/>
    <w:basedOn w:val="Normal"/>
    <w:uiPriority w:val="1"/>
    <w:qFormat/>
    <w:pPr>
      <w:ind w:left="1"/>
      <w:outlineLvl w:val="2"/>
    </w:pPr>
    <w:rPr>
      <w:rFonts w:ascii="Microsoft JhengHei" w:hAnsi="Microsoft JhengHei" w:eastAsia="Microsoft JhengHei"/>
      <w:b/>
      <w:bCs/>
      <w:sz w:val="28"/>
      <w:szCs w:val="28"/>
    </w:rPr>
  </w:style>
  <w:style w:styleId="Heading3" w:type="paragraph">
    <w:name w:val="Heading 3"/>
    <w:basedOn w:val="Normal"/>
    <w:uiPriority w:val="1"/>
    <w:qFormat/>
    <w:pPr>
      <w:ind w:left="620"/>
      <w:outlineLvl w:val="3"/>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footer" Target="footer2.xml"/><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Qi-liguo@tungkong.com.cn" TargetMode="External"/><Relationship Id="rId15" Type="http://schemas.openxmlformats.org/officeDocument/2006/relationships/hyperlink" Target="mailto:Ruan-yongcheng@tungkong.com.cn" TargetMode="External"/><Relationship Id="rId16" Type="http://schemas.openxmlformats.org/officeDocument/2006/relationships/hyperlink" Target="mailto:ruanyongcheng@sina.com" TargetMode="External"/><Relationship Id="rId17" Type="http://schemas.openxmlformats.org/officeDocument/2006/relationships/hyperlink" Target="http://www.tungkong.com/" TargetMode="External"/><Relationship Id="rId18" Type="http://schemas.openxmlformats.org/officeDocument/2006/relationships/hyperlink" Target="mailto:tksp@tungkong.com.cn" TargetMode="External"/><Relationship Id="rId19" Type="http://schemas.openxmlformats.org/officeDocument/2006/relationships/hyperlink" Target="http://www.cninfo.com.cn/" TargetMode="External"/><Relationship Id="rId20" Type="http://schemas.openxmlformats.org/officeDocument/2006/relationships/header" Target="header3.xml"/><Relationship Id="rId21" Type="http://schemas.openxmlformats.org/officeDocument/2006/relationships/header" Target="header4.xml"/><Relationship Id="rId22" Type="http://schemas.openxmlformats.org/officeDocument/2006/relationships/header" Target="header5.xm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header" Target="header12.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header" Target="header15.xml"/><Relationship Id="rId35" Type="http://schemas.openxmlformats.org/officeDocument/2006/relationships/header" Target="header16.xml"/><Relationship Id="rId36" Type="http://schemas.openxmlformats.org/officeDocument/2006/relationships/header" Target="header17.xml"/><Relationship Id="rId37" Type="http://schemas.openxmlformats.org/officeDocument/2006/relationships/header" Target="header18.xml"/><Relationship Id="rId38" Type="http://schemas.openxmlformats.org/officeDocument/2006/relationships/header" Target="header19.xml"/><Relationship Id="rId39" Type="http://schemas.openxmlformats.org/officeDocument/2006/relationships/footer" Target="footer4.xml"/><Relationship Id="rId40" Type="http://schemas.openxmlformats.org/officeDocument/2006/relationships/header" Target="header20.xml"/><Relationship Id="rId41" Type="http://schemas.openxmlformats.org/officeDocument/2006/relationships/footer" Target="footer5.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header" Target="header23.xml"/><Relationship Id="rId45" Type="http://schemas.openxmlformats.org/officeDocument/2006/relationships/header" Target="header24.xml"/><Relationship Id="rId46" Type="http://schemas.openxmlformats.org/officeDocument/2006/relationships/header" Target="header25.xml"/><Relationship Id="rId47" Type="http://schemas.openxmlformats.org/officeDocument/2006/relationships/header" Target="header26.xml"/><Relationship Id="rId48" Type="http://schemas.openxmlformats.org/officeDocument/2006/relationships/footer" Target="footer6.xml"/><Relationship Id="rId49" Type="http://schemas.openxmlformats.org/officeDocument/2006/relationships/header" Target="header27.xml"/><Relationship Id="rId50" Type="http://schemas.openxmlformats.org/officeDocument/2006/relationships/footer" Target="footer7.xml"/><Relationship Id="rId51" Type="http://schemas.openxmlformats.org/officeDocument/2006/relationships/header" Target="header28.xml"/><Relationship Id="rId52" Type="http://schemas.openxmlformats.org/officeDocument/2006/relationships/header" Target="header29.xml"/><Relationship Id="rId53" Type="http://schemas.openxmlformats.org/officeDocument/2006/relationships/header" Target="header30.xml"/><Relationship Id="rId54" Type="http://schemas.openxmlformats.org/officeDocument/2006/relationships/header" Target="header31.xml"/><Relationship Id="rId55" Type="http://schemas.openxmlformats.org/officeDocument/2006/relationships/header" Target="header32.xml"/><Relationship Id="rId56" Type="http://schemas.openxmlformats.org/officeDocument/2006/relationships/footer" Target="footer8.xml"/><Relationship Id="rId57" Type="http://schemas.openxmlformats.org/officeDocument/2006/relationships/footer" Target="footer9.xml"/><Relationship Id="rId58" Type="http://schemas.openxmlformats.org/officeDocument/2006/relationships/header" Target="header33.xml"/><Relationship Id="rId59" Type="http://schemas.openxmlformats.org/officeDocument/2006/relationships/header" Target="header34.xml"/><Relationship Id="rId60" Type="http://schemas.openxmlformats.org/officeDocument/2006/relationships/header" Target="header35.xml"/><Relationship Id="rId61" Type="http://schemas.openxmlformats.org/officeDocument/2006/relationships/footer" Target="footer10.xml"/></Relationships>

</file>

<file path=word/_rels/footer10.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_rels/header10.xml.rels><?xml version="1.0" encoding="UTF-8" standalone="yes"?>
<Relationships xmlns="http://schemas.openxmlformats.org/package/2006/relationships"><Relationship Id="rId1" Type="http://schemas.openxmlformats.org/officeDocument/2006/relationships/image" Target="media/image4.jpeg"/></Relationships>

</file>

<file path=word/_rels/header12.xml.rels><?xml version="1.0" encoding="UTF-8" standalone="yes"?>
<Relationships xmlns="http://schemas.openxmlformats.org/package/2006/relationships"><Relationship Id="rId1" Type="http://schemas.openxmlformats.org/officeDocument/2006/relationships/image" Target="media/image4.jpeg"/></Relationships>

</file>

<file path=word/_rels/header14.xml.rels><?xml version="1.0" encoding="UTF-8" standalone="yes"?>
<Relationships xmlns="http://schemas.openxmlformats.org/package/2006/relationships"><Relationship Id="rId1" Type="http://schemas.openxmlformats.org/officeDocument/2006/relationships/image" Target="media/image4.jpeg"/></Relationships>

</file>

<file path=word/_rels/header16.xml.rels><?xml version="1.0" encoding="UTF-8" standalone="yes"?>
<Relationships xmlns="http://schemas.openxmlformats.org/package/2006/relationships"><Relationship Id="rId1" Type="http://schemas.openxmlformats.org/officeDocument/2006/relationships/image" Target="media/image4.jpeg"/></Relationships>

</file>

<file path=word/_rels/header18.xml.rels><?xml version="1.0" encoding="UTF-8" standalone="yes"?>
<Relationships xmlns="http://schemas.openxmlformats.org/package/2006/relationships"><Relationship Id="rId1" Type="http://schemas.openxmlformats.org/officeDocument/2006/relationships/image" Target="media/image4.jpeg"/></Relationships>

</file>

<file path=word/_rels/header19.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20.xml.rels><?xml version="1.0" encoding="UTF-8" standalone="yes"?>
<Relationships xmlns="http://schemas.openxmlformats.org/package/2006/relationships"><Relationship Id="rId1" Type="http://schemas.openxmlformats.org/officeDocument/2006/relationships/image" Target="media/image4.jpeg"/></Relationships>

</file>

<file path=word/_rels/header22.xml.rels><?xml version="1.0" encoding="UTF-8" standalone="yes"?>
<Relationships xmlns="http://schemas.openxmlformats.org/package/2006/relationships"><Relationship Id="rId1" Type="http://schemas.openxmlformats.org/officeDocument/2006/relationships/image" Target="media/image4.jpeg"/></Relationships>

</file>

<file path=word/_rels/header24.xml.rels><?xml version="1.0" encoding="UTF-8" standalone="yes"?>
<Relationships xmlns="http://schemas.openxmlformats.org/package/2006/relationships"><Relationship Id="rId1" Type="http://schemas.openxmlformats.org/officeDocument/2006/relationships/image" Target="media/image4.jpeg"/></Relationships>

</file>

<file path=word/_rels/header26.xml.rels><?xml version="1.0" encoding="UTF-8" standalone="yes"?>
<Relationships xmlns="http://schemas.openxmlformats.org/package/2006/relationships"><Relationship Id="rId1" Type="http://schemas.openxmlformats.org/officeDocument/2006/relationships/image" Target="media/image4.jpeg"/></Relationships>

</file>

<file path=word/_rels/header28.xml.rels><?xml version="1.0" encoding="UTF-8" standalone="yes"?>
<Relationships xmlns="http://schemas.openxmlformats.org/package/2006/relationships"><Relationship Id="rId1" Type="http://schemas.openxmlformats.org/officeDocument/2006/relationships/image" Target="media/image4.jpeg"/></Relationships>

</file>

<file path=word/_rels/header30.xml.rels><?xml version="1.0" encoding="UTF-8" standalone="yes"?>
<Relationships xmlns="http://schemas.openxmlformats.org/package/2006/relationships"><Relationship Id="rId1" Type="http://schemas.openxmlformats.org/officeDocument/2006/relationships/image" Target="media/image4.jpeg"/></Relationships>

</file>

<file path=word/_rels/header32.xml.rels><?xml version="1.0" encoding="UTF-8" standalone="yes"?>
<Relationships xmlns="http://schemas.openxmlformats.org/package/2006/relationships"><Relationship Id="rId1" Type="http://schemas.openxmlformats.org/officeDocument/2006/relationships/image" Target="media/image4.jpeg"/></Relationships>

</file>

<file path=word/_rels/header34.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&lt;4D6963726F736F667420576F7264202D2032303037C4EAC4EAB6C8B1A8B8E6A3A8D0DED5FDBAF3A3A92E646F63&gt;</dc:title>
  <dcterms:created xsi:type="dcterms:W3CDTF">2020-05-07T12:19:21Z</dcterms:created>
  <dcterms:modified xsi:type="dcterms:W3CDTF">2020-05-07T12:19:21Z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2008-02-01T00:00:00Z</vt:filetime>
  </property>
  <property fmtid="{D5CDD505-2E9C-101B-9397-08002B2CF9AE}" pid="3" name="Creator">
    <vt:lpwstr>PScript5.dll Version 5.2</vt:lpwstr>
  </property>
  <property fmtid="{D5CDD505-2E9C-101B-9397-08002B2CF9AE}" pid="4" name="LastSaved">
    <vt:filetime>2020-05-07T00:00:00Z</vt:filetime>
  </property>
</Properties>
</file>