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12"/>
          <w:szCs w:val="12"/>
        </w:rPr>
      </w:pPr>
    </w:p>
    <w:p>
      <w:pPr>
        <w:tabs>
          <w:tab w:pos="5602" w:val="left" w:leader="none"/>
        </w:tabs>
        <w:spacing w:before="14"/>
        <w:ind w:left="0" w:right="1843" w:firstLine="0"/>
        <w:jc w:val="center"/>
        <w:rPr>
          <w:rFonts w:ascii="宋体" w:hAnsi="宋体" w:cs="宋体" w:eastAsia="宋体" w:hint="default"/>
          <w:sz w:val="28"/>
          <w:szCs w:val="28"/>
        </w:rPr>
      </w:pPr>
      <w:r>
        <w:rPr>
          <w:rFonts w:ascii="宋体" w:hAnsi="宋体" w:cs="宋体" w:eastAsia="宋体" w:hint="default"/>
          <w:spacing w:val="-1"/>
          <w:sz w:val="28"/>
          <w:szCs w:val="28"/>
        </w:rPr>
        <w:t>股票代码：</w:t>
      </w:r>
      <w:r>
        <w:rPr>
          <w:rFonts w:ascii="宋体" w:hAnsi="宋体" w:cs="宋体" w:eastAsia="宋体" w:hint="default"/>
          <w:spacing w:val="-1"/>
          <w:sz w:val="28"/>
          <w:szCs w:val="28"/>
        </w:rPr>
        <w:t>002117</w:t>
        <w:tab/>
      </w:r>
      <w:r>
        <w:rPr>
          <w:rFonts w:ascii="宋体" w:hAnsi="宋体" w:cs="宋体" w:eastAsia="宋体" w:hint="default"/>
          <w:spacing w:val="-1"/>
          <w:sz w:val="28"/>
          <w:szCs w:val="28"/>
        </w:rPr>
        <w:t>股票简称：东港股份</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3"/>
          <w:szCs w:val="33"/>
        </w:rPr>
      </w:pPr>
    </w:p>
    <w:p>
      <w:pPr>
        <w:spacing w:line="897" w:lineRule="exact" w:before="0"/>
        <w:ind w:left="0" w:right="166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东港安全印刷股份有限公司</w:t>
      </w:r>
      <w:r>
        <w:rPr>
          <w:rFonts w:ascii="Microsoft JhengHei" w:hAnsi="Microsoft JhengHei" w:cs="Microsoft JhengHei" w:eastAsia="Microsoft JhengHei" w:hint="default"/>
          <w:sz w:val="52"/>
          <w:szCs w:val="52"/>
        </w:rPr>
      </w:r>
    </w:p>
    <w:p>
      <w:pPr>
        <w:pStyle w:val="BodyText"/>
        <w:tabs>
          <w:tab w:pos="1199" w:val="left" w:leader="none"/>
          <w:tab w:pos="2400" w:val="left" w:leader="none"/>
          <w:tab w:pos="3600" w:val="left" w:leader="none"/>
        </w:tabs>
        <w:spacing w:line="306" w:lineRule="exact" w:before="0"/>
        <w:ind w:left="0" w:right="1659"/>
        <w:jc w:val="center"/>
        <w:rPr>
          <w:rFonts w:ascii="宋体" w:hAnsi="宋体" w:cs="宋体" w:eastAsia="宋体" w:hint="default"/>
        </w:rPr>
      </w:pPr>
      <w:r>
        <w:rPr>
          <w:rFonts w:ascii="宋体"/>
        </w:rPr>
        <w:t>TUNGKONG</w:t>
        <w:tab/>
        <w:t>SECURITY</w:t>
        <w:tab/>
        <w:t>PRINTING</w:t>
        <w:tab/>
        <w:t>CO.,LTD</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0"/>
          <w:szCs w:val="30"/>
        </w:rPr>
      </w:pPr>
    </w:p>
    <w:p>
      <w:pPr>
        <w:spacing w:before="0"/>
        <w:ind w:left="0" w:right="1658"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二○一○年度报告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8"/>
          <w:szCs w:val="28"/>
        </w:rPr>
      </w:pPr>
    </w:p>
    <w:p>
      <w:pPr>
        <w:spacing w:line="2017" w:lineRule="exact"/>
        <w:ind w:left="3109"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9"/>
          <w:sz w:val="20"/>
          <w:szCs w:val="20"/>
        </w:rPr>
        <w:drawing>
          <wp:inline distT="0" distB="0" distL="0" distR="0">
            <wp:extent cx="1505658" cy="128130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05658" cy="1281302"/>
                    </a:xfrm>
                    <a:prstGeom prst="rect">
                      <a:avLst/>
                    </a:prstGeom>
                  </pic:spPr>
                </pic:pic>
              </a:graphicData>
            </a:graphic>
          </wp:inline>
        </w:drawing>
      </w:r>
      <w:r>
        <w:rPr>
          <w:rFonts w:ascii="Microsoft JhengHei" w:hAnsi="Microsoft JhengHei" w:cs="Microsoft JhengHei" w:eastAsia="Microsoft JhengHei" w:hint="default"/>
          <w:position w:val="-39"/>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p>
      <w:pPr>
        <w:spacing w:line="501" w:lineRule="exact" w:before="0"/>
        <w:ind w:left="2670" w:right="0" w:firstLine="0"/>
        <w:jc w:val="left"/>
        <w:rPr>
          <w:rFonts w:ascii="宋体" w:hAnsi="宋体" w:cs="宋体" w:eastAsia="宋体" w:hint="default"/>
          <w:sz w:val="36"/>
          <w:szCs w:val="36"/>
        </w:rPr>
      </w:pPr>
      <w:r>
        <w:rPr>
          <w:rFonts w:ascii="宋体" w:hAnsi="宋体" w:cs="宋体" w:eastAsia="宋体" w:hint="default"/>
          <w:sz w:val="36"/>
          <w:szCs w:val="36"/>
        </w:rPr>
        <w:t>二</w:t>
      </w:r>
      <w:r>
        <w:rPr>
          <w:rFonts w:ascii="Microsoft JhengHei" w:hAnsi="Microsoft JhengHei" w:cs="Microsoft JhengHei" w:eastAsia="Microsoft JhengHei" w:hint="default"/>
          <w:b/>
          <w:bCs/>
          <w:sz w:val="36"/>
          <w:szCs w:val="36"/>
        </w:rPr>
        <w:t>○一一</w:t>
      </w:r>
      <w:r>
        <w:rPr>
          <w:rFonts w:ascii="宋体" w:hAnsi="宋体" w:cs="宋体" w:eastAsia="宋体" w:hint="default"/>
          <w:sz w:val="36"/>
          <w:szCs w:val="36"/>
        </w:rPr>
        <w:t>年三月二日</w:t>
      </w:r>
    </w:p>
    <w:p>
      <w:pPr>
        <w:spacing w:after="0" w:line="501" w:lineRule="exact"/>
        <w:jc w:val="left"/>
        <w:rPr>
          <w:rFonts w:ascii="宋体" w:hAnsi="宋体" w:cs="宋体" w:eastAsia="宋体" w:hint="default"/>
          <w:sz w:val="36"/>
          <w:szCs w:val="36"/>
        </w:rPr>
        <w:sectPr>
          <w:headerReference w:type="default" r:id="rId5"/>
          <w:footerReference w:type="default" r:id="rId6"/>
          <w:type w:val="continuous"/>
          <w:pgSz w:w="11910" w:h="16840"/>
          <w:pgMar w:header="840" w:footer="980" w:top="1160" w:bottom="1160" w:left="1660" w:right="0"/>
        </w:sectPr>
      </w:pPr>
    </w:p>
    <w:p>
      <w:pPr>
        <w:spacing w:line="240" w:lineRule="auto" w:before="2"/>
        <w:rPr>
          <w:rFonts w:ascii="宋体" w:hAnsi="宋体" w:cs="宋体" w:eastAsia="宋体" w:hint="default"/>
          <w:sz w:val="12"/>
          <w:szCs w:val="12"/>
        </w:rPr>
      </w:pPr>
    </w:p>
    <w:p>
      <w:pPr>
        <w:spacing w:line="460" w:lineRule="exact" w:before="0"/>
        <w:ind w:left="0" w:right="1658"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p>
      <w:pPr>
        <w:pStyle w:val="BodyText"/>
        <w:spacing w:line="357" w:lineRule="auto" w:before="0"/>
        <w:ind w:left="138" w:right="1792" w:firstLine="479"/>
        <w:jc w:val="both"/>
        <w:rPr>
          <w:rFonts w:ascii="宋体" w:hAnsi="宋体" w:cs="宋体" w:eastAsia="宋体" w:hint="default"/>
        </w:rPr>
      </w:pPr>
      <w:r>
        <w:rPr>
          <w:rFonts w:ascii="宋体" w:hAnsi="宋体" w:cs="宋体" w:eastAsia="宋体" w:hint="default"/>
          <w:spacing w:val="-3"/>
        </w:rPr>
        <w:t>本公司董事会、监事会及董事、监事、高级管理人员保证本报告所载资料不</w:t>
      </w:r>
      <w:r>
        <w:rPr>
          <w:rFonts w:ascii="宋体" w:hAnsi="宋体" w:cs="宋体" w:eastAsia="宋体" w:hint="default"/>
        </w:rPr>
        <w:t> </w:t>
      </w:r>
      <w:r>
        <w:rPr>
          <w:rFonts w:ascii="宋体" w:hAnsi="宋体" w:cs="宋体" w:eastAsia="宋体" w:hint="default"/>
          <w:spacing w:val="-3"/>
        </w:rPr>
        <w:t>存在任何虚假记载、误导性陈述或者重大遗漏，并对其内容的真实性、准确性和</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完整性承担个别及连带责任。</w:t>
      </w:r>
    </w:p>
    <w:p>
      <w:pPr>
        <w:spacing w:line="240" w:lineRule="auto" w:before="0"/>
        <w:rPr>
          <w:rFonts w:ascii="宋体" w:hAnsi="宋体" w:cs="宋体" w:eastAsia="宋体" w:hint="default"/>
          <w:sz w:val="24"/>
          <w:szCs w:val="24"/>
        </w:rPr>
      </w:pPr>
    </w:p>
    <w:p>
      <w:pPr>
        <w:pStyle w:val="BodyText"/>
        <w:spacing w:line="357" w:lineRule="auto" w:before="188"/>
        <w:ind w:left="138" w:right="1791" w:firstLine="479"/>
        <w:jc w:val="both"/>
        <w:rPr>
          <w:rFonts w:ascii="宋体" w:hAnsi="宋体" w:cs="宋体" w:eastAsia="宋体" w:hint="default"/>
        </w:rPr>
      </w:pPr>
      <w:r>
        <w:rPr>
          <w:rFonts w:ascii="宋体" w:hAnsi="宋体" w:cs="宋体" w:eastAsia="宋体" w:hint="default"/>
          <w:spacing w:val="-3"/>
        </w:rPr>
        <w:t>没有董事、监事、高级管理人员对本报告内容的真实性、准确性、完整性无</w:t>
      </w:r>
      <w:r>
        <w:rPr>
          <w:rFonts w:ascii="宋体" w:hAnsi="宋体" w:cs="宋体" w:eastAsia="宋体" w:hint="default"/>
        </w:rPr>
        <w:t> 法保证或存在异议。</w:t>
      </w:r>
    </w:p>
    <w:p>
      <w:pPr>
        <w:spacing w:line="240" w:lineRule="auto" w:before="0"/>
        <w:rPr>
          <w:rFonts w:ascii="宋体" w:hAnsi="宋体" w:cs="宋体" w:eastAsia="宋体" w:hint="default"/>
          <w:sz w:val="24"/>
          <w:szCs w:val="24"/>
        </w:rPr>
      </w:pPr>
    </w:p>
    <w:p>
      <w:pPr>
        <w:pStyle w:val="BodyText"/>
        <w:spacing w:line="355" w:lineRule="auto" w:before="188"/>
        <w:ind w:left="138" w:right="1793" w:firstLine="479"/>
        <w:jc w:val="both"/>
        <w:rPr>
          <w:rFonts w:ascii="宋体" w:hAnsi="宋体" w:cs="宋体" w:eastAsia="宋体" w:hint="default"/>
        </w:rPr>
      </w:pPr>
      <w:r>
        <w:rPr>
          <w:rFonts w:ascii="宋体" w:hAnsi="宋体" w:cs="宋体" w:eastAsia="宋体" w:hint="default"/>
        </w:rPr>
        <w:t>本公司 </w:t>
      </w:r>
      <w:r>
        <w:rPr>
          <w:rFonts w:ascii="宋体" w:hAnsi="宋体" w:cs="宋体" w:eastAsia="宋体" w:hint="default"/>
        </w:rPr>
        <w:t>2010</w:t>
      </w:r>
      <w:r>
        <w:rPr>
          <w:rFonts w:ascii="宋体" w:hAnsi="宋体" w:cs="宋体" w:eastAsia="宋体" w:hint="default"/>
          <w:spacing w:val="-91"/>
        </w:rPr>
        <w:t> </w:t>
      </w:r>
      <w:r>
        <w:rPr>
          <w:rFonts w:ascii="宋体" w:hAnsi="宋体" w:cs="宋体" w:eastAsia="宋体" w:hint="default"/>
        </w:rPr>
        <w:t>年年度财务报告已经中瑞岳华会计师事务所有限公司审计并出 具了标准无保留意见的审计报告。</w:t>
      </w:r>
    </w:p>
    <w:p>
      <w:pPr>
        <w:spacing w:line="240" w:lineRule="auto" w:before="0"/>
        <w:rPr>
          <w:rFonts w:ascii="宋体" w:hAnsi="宋体" w:cs="宋体" w:eastAsia="宋体" w:hint="default"/>
          <w:sz w:val="24"/>
          <w:szCs w:val="24"/>
        </w:rPr>
      </w:pPr>
    </w:p>
    <w:p>
      <w:pPr>
        <w:pStyle w:val="BodyText"/>
        <w:spacing w:line="357" w:lineRule="auto" w:before="190"/>
        <w:ind w:left="138" w:right="1791" w:firstLine="479"/>
        <w:jc w:val="both"/>
        <w:rPr>
          <w:rFonts w:ascii="宋体" w:hAnsi="宋体" w:cs="宋体" w:eastAsia="宋体" w:hint="default"/>
        </w:rPr>
      </w:pPr>
      <w:r>
        <w:rPr>
          <w:rFonts w:ascii="宋体" w:hAnsi="宋体" w:cs="宋体" w:eastAsia="宋体" w:hint="default"/>
          <w:spacing w:val="-3"/>
        </w:rPr>
        <w:t>本公司董事长谷望江女士、总经理及会计机构负责人史建中先生、财务负责</w:t>
      </w:r>
      <w:r>
        <w:rPr>
          <w:rFonts w:ascii="宋体" w:hAnsi="宋体" w:cs="宋体" w:eastAsia="宋体" w:hint="default"/>
        </w:rPr>
        <w:t> 人郑理女士声明：保证</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年年度报告中财务报告的真实、完整。</w:t>
      </w:r>
    </w:p>
    <w:p>
      <w:pPr>
        <w:spacing w:after="0" w:line="357" w:lineRule="auto"/>
        <w:jc w:val="both"/>
        <w:rPr>
          <w:rFonts w:ascii="宋体" w:hAnsi="宋体" w:cs="宋体" w:eastAsia="宋体" w:hint="default"/>
        </w:rPr>
        <w:sectPr>
          <w:footerReference w:type="default" r:id="rId8"/>
          <w:pgSz w:w="11910" w:h="16840"/>
          <w:pgMar w:footer="980" w:header="840" w:top="1160" w:bottom="1160" w:left="1660" w:right="0"/>
        </w:sectPr>
      </w:pPr>
    </w:p>
    <w:p>
      <w:pPr>
        <w:tabs>
          <w:tab w:pos="965" w:val="left" w:leader="none"/>
        </w:tabs>
        <w:spacing w:line="454" w:lineRule="exact" w:before="0"/>
        <w:ind w:left="0" w:right="1521" w:firstLine="0"/>
        <w:jc w:val="center"/>
        <w:rPr>
          <w:rFonts w:ascii="Microsoft JhengHei" w:hAnsi="Microsoft JhengHei" w:cs="Microsoft JhengHei" w:eastAsia="Microsoft JhengHei" w:hint="default"/>
          <w:sz w:val="32"/>
          <w:szCs w:val="32"/>
        </w:rPr>
      </w:pPr>
      <w:r>
        <w:rPr/>
        <w:pict>
          <v:group style="position:absolute;margin-left:88.103996pt;margin-top:41.999985pt;width:419.25pt;height:16.3500pt;mso-position-horizontal-relative:page;mso-position-vertical-relative:page;z-index:-74672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Microsoft JhengHei" w:hAnsi="Microsoft JhengHei" w:cs="Microsoft JhengHei" w:eastAsia="Microsoft JhengHei" w:hint="default"/>
          <w:b/>
          <w:bCs/>
          <w:w w:val="95"/>
          <w:sz w:val="32"/>
          <w:szCs w:val="32"/>
        </w:rPr>
        <w:t>目</w:t>
        <w:tab/>
      </w:r>
      <w:r>
        <w:rPr>
          <w:rFonts w:ascii="Microsoft JhengHei" w:hAnsi="Microsoft JhengHei" w:cs="Microsoft JhengHei" w:eastAsia="Microsoft JhengHei" w:hint="default"/>
          <w:b/>
          <w:bCs/>
          <w:sz w:val="32"/>
          <w:szCs w:val="32"/>
        </w:rPr>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222" w:val="left" w:leader="none"/>
              <w:tab w:pos="8441" w:val="right" w:leader="dot"/>
            </w:tabs>
            <w:spacing w:line="240" w:lineRule="auto" w:before="764"/>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宋体" w:hAnsi="宋体" w:cs="宋体" w:eastAsia="宋体" w:hint="default"/>
              </w:rPr>
              <w:tab/>
              <w:t>3</w:t>
            </w:r>
            <w:r>
              <w:rPr>
                <w:rFonts w:ascii="宋体" w:hAnsi="宋体" w:cs="宋体" w:eastAsia="宋体" w:hint="default"/>
                <w:b w:val="0"/>
                <w:bCs w:val="0"/>
              </w:rPr>
            </w:r>
          </w:hyperlink>
        </w:p>
        <w:p>
          <w:pPr>
            <w:pStyle w:val="TOC1"/>
            <w:tabs>
              <w:tab w:pos="1222" w:val="left" w:leader="none"/>
              <w:tab w:pos="8441" w:val="right" w:leader="dot"/>
            </w:tabs>
            <w:spacing w:line="240" w:lineRule="auto"/>
            <w:ind w:right="0"/>
            <w:jc w:val="left"/>
            <w:rPr>
              <w:rFonts w:ascii="宋体" w:hAnsi="宋体" w:cs="宋体" w:eastAsia="宋体" w:hint="default"/>
              <w:b w:val="0"/>
              <w:bCs w:val="0"/>
            </w:rPr>
          </w:pPr>
          <w:hyperlink w:history="true" w:anchor="_TOC_250009">
            <w:r>
              <w:rPr>
                <w:w w:val="95"/>
              </w:rPr>
              <w:t>第二节</w:t>
              <w:tab/>
            </w:r>
            <w:r>
              <w:rPr/>
              <w:t>会计数据和业务数据摘要</w:t>
            </w:r>
            <w:r>
              <w:rPr>
                <w:rFonts w:ascii="宋体" w:hAnsi="宋体" w:cs="宋体" w:eastAsia="宋体" w:hint="default"/>
              </w:rPr>
              <w:tab/>
              <w:t>5</w:t>
            </w:r>
            <w:r>
              <w:rPr>
                <w:rFonts w:ascii="宋体" w:hAnsi="宋体" w:cs="宋体" w:eastAsia="宋体" w:hint="default"/>
                <w:b w:val="0"/>
                <w:bCs w:val="0"/>
              </w:rPr>
            </w:r>
          </w:hyperlink>
        </w:p>
        <w:p>
          <w:pPr>
            <w:pStyle w:val="TOC1"/>
            <w:tabs>
              <w:tab w:pos="1222" w:val="left" w:leader="none"/>
              <w:tab w:pos="8441" w:val="right" w:leader="dot"/>
            </w:tabs>
            <w:spacing w:line="240" w:lineRule="auto" w:before="310"/>
            <w:ind w:right="0"/>
            <w:jc w:val="left"/>
            <w:rPr>
              <w:rFonts w:ascii="宋体" w:hAnsi="宋体" w:cs="宋体" w:eastAsia="宋体" w:hint="default"/>
              <w:b w:val="0"/>
              <w:bCs w:val="0"/>
            </w:rPr>
          </w:pPr>
          <w:hyperlink w:history="true" w:anchor="_TOC_250008">
            <w:r>
              <w:rPr>
                <w:w w:val="95"/>
              </w:rPr>
              <w:t>第三节</w:t>
              <w:tab/>
            </w:r>
            <w:r>
              <w:rPr/>
              <w:t>股本变动及股东情况</w:t>
            </w:r>
            <w:r>
              <w:rPr>
                <w:rFonts w:ascii="宋体" w:hAnsi="宋体" w:cs="宋体" w:eastAsia="宋体" w:hint="default"/>
              </w:rPr>
              <w:tab/>
              <w:t>8</w:t>
            </w:r>
            <w:r>
              <w:rPr>
                <w:rFonts w:ascii="宋体" w:hAnsi="宋体" w:cs="宋体" w:eastAsia="宋体" w:hint="default"/>
                <w:b w:val="0"/>
                <w:bCs w:val="0"/>
              </w:rPr>
            </w:r>
          </w:hyperlink>
        </w:p>
        <w:p>
          <w:pPr>
            <w:pStyle w:val="TOC1"/>
            <w:tabs>
              <w:tab w:pos="1222" w:val="left" w:leader="none"/>
              <w:tab w:pos="8443" w:val="right" w:leader="dot"/>
            </w:tabs>
            <w:spacing w:line="240" w:lineRule="auto"/>
            <w:ind w:right="0"/>
            <w:jc w:val="left"/>
            <w:rPr>
              <w:rFonts w:ascii="宋体" w:hAnsi="宋体" w:cs="宋体" w:eastAsia="宋体" w:hint="default"/>
              <w:b w:val="0"/>
              <w:bCs w:val="0"/>
            </w:rPr>
          </w:pPr>
          <w:hyperlink w:history="true" w:anchor="_TOC_250007">
            <w:r>
              <w:rPr>
                <w:w w:val="95"/>
              </w:rPr>
              <w:t>第四节</w:t>
              <w:tab/>
            </w:r>
            <w:r>
              <w:rPr/>
              <w:t>董事、监事、高级管理人员和员工情况</w:t>
            </w:r>
            <w:r>
              <w:rPr>
                <w:rFonts w:ascii="宋体" w:hAnsi="宋体" w:cs="宋体" w:eastAsia="宋体" w:hint="default"/>
              </w:rPr>
              <w:tab/>
              <w:t>12</w:t>
            </w:r>
            <w:r>
              <w:rPr>
                <w:rFonts w:ascii="宋体" w:hAnsi="宋体" w:cs="宋体" w:eastAsia="宋体" w:hint="default"/>
                <w:b w:val="0"/>
                <w:bCs w:val="0"/>
              </w:rPr>
            </w:r>
          </w:hyperlink>
        </w:p>
        <w:p>
          <w:pPr>
            <w:pStyle w:val="TOC1"/>
            <w:tabs>
              <w:tab w:pos="1222" w:val="left" w:leader="none"/>
              <w:tab w:pos="8443" w:val="right" w:leader="dot"/>
            </w:tabs>
            <w:spacing w:line="240" w:lineRule="auto"/>
            <w:ind w:right="0"/>
            <w:jc w:val="left"/>
            <w:rPr>
              <w:rFonts w:ascii="宋体" w:hAnsi="宋体" w:cs="宋体" w:eastAsia="宋体" w:hint="default"/>
              <w:b w:val="0"/>
              <w:bCs w:val="0"/>
            </w:rPr>
          </w:pPr>
          <w:hyperlink w:history="true" w:anchor="_TOC_250006">
            <w:r>
              <w:rPr>
                <w:w w:val="95"/>
              </w:rPr>
              <w:t>第五节</w:t>
              <w:tab/>
            </w:r>
            <w:r>
              <w:rPr/>
              <w:t>公司治理结构</w:t>
            </w:r>
            <w:r>
              <w:rPr>
                <w:rFonts w:ascii="宋体" w:hAnsi="宋体" w:cs="宋体" w:eastAsia="宋体" w:hint="default"/>
              </w:rPr>
              <w:tab/>
              <w:t>17</w:t>
            </w:r>
            <w:r>
              <w:rPr>
                <w:rFonts w:ascii="宋体" w:hAnsi="宋体" w:cs="宋体" w:eastAsia="宋体" w:hint="default"/>
                <w:b w:val="0"/>
                <w:bCs w:val="0"/>
              </w:rPr>
            </w:r>
          </w:hyperlink>
        </w:p>
        <w:p>
          <w:pPr>
            <w:pStyle w:val="TOC1"/>
            <w:tabs>
              <w:tab w:pos="1222" w:val="left" w:leader="none"/>
              <w:tab w:pos="8443" w:val="right" w:leader="dot"/>
            </w:tabs>
            <w:spacing w:line="240" w:lineRule="auto" w:before="310"/>
            <w:ind w:right="0"/>
            <w:jc w:val="left"/>
            <w:rPr>
              <w:rFonts w:ascii="宋体" w:hAnsi="宋体" w:cs="宋体" w:eastAsia="宋体" w:hint="default"/>
              <w:b w:val="0"/>
              <w:bCs w:val="0"/>
            </w:rPr>
          </w:pPr>
          <w:hyperlink w:history="true" w:anchor="_TOC_250005">
            <w:r>
              <w:rPr>
                <w:w w:val="95"/>
              </w:rPr>
              <w:t>第六节</w:t>
              <w:tab/>
            </w:r>
            <w:r>
              <w:rPr/>
              <w:t>股东大会情况简介</w:t>
            </w:r>
            <w:r>
              <w:rPr>
                <w:rFonts w:ascii="宋体" w:hAnsi="宋体" w:cs="宋体" w:eastAsia="宋体" w:hint="default"/>
              </w:rPr>
              <w:tab/>
              <w:t>22</w:t>
            </w:r>
            <w:r>
              <w:rPr>
                <w:rFonts w:ascii="宋体" w:hAnsi="宋体" w:cs="宋体" w:eastAsia="宋体" w:hint="default"/>
                <w:b w:val="0"/>
                <w:bCs w:val="0"/>
              </w:rPr>
            </w:r>
          </w:hyperlink>
        </w:p>
        <w:p>
          <w:pPr>
            <w:pStyle w:val="TOC1"/>
            <w:tabs>
              <w:tab w:pos="1222" w:val="left" w:leader="none"/>
              <w:tab w:pos="8443" w:val="right" w:leader="dot"/>
            </w:tabs>
            <w:spacing w:line="240" w:lineRule="auto"/>
            <w:ind w:right="0"/>
            <w:jc w:val="left"/>
            <w:rPr>
              <w:rFonts w:ascii="宋体" w:hAnsi="宋体" w:cs="宋体" w:eastAsia="宋体" w:hint="default"/>
              <w:b w:val="0"/>
              <w:bCs w:val="0"/>
            </w:rPr>
          </w:pPr>
          <w:hyperlink w:history="true" w:anchor="_TOC_250004">
            <w:r>
              <w:rPr>
                <w:w w:val="95"/>
              </w:rPr>
              <w:t>第七节</w:t>
              <w:tab/>
            </w:r>
            <w:r>
              <w:rPr/>
              <w:t>董事会报告</w:t>
            </w:r>
            <w:r>
              <w:rPr>
                <w:rFonts w:ascii="宋体" w:hAnsi="宋体" w:cs="宋体" w:eastAsia="宋体" w:hint="default"/>
              </w:rPr>
              <w:tab/>
              <w:t>23</w:t>
            </w:r>
            <w:r>
              <w:rPr>
                <w:rFonts w:ascii="宋体" w:hAnsi="宋体" w:cs="宋体" w:eastAsia="宋体" w:hint="default"/>
                <w:b w:val="0"/>
                <w:bCs w:val="0"/>
              </w:rPr>
            </w:r>
          </w:hyperlink>
        </w:p>
        <w:p>
          <w:pPr>
            <w:pStyle w:val="TOC1"/>
            <w:tabs>
              <w:tab w:pos="1222" w:val="left" w:leader="none"/>
              <w:tab w:pos="8443" w:val="right" w:leader="dot"/>
            </w:tabs>
            <w:spacing w:line="240" w:lineRule="auto" w:before="310"/>
            <w:ind w:right="0"/>
            <w:jc w:val="left"/>
            <w:rPr>
              <w:rFonts w:ascii="宋体" w:hAnsi="宋体" w:cs="宋体" w:eastAsia="宋体" w:hint="default"/>
              <w:b w:val="0"/>
              <w:bCs w:val="0"/>
            </w:rPr>
          </w:pPr>
          <w:hyperlink w:history="true" w:anchor="_TOC_250003">
            <w:r>
              <w:rPr>
                <w:w w:val="95"/>
              </w:rPr>
              <w:t>第八节</w:t>
              <w:tab/>
            </w:r>
            <w:r>
              <w:rPr/>
              <w:t>监事会报告</w:t>
            </w:r>
            <w:r>
              <w:rPr>
                <w:rFonts w:ascii="宋体" w:hAnsi="宋体" w:cs="宋体" w:eastAsia="宋体" w:hint="default"/>
              </w:rPr>
              <w:tab/>
              <w:t>37</w:t>
            </w:r>
            <w:r>
              <w:rPr>
                <w:rFonts w:ascii="宋体" w:hAnsi="宋体" w:cs="宋体" w:eastAsia="宋体" w:hint="default"/>
                <w:b w:val="0"/>
                <w:bCs w:val="0"/>
              </w:rPr>
            </w:r>
          </w:hyperlink>
        </w:p>
        <w:p>
          <w:pPr>
            <w:pStyle w:val="TOC1"/>
            <w:tabs>
              <w:tab w:pos="1222" w:val="left" w:leader="none"/>
              <w:tab w:pos="8443" w:val="right" w:leader="dot"/>
            </w:tabs>
            <w:spacing w:line="240" w:lineRule="auto"/>
            <w:ind w:right="0"/>
            <w:jc w:val="left"/>
            <w:rPr>
              <w:rFonts w:ascii="宋体" w:hAnsi="宋体" w:cs="宋体" w:eastAsia="宋体" w:hint="default"/>
              <w:b w:val="0"/>
              <w:bCs w:val="0"/>
            </w:rPr>
          </w:pPr>
          <w:hyperlink w:history="true" w:anchor="_TOC_250002">
            <w:r>
              <w:rPr>
                <w:w w:val="95"/>
              </w:rPr>
              <w:t>第九节</w:t>
              <w:tab/>
            </w:r>
            <w:r>
              <w:rPr/>
              <w:t>重要事项</w:t>
            </w:r>
            <w:r>
              <w:rPr>
                <w:rFonts w:ascii="宋体" w:hAnsi="宋体" w:cs="宋体" w:eastAsia="宋体" w:hint="default"/>
              </w:rPr>
              <w:tab/>
              <w:t>39</w:t>
            </w:r>
            <w:r>
              <w:rPr>
                <w:rFonts w:ascii="宋体" w:hAnsi="宋体" w:cs="宋体" w:eastAsia="宋体" w:hint="default"/>
                <w:b w:val="0"/>
                <w:bCs w:val="0"/>
              </w:rPr>
            </w:r>
          </w:hyperlink>
        </w:p>
        <w:p>
          <w:pPr>
            <w:pStyle w:val="TOC1"/>
            <w:tabs>
              <w:tab w:pos="1222" w:val="left" w:leader="none"/>
              <w:tab w:pos="8443" w:val="right" w:leader="dot"/>
            </w:tabs>
            <w:spacing w:line="240" w:lineRule="auto"/>
            <w:ind w:right="0"/>
            <w:jc w:val="left"/>
            <w:rPr>
              <w:rFonts w:ascii="宋体" w:hAnsi="宋体" w:cs="宋体" w:eastAsia="宋体" w:hint="default"/>
              <w:b w:val="0"/>
              <w:bCs w:val="0"/>
            </w:rPr>
          </w:pPr>
          <w:hyperlink w:history="true" w:anchor="_TOC_250001">
            <w:r>
              <w:rPr>
                <w:w w:val="95"/>
              </w:rPr>
              <w:t>第十节</w:t>
              <w:tab/>
            </w:r>
            <w:r>
              <w:rPr/>
              <w:t>财务报告</w:t>
            </w:r>
            <w:r>
              <w:rPr>
                <w:rFonts w:ascii="宋体" w:hAnsi="宋体" w:cs="宋体" w:eastAsia="宋体" w:hint="default"/>
              </w:rPr>
              <w:tab/>
              <w:t>44</w:t>
            </w:r>
            <w:r>
              <w:rPr>
                <w:rFonts w:ascii="宋体" w:hAnsi="宋体" w:cs="宋体" w:eastAsia="宋体" w:hint="default"/>
                <w:b w:val="0"/>
                <w:bCs w:val="0"/>
              </w:rPr>
            </w:r>
          </w:hyperlink>
        </w:p>
        <w:p>
          <w:pPr>
            <w:pStyle w:val="TOC1"/>
            <w:tabs>
              <w:tab w:pos="8440" w:val="right" w:leader="dot"/>
            </w:tabs>
            <w:spacing w:line="240" w:lineRule="auto" w:before="310"/>
            <w:ind w:right="0"/>
            <w:jc w:val="left"/>
            <w:rPr>
              <w:rFonts w:ascii="宋体" w:hAnsi="宋体" w:cs="宋体" w:eastAsia="宋体" w:hint="default"/>
              <w:b w:val="0"/>
              <w:bCs w:val="0"/>
            </w:rPr>
          </w:pPr>
          <w:hyperlink w:history="true" w:anchor="_TOC_250000">
            <w:r>
              <w:rPr/>
              <w:t>第十一节</w:t>
            </w:r>
            <w:r>
              <w:rPr>
                <w:spacing w:val="-2"/>
              </w:rPr>
              <w:t> </w:t>
            </w:r>
            <w:r>
              <w:rPr/>
              <w:t>备查文件目录</w:t>
            </w:r>
            <w:r>
              <w:rPr>
                <w:rFonts w:ascii="宋体" w:hAnsi="宋体" w:cs="宋体" w:eastAsia="宋体" w:hint="default"/>
              </w:rPr>
              <w:tab/>
              <w:t>116</w:t>
            </w:r>
            <w:r>
              <w:rPr>
                <w:rFonts w:ascii="宋体" w:hAnsi="宋体" w:cs="宋体" w:eastAsia="宋体" w:hint="default"/>
                <w:b w:val="0"/>
                <w:bCs w:val="0"/>
              </w:rPr>
            </w:r>
          </w:hyperlink>
        </w:p>
        <w:p>
          <w:pPr/>
          <w:r>
            <w:fldChar w:fldCharType="end"/>
          </w:r>
        </w:p>
      </w:sdtContent>
    </w:sdt>
    <w:p>
      <w:pPr>
        <w:spacing w:after="0"/>
        <w:sectPr>
          <w:headerReference w:type="default" r:id="rId9"/>
          <w:footerReference w:type="default" r:id="rId10"/>
          <w:pgSz w:w="11910" w:h="16840"/>
          <w:pgMar w:header="915" w:footer="1100" w:top="1100" w:bottom="1280" w:left="1660" w:right="0"/>
          <w:pgNumType w:start="2"/>
        </w:sectPr>
      </w:pPr>
    </w:p>
    <w:p>
      <w:pPr>
        <w:spacing w:line="240" w:lineRule="auto" w:before="10"/>
        <w:rPr>
          <w:rFonts w:ascii="宋体" w:hAnsi="宋体" w:cs="宋体" w:eastAsia="宋体" w:hint="default"/>
          <w:b/>
          <w:bCs/>
          <w:sz w:val="36"/>
          <w:szCs w:val="36"/>
        </w:rPr>
      </w:pPr>
      <w:r>
        <w:rPr/>
        <w:pict>
          <v:group style="position:absolute;margin-left:88.103996pt;margin-top:41.999985pt;width:419.25pt;height:16.3500pt;mso-position-horizontal-relative:page;mso-position-vertical-relative:page;z-index:104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pStyle w:val="Heading1"/>
        <w:tabs>
          <w:tab w:pos="3847" w:val="left" w:leader="none"/>
        </w:tabs>
        <w:spacing w:line="240" w:lineRule="auto" w:before="0"/>
        <w:ind w:left="2491" w:right="1422"/>
        <w:jc w:val="left"/>
        <w:rPr>
          <w:b w:val="0"/>
          <w:bCs w:val="0"/>
        </w:rPr>
      </w:pPr>
      <w:bookmarkStart w:name="_TOC_250010" w:id="1"/>
      <w:r>
        <w:rPr>
          <w:w w:val="95"/>
        </w:rPr>
        <w:t>第一节</w:t>
        <w:tab/>
      </w:r>
      <w:r>
        <w:rPr/>
        <w:t>公司基本情况简介</w:t>
      </w:r>
      <w:bookmarkEnd w:id="1"/>
      <w:r>
        <w:rPr>
          <w:b w:val="0"/>
          <w:bCs w:val="0"/>
        </w:rPr>
      </w:r>
    </w:p>
    <w:p>
      <w:pPr>
        <w:spacing w:line="355" w:lineRule="auto" w:before="209"/>
        <w:ind w:left="218" w:right="6341" w:firstLine="0"/>
        <w:jc w:val="left"/>
        <w:rPr>
          <w:rFonts w:ascii="宋体" w:hAnsi="宋体" w:cs="宋体" w:eastAsia="宋体" w:hint="default"/>
          <w:sz w:val="21"/>
          <w:szCs w:val="21"/>
        </w:rPr>
      </w:pPr>
      <w:r>
        <w:rPr>
          <w:rFonts w:ascii="宋体" w:hAnsi="宋体" w:cs="宋体" w:eastAsia="宋体" w:hint="default"/>
          <w:b/>
          <w:bCs/>
          <w:sz w:val="21"/>
          <w:szCs w:val="21"/>
        </w:rPr>
        <w:t>一、公司名称</w:t>
      </w:r>
      <w:r>
        <w:rPr>
          <w:rFonts w:ascii="宋体" w:hAnsi="宋体" w:cs="宋体" w:eastAsia="宋体" w:hint="default"/>
          <w:b/>
          <w:bCs/>
          <w:spacing w:val="-104"/>
          <w:sz w:val="21"/>
          <w:szCs w:val="21"/>
        </w:rPr>
        <w:t> </w:t>
      </w:r>
      <w:r>
        <w:rPr>
          <w:rFonts w:ascii="宋体" w:hAnsi="宋体" w:cs="宋体" w:eastAsia="宋体" w:hint="default"/>
          <w:b/>
          <w:bCs/>
          <w:spacing w:val="-2"/>
          <w:sz w:val="21"/>
          <w:szCs w:val="21"/>
        </w:rPr>
        <w:t>中文名称</w:t>
      </w:r>
      <w:r>
        <w:rPr>
          <w:rFonts w:ascii="宋体" w:hAnsi="宋体" w:cs="宋体" w:eastAsia="宋体" w:hint="default"/>
          <w:spacing w:val="-2"/>
          <w:sz w:val="21"/>
          <w:szCs w:val="21"/>
        </w:rPr>
        <w:t>：东港安全印刷股份有限公司</w:t>
      </w:r>
    </w:p>
    <w:p>
      <w:pPr>
        <w:tabs>
          <w:tab w:pos="2322" w:val="left" w:leader="none"/>
          <w:tab w:pos="3374" w:val="left" w:leader="none"/>
          <w:tab w:pos="4425" w:val="left" w:leader="none"/>
        </w:tabs>
        <w:spacing w:before="32"/>
        <w:ind w:left="218" w:right="1422" w:firstLine="0"/>
        <w:jc w:val="left"/>
        <w:rPr>
          <w:rFonts w:ascii="宋体" w:hAnsi="宋体" w:cs="宋体" w:eastAsia="宋体" w:hint="default"/>
          <w:sz w:val="21"/>
          <w:szCs w:val="21"/>
        </w:rPr>
      </w:pPr>
      <w:r>
        <w:rPr>
          <w:rFonts w:ascii="宋体" w:hAnsi="宋体" w:cs="宋体" w:eastAsia="宋体" w:hint="default"/>
          <w:b/>
          <w:bCs/>
          <w:spacing w:val="-1"/>
          <w:sz w:val="21"/>
          <w:szCs w:val="21"/>
        </w:rPr>
        <w:t>英文名称</w:t>
      </w:r>
      <w:r>
        <w:rPr>
          <w:rFonts w:ascii="宋体" w:hAnsi="宋体" w:cs="宋体" w:eastAsia="宋体" w:hint="default"/>
          <w:spacing w:val="-1"/>
          <w:sz w:val="21"/>
          <w:szCs w:val="21"/>
        </w:rPr>
        <w:t>：</w:t>
      </w:r>
      <w:r>
        <w:rPr>
          <w:rFonts w:ascii="宋体" w:hAnsi="宋体" w:cs="宋体" w:eastAsia="宋体" w:hint="default"/>
          <w:spacing w:val="-1"/>
          <w:sz w:val="21"/>
          <w:szCs w:val="21"/>
        </w:rPr>
        <w:t>TUNGKONG</w:t>
        <w:tab/>
        <w:t>SECURITY</w:t>
        <w:tab/>
        <w:t>PRINTING</w:t>
        <w:tab/>
      </w:r>
      <w:r>
        <w:rPr>
          <w:rFonts w:ascii="宋体" w:hAnsi="宋体" w:cs="宋体" w:eastAsia="宋体" w:hint="default"/>
          <w:spacing w:val="-2"/>
          <w:sz w:val="21"/>
          <w:szCs w:val="21"/>
        </w:rPr>
        <w:t>CO.,LTD</w:t>
      </w:r>
    </w:p>
    <w:p>
      <w:pPr>
        <w:spacing w:line="355" w:lineRule="auto" w:before="133"/>
        <w:ind w:left="218" w:right="6341" w:firstLine="0"/>
        <w:jc w:val="left"/>
        <w:rPr>
          <w:rFonts w:ascii="宋体" w:hAnsi="宋体" w:cs="宋体" w:eastAsia="宋体" w:hint="default"/>
          <w:sz w:val="21"/>
          <w:szCs w:val="21"/>
        </w:rPr>
      </w:pPr>
      <w:r>
        <w:rPr>
          <w:rFonts w:ascii="宋体" w:hAnsi="宋体" w:cs="宋体" w:eastAsia="宋体" w:hint="default"/>
          <w:b/>
          <w:bCs/>
          <w:sz w:val="21"/>
          <w:szCs w:val="21"/>
        </w:rPr>
        <w:t>中文简称</w:t>
      </w:r>
      <w:r>
        <w:rPr>
          <w:rFonts w:ascii="宋体" w:hAnsi="宋体" w:cs="宋体" w:eastAsia="宋体" w:hint="default"/>
          <w:sz w:val="21"/>
          <w:szCs w:val="21"/>
        </w:rPr>
        <w:t>：东港股份</w:t>
      </w:r>
      <w:r>
        <w:rPr>
          <w:rFonts w:ascii="宋体" w:hAnsi="宋体" w:cs="宋体" w:eastAsia="宋体" w:hint="default"/>
          <w:w w:val="100"/>
          <w:sz w:val="21"/>
          <w:szCs w:val="21"/>
        </w:rPr>
        <w:t> </w:t>
      </w:r>
      <w:r>
        <w:rPr>
          <w:rFonts w:ascii="宋体" w:hAnsi="宋体" w:cs="宋体" w:eastAsia="宋体" w:hint="default"/>
          <w:b/>
          <w:bCs/>
          <w:sz w:val="21"/>
          <w:szCs w:val="21"/>
        </w:rPr>
        <w:t>英文简称</w:t>
      </w:r>
      <w:r>
        <w:rPr>
          <w:rFonts w:ascii="宋体" w:hAnsi="宋体" w:cs="宋体" w:eastAsia="宋体" w:hint="default"/>
          <w:sz w:val="21"/>
          <w:szCs w:val="21"/>
        </w:rPr>
        <w:t>：</w:t>
      </w:r>
      <w:r>
        <w:rPr>
          <w:rFonts w:ascii="宋体" w:hAnsi="宋体" w:cs="宋体" w:eastAsia="宋体" w:hint="default"/>
          <w:sz w:val="21"/>
          <w:szCs w:val="21"/>
        </w:rPr>
        <w:t>TUNGKONG</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712" w:lineRule="auto" w:before="0"/>
        <w:ind w:left="218" w:right="6341" w:firstLine="0"/>
        <w:jc w:val="left"/>
        <w:rPr>
          <w:rFonts w:ascii="宋体" w:hAnsi="宋体" w:cs="宋体" w:eastAsia="宋体" w:hint="default"/>
          <w:sz w:val="21"/>
          <w:szCs w:val="21"/>
        </w:rPr>
      </w:pPr>
      <w:r>
        <w:rPr/>
        <w:pict>
          <v:shape style="position:absolute;margin-left:84.264pt;margin-top:63.053631pt;width:427.2pt;height:169.9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3342"/>
                    <w:gridCol w:w="3817"/>
                  </w:tblGrid>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33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8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1"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齐利国</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阮永城</w:t>
                        </w:r>
                      </w:p>
                    </w:tc>
                  </w:tr>
                  <w:tr>
                    <w:trPr>
                      <w:trHeight w:val="56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1"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0531-88904590</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0531-88904590</w:t>
                        </w:r>
                      </w:p>
                    </w:tc>
                  </w:tr>
                  <w:tr>
                    <w:trPr>
                      <w:trHeight w:val="56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1"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 w:right="0"/>
                          <w:jc w:val="center"/>
                          <w:rPr>
                            <w:rFonts w:ascii="宋体" w:hAnsi="宋体" w:cs="宋体" w:eastAsia="宋体" w:hint="default"/>
                            <w:sz w:val="21"/>
                            <w:szCs w:val="21"/>
                          </w:rPr>
                        </w:pPr>
                        <w:r>
                          <w:rPr>
                            <w:rFonts w:ascii="宋体"/>
                            <w:sz w:val="21"/>
                          </w:rPr>
                          <w:t>0531-82672202</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0531-82672202</w:t>
                        </w:r>
                      </w:p>
                    </w:tc>
                  </w:tr>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电子邮箱</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hyperlink r:id="rId11">
                          <w:r>
                            <w:rPr>
                              <w:rFonts w:ascii="宋体"/>
                              <w:sz w:val="21"/>
                            </w:rPr>
                            <w:t>Qi-liguo@tungkong.com.cn</w:t>
                          </w:r>
                        </w:hyperlink>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color w:val="0000FF"/>
                            <w:sz w:val="24"/>
                          </w:rPr>
                        </w:r>
                        <w:hyperlink r:id="rId12">
                          <w:r>
                            <w:rPr>
                              <w:rFonts w:ascii="宋体"/>
                              <w:color w:val="0000FF"/>
                              <w:sz w:val="24"/>
                              <w:u w:val="single" w:color="0000FF"/>
                            </w:rPr>
                            <w:t>Ruan-yongcheng@tungkong.com.cn</w:t>
                          </w:r>
                          <w:r>
                            <w:rPr>
                              <w:rFonts w:ascii="宋体"/>
                              <w:color w:val="0000FF"/>
                              <w:sz w:val="24"/>
                            </w:rPr>
                          </w:r>
                          <w:r>
                            <w:rPr>
                              <w:rFonts w:ascii="宋体"/>
                              <w:sz w:val="24"/>
                            </w:rPr>
                          </w:r>
                        </w:hyperlink>
                      </w:p>
                    </w:tc>
                  </w:tr>
                </w:tbl>
                <w:p>
                  <w:pPr/>
                </w:p>
              </w:txbxContent>
            </v:textbox>
            <w10:wrap type="none"/>
          </v:shape>
        </w:pict>
      </w:r>
      <w:r>
        <w:rPr>
          <w:rFonts w:ascii="宋体" w:hAnsi="宋体" w:cs="宋体" w:eastAsia="宋体" w:hint="default"/>
          <w:b/>
          <w:bCs/>
          <w:sz w:val="21"/>
          <w:szCs w:val="21"/>
        </w:rPr>
        <w:t>二、公司法定代表人：谷望江</w:t>
      </w:r>
      <w:r>
        <w:rPr>
          <w:rFonts w:ascii="宋体" w:hAnsi="宋体" w:cs="宋体" w:eastAsia="宋体" w:hint="default"/>
          <w:b/>
          <w:bCs/>
          <w:w w:val="100"/>
          <w:sz w:val="21"/>
          <w:szCs w:val="21"/>
        </w:rPr>
        <w:t> </w:t>
      </w:r>
      <w:r>
        <w:rPr>
          <w:rFonts w:ascii="宋体" w:hAnsi="宋体" w:cs="宋体" w:eastAsia="宋体" w:hint="default"/>
          <w:b/>
          <w:bCs/>
          <w:spacing w:val="-1"/>
          <w:sz w:val="21"/>
          <w:szCs w:val="21"/>
        </w:rPr>
        <w:t>三、公司董事会秘书、证券事务代表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36"/>
        <w:ind w:left="218" w:right="1422" w:firstLine="0"/>
        <w:jc w:val="left"/>
        <w:rPr>
          <w:rFonts w:ascii="宋体" w:hAnsi="宋体" w:cs="宋体" w:eastAsia="宋体" w:hint="default"/>
          <w:sz w:val="21"/>
          <w:szCs w:val="21"/>
        </w:rPr>
      </w:pPr>
      <w:r>
        <w:rPr>
          <w:rFonts w:ascii="宋体" w:hAnsi="宋体" w:cs="宋体" w:eastAsia="宋体" w:hint="default"/>
          <w:b/>
          <w:bCs/>
          <w:sz w:val="21"/>
          <w:szCs w:val="21"/>
        </w:rPr>
        <w:t>四、公司注册地址</w:t>
      </w:r>
      <w:r>
        <w:rPr>
          <w:rFonts w:ascii="宋体" w:hAnsi="宋体" w:cs="宋体" w:eastAsia="宋体" w:hint="default"/>
          <w:sz w:val="21"/>
          <w:szCs w:val="21"/>
        </w:rPr>
        <w:t>：山东省济南市山大北路</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p>
    <w:p>
      <w:pPr>
        <w:spacing w:line="357" w:lineRule="auto" w:before="135"/>
        <w:ind w:left="640" w:right="5566" w:firstLine="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t>：山东省济南市山大北路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b/>
          <w:bCs/>
          <w:sz w:val="21"/>
          <w:szCs w:val="21"/>
        </w:rPr>
        <w:t>邮政编码</w:t>
      </w:r>
      <w:r>
        <w:rPr>
          <w:rFonts w:ascii="宋体" w:hAnsi="宋体" w:cs="宋体" w:eastAsia="宋体" w:hint="default"/>
          <w:sz w:val="21"/>
          <w:szCs w:val="21"/>
        </w:rPr>
        <w:t>：</w:t>
      </w:r>
      <w:r>
        <w:rPr>
          <w:rFonts w:ascii="宋体" w:hAnsi="宋体" w:cs="宋体" w:eastAsia="宋体" w:hint="default"/>
          <w:sz w:val="21"/>
          <w:szCs w:val="21"/>
        </w:rPr>
        <w:t>250100</w:t>
      </w:r>
      <w:r>
        <w:rPr>
          <w:rFonts w:ascii="宋体" w:hAnsi="宋体" w:cs="宋体" w:eastAsia="宋体" w:hint="default"/>
          <w:w w:val="100"/>
          <w:sz w:val="21"/>
          <w:szCs w:val="21"/>
        </w:rPr>
        <w:t> </w:t>
      </w:r>
      <w:r>
        <w:rPr>
          <w:rFonts w:ascii="宋体" w:hAnsi="宋体" w:cs="宋体" w:eastAsia="宋体" w:hint="default"/>
          <w:b/>
          <w:bCs/>
          <w:sz w:val="21"/>
          <w:szCs w:val="21"/>
        </w:rPr>
        <w:t>公司</w:t>
      </w:r>
      <w:r>
        <w:rPr>
          <w:rFonts w:ascii="宋体" w:hAnsi="宋体" w:cs="宋体" w:eastAsia="宋体" w:hint="default"/>
          <w:b/>
          <w:bCs/>
          <w:sz w:val="24"/>
          <w:szCs w:val="24"/>
        </w:rPr>
        <w:t>网址</w:t>
      </w:r>
      <w:r>
        <w:rPr>
          <w:rFonts w:ascii="宋体" w:hAnsi="宋体" w:cs="宋体" w:eastAsia="宋体" w:hint="default"/>
          <w:sz w:val="21"/>
          <w:szCs w:val="21"/>
        </w:rPr>
        <w:t>：</w:t>
      </w:r>
      <w:hyperlink r:id="rId13">
        <w:r>
          <w:rPr>
            <w:rFonts w:ascii="宋体" w:hAnsi="宋体" w:cs="宋体" w:eastAsia="宋体" w:hint="default"/>
            <w:sz w:val="21"/>
            <w:szCs w:val="21"/>
          </w:rPr>
          <w:t>http://www.tungkong.com</w:t>
        </w:r>
      </w:hyperlink>
      <w:r>
        <w:rPr>
          <w:rFonts w:ascii="宋体" w:hAnsi="宋体" w:cs="宋体" w:eastAsia="宋体" w:hint="default"/>
          <w:sz w:val="21"/>
          <w:szCs w:val="21"/>
        </w:rPr>
        <w:t>.cn</w:t>
      </w:r>
      <w:r>
        <w:rPr>
          <w:rFonts w:ascii="宋体" w:hAnsi="宋体" w:cs="宋体" w:eastAsia="宋体" w:hint="default"/>
          <w:w w:val="100"/>
          <w:sz w:val="21"/>
          <w:szCs w:val="21"/>
        </w:rPr>
        <w:t> </w:t>
      </w:r>
      <w:r>
        <w:rPr>
          <w:rFonts w:ascii="宋体" w:hAnsi="宋体" w:cs="宋体" w:eastAsia="宋体" w:hint="default"/>
          <w:b/>
          <w:bCs/>
          <w:sz w:val="21"/>
          <w:szCs w:val="21"/>
        </w:rPr>
        <w:t>电子信箱</w:t>
      </w:r>
      <w:r>
        <w:rPr>
          <w:rFonts w:ascii="宋体" w:hAnsi="宋体" w:cs="宋体" w:eastAsia="宋体" w:hint="default"/>
          <w:sz w:val="21"/>
          <w:szCs w:val="21"/>
        </w:rPr>
        <w:t>：</w:t>
      </w:r>
      <w:hyperlink r:id="rId14">
        <w:r>
          <w:rPr>
            <w:rFonts w:ascii="宋体" w:hAnsi="宋体" w:cs="宋体" w:eastAsia="宋体" w:hint="default"/>
            <w:sz w:val="21"/>
            <w:szCs w:val="21"/>
          </w:rPr>
          <w:t>tksp@tungkong.com.cn</w:t>
        </w:r>
      </w:hyperlink>
    </w:p>
    <w:p>
      <w:pPr>
        <w:spacing w:line="240" w:lineRule="auto" w:before="0"/>
        <w:rPr>
          <w:rFonts w:ascii="宋体" w:hAnsi="宋体" w:cs="宋体" w:eastAsia="宋体" w:hint="default"/>
          <w:sz w:val="20"/>
          <w:szCs w:val="20"/>
        </w:rPr>
      </w:pPr>
    </w:p>
    <w:p>
      <w:pPr>
        <w:spacing w:line="357" w:lineRule="auto" w:before="176"/>
        <w:ind w:left="630" w:right="1422" w:hanging="413"/>
        <w:jc w:val="left"/>
        <w:rPr>
          <w:rFonts w:ascii="宋体" w:hAnsi="宋体" w:cs="宋体" w:eastAsia="宋体" w:hint="default"/>
          <w:sz w:val="21"/>
          <w:szCs w:val="21"/>
        </w:rPr>
      </w:pPr>
      <w:r>
        <w:rPr>
          <w:rFonts w:ascii="宋体" w:hAnsi="宋体" w:cs="宋体" w:eastAsia="宋体" w:hint="default"/>
          <w:b/>
          <w:bCs/>
          <w:spacing w:val="-6"/>
          <w:w w:val="100"/>
          <w:sz w:val="21"/>
          <w:szCs w:val="21"/>
        </w:rPr>
        <w:t>五、公司选定的信息披露报纸</w:t>
      </w:r>
      <w:r>
        <w:rPr>
          <w:rFonts w:ascii="宋体" w:hAnsi="宋体" w:cs="宋体" w:eastAsia="宋体" w:hint="default"/>
          <w:spacing w:val="-6"/>
          <w:w w:val="100"/>
          <w:sz w:val="21"/>
          <w:szCs w:val="21"/>
        </w:rPr>
        <w:t>：《证券时报》</w:t>
      </w:r>
      <w:r>
        <w:rPr>
          <w:rFonts w:ascii="宋体" w:hAnsi="宋体" w:cs="宋体" w:eastAsia="宋体" w:hint="default"/>
          <w:w w:val="100"/>
          <w:sz w:val="21"/>
          <w:szCs w:val="21"/>
        </w:rPr>
        <w:t> </w:t>
      </w:r>
      <w:r>
        <w:rPr>
          <w:rFonts w:ascii="宋体" w:hAnsi="宋体" w:cs="宋体" w:eastAsia="宋体" w:hint="default"/>
          <w:b/>
          <w:bCs/>
          <w:spacing w:val="-1"/>
          <w:sz w:val="21"/>
          <w:szCs w:val="21"/>
        </w:rPr>
        <w:t>登载年度报告网站的网址</w:t>
      </w:r>
      <w:r>
        <w:rPr>
          <w:rFonts w:ascii="宋体" w:hAnsi="宋体" w:cs="宋体" w:eastAsia="宋体" w:hint="default"/>
          <w:spacing w:val="-1"/>
          <w:sz w:val="21"/>
          <w:szCs w:val="21"/>
        </w:rPr>
        <w:t>：</w:t>
      </w:r>
      <w:hyperlink r:id="rId15">
        <w:r>
          <w:rPr>
            <w:rFonts w:ascii="宋体" w:hAnsi="宋体" w:cs="宋体" w:eastAsia="宋体" w:hint="default"/>
            <w:spacing w:val="-1"/>
            <w:sz w:val="21"/>
            <w:szCs w:val="21"/>
          </w:rPr>
          <w:t>http://www.cninfo.com.cn</w:t>
        </w:r>
      </w:hyperlink>
      <w:r>
        <w:rPr>
          <w:rFonts w:ascii="宋体" w:hAnsi="宋体" w:cs="宋体" w:eastAsia="宋体" w:hint="default"/>
          <w:w w:val="100"/>
          <w:sz w:val="21"/>
          <w:szCs w:val="21"/>
        </w:rPr>
        <w:t> </w:t>
      </w:r>
      <w:r>
        <w:rPr>
          <w:rFonts w:ascii="宋体" w:hAnsi="宋体" w:cs="宋体" w:eastAsia="宋体" w:hint="default"/>
          <w:b/>
          <w:bCs/>
          <w:sz w:val="21"/>
          <w:szCs w:val="21"/>
        </w:rPr>
        <w:t>公司年度报告备置地点</w:t>
      </w:r>
      <w:r>
        <w:rPr>
          <w:rFonts w:ascii="宋体" w:hAnsi="宋体" w:cs="宋体" w:eastAsia="宋体" w:hint="default"/>
          <w:sz w:val="21"/>
          <w:szCs w:val="21"/>
        </w:rPr>
        <w:t>：公司证券办公室</w:t>
      </w:r>
    </w:p>
    <w:p>
      <w:pPr>
        <w:spacing w:after="0" w:line="357" w:lineRule="auto"/>
        <w:jc w:val="left"/>
        <w:rPr>
          <w:rFonts w:ascii="宋体" w:hAnsi="宋体" w:cs="宋体" w:eastAsia="宋体" w:hint="default"/>
          <w:sz w:val="21"/>
          <w:szCs w:val="21"/>
        </w:rPr>
        <w:sectPr>
          <w:pgSz w:w="11910" w:h="16840"/>
          <w:pgMar w:header="915" w:footer="1100" w:top="1100" w:bottom="1280" w:left="1580" w:right="0"/>
        </w:sectPr>
      </w:pPr>
    </w:p>
    <w:p>
      <w:pPr>
        <w:spacing w:line="357" w:lineRule="auto" w:before="17"/>
        <w:ind w:left="560" w:right="6189" w:hanging="423"/>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65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b/>
          <w:bCs/>
          <w:spacing w:val="-1"/>
          <w:sz w:val="21"/>
          <w:szCs w:val="21"/>
        </w:rPr>
        <w:t>六、股票上市交易所</w:t>
      </w:r>
      <w:r>
        <w:rPr>
          <w:rFonts w:ascii="宋体" w:hAnsi="宋体" w:cs="宋体" w:eastAsia="宋体" w:hint="default"/>
          <w:spacing w:val="-1"/>
          <w:sz w:val="21"/>
          <w:szCs w:val="21"/>
        </w:rPr>
        <w:t>：深圳证券交易所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b/>
          <w:bCs/>
          <w:sz w:val="21"/>
          <w:szCs w:val="21"/>
        </w:rPr>
        <w:t>股票简称</w:t>
      </w:r>
      <w:r>
        <w:rPr>
          <w:rFonts w:ascii="宋体" w:hAnsi="宋体" w:cs="宋体" w:eastAsia="宋体" w:hint="default"/>
          <w:sz w:val="21"/>
          <w:szCs w:val="21"/>
        </w:rPr>
        <w:t>：东港股份</w:t>
      </w:r>
      <w:r>
        <w:rPr>
          <w:rFonts w:ascii="宋体" w:hAnsi="宋体" w:cs="宋体" w:eastAsia="宋体" w:hint="default"/>
          <w:w w:val="100"/>
          <w:sz w:val="21"/>
          <w:szCs w:val="21"/>
        </w:rPr>
        <w:t> </w:t>
      </w:r>
      <w:r>
        <w:rPr>
          <w:rFonts w:ascii="宋体" w:hAnsi="宋体" w:cs="宋体" w:eastAsia="宋体" w:hint="default"/>
          <w:b/>
          <w:bCs/>
          <w:sz w:val="21"/>
          <w:szCs w:val="21"/>
        </w:rPr>
        <w:t>股票代码</w:t>
      </w:r>
      <w:r>
        <w:rPr>
          <w:rFonts w:ascii="宋体" w:hAnsi="宋体" w:cs="宋体" w:eastAsia="宋体" w:hint="default"/>
          <w:sz w:val="21"/>
          <w:szCs w:val="21"/>
        </w:rPr>
        <w:t>：</w:t>
      </w:r>
      <w:r>
        <w:rPr>
          <w:rFonts w:ascii="宋体" w:hAnsi="宋体" w:cs="宋体" w:eastAsia="宋体" w:hint="default"/>
          <w:sz w:val="21"/>
          <w:szCs w:val="21"/>
        </w:rPr>
        <w:t>002117</w:t>
      </w:r>
    </w:p>
    <w:p>
      <w:pPr>
        <w:spacing w:line="240" w:lineRule="auto" w:before="0"/>
        <w:rPr>
          <w:rFonts w:ascii="宋体" w:hAnsi="宋体" w:cs="宋体" w:eastAsia="宋体" w:hint="default"/>
          <w:sz w:val="20"/>
          <w:szCs w:val="20"/>
        </w:rPr>
      </w:pPr>
    </w:p>
    <w:p>
      <w:pPr>
        <w:spacing w:before="17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spacing w:before="13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公司首次登记注册日期</w:t>
      </w:r>
      <w:r>
        <w:rPr>
          <w:rFonts w:ascii="宋体" w:hAnsi="宋体" w:cs="宋体" w:eastAsia="宋体" w:hint="default"/>
          <w:sz w:val="21"/>
          <w:szCs w:val="21"/>
        </w:rPr>
        <w:t>：</w:t>
      </w:r>
      <w:r>
        <w:rPr>
          <w:rFonts w:ascii="宋体" w:hAnsi="宋体" w:cs="宋体" w:eastAsia="宋体" w:hint="default"/>
          <w:sz w:val="21"/>
          <w:szCs w:val="21"/>
        </w:rPr>
        <w:t>1996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line="357" w:lineRule="auto" w:before="133"/>
        <w:ind w:left="138" w:right="4633" w:firstLine="0"/>
        <w:jc w:val="left"/>
        <w:rPr>
          <w:rFonts w:ascii="宋体" w:hAnsi="宋体" w:cs="宋体" w:eastAsia="宋体" w:hint="default"/>
          <w:sz w:val="21"/>
          <w:szCs w:val="21"/>
        </w:rPr>
      </w:pPr>
      <w:r>
        <w:rPr>
          <w:rFonts w:ascii="宋体" w:hAnsi="宋体" w:cs="宋体" w:eastAsia="宋体" w:hint="default"/>
          <w:b/>
          <w:bCs/>
          <w:sz w:val="21"/>
          <w:szCs w:val="21"/>
        </w:rPr>
        <w:t>公司最近一次变更注册登记日期</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b/>
          <w:bCs/>
          <w:sz w:val="21"/>
          <w:szCs w:val="21"/>
        </w:rPr>
        <w:t>公司企业法人营业执照注册号</w:t>
      </w:r>
      <w:r>
        <w:rPr>
          <w:rFonts w:ascii="宋体" w:hAnsi="宋体" w:cs="宋体" w:eastAsia="宋体" w:hint="default"/>
          <w:sz w:val="21"/>
          <w:szCs w:val="21"/>
        </w:rPr>
        <w:t>：</w:t>
      </w:r>
      <w:r>
        <w:rPr>
          <w:rFonts w:ascii="宋体" w:hAnsi="宋体" w:cs="宋体" w:eastAsia="宋体" w:hint="default"/>
          <w:sz w:val="21"/>
          <w:szCs w:val="21"/>
        </w:rPr>
        <w:t>370000400000101</w:t>
      </w:r>
      <w:r>
        <w:rPr>
          <w:rFonts w:ascii="宋体" w:hAnsi="宋体" w:cs="宋体" w:eastAsia="宋体" w:hint="default"/>
          <w:w w:val="100"/>
          <w:sz w:val="21"/>
          <w:szCs w:val="21"/>
        </w:rPr>
        <w:t> </w:t>
      </w:r>
      <w:r>
        <w:rPr>
          <w:rFonts w:ascii="宋体" w:hAnsi="宋体" w:cs="宋体" w:eastAsia="宋体" w:hint="default"/>
          <w:b/>
          <w:bCs/>
          <w:sz w:val="21"/>
          <w:szCs w:val="21"/>
        </w:rPr>
        <w:t>公司税务登记号码</w:t>
      </w:r>
      <w:r>
        <w:rPr>
          <w:rFonts w:ascii="宋体" w:hAnsi="宋体" w:cs="宋体" w:eastAsia="宋体" w:hint="default"/>
          <w:sz w:val="21"/>
          <w:szCs w:val="21"/>
        </w:rPr>
        <w:t>：</w:t>
      </w:r>
      <w:r>
        <w:rPr>
          <w:rFonts w:ascii="宋体" w:hAnsi="宋体" w:cs="宋体" w:eastAsia="宋体" w:hint="default"/>
          <w:sz w:val="21"/>
          <w:szCs w:val="21"/>
        </w:rPr>
        <w:t>370112613207311</w:t>
      </w:r>
      <w:r>
        <w:rPr>
          <w:rFonts w:ascii="宋体" w:hAnsi="宋体" w:cs="宋体" w:eastAsia="宋体" w:hint="default"/>
          <w:w w:val="100"/>
          <w:sz w:val="21"/>
          <w:szCs w:val="21"/>
        </w:rPr>
        <w:t> </w:t>
      </w:r>
      <w:r>
        <w:rPr>
          <w:rFonts w:ascii="宋体" w:hAnsi="宋体" w:cs="宋体" w:eastAsia="宋体" w:hint="default"/>
          <w:b/>
          <w:bCs/>
          <w:sz w:val="21"/>
          <w:szCs w:val="21"/>
        </w:rPr>
        <w:t>公司组织机构代码</w:t>
      </w:r>
      <w:r>
        <w:rPr>
          <w:rFonts w:ascii="宋体" w:hAnsi="宋体" w:cs="宋体" w:eastAsia="宋体" w:hint="default"/>
          <w:sz w:val="21"/>
          <w:szCs w:val="21"/>
        </w:rPr>
        <w:t>：</w:t>
      </w:r>
      <w:r>
        <w:rPr>
          <w:rFonts w:ascii="宋体" w:hAnsi="宋体" w:cs="宋体" w:eastAsia="宋体" w:hint="default"/>
          <w:sz w:val="21"/>
          <w:szCs w:val="21"/>
        </w:rPr>
        <w:t>6130731-12</w:t>
      </w:r>
      <w:r>
        <w:rPr>
          <w:rFonts w:ascii="宋体" w:hAnsi="宋体" w:cs="宋体" w:eastAsia="宋体" w:hint="default"/>
          <w:w w:val="100"/>
          <w:sz w:val="21"/>
          <w:szCs w:val="21"/>
        </w:rPr>
        <w:t> </w:t>
      </w:r>
      <w:r>
        <w:rPr>
          <w:rFonts w:ascii="宋体" w:hAnsi="宋体" w:cs="宋体" w:eastAsia="宋体" w:hint="default"/>
          <w:b/>
          <w:bCs/>
          <w:spacing w:val="-1"/>
          <w:sz w:val="21"/>
          <w:szCs w:val="21"/>
        </w:rPr>
        <w:t>公司聘请的会计师事务所</w:t>
      </w:r>
      <w:r>
        <w:rPr>
          <w:rFonts w:ascii="宋体" w:hAnsi="宋体" w:cs="宋体" w:eastAsia="宋体" w:hint="default"/>
          <w:spacing w:val="-1"/>
          <w:sz w:val="21"/>
          <w:szCs w:val="21"/>
        </w:rPr>
        <w:t>：中瑞岳华会计师事务所有限公司</w:t>
      </w:r>
    </w:p>
    <w:p>
      <w:pPr>
        <w:spacing w:before="3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会计师事务所的办公地址</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pacing w:val="-5"/>
          <w:sz w:val="21"/>
          <w:szCs w:val="21"/>
        </w:rPr>
        <w:t>北京市西城区金融大街</w:t>
      </w:r>
      <w:r>
        <w:rPr>
          <w:rFonts w:ascii="宋体" w:hAnsi="宋体" w:cs="宋体" w:eastAsia="宋体" w:hint="default"/>
          <w:spacing w:val="-58"/>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pacing w:val="-5"/>
          <w:sz w:val="21"/>
          <w:szCs w:val="21"/>
        </w:rPr>
        <w:t>号国际企业大厦</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层</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240" w:lineRule="auto" w:before="0"/>
        <w:rPr>
          <w:rFonts w:ascii="宋体" w:hAnsi="宋体" w:cs="宋体" w:eastAsia="宋体" w:hint="default"/>
          <w:sz w:val="20"/>
          <w:szCs w:val="20"/>
        </w:rPr>
      </w:pPr>
      <w:r>
        <w:rPr/>
        <w:pict>
          <v:group style="position:absolute;margin-left:88.103996pt;margin-top:41.999985pt;width:419.25pt;height:16.3500pt;mso-position-horizontal-relative:page;mso-position-vertical-relative:page;z-index:114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spacing w:line="240" w:lineRule="auto" w:before="3"/>
        <w:rPr>
          <w:rFonts w:ascii="宋体" w:hAnsi="宋体" w:cs="宋体" w:eastAsia="宋体" w:hint="default"/>
          <w:sz w:val="16"/>
          <w:szCs w:val="16"/>
        </w:rPr>
      </w:pPr>
    </w:p>
    <w:p>
      <w:pPr>
        <w:pStyle w:val="Heading1"/>
        <w:tabs>
          <w:tab w:pos="3316" w:val="left" w:leader="none"/>
        </w:tabs>
        <w:spacing w:line="240" w:lineRule="auto"/>
        <w:ind w:left="1959"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30"/>
          <w:szCs w:val="30"/>
        </w:rPr>
      </w:pPr>
    </w:p>
    <w:p>
      <w:pPr>
        <w:spacing w:before="22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一、主要财务数据和指标（单位：人民币元）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795" w:type="dxa"/>
        <w:tblLayout w:type="fixed"/>
        <w:tblCellMar>
          <w:top w:w="0" w:type="dxa"/>
          <w:left w:w="0" w:type="dxa"/>
          <w:bottom w:w="0" w:type="dxa"/>
          <w:right w:w="0" w:type="dxa"/>
        </w:tblCellMar>
        <w:tblLook w:val="01E0"/>
      </w:tblPr>
      <w:tblGrid>
        <w:gridCol w:w="5226"/>
        <w:gridCol w:w="1762"/>
      </w:tblGrid>
      <w:tr>
        <w:trPr>
          <w:trHeight w:val="283" w:hRule="exact"/>
        </w:trPr>
        <w:tc>
          <w:tcPr>
            <w:tcW w:w="52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847" w:val="left" w:leader="none"/>
              </w:tabs>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193" w:val="left" w:leader="none"/>
              </w:tabs>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4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102,514,798.10</w:t>
            </w:r>
          </w:p>
        </w:tc>
      </w:tr>
      <w:tr>
        <w:trPr>
          <w:trHeight w:val="245"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104,116,173.40</w:t>
            </w:r>
          </w:p>
        </w:tc>
      </w:tr>
      <w:tr>
        <w:trPr>
          <w:trHeight w:val="24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79,194,442.06</w:t>
            </w:r>
          </w:p>
        </w:tc>
      </w:tr>
      <w:tr>
        <w:trPr>
          <w:trHeight w:val="24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77,934,107.98</w:t>
            </w:r>
          </w:p>
        </w:tc>
      </w:tr>
      <w:tr>
        <w:trPr>
          <w:trHeight w:val="245"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179,535,678.40</w:t>
            </w:r>
          </w:p>
        </w:tc>
      </w:tr>
    </w:tbl>
    <w:p>
      <w:pPr>
        <w:spacing w:line="240" w:lineRule="auto" w:before="11"/>
        <w:rPr>
          <w:rFonts w:ascii="宋体" w:hAnsi="宋体" w:cs="宋体" w:eastAsia="宋体" w:hint="default"/>
          <w:b/>
          <w:bCs/>
          <w:sz w:val="25"/>
          <w:szCs w:val="25"/>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pacing w:val="19"/>
          <w:w w:val="100"/>
          <w:sz w:val="21"/>
          <w:szCs w:val="21"/>
        </w:rPr>
        <w:t>注</w:t>
      </w:r>
      <w:r>
        <w:rPr>
          <w:rFonts w:ascii="宋体" w:hAnsi="宋体" w:cs="宋体" w:eastAsia="宋体" w:hint="default"/>
          <w:w w:val="100"/>
          <w:sz w:val="21"/>
          <w:szCs w:val="21"/>
        </w:rPr>
        <w:t>：</w:t>
      </w:r>
      <w:r>
        <w:rPr>
          <w:rFonts w:ascii="宋体" w:hAnsi="宋体" w:cs="宋体" w:eastAsia="宋体" w:hint="default"/>
          <w:spacing w:val="-86"/>
          <w:sz w:val="21"/>
          <w:szCs w:val="21"/>
        </w:rPr>
        <w:t> </w:t>
      </w:r>
      <w:r>
        <w:rPr>
          <w:rFonts w:ascii="宋体" w:hAnsi="宋体" w:cs="宋体" w:eastAsia="宋体" w:hint="default"/>
          <w:w w:val="100"/>
          <w:sz w:val="21"/>
          <w:szCs w:val="21"/>
        </w:rPr>
        <w:t>非</w:t>
      </w:r>
      <w:r>
        <w:rPr>
          <w:rFonts w:ascii="宋体" w:hAnsi="宋体" w:cs="宋体" w:eastAsia="宋体" w:hint="default"/>
          <w:spacing w:val="-3"/>
          <w:w w:val="100"/>
          <w:sz w:val="21"/>
          <w:szCs w:val="21"/>
        </w:rPr>
        <w:t>经</w:t>
      </w:r>
      <w:r>
        <w:rPr>
          <w:rFonts w:ascii="宋体" w:hAnsi="宋体" w:cs="宋体" w:eastAsia="宋体" w:hint="default"/>
          <w:w w:val="100"/>
          <w:sz w:val="21"/>
          <w:szCs w:val="21"/>
        </w:rPr>
        <w:t>常</w:t>
      </w:r>
      <w:r>
        <w:rPr>
          <w:rFonts w:ascii="宋体" w:hAnsi="宋体" w:cs="宋体" w:eastAsia="宋体" w:hint="default"/>
          <w:spacing w:val="-3"/>
          <w:w w:val="100"/>
          <w:sz w:val="21"/>
          <w:szCs w:val="21"/>
        </w:rPr>
        <w:t>性</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单位</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12"/>
        <w:rPr>
          <w:rFonts w:ascii="宋体" w:hAnsi="宋体" w:cs="宋体" w:eastAsia="宋体" w:hint="default"/>
          <w:sz w:val="12"/>
          <w:szCs w:val="12"/>
        </w:rPr>
      </w:pPr>
    </w:p>
    <w:tbl>
      <w:tblPr>
        <w:tblW w:w="0" w:type="auto"/>
        <w:jc w:val="left"/>
        <w:tblInd w:w="390" w:type="dxa"/>
        <w:tblLayout w:type="fixed"/>
        <w:tblCellMar>
          <w:top w:w="0" w:type="dxa"/>
          <w:left w:w="0" w:type="dxa"/>
          <w:bottom w:w="0" w:type="dxa"/>
          <w:right w:w="0" w:type="dxa"/>
        </w:tblCellMar>
        <w:tblLook w:val="01E0"/>
      </w:tblPr>
      <w:tblGrid>
        <w:gridCol w:w="5199"/>
        <w:gridCol w:w="2602"/>
      </w:tblGrid>
      <w:tr>
        <w:trPr>
          <w:trHeight w:val="244" w:hRule="exact"/>
        </w:trPr>
        <w:tc>
          <w:tcPr>
            <w:tcW w:w="5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42" w:hRule="exact"/>
        </w:trPr>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-323,504.89</w:t>
            </w:r>
          </w:p>
        </w:tc>
      </w:tr>
      <w:tr>
        <w:trPr>
          <w:trHeight w:val="478" w:hRule="exact"/>
        </w:trPr>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国家政策规定</w:t>
            </w:r>
            <w:r>
              <w:rPr>
                <w:rFonts w:ascii="宋体" w:hAnsi="宋体" w:cs="宋体" w:eastAsia="宋体" w:hint="default"/>
                <w:spacing w:val="-77"/>
                <w:sz w:val="18"/>
                <w:szCs w:val="18"/>
              </w:rPr>
              <w:t>、</w:t>
            </w:r>
            <w:r>
              <w:rPr>
                <w:rFonts w:ascii="宋体" w:hAnsi="宋体" w:cs="宋体" w:eastAsia="宋体" w:hint="default"/>
                <w:sz w:val="18"/>
                <w:szCs w:val="18"/>
              </w:rPr>
              <w:t>按照一定标准定额或定量持续享受的政府补助除外</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1,356,370.00</w:t>
            </w:r>
          </w:p>
        </w:tc>
      </w:tr>
      <w:tr>
        <w:trPr>
          <w:trHeight w:val="242" w:hRule="exact"/>
        </w:trPr>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568,510.19</w:t>
            </w:r>
          </w:p>
        </w:tc>
      </w:tr>
      <w:tr>
        <w:trPr>
          <w:trHeight w:val="245" w:hRule="exact"/>
        </w:trPr>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w w:val="95"/>
                <w:sz w:val="18"/>
              </w:rPr>
              <w:t>-259,546.29</w:t>
            </w:r>
            <w:r>
              <w:rPr>
                <w:rFonts w:ascii="Times New Roman"/>
                <w:sz w:val="18"/>
              </w:rPr>
            </w:r>
          </w:p>
        </w:tc>
      </w:tr>
      <w:tr>
        <w:trPr>
          <w:trHeight w:val="242" w:hRule="exact"/>
        </w:trPr>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-81,494.93</w:t>
            </w:r>
          </w:p>
        </w:tc>
      </w:tr>
      <w:tr>
        <w:trPr>
          <w:trHeight w:val="245" w:hRule="exact"/>
        </w:trPr>
        <w:tc>
          <w:tcPr>
            <w:tcW w:w="5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1,260,334.08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二、截止报告期末公司前三年的主要会计数据和财务指标</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p>
      <w:pPr>
        <w:spacing w:before="0"/>
        <w:ind w:left="138" w:right="0" w:firstLine="0"/>
        <w:jc w:val="left"/>
        <w:rPr>
          <w:rFonts w:ascii="宋体" w:hAnsi="宋体" w:cs="宋体" w:eastAsia="宋体" w:hint="default"/>
          <w:sz w:val="21"/>
          <w:szCs w:val="21"/>
        </w:rPr>
      </w:pPr>
      <w:r>
        <w:rPr/>
        <w:pict>
          <v:shape style="position:absolute;margin-left:336.070007pt;margin-top:22.603676pt;width:169.75pt;height:11.65pt;mso-position-horizontal-relative:page;mso-position-vertical-relative:paragraph;z-index:-74663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主要会计数据（单位：人民币元）</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2050"/>
        <w:gridCol w:w="1507"/>
        <w:gridCol w:w="1361"/>
        <w:gridCol w:w="1766"/>
        <w:gridCol w:w="1683"/>
      </w:tblGrid>
      <w:tr>
        <w:trPr>
          <w:trHeight w:val="245"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5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712,233,094.92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550,874,357.75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29.29%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527,528,420.56</w:t>
            </w:r>
          </w:p>
        </w:tc>
      </w:tr>
      <w:tr>
        <w:trPr>
          <w:trHeight w:val="245"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104,116,173.40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90,856,919.37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14.59%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75,716,859.13</w:t>
            </w:r>
          </w:p>
        </w:tc>
      </w:tr>
      <w:tr>
        <w:trPr>
          <w:trHeight w:val="475"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利润（元）</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79,194,442.06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74,026,819.95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6.98%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59,164,447.56</w:t>
            </w:r>
          </w:p>
        </w:tc>
      </w:tr>
      <w:tr>
        <w:trPr>
          <w:trHeight w:val="710"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除非经常性损益的净利润</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77,934,107.98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71,699,861.85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58,662,195.36</w:t>
            </w:r>
          </w:p>
        </w:tc>
      </w:tr>
      <w:tr>
        <w:trPr>
          <w:trHeight w:val="478"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净额（元）</w:t>
            </w:r>
          </w:p>
        </w:tc>
        <w:tc>
          <w:tcPr>
            <w:tcW w:w="1507"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179,535,678.40</w:t>
            </w:r>
          </w:p>
        </w:tc>
        <w:tc>
          <w:tcPr>
            <w:tcW w:w="1361"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2"/>
                <w:sz w:val="18"/>
              </w:rPr>
              <w:t>111,617,008.83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60.85%</w:t>
            </w:r>
          </w:p>
        </w:tc>
        <w:tc>
          <w:tcPr>
            <w:tcW w:w="1683"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115,006,294.65</w:t>
            </w:r>
          </w:p>
        </w:tc>
      </w:tr>
      <w:tr>
        <w:trPr>
          <w:trHeight w:val="125" w:hRule="exact"/>
        </w:trPr>
        <w:tc>
          <w:tcPr>
            <w:tcW w:w="205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1507"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1361"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87" w:hRule="exact"/>
        </w:trPr>
        <w:tc>
          <w:tcPr>
            <w:tcW w:w="2050"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1507"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10"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61"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10" w:lineRule="exact"/>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6" w:type="dxa"/>
            <w:vMerge/>
            <w:tcBorders>
              <w:left w:val="single" w:sz="4" w:space="0" w:color="000000"/>
              <w:bottom w:val="single" w:sz="4" w:space="0" w:color="000000"/>
              <w:right w:val="single" w:sz="4" w:space="0" w:color="000000"/>
            </w:tcBorders>
            <w:shd w:val="clear" w:color="auto" w:fill="DCDCDC"/>
          </w:tcPr>
          <w:p>
            <w:pPr/>
          </w:p>
        </w:tc>
        <w:tc>
          <w:tcPr>
            <w:tcW w:w="168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07"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507"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3"/>
              <w:ind w:right="22"/>
              <w:jc w:val="right"/>
              <w:rPr>
                <w:rFonts w:ascii="Times New Roman" w:hAnsi="Times New Roman" w:cs="Times New Roman" w:eastAsia="Times New Roman" w:hint="default"/>
                <w:sz w:val="18"/>
                <w:szCs w:val="18"/>
              </w:rPr>
            </w:pPr>
            <w:r>
              <w:rPr>
                <w:rFonts w:ascii="Times New Roman"/>
                <w:spacing w:val="-1"/>
                <w:sz w:val="18"/>
              </w:rPr>
              <w:t>1,337,336,997.69</w:t>
            </w:r>
          </w:p>
        </w:tc>
        <w:tc>
          <w:tcPr>
            <w:tcW w:w="1361" w:type="dxa"/>
            <w:tcBorders>
              <w:top w:val="single" w:sz="51" w:space="0" w:color="DCDCDC"/>
              <w:left w:val="single" w:sz="4" w:space="0" w:color="000000"/>
              <w:bottom w:val="single" w:sz="4" w:space="0" w:color="000000"/>
              <w:right w:val="single" w:sz="9" w:space="0" w:color="DCDCDC"/>
            </w:tcBorders>
          </w:tcPr>
          <w:p>
            <w:pPr>
              <w:pStyle w:val="TableParagraph"/>
              <w:spacing w:line="240" w:lineRule="auto" w:before="13"/>
              <w:ind w:right="16"/>
              <w:jc w:val="right"/>
              <w:rPr>
                <w:rFonts w:ascii="Times New Roman" w:hAnsi="Times New Roman" w:cs="Times New Roman" w:eastAsia="Times New Roman" w:hint="default"/>
                <w:sz w:val="18"/>
                <w:szCs w:val="18"/>
              </w:rPr>
            </w:pPr>
            <w:r>
              <w:rPr>
                <w:rFonts w:ascii="Times New Roman"/>
                <w:spacing w:val="-1"/>
                <w:sz w:val="18"/>
              </w:rPr>
              <w:t>993,016,822.76</w:t>
            </w:r>
          </w:p>
        </w:tc>
        <w:tc>
          <w:tcPr>
            <w:tcW w:w="1766"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72"/>
              <w:ind w:right="11"/>
              <w:jc w:val="right"/>
              <w:rPr>
                <w:rFonts w:ascii="Times New Roman" w:hAnsi="Times New Roman" w:cs="Times New Roman" w:eastAsia="Times New Roman" w:hint="default"/>
                <w:sz w:val="18"/>
                <w:szCs w:val="18"/>
              </w:rPr>
            </w:pPr>
            <w:r>
              <w:rPr>
                <w:rFonts w:ascii="Times New Roman"/>
                <w:sz w:val="18"/>
              </w:rPr>
              <w:t>34.67%</w:t>
            </w:r>
          </w:p>
        </w:tc>
        <w:tc>
          <w:tcPr>
            <w:tcW w:w="1683" w:type="dxa"/>
            <w:tcBorders>
              <w:top w:val="single" w:sz="51" w:space="0" w:color="DCDCDC"/>
              <w:left w:val="single" w:sz="10" w:space="0" w:color="DCDCDC"/>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18"/>
                <w:szCs w:val="18"/>
              </w:rPr>
            </w:pPr>
            <w:r>
              <w:rPr>
                <w:rFonts w:ascii="Times New Roman"/>
                <w:spacing w:val="-1"/>
                <w:sz w:val="18"/>
              </w:rPr>
              <w:t>692,308,666.41</w:t>
            </w:r>
          </w:p>
        </w:tc>
      </w:tr>
      <w:tr>
        <w:trPr>
          <w:trHeight w:val="478"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归属于上市公司股东的所</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有者权益（元）</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964,284,418.30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572,981,361.71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68.29%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528,654,541.76</w:t>
            </w:r>
          </w:p>
        </w:tc>
      </w:tr>
      <w:tr>
        <w:trPr>
          <w:trHeight w:val="242" w:hRule="exact"/>
        </w:trPr>
        <w:tc>
          <w:tcPr>
            <w:tcW w:w="2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124,124,172.00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12.84%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110,000,000.00</w:t>
            </w:r>
          </w:p>
        </w:tc>
      </w:tr>
    </w:tbl>
    <w:p>
      <w:pPr>
        <w:spacing w:line="240" w:lineRule="auto" w:before="2"/>
        <w:rPr>
          <w:rFonts w:ascii="宋体" w:hAnsi="宋体" w:cs="宋体" w:eastAsia="宋体" w:hint="default"/>
          <w:b/>
          <w:bCs/>
          <w:sz w:val="26"/>
          <w:szCs w:val="26"/>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（二）主要财务指标（单位：人民币元）</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44" w:type="dxa"/>
        <w:tblLayout w:type="fixed"/>
        <w:tblCellMar>
          <w:top w:w="0" w:type="dxa"/>
          <w:left w:w="0" w:type="dxa"/>
          <w:bottom w:w="0" w:type="dxa"/>
          <w:right w:w="0" w:type="dxa"/>
        </w:tblCellMar>
        <w:tblLook w:val="01E0"/>
      </w:tblPr>
      <w:tblGrid>
        <w:gridCol w:w="2265"/>
        <w:gridCol w:w="377"/>
        <w:gridCol w:w="893"/>
        <w:gridCol w:w="1419"/>
        <w:gridCol w:w="2125"/>
        <w:gridCol w:w="1277"/>
      </w:tblGrid>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5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0.67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0.54</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0.67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0.54</w:t>
            </w:r>
          </w:p>
        </w:tc>
      </w:tr>
      <w:tr>
        <w:trPr>
          <w:trHeight w:val="47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8" w:lineRule="exact"/>
              <w:ind w:left="10"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377" w:type="dxa"/>
            <w:tcBorders>
              <w:top w:val="single" w:sz="4" w:space="0" w:color="000000"/>
              <w:left w:val="single" w:sz="13" w:space="0" w:color="DCDCDC"/>
              <w:bottom w:val="single" w:sz="4" w:space="0" w:color="000000"/>
              <w:right w:val="nil" w:sz="6" w:space="0" w:color="auto"/>
            </w:tcBorders>
          </w:tcPr>
          <w:p>
            <w:pPr>
              <w:pStyle w:val="TableParagraph"/>
              <w:spacing w:line="208"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316" w:right="0"/>
              <w:jc w:val="left"/>
              <w:rPr>
                <w:rFonts w:ascii="Times New Roman" w:hAnsi="Times New Roman" w:cs="Times New Roman" w:eastAsia="Times New Roman" w:hint="default"/>
                <w:sz w:val="18"/>
                <w:szCs w:val="18"/>
              </w:rPr>
            </w:pPr>
            <w:r>
              <w:rPr>
                <w:rFonts w:ascii="Times New Roman"/>
                <w:sz w:val="18"/>
              </w:rPr>
              <w:t>11.80%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13.56%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11.74%</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tc>
        <w:tc>
          <w:tcPr>
            <w:tcW w:w="127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left="676" w:right="0"/>
              <w:jc w:val="left"/>
              <w:rPr>
                <w:rFonts w:ascii="Times New Roman" w:hAnsi="Times New Roman" w:cs="Times New Roman" w:eastAsia="Times New Roman" w:hint="default"/>
                <w:sz w:val="18"/>
                <w:szCs w:val="18"/>
              </w:rPr>
            </w:pPr>
            <w:r>
              <w:rPr>
                <w:rFonts w:ascii="Times New Roman"/>
                <w:sz w:val="18"/>
              </w:rPr>
              <w:t>11.61%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13.14%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11.65%</w:t>
            </w:r>
          </w:p>
        </w:tc>
      </w:tr>
    </w:tbl>
    <w:p>
      <w:pPr>
        <w:spacing w:after="0" w:line="240" w:lineRule="auto"/>
        <w:jc w:val="right"/>
        <w:rPr>
          <w:rFonts w:ascii="Times New Roman" w:hAnsi="Times New Roman" w:cs="Times New Roman" w:eastAsia="Times New Roman" w:hint="default"/>
          <w:sz w:val="18"/>
          <w:szCs w:val="18"/>
        </w:rPr>
        <w:sectPr>
          <w:pgSz w:w="11910" w:h="16840"/>
          <w:pgMar w:header="915" w:footer="1100" w:top="1100" w:bottom="1280" w:left="1660" w:right="0"/>
        </w:sectPr>
      </w:pPr>
    </w:p>
    <w:p>
      <w:pPr>
        <w:spacing w:line="240" w:lineRule="auto" w:before="6"/>
        <w:rPr>
          <w:rFonts w:ascii="宋体" w:hAnsi="宋体" w:cs="宋体" w:eastAsia="宋体" w:hint="default"/>
          <w:b/>
          <w:bCs/>
          <w:sz w:val="2"/>
          <w:szCs w:val="2"/>
        </w:rPr>
      </w:pPr>
      <w:r>
        <w:rPr/>
        <w:pict>
          <v:shape style="position:absolute;margin-left:90.150002pt;margin-top:41.999985pt;width:18pt;height:15.75pt;mso-position-horizontal-relative:page;mso-position-vertical-relative:page;z-index:-746560" type="#_x0000_t75" stroked="false">
            <v:imagedata r:id="rId7" o:title=""/>
          </v:shape>
        </w:pict>
      </w:r>
    </w:p>
    <w:tbl>
      <w:tblPr>
        <w:tblW w:w="0" w:type="auto"/>
        <w:jc w:val="left"/>
        <w:tblInd w:w="124" w:type="dxa"/>
        <w:tblLayout w:type="fixed"/>
        <w:tblCellMar>
          <w:top w:w="0" w:type="dxa"/>
          <w:left w:w="0" w:type="dxa"/>
          <w:bottom w:w="0" w:type="dxa"/>
          <w:right w:w="0" w:type="dxa"/>
        </w:tblCellMar>
        <w:tblLook w:val="01E0"/>
      </w:tblPr>
      <w:tblGrid>
        <w:gridCol w:w="2265"/>
        <w:gridCol w:w="1270"/>
        <w:gridCol w:w="1419"/>
        <w:gridCol w:w="2125"/>
        <w:gridCol w:w="158"/>
        <w:gridCol w:w="1119"/>
      </w:tblGrid>
      <w:tr>
        <w:trPr>
          <w:trHeight w:val="257" w:hRule="exact"/>
        </w:trPr>
        <w:tc>
          <w:tcPr>
            <w:tcW w:w="226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10"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0" w:type="dxa"/>
            <w:tcBorders>
              <w:top w:val="single" w:sz="10" w:space="0" w:color="000000"/>
              <w:left w:val="single" w:sz="13" w:space="0" w:color="DCDCDC"/>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2125" w:type="dxa"/>
            <w:tcBorders>
              <w:top w:val="single" w:sz="10" w:space="0" w:color="000000"/>
              <w:left w:val="single" w:sz="4" w:space="0" w:color="000000"/>
              <w:bottom w:val="single" w:sz="4" w:space="0" w:color="000000"/>
              <w:right w:val="single" w:sz="4" w:space="0" w:color="000000"/>
            </w:tcBorders>
          </w:tcPr>
          <w:p>
            <w:pPr/>
          </w:p>
        </w:tc>
        <w:tc>
          <w:tcPr>
            <w:tcW w:w="1277" w:type="dxa"/>
            <w:gridSpan w:val="2"/>
            <w:tcBorders>
              <w:top w:val="single" w:sz="10" w:space="0" w:color="000000"/>
              <w:left w:val="single" w:sz="4" w:space="0" w:color="000000"/>
              <w:bottom w:val="single" w:sz="4" w:space="0" w:color="000000"/>
              <w:right w:val="single" w:sz="4" w:space="0" w:color="000000"/>
            </w:tcBorders>
          </w:tcPr>
          <w:p>
            <w:pP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8" w:lineRule="exact"/>
              <w:ind w:left="10"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43.56%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1.05</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 w:type="dxa"/>
            <w:tcBorders>
              <w:top w:val="single" w:sz="4" w:space="0" w:color="000000"/>
              <w:left w:val="single" w:sz="4" w:space="0" w:color="000000"/>
              <w:bottom w:val="single" w:sz="4" w:space="0" w:color="000000"/>
              <w:right w:val="nil" w:sz="6" w:space="0" w:color="auto"/>
            </w:tcBorders>
            <w:shd w:val="clear" w:color="auto" w:fill="DCDCDC"/>
          </w:tcPr>
          <w:p>
            <w:pPr/>
          </w:p>
        </w:tc>
        <w:tc>
          <w:tcPr>
            <w:tcW w:w="111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w:t>
            </w:r>
          </w:p>
          <w:p>
            <w:pPr>
              <w:pStyle w:val="TableParagraph"/>
              <w:spacing w:line="248" w:lineRule="exact"/>
              <w:ind w:left="10" w:right="0"/>
              <w:jc w:val="left"/>
              <w:rPr>
                <w:rFonts w:ascii="宋体" w:hAnsi="宋体" w:cs="宋体" w:eastAsia="宋体" w:hint="default"/>
                <w:sz w:val="18"/>
                <w:szCs w:val="18"/>
              </w:rPr>
            </w:pPr>
            <w:r>
              <w:rPr>
                <w:rFonts w:ascii="宋体" w:hAnsi="宋体" w:cs="宋体" w:eastAsia="宋体" w:hint="default"/>
                <w:sz w:val="18"/>
                <w:szCs w:val="18"/>
              </w:rPr>
              <w:t>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5.21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49.14%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4.81</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line="357" w:lineRule="auto" w:before="36"/>
        <w:ind w:left="118" w:right="1788" w:firstLine="0"/>
        <w:jc w:val="left"/>
        <w:rPr>
          <w:rFonts w:ascii="宋体" w:hAnsi="宋体" w:cs="宋体" w:eastAsia="宋体" w:hint="default"/>
          <w:sz w:val="21"/>
          <w:szCs w:val="21"/>
        </w:rPr>
      </w:pPr>
      <w:r>
        <w:rPr/>
        <w:pict>
          <v:shape style="position:absolute;margin-left:339.429993pt;margin-top:-59.856331pt;width:167.35pt;height:11.65pt;mso-position-horizontal-relative:page;mso-position-vertical-relative:paragraph;z-index:-74658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本年末比上年末增减（％）</w:t>
                  </w: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76"/>
          <w:sz w:val="21"/>
          <w:szCs w:val="21"/>
        </w:rPr>
        <w:t> </w:t>
      </w:r>
      <w:r>
        <w:rPr>
          <w:rFonts w:ascii="宋体" w:hAnsi="宋体" w:cs="宋体" w:eastAsia="宋体" w:hint="default"/>
          <w:b/>
          <w:bCs/>
          <w:sz w:val="21"/>
          <w:szCs w:val="21"/>
        </w:rPr>
        <w:t>依照《公开发行证券的公司信息披露解释性公告第</w:t>
      </w:r>
      <w:r>
        <w:rPr>
          <w:rFonts w:ascii="宋体" w:hAnsi="宋体" w:cs="宋体" w:eastAsia="宋体" w:hint="default"/>
          <w:b/>
          <w:bCs/>
          <w:sz w:val="21"/>
          <w:szCs w:val="21"/>
        </w:rPr>
        <w:t>1</w:t>
      </w:r>
      <w:r>
        <w:rPr>
          <w:rFonts w:ascii="宋体" w:hAnsi="宋体" w:cs="宋体" w:eastAsia="宋体" w:hint="default"/>
          <w:b/>
          <w:bCs/>
          <w:sz w:val="21"/>
          <w:szCs w:val="21"/>
        </w:rPr>
        <w:t>号——非经常性损益》（证监会</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公告</w:t>
      </w:r>
      <w:r>
        <w:rPr>
          <w:rFonts w:ascii="宋体" w:hAnsi="宋体" w:cs="宋体" w:eastAsia="宋体" w:hint="default"/>
          <w:b/>
          <w:bCs/>
          <w:sz w:val="21"/>
          <w:szCs w:val="21"/>
        </w:rPr>
        <w:t>[2008]43</w:t>
      </w:r>
      <w:r>
        <w:rPr>
          <w:rFonts w:ascii="宋体" w:hAnsi="宋体" w:cs="宋体" w:eastAsia="宋体" w:hint="default"/>
          <w:b/>
          <w:bCs/>
          <w:sz w:val="21"/>
          <w:szCs w:val="21"/>
        </w:rPr>
        <w:t>号）的规定，净资产收益率及每股收益计算如下：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tbl>
      <w:tblPr>
        <w:tblW w:w="0" w:type="auto"/>
        <w:jc w:val="left"/>
        <w:tblInd w:w="708" w:type="dxa"/>
        <w:tblLayout w:type="fixed"/>
        <w:tblCellMar>
          <w:top w:w="0" w:type="dxa"/>
          <w:left w:w="0" w:type="dxa"/>
          <w:bottom w:w="0" w:type="dxa"/>
          <w:right w:w="0" w:type="dxa"/>
        </w:tblCellMar>
        <w:tblLook w:val="01E0"/>
      </w:tblPr>
      <w:tblGrid>
        <w:gridCol w:w="1940"/>
        <w:gridCol w:w="2086"/>
        <w:gridCol w:w="1622"/>
        <w:gridCol w:w="1477"/>
      </w:tblGrid>
      <w:tr>
        <w:trPr>
          <w:trHeight w:val="242" w:hRule="exact"/>
        </w:trPr>
        <w:tc>
          <w:tcPr>
            <w:tcW w:w="19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9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245" w:hRule="exact"/>
        </w:trPr>
        <w:tc>
          <w:tcPr>
            <w:tcW w:w="1940" w:type="dxa"/>
            <w:vMerge/>
            <w:tcBorders>
              <w:left w:val="single" w:sz="4" w:space="0" w:color="000000"/>
              <w:bottom w:val="single" w:sz="4" w:space="0" w:color="000000"/>
              <w:right w:val="single" w:sz="4" w:space="0" w:color="000000"/>
            </w:tcBorders>
            <w:shd w:val="clear" w:color="auto" w:fill="D9D9D9"/>
          </w:tcPr>
          <w:p>
            <w:pPr/>
          </w:p>
        </w:tc>
        <w:tc>
          <w:tcPr>
            <w:tcW w:w="2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24"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331" w:right="158" w:hanging="180"/>
              <w:jc w:val="left"/>
              <w:rPr>
                <w:rFonts w:ascii="宋体" w:hAnsi="宋体" w:cs="宋体" w:eastAsia="宋体" w:hint="default"/>
                <w:sz w:val="18"/>
                <w:szCs w:val="18"/>
              </w:rPr>
            </w:pPr>
            <w:r>
              <w:rPr>
                <w:rFonts w:ascii="宋体" w:hAnsi="宋体" w:cs="宋体" w:eastAsia="宋体" w:hint="default"/>
                <w:sz w:val="18"/>
                <w:szCs w:val="18"/>
              </w:rPr>
              <w:t>归属于上市公司普通 股股东的净利润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18"/>
                <w:szCs w:val="18"/>
              </w:rPr>
            </w:pPr>
            <w:r>
              <w:rPr>
                <w:rFonts w:ascii="Times New Roman"/>
                <w:sz w:val="18"/>
              </w:rPr>
              <w:t>11.80%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18"/>
                <w:szCs w:val="18"/>
              </w:rPr>
            </w:pPr>
            <w:r>
              <w:rPr>
                <w:rFonts w:ascii="Times New Roman"/>
                <w:sz w:val="18"/>
              </w:rPr>
              <w:t>0.70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18"/>
                <w:szCs w:val="18"/>
              </w:rPr>
            </w:pPr>
            <w:r>
              <w:rPr>
                <w:rFonts w:ascii="Times New Roman"/>
                <w:sz w:val="18"/>
              </w:rPr>
              <w:t>0.70</w:t>
            </w:r>
          </w:p>
        </w:tc>
      </w:tr>
      <w:tr>
        <w:trPr>
          <w:trHeight w:val="938"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09"/>
              <w:ind w:left="151" w:right="158"/>
              <w:jc w:val="both"/>
              <w:rPr>
                <w:rFonts w:ascii="宋体" w:hAnsi="宋体" w:cs="宋体" w:eastAsia="宋体" w:hint="default"/>
                <w:sz w:val="18"/>
                <w:szCs w:val="18"/>
              </w:rPr>
            </w:pPr>
            <w:r>
              <w:rPr>
                <w:rFonts w:ascii="宋体" w:hAnsi="宋体" w:cs="宋体" w:eastAsia="宋体" w:hint="default"/>
                <w:sz w:val="18"/>
                <w:szCs w:val="18"/>
              </w:rPr>
              <w:t>扣除非经常性损益后 的归属于上市公司普 通股股东的净利润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11.61%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0.69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0.69</w:t>
            </w:r>
          </w:p>
        </w:tc>
      </w:tr>
    </w:tbl>
    <w:p>
      <w:pPr>
        <w:spacing w:line="241" w:lineRule="exact" w:before="0"/>
        <w:ind w:left="646" w:right="1788" w:firstLine="0"/>
        <w:jc w:val="left"/>
        <w:rPr>
          <w:rFonts w:ascii="宋体" w:hAnsi="宋体" w:cs="宋体" w:eastAsia="宋体" w:hint="default"/>
          <w:sz w:val="21"/>
          <w:szCs w:val="21"/>
        </w:rPr>
      </w:pPr>
      <w:r>
        <w:rPr>
          <w:rFonts w:ascii="宋体" w:hAnsi="宋体" w:cs="宋体" w:eastAsia="宋体" w:hint="default"/>
          <w:b/>
          <w:bCs/>
          <w:sz w:val="21"/>
          <w:szCs w:val="21"/>
        </w:rPr>
        <w:t>净资产收益率及每股收益计算过程如下：</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0"/>
        <w:ind w:left="538" w:right="754" w:firstLine="0"/>
        <w:jc w:val="left"/>
        <w:rPr>
          <w:rFonts w:ascii="宋体" w:hAnsi="宋体" w:cs="宋体" w:eastAsia="宋体" w:hint="default"/>
          <w:sz w:val="21"/>
          <w:szCs w:val="21"/>
        </w:rPr>
      </w:pPr>
      <w:r>
        <w:rPr>
          <w:rFonts w:ascii="宋体" w:hAnsi="宋体" w:cs="宋体" w:eastAsia="宋体" w:hint="default"/>
          <w:sz w:val="21"/>
          <w:szCs w:val="21"/>
        </w:rPr>
        <w:t>⑴</w:t>
      </w:r>
      <w:r>
        <w:rPr>
          <w:rFonts w:ascii="宋体" w:hAnsi="宋体" w:cs="宋体" w:eastAsia="宋体" w:hint="default"/>
          <w:spacing w:val="-10"/>
          <w:sz w:val="21"/>
          <w:szCs w:val="21"/>
        </w:rPr>
        <w:t> </w:t>
      </w:r>
      <w:r>
        <w:rPr>
          <w:rFonts w:ascii="宋体" w:hAnsi="宋体" w:cs="宋体" w:eastAsia="宋体" w:hint="default"/>
          <w:sz w:val="21"/>
          <w:szCs w:val="21"/>
        </w:rPr>
        <w:t>加权平均净资产收益率</w:t>
      </w:r>
      <w:r>
        <w:rPr>
          <w:rFonts w:ascii="宋体" w:hAnsi="宋体" w:cs="宋体" w:eastAsia="宋体" w:hint="default"/>
          <w:sz w:val="21"/>
          <w:szCs w:val="21"/>
        </w:rPr>
        <w:t>=P0/</w:t>
      </w:r>
      <w:r>
        <w:rPr>
          <w:rFonts w:ascii="宋体" w:hAnsi="宋体" w:cs="宋体" w:eastAsia="宋体" w:hint="default"/>
          <w:sz w:val="21"/>
          <w:szCs w:val="21"/>
        </w:rPr>
        <w:t>（</w:t>
      </w:r>
      <w:r>
        <w:rPr>
          <w:rFonts w:ascii="宋体" w:hAnsi="宋体" w:cs="宋体" w:eastAsia="宋体" w:hint="default"/>
          <w:sz w:val="21"/>
          <w:szCs w:val="21"/>
        </w:rPr>
        <w:t>E0</w:t>
      </w:r>
      <w:r>
        <w:rPr>
          <w:rFonts w:ascii="宋体" w:hAnsi="宋体" w:cs="宋体" w:eastAsia="宋体" w:hint="default"/>
          <w:sz w:val="21"/>
          <w:szCs w:val="21"/>
        </w:rPr>
        <w:t>＋</w:t>
      </w:r>
      <w:r>
        <w:rPr>
          <w:rFonts w:ascii="宋体" w:hAnsi="宋体" w:cs="宋体" w:eastAsia="宋体" w:hint="default"/>
          <w:sz w:val="21"/>
          <w:szCs w:val="21"/>
        </w:rPr>
        <w:t>NP</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Ei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M0-Ej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Ek</w:t>
      </w:r>
      <w:r>
        <w:rPr>
          <w:rFonts w:ascii="宋体" w:hAnsi="宋体" w:cs="宋体" w:eastAsia="宋体" w:hint="default"/>
          <w:sz w:val="21"/>
          <w:szCs w:val="21"/>
        </w:rPr>
        <w:t>×</w:t>
      </w:r>
      <w:r>
        <w:rPr>
          <w:rFonts w:ascii="宋体" w:hAnsi="宋体" w:cs="宋体" w:eastAsia="宋体" w:hint="default"/>
          <w:sz w:val="21"/>
          <w:szCs w:val="21"/>
        </w:rPr>
        <w:t>Mk</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p>
    <w:p>
      <w:pPr>
        <w:spacing w:line="350" w:lineRule="auto" w:before="123"/>
        <w:ind w:left="118" w:right="2753" w:firstLine="0"/>
        <w:jc w:val="left"/>
        <w:rPr>
          <w:rFonts w:ascii="宋体" w:hAnsi="宋体" w:cs="宋体" w:eastAsia="宋体" w:hint="default"/>
          <w:sz w:val="21"/>
          <w:szCs w:val="21"/>
        </w:rPr>
      </w:pPr>
      <w:r>
        <w:rPr>
          <w:rFonts w:ascii="宋体" w:hAnsi="宋体" w:cs="宋体" w:eastAsia="宋体" w:hint="default"/>
          <w:spacing w:val="-1"/>
          <w:sz w:val="21"/>
          <w:szCs w:val="21"/>
        </w:rPr>
        <w:t>=79,194,442.06/</w:t>
      </w:r>
      <w:r>
        <w:rPr>
          <w:rFonts w:ascii="宋体" w:hAnsi="宋体" w:cs="宋体" w:eastAsia="宋体" w:hint="default"/>
          <w:spacing w:val="-1"/>
          <w:sz w:val="21"/>
          <w:szCs w:val="21"/>
        </w:rPr>
        <w:t>（</w:t>
      </w:r>
      <w:r>
        <w:rPr>
          <w:rFonts w:ascii="宋体" w:hAnsi="宋体" w:cs="宋体" w:eastAsia="宋体" w:hint="default"/>
          <w:spacing w:val="-1"/>
          <w:sz w:val="21"/>
          <w:szCs w:val="21"/>
        </w:rPr>
        <w:t>572,981,361.71</w:t>
      </w:r>
      <w:r>
        <w:rPr>
          <w:rFonts w:ascii="宋体" w:hAnsi="宋体" w:cs="宋体" w:eastAsia="宋体" w:hint="default"/>
          <w:spacing w:val="-1"/>
          <w:sz w:val="21"/>
          <w:szCs w:val="21"/>
        </w:rPr>
        <w:t>＋</w:t>
      </w:r>
      <w:r>
        <w:rPr>
          <w:rFonts w:ascii="宋体" w:hAnsi="宋体" w:cs="宋体" w:eastAsia="宋体" w:hint="default"/>
          <w:spacing w:val="-1"/>
          <w:sz w:val="21"/>
          <w:szCs w:val="21"/>
        </w:rPr>
        <w:t>79,194,442.06</w:t>
      </w: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1"/>
          <w:sz w:val="21"/>
          <w:szCs w:val="21"/>
        </w:rPr>
        <w:t>345,108,614.53</w:t>
      </w: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12-33,000,000.00</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=11.80%</w:t>
      </w:r>
    </w:p>
    <w:p>
      <w:pPr>
        <w:spacing w:line="196" w:lineRule="exact" w:before="0"/>
        <w:ind w:left="118" w:right="0" w:firstLine="525"/>
        <w:jc w:val="both"/>
        <w:rPr>
          <w:rFonts w:ascii="宋体" w:hAnsi="宋体" w:cs="宋体" w:eastAsia="宋体" w:hint="default"/>
          <w:sz w:val="21"/>
          <w:szCs w:val="21"/>
        </w:rPr>
      </w:pPr>
      <w:r>
        <w:rPr>
          <w:rFonts w:ascii="宋体" w:hAnsi="宋体" w:cs="宋体" w:eastAsia="宋体" w:hint="default"/>
          <w:spacing w:val="-4"/>
          <w:sz w:val="21"/>
          <w:szCs w:val="21"/>
        </w:rPr>
        <w:t>其中：</w:t>
      </w:r>
      <w:r>
        <w:rPr>
          <w:rFonts w:ascii="宋体" w:hAnsi="宋体" w:cs="宋体" w:eastAsia="宋体" w:hint="default"/>
          <w:spacing w:val="-4"/>
          <w:sz w:val="21"/>
          <w:szCs w:val="21"/>
        </w:rPr>
        <w:t>P0</w:t>
      </w:r>
      <w:r>
        <w:rPr>
          <w:rFonts w:ascii="宋体" w:hAnsi="宋体" w:cs="宋体" w:eastAsia="宋体" w:hint="default"/>
          <w:spacing w:val="-10"/>
          <w:sz w:val="21"/>
          <w:szCs w:val="21"/>
        </w:rPr>
        <w:t> </w:t>
      </w:r>
      <w:r>
        <w:rPr>
          <w:rFonts w:ascii="宋体" w:hAnsi="宋体" w:cs="宋体" w:eastAsia="宋体" w:hint="default"/>
          <w:spacing w:val="-2"/>
          <w:sz w:val="21"/>
          <w:szCs w:val="21"/>
        </w:rPr>
        <w:t>分别对应于归属于公司普通股股东的净利润、扣除非经常性损益后归属于公</w:t>
      </w:r>
    </w:p>
    <w:p>
      <w:pPr>
        <w:spacing w:line="357" w:lineRule="auto" w:before="133"/>
        <w:ind w:left="118" w:right="1788" w:firstLine="0"/>
        <w:jc w:val="both"/>
        <w:rPr>
          <w:rFonts w:ascii="宋体" w:hAnsi="宋体" w:cs="宋体" w:eastAsia="宋体" w:hint="default"/>
          <w:sz w:val="21"/>
          <w:szCs w:val="21"/>
        </w:rPr>
      </w:pPr>
      <w:r>
        <w:rPr>
          <w:rFonts w:ascii="宋体" w:hAnsi="宋体" w:cs="宋体" w:eastAsia="宋体" w:hint="default"/>
          <w:sz w:val="21"/>
          <w:szCs w:val="21"/>
        </w:rPr>
        <w:t>司普通股股东的净利润；</w:t>
      </w:r>
      <w:r>
        <w:rPr>
          <w:rFonts w:ascii="宋体" w:hAnsi="宋体" w:cs="宋体" w:eastAsia="宋体" w:hint="default"/>
          <w:sz w:val="21"/>
          <w:szCs w:val="21"/>
        </w:rPr>
        <w:t>NP</w:t>
      </w:r>
      <w:r>
        <w:rPr>
          <w:rFonts w:ascii="宋体" w:hAnsi="宋体" w:cs="宋体" w:eastAsia="宋体" w:hint="default"/>
          <w:spacing w:val="-48"/>
          <w:sz w:val="21"/>
          <w:szCs w:val="21"/>
        </w:rPr>
        <w:t> </w:t>
      </w:r>
      <w:r>
        <w:rPr>
          <w:rFonts w:ascii="宋体" w:hAnsi="宋体" w:cs="宋体" w:eastAsia="宋体" w:hint="default"/>
          <w:sz w:val="21"/>
          <w:szCs w:val="21"/>
        </w:rPr>
        <w:t>为归属于公司普通股股东的净利润；</w:t>
      </w:r>
      <w:r>
        <w:rPr>
          <w:rFonts w:ascii="宋体" w:hAnsi="宋体" w:cs="宋体" w:eastAsia="宋体" w:hint="default"/>
          <w:sz w:val="21"/>
          <w:szCs w:val="21"/>
        </w:rPr>
        <w:t>E0</w:t>
      </w:r>
      <w:r>
        <w:rPr>
          <w:rFonts w:ascii="宋体" w:hAnsi="宋体" w:cs="宋体" w:eastAsia="宋体" w:hint="default"/>
          <w:spacing w:val="-51"/>
          <w:sz w:val="21"/>
          <w:szCs w:val="21"/>
        </w:rPr>
        <w:t> </w:t>
      </w:r>
      <w:r>
        <w:rPr>
          <w:rFonts w:ascii="宋体" w:hAnsi="宋体" w:cs="宋体" w:eastAsia="宋体" w:hint="default"/>
          <w:sz w:val="21"/>
          <w:szCs w:val="21"/>
        </w:rPr>
        <w:t>为归属于公司普通股股</w:t>
      </w:r>
      <w:r>
        <w:rPr>
          <w:rFonts w:ascii="宋体" w:hAnsi="宋体" w:cs="宋体" w:eastAsia="宋体" w:hint="default"/>
          <w:w w:val="100"/>
          <w:sz w:val="21"/>
          <w:szCs w:val="21"/>
        </w:rPr>
        <w:t> </w:t>
      </w:r>
      <w:r>
        <w:rPr>
          <w:rFonts w:ascii="宋体" w:hAnsi="宋体" w:cs="宋体" w:eastAsia="宋体" w:hint="default"/>
          <w:sz w:val="21"/>
          <w:szCs w:val="21"/>
        </w:rPr>
        <w:t>东的期初净资产；</w:t>
      </w:r>
      <w:r>
        <w:rPr>
          <w:rFonts w:ascii="宋体" w:hAnsi="宋体" w:cs="宋体" w:eastAsia="宋体" w:hint="default"/>
          <w:sz w:val="21"/>
          <w:szCs w:val="21"/>
        </w:rPr>
        <w:t>Ei</w:t>
      </w:r>
      <w:r>
        <w:rPr>
          <w:rFonts w:ascii="宋体" w:hAnsi="宋体" w:cs="宋体" w:eastAsia="宋体" w:hint="default"/>
          <w:spacing w:val="13"/>
          <w:sz w:val="21"/>
          <w:szCs w:val="21"/>
        </w:rPr>
        <w:t> </w:t>
      </w:r>
      <w:r>
        <w:rPr>
          <w:rFonts w:ascii="宋体" w:hAnsi="宋体" w:cs="宋体" w:eastAsia="宋体" w:hint="default"/>
          <w:sz w:val="21"/>
          <w:szCs w:val="21"/>
        </w:rPr>
        <w:t>为报告期发行新股或债转股等新增的、归属于公司普通股股东的净资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Ej</w:t>
      </w:r>
      <w:r>
        <w:rPr>
          <w:rFonts w:ascii="宋体" w:hAnsi="宋体" w:cs="宋体" w:eastAsia="宋体" w:hint="default"/>
          <w:spacing w:val="-49"/>
          <w:sz w:val="21"/>
          <w:szCs w:val="21"/>
        </w:rPr>
        <w:t> </w:t>
      </w:r>
      <w:r>
        <w:rPr>
          <w:rFonts w:ascii="宋体" w:hAnsi="宋体" w:cs="宋体" w:eastAsia="宋体" w:hint="default"/>
          <w:sz w:val="21"/>
          <w:szCs w:val="21"/>
        </w:rPr>
        <w:t>为报告期回购或现金分红等减少的、归属于公司普通股股东的净资产；</w:t>
      </w:r>
      <w:r>
        <w:rPr>
          <w:rFonts w:ascii="宋体" w:hAnsi="宋体" w:cs="宋体" w:eastAsia="宋体" w:hint="default"/>
          <w:sz w:val="21"/>
          <w:szCs w:val="21"/>
        </w:rPr>
        <w:t>M0</w:t>
      </w:r>
      <w:r>
        <w:rPr>
          <w:rFonts w:ascii="宋体" w:hAnsi="宋体" w:cs="宋体" w:eastAsia="宋体" w:hint="default"/>
          <w:spacing w:val="-46"/>
          <w:sz w:val="21"/>
          <w:szCs w:val="21"/>
        </w:rPr>
        <w:t> </w:t>
      </w:r>
      <w:r>
        <w:rPr>
          <w:rFonts w:ascii="宋体" w:hAnsi="宋体" w:cs="宋体" w:eastAsia="宋体" w:hint="default"/>
          <w:sz w:val="21"/>
          <w:szCs w:val="21"/>
        </w:rPr>
        <w:t>为报告期</w:t>
      </w:r>
      <w:r>
        <w:rPr>
          <w:rFonts w:ascii="宋体" w:hAnsi="宋体" w:cs="宋体" w:eastAsia="宋体" w:hint="default"/>
          <w:w w:val="100"/>
          <w:sz w:val="21"/>
          <w:szCs w:val="21"/>
        </w:rPr>
        <w:t> </w:t>
      </w:r>
      <w:r>
        <w:rPr>
          <w:rFonts w:ascii="宋体" w:hAnsi="宋体" w:cs="宋体" w:eastAsia="宋体" w:hint="default"/>
          <w:sz w:val="21"/>
          <w:szCs w:val="21"/>
        </w:rPr>
        <w:t>月份数；</w:t>
      </w:r>
      <w:r>
        <w:rPr>
          <w:rFonts w:ascii="宋体" w:hAnsi="宋体" w:cs="宋体" w:eastAsia="宋体" w:hint="default"/>
          <w:sz w:val="21"/>
          <w:szCs w:val="21"/>
        </w:rPr>
        <w:t>Mi</w:t>
      </w:r>
      <w:r>
        <w:rPr>
          <w:rFonts w:ascii="宋体" w:hAnsi="宋体" w:cs="宋体" w:eastAsia="宋体" w:hint="default"/>
          <w:spacing w:val="-48"/>
          <w:sz w:val="21"/>
          <w:szCs w:val="21"/>
        </w:rPr>
        <w:t> </w:t>
      </w:r>
      <w:r>
        <w:rPr>
          <w:rFonts w:ascii="宋体" w:hAnsi="宋体" w:cs="宋体" w:eastAsia="宋体" w:hint="default"/>
          <w:sz w:val="21"/>
          <w:szCs w:val="21"/>
        </w:rPr>
        <w:t>为新增净资产次月起至报告期期末的累计月数；</w:t>
      </w:r>
      <w:r>
        <w:rPr>
          <w:rFonts w:ascii="宋体" w:hAnsi="宋体" w:cs="宋体" w:eastAsia="宋体" w:hint="default"/>
          <w:sz w:val="21"/>
          <w:szCs w:val="21"/>
        </w:rPr>
        <w:t>Mj</w:t>
      </w:r>
      <w:r>
        <w:rPr>
          <w:rFonts w:ascii="宋体" w:hAnsi="宋体" w:cs="宋体" w:eastAsia="宋体" w:hint="default"/>
          <w:spacing w:val="-48"/>
          <w:sz w:val="21"/>
          <w:szCs w:val="21"/>
        </w:rPr>
        <w:t> </w:t>
      </w:r>
      <w:r>
        <w:rPr>
          <w:rFonts w:ascii="宋体" w:hAnsi="宋体" w:cs="宋体" w:eastAsia="宋体" w:hint="default"/>
          <w:sz w:val="21"/>
          <w:szCs w:val="21"/>
        </w:rPr>
        <w:t>为减少净资产次月起至报告</w:t>
      </w:r>
      <w:r>
        <w:rPr>
          <w:rFonts w:ascii="宋体" w:hAnsi="宋体" w:cs="宋体" w:eastAsia="宋体" w:hint="default"/>
          <w:w w:val="100"/>
          <w:sz w:val="21"/>
          <w:szCs w:val="21"/>
        </w:rPr>
        <w:t> </w:t>
      </w:r>
      <w:r>
        <w:rPr>
          <w:rFonts w:ascii="宋体" w:hAnsi="宋体" w:cs="宋体" w:eastAsia="宋体" w:hint="default"/>
          <w:sz w:val="21"/>
          <w:szCs w:val="21"/>
        </w:rPr>
        <w:t>期期末的累计月数；</w:t>
      </w:r>
      <w:r>
        <w:rPr>
          <w:rFonts w:ascii="宋体" w:hAnsi="宋体" w:cs="宋体" w:eastAsia="宋体" w:hint="default"/>
          <w:sz w:val="21"/>
          <w:szCs w:val="21"/>
        </w:rPr>
        <w:t>Ek</w:t>
      </w:r>
      <w:r>
        <w:rPr>
          <w:rFonts w:ascii="宋体" w:hAnsi="宋体" w:cs="宋体" w:eastAsia="宋体" w:hint="default"/>
          <w:spacing w:val="-46"/>
          <w:sz w:val="21"/>
          <w:szCs w:val="21"/>
        </w:rPr>
        <w:t> </w:t>
      </w:r>
      <w:r>
        <w:rPr>
          <w:rFonts w:ascii="宋体" w:hAnsi="宋体" w:cs="宋体" w:eastAsia="宋体" w:hint="default"/>
          <w:sz w:val="21"/>
          <w:szCs w:val="21"/>
        </w:rPr>
        <w:t>为因其他交易或事项引起的净资产增减变动；</w:t>
      </w:r>
      <w:r>
        <w:rPr>
          <w:rFonts w:ascii="宋体" w:hAnsi="宋体" w:cs="宋体" w:eastAsia="宋体" w:hint="default"/>
          <w:sz w:val="21"/>
          <w:szCs w:val="21"/>
        </w:rPr>
        <w:t>Mk</w:t>
      </w:r>
      <w:r>
        <w:rPr>
          <w:rFonts w:ascii="宋体" w:hAnsi="宋体" w:cs="宋体" w:eastAsia="宋体" w:hint="default"/>
          <w:spacing w:val="-49"/>
          <w:sz w:val="21"/>
          <w:szCs w:val="21"/>
        </w:rPr>
        <w:t> </w:t>
      </w:r>
      <w:r>
        <w:rPr>
          <w:rFonts w:ascii="宋体" w:hAnsi="宋体" w:cs="宋体" w:eastAsia="宋体" w:hint="default"/>
          <w:sz w:val="21"/>
          <w:szCs w:val="21"/>
        </w:rPr>
        <w:t>为发生其他净资产</w:t>
      </w:r>
      <w:r>
        <w:rPr>
          <w:rFonts w:ascii="宋体" w:hAnsi="宋体" w:cs="宋体" w:eastAsia="宋体" w:hint="default"/>
          <w:w w:val="100"/>
          <w:sz w:val="21"/>
          <w:szCs w:val="21"/>
        </w:rPr>
        <w:t> </w:t>
      </w:r>
      <w:r>
        <w:rPr>
          <w:rFonts w:ascii="宋体" w:hAnsi="宋体" w:cs="宋体" w:eastAsia="宋体" w:hint="default"/>
          <w:sz w:val="21"/>
          <w:szCs w:val="21"/>
        </w:rPr>
        <w:t>增减变动次月起至报告期期末的累计月数。</w:t>
      </w:r>
    </w:p>
    <w:p>
      <w:pPr>
        <w:spacing w:line="357" w:lineRule="auto" w:before="30"/>
        <w:ind w:left="118" w:right="1789" w:firstLine="525"/>
        <w:jc w:val="both"/>
        <w:rPr>
          <w:rFonts w:ascii="宋体" w:hAnsi="宋体" w:cs="宋体" w:eastAsia="宋体" w:hint="default"/>
          <w:sz w:val="21"/>
          <w:szCs w:val="21"/>
        </w:rPr>
      </w:pPr>
      <w:r>
        <w:rPr>
          <w:rFonts w:ascii="宋体" w:hAnsi="宋体" w:cs="宋体" w:eastAsia="宋体" w:hint="default"/>
          <w:spacing w:val="-1"/>
          <w:sz w:val="21"/>
          <w:szCs w:val="21"/>
        </w:rPr>
        <w:t>报告期发生同一控制下企业合并的，计算扣除非经常性损益后的加权平均净资产收益</w:t>
      </w:r>
      <w:r>
        <w:rPr>
          <w:rFonts w:ascii="宋体" w:hAnsi="宋体" w:cs="宋体" w:eastAsia="宋体" w:hint="default"/>
          <w:w w:val="100"/>
          <w:sz w:val="21"/>
          <w:szCs w:val="21"/>
        </w:rPr>
        <w:t> </w:t>
      </w:r>
      <w:r>
        <w:rPr>
          <w:rFonts w:ascii="宋体" w:hAnsi="宋体" w:cs="宋体" w:eastAsia="宋体" w:hint="default"/>
          <w:spacing w:val="-4"/>
          <w:sz w:val="21"/>
          <w:szCs w:val="21"/>
        </w:rPr>
        <w:t>率时，被合并方的净资产从合并日的次月起进行加权。计算比较期间的加权平均净资产收益</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率时，被合并方的净利润、净资产均从最终控制方实施控制的次月起进行加权；计算比较期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间扣除非经常性损益后的加权平均净资产收益率时，被合并方的净资产不予加权计算（权重</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7"/>
          <w:w w:val="100"/>
          <w:sz w:val="21"/>
          <w:szCs w:val="21"/>
        </w:rPr>
        <w:t>为零）。</w:t>
      </w:r>
    </w:p>
    <w:p>
      <w:pPr>
        <w:spacing w:before="30"/>
        <w:ind w:left="643" w:right="17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）每股收益计算过程如下：</w:t>
      </w:r>
    </w:p>
    <w:p>
      <w:pPr>
        <w:tabs>
          <w:tab w:pos="1065" w:val="left" w:leader="none"/>
        </w:tabs>
        <w:spacing w:before="133"/>
        <w:ind w:left="643" w:right="1788" w:firstLine="0"/>
        <w:jc w:val="left"/>
        <w:rPr>
          <w:rFonts w:ascii="宋体" w:hAnsi="宋体" w:cs="宋体" w:eastAsia="宋体" w:hint="default"/>
          <w:sz w:val="21"/>
          <w:szCs w:val="21"/>
        </w:rPr>
      </w:pPr>
      <w:r>
        <w:rPr>
          <w:rFonts w:ascii="宋体" w:hAnsi="宋体" w:cs="宋体" w:eastAsia="宋体" w:hint="default"/>
          <w:sz w:val="21"/>
          <w:szCs w:val="21"/>
        </w:rPr>
        <w:t>①</w:t>
        <w:tab/>
        <w:t>基本每股收益</w:t>
      </w:r>
      <w:r>
        <w:rPr>
          <w:rFonts w:ascii="宋体" w:hAnsi="宋体" w:cs="宋体" w:eastAsia="宋体" w:hint="default"/>
          <w:sz w:val="21"/>
          <w:szCs w:val="21"/>
        </w:rPr>
        <w:t>=P0</w:t>
      </w:r>
      <w:r>
        <w:rPr>
          <w:rFonts w:ascii="宋体" w:hAnsi="宋体" w:cs="宋体" w:eastAsia="宋体" w:hint="default"/>
          <w:sz w:val="21"/>
          <w:szCs w:val="21"/>
        </w:rPr>
        <w:t>÷</w:t>
      </w:r>
      <w:r>
        <w:rPr>
          <w:rFonts w:ascii="宋体" w:hAnsi="宋体" w:cs="宋体" w:eastAsia="宋体" w:hint="default"/>
          <w:sz w:val="21"/>
          <w:szCs w:val="21"/>
        </w:rPr>
        <w:t>S=79,194,442.06</w:t>
      </w:r>
      <w:r>
        <w:rPr>
          <w:rFonts w:ascii="宋体" w:hAnsi="宋体" w:cs="宋体" w:eastAsia="宋体" w:hint="default"/>
          <w:sz w:val="21"/>
          <w:szCs w:val="21"/>
        </w:rPr>
        <w:t>÷</w:t>
      </w:r>
      <w:r>
        <w:rPr>
          <w:rFonts w:ascii="宋体" w:hAnsi="宋体" w:cs="宋体" w:eastAsia="宋体" w:hint="default"/>
          <w:sz w:val="21"/>
          <w:szCs w:val="21"/>
        </w:rPr>
        <w:t>113,531,043.00=0.70</w:t>
      </w:r>
    </w:p>
    <w:p>
      <w:pPr>
        <w:spacing w:before="135"/>
        <w:ind w:left="1063" w:right="754" w:firstLine="0"/>
        <w:jc w:val="left"/>
        <w:rPr>
          <w:rFonts w:ascii="宋体" w:hAnsi="宋体" w:cs="宋体" w:eastAsia="宋体" w:hint="default"/>
          <w:sz w:val="21"/>
          <w:szCs w:val="21"/>
        </w:rPr>
      </w:pPr>
      <w:r>
        <w:rPr>
          <w:rFonts w:ascii="宋体" w:hAnsi="宋体" w:cs="宋体" w:eastAsia="宋体" w:hint="default"/>
          <w:sz w:val="21"/>
          <w:szCs w:val="21"/>
        </w:rPr>
        <w:t>S= </w:t>
      </w:r>
      <w:r>
        <w:rPr>
          <w:rFonts w:ascii="宋体" w:hAnsi="宋体" w:cs="宋体" w:eastAsia="宋体" w:hint="default"/>
          <w:spacing w:val="2"/>
          <w:sz w:val="21"/>
          <w:szCs w:val="21"/>
        </w:rPr>
        <w:t>S0</w:t>
      </w:r>
      <w:r>
        <w:rPr>
          <w:rFonts w:ascii="宋体" w:hAnsi="宋体" w:cs="宋体" w:eastAsia="宋体" w:hint="default"/>
          <w:spacing w:val="2"/>
          <w:sz w:val="21"/>
          <w:szCs w:val="21"/>
        </w:rPr>
        <w:t>＋</w:t>
      </w:r>
      <w:r>
        <w:rPr>
          <w:rFonts w:ascii="宋体" w:hAnsi="宋体" w:cs="宋体" w:eastAsia="宋体" w:hint="default"/>
          <w:spacing w:val="2"/>
          <w:sz w:val="21"/>
          <w:szCs w:val="21"/>
        </w:rPr>
        <w:t>S1</w:t>
      </w:r>
      <w:r>
        <w:rPr>
          <w:rFonts w:ascii="宋体" w:hAnsi="宋体" w:cs="宋体" w:eastAsia="宋体" w:hint="default"/>
          <w:spacing w:val="2"/>
          <w:sz w:val="21"/>
          <w:szCs w:val="21"/>
        </w:rPr>
        <w:t>＋</w:t>
      </w:r>
      <w:r>
        <w:rPr>
          <w:rFonts w:ascii="宋体" w:hAnsi="宋体" w:cs="宋体" w:eastAsia="宋体" w:hint="default"/>
          <w:spacing w:val="2"/>
          <w:sz w:val="21"/>
          <w:szCs w:val="21"/>
        </w:rPr>
        <w:t>Si</w:t>
      </w:r>
      <w:r>
        <w:rPr>
          <w:rFonts w:ascii="宋体" w:hAnsi="宋体" w:cs="宋体" w:eastAsia="宋体" w:hint="default"/>
          <w:spacing w:val="2"/>
          <w:sz w:val="21"/>
          <w:szCs w:val="21"/>
        </w:rPr>
        <w:t>×</w:t>
      </w:r>
      <w:r>
        <w:rPr>
          <w:rFonts w:ascii="宋体" w:hAnsi="宋体" w:cs="宋体" w:eastAsia="宋体" w:hint="default"/>
          <w:spacing w:val="2"/>
          <w:sz w:val="21"/>
          <w:szCs w:val="21"/>
        </w:rPr>
        <w:t>Mi</w:t>
      </w:r>
      <w:r>
        <w:rPr>
          <w:rFonts w:ascii="宋体" w:hAnsi="宋体" w:cs="宋体" w:eastAsia="宋体" w:hint="default"/>
          <w:spacing w:val="2"/>
          <w:sz w:val="21"/>
          <w:szCs w:val="21"/>
        </w:rPr>
        <w:t>÷</w:t>
      </w:r>
      <w:r>
        <w:rPr>
          <w:rFonts w:ascii="宋体" w:hAnsi="宋体" w:cs="宋体" w:eastAsia="宋体" w:hint="default"/>
          <w:spacing w:val="2"/>
          <w:sz w:val="21"/>
          <w:szCs w:val="21"/>
        </w:rPr>
        <w:t>M0</w:t>
      </w:r>
      <w:r>
        <w:rPr>
          <w:rFonts w:ascii="宋体" w:hAnsi="宋体" w:cs="宋体" w:eastAsia="宋体" w:hint="default"/>
          <w:spacing w:val="2"/>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M0-Sk=110,000,000.00+14,124,172.00</w:t>
      </w:r>
      <w:r>
        <w:rPr>
          <w:rFonts w:ascii="宋体" w:hAnsi="宋体" w:cs="宋体" w:eastAsia="宋体" w:hint="default"/>
          <w:sz w:val="21"/>
          <w:szCs w:val="21"/>
        </w:rPr>
        <w:t>×</w:t>
      </w:r>
      <w:r>
        <w:rPr>
          <w:rFonts w:ascii="宋体" w:hAnsi="宋体" w:cs="宋体" w:eastAsia="宋体" w:hint="default"/>
          <w:sz w:val="21"/>
          <w:szCs w:val="21"/>
        </w:rPr>
        <w:t>3</w:t>
      </w:r>
    </w:p>
    <w:p>
      <w:pPr>
        <w:spacing w:before="133"/>
        <w:ind w:left="11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12=113,531,043.00</w:t>
      </w:r>
    </w:p>
    <w:p>
      <w:pPr>
        <w:spacing w:line="355" w:lineRule="auto" w:before="133"/>
        <w:ind w:left="118" w:right="1789" w:firstLine="525"/>
        <w:jc w:val="both"/>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8"/>
          <w:sz w:val="21"/>
          <w:szCs w:val="21"/>
        </w:rPr>
        <w:t>P0</w:t>
      </w:r>
      <w:r>
        <w:rPr>
          <w:rFonts w:ascii="宋体" w:hAnsi="宋体" w:cs="宋体" w:eastAsia="宋体" w:hint="default"/>
          <w:spacing w:val="-55"/>
          <w:sz w:val="21"/>
          <w:szCs w:val="21"/>
        </w:rPr>
        <w:t> </w:t>
      </w:r>
      <w:r>
        <w:rPr>
          <w:rFonts w:ascii="宋体" w:hAnsi="宋体" w:cs="宋体" w:eastAsia="宋体" w:hint="default"/>
          <w:sz w:val="21"/>
          <w:szCs w:val="21"/>
        </w:rPr>
        <w:t>为归属于公司普通股股东的净利润或扣除非经常性损益后归属于普通股股东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宋体" w:hAnsi="宋体" w:cs="宋体" w:eastAsia="宋体" w:hint="default"/>
          <w:sz w:val="21"/>
          <w:szCs w:val="21"/>
        </w:rPr>
        <w:t>S</w:t>
      </w:r>
      <w:r>
        <w:rPr>
          <w:rFonts w:ascii="宋体" w:hAnsi="宋体" w:cs="宋体" w:eastAsia="宋体" w:hint="default"/>
          <w:spacing w:val="-34"/>
          <w:sz w:val="21"/>
          <w:szCs w:val="21"/>
        </w:rPr>
        <w:t> </w:t>
      </w:r>
      <w:r>
        <w:rPr>
          <w:rFonts w:ascii="宋体" w:hAnsi="宋体" w:cs="宋体" w:eastAsia="宋体" w:hint="default"/>
          <w:sz w:val="21"/>
          <w:szCs w:val="21"/>
        </w:rPr>
        <w:t>为发行在外的普通股加权平均数；</w:t>
      </w:r>
      <w:r>
        <w:rPr>
          <w:rFonts w:ascii="宋体" w:hAnsi="宋体" w:cs="宋体" w:eastAsia="宋体" w:hint="default"/>
          <w:sz w:val="21"/>
          <w:szCs w:val="21"/>
        </w:rPr>
        <w:t>S0</w:t>
      </w:r>
      <w:r>
        <w:rPr>
          <w:rFonts w:ascii="宋体" w:hAnsi="宋体" w:cs="宋体" w:eastAsia="宋体" w:hint="default"/>
          <w:spacing w:val="-34"/>
          <w:sz w:val="21"/>
          <w:szCs w:val="21"/>
        </w:rPr>
        <w:t> </w:t>
      </w:r>
      <w:r>
        <w:rPr>
          <w:rFonts w:ascii="宋体" w:hAnsi="宋体" w:cs="宋体" w:eastAsia="宋体" w:hint="default"/>
          <w:sz w:val="21"/>
          <w:szCs w:val="21"/>
        </w:rPr>
        <w:t>为期初股份总数；</w:t>
      </w:r>
      <w:r>
        <w:rPr>
          <w:rFonts w:ascii="宋体" w:hAnsi="宋体" w:cs="宋体" w:eastAsia="宋体" w:hint="default"/>
          <w:sz w:val="21"/>
          <w:szCs w:val="21"/>
        </w:rPr>
        <w:t>S1</w:t>
      </w:r>
      <w:r>
        <w:rPr>
          <w:rFonts w:ascii="宋体" w:hAnsi="宋体" w:cs="宋体" w:eastAsia="宋体" w:hint="default"/>
          <w:spacing w:val="-32"/>
          <w:sz w:val="21"/>
          <w:szCs w:val="21"/>
        </w:rPr>
        <w:t> </w:t>
      </w:r>
      <w:r>
        <w:rPr>
          <w:rFonts w:ascii="宋体" w:hAnsi="宋体" w:cs="宋体" w:eastAsia="宋体" w:hint="default"/>
          <w:sz w:val="21"/>
          <w:szCs w:val="21"/>
        </w:rPr>
        <w:t>为报告期因公积金</w:t>
      </w:r>
    </w:p>
    <w:p>
      <w:pPr>
        <w:spacing w:after="0" w:line="355" w:lineRule="auto"/>
        <w:jc w:val="both"/>
        <w:rPr>
          <w:rFonts w:ascii="宋体" w:hAnsi="宋体" w:cs="宋体" w:eastAsia="宋体" w:hint="default"/>
          <w:sz w:val="21"/>
          <w:szCs w:val="21"/>
        </w:rPr>
        <w:sectPr>
          <w:pgSz w:w="11910" w:h="16840"/>
          <w:pgMar w:header="915" w:footer="1100" w:top="1100" w:bottom="1280" w:left="1680" w:right="0"/>
        </w:sectPr>
      </w:pPr>
    </w:p>
    <w:p>
      <w:pPr>
        <w:spacing w:line="357" w:lineRule="auto" w:before="17"/>
        <w:ind w:left="138" w:right="1789" w:firstLine="0"/>
        <w:jc w:val="both"/>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53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转增股本或股票股利分配等增加股份数；</w:t>
      </w:r>
      <w:r>
        <w:rPr>
          <w:rFonts w:ascii="宋体" w:hAnsi="宋体" w:cs="宋体" w:eastAsia="宋体" w:hint="default"/>
          <w:sz w:val="21"/>
          <w:szCs w:val="21"/>
        </w:rPr>
        <w:t>Si</w:t>
      </w:r>
      <w:r>
        <w:rPr>
          <w:rFonts w:ascii="宋体" w:hAnsi="宋体" w:cs="宋体" w:eastAsia="宋体" w:hint="default"/>
          <w:spacing w:val="12"/>
          <w:sz w:val="21"/>
          <w:szCs w:val="21"/>
        </w:rPr>
        <w:t> </w:t>
      </w:r>
      <w:r>
        <w:rPr>
          <w:rFonts w:ascii="宋体" w:hAnsi="宋体" w:cs="宋体" w:eastAsia="宋体" w:hint="default"/>
          <w:sz w:val="21"/>
          <w:szCs w:val="21"/>
        </w:rPr>
        <w:t>为报告期因发行新股或债转股等增加股份数；</w:t>
      </w:r>
      <w:r>
        <w:rPr>
          <w:rFonts w:ascii="宋体" w:hAnsi="宋体" w:cs="宋体" w:eastAsia="宋体" w:hint="default"/>
          <w:w w:val="100"/>
          <w:sz w:val="21"/>
          <w:szCs w:val="21"/>
        </w:rPr>
        <w:t> </w:t>
      </w:r>
      <w:r>
        <w:rPr>
          <w:rFonts w:ascii="宋体" w:hAnsi="宋体" w:cs="宋体" w:eastAsia="宋体" w:hint="default"/>
          <w:sz w:val="21"/>
          <w:szCs w:val="21"/>
        </w:rPr>
        <w:t>Sj</w:t>
      </w:r>
      <w:r>
        <w:rPr>
          <w:rFonts w:ascii="宋体" w:hAnsi="宋体" w:cs="宋体" w:eastAsia="宋体" w:hint="default"/>
          <w:spacing w:val="-39"/>
          <w:sz w:val="21"/>
          <w:szCs w:val="21"/>
        </w:rPr>
        <w:t> </w:t>
      </w:r>
      <w:r>
        <w:rPr>
          <w:rFonts w:ascii="宋体" w:hAnsi="宋体" w:cs="宋体" w:eastAsia="宋体" w:hint="default"/>
          <w:spacing w:val="-4"/>
          <w:sz w:val="21"/>
          <w:szCs w:val="21"/>
        </w:rPr>
        <w:t>为报告期因回购等减少股份数；</w:t>
      </w:r>
      <w:r>
        <w:rPr>
          <w:rFonts w:ascii="宋体" w:hAnsi="宋体" w:cs="宋体" w:eastAsia="宋体" w:hint="default"/>
          <w:spacing w:val="-4"/>
          <w:sz w:val="21"/>
          <w:szCs w:val="21"/>
        </w:rPr>
        <w:t>Sk</w:t>
      </w:r>
      <w:r>
        <w:rPr>
          <w:rFonts w:ascii="宋体" w:hAnsi="宋体" w:cs="宋体" w:eastAsia="宋体" w:hint="default"/>
          <w:spacing w:val="-39"/>
          <w:sz w:val="21"/>
          <w:szCs w:val="21"/>
        </w:rPr>
        <w:t> </w:t>
      </w:r>
      <w:r>
        <w:rPr>
          <w:rFonts w:ascii="宋体" w:hAnsi="宋体" w:cs="宋体" w:eastAsia="宋体" w:hint="default"/>
          <w:spacing w:val="-5"/>
          <w:sz w:val="21"/>
          <w:szCs w:val="21"/>
        </w:rPr>
        <w:t>为报告期缩股数；</w:t>
      </w:r>
      <w:r>
        <w:rPr>
          <w:rFonts w:ascii="宋体" w:hAnsi="宋体" w:cs="宋体" w:eastAsia="宋体" w:hint="default"/>
          <w:spacing w:val="-5"/>
          <w:sz w:val="21"/>
          <w:szCs w:val="21"/>
        </w:rPr>
        <w:t>M0</w:t>
      </w:r>
      <w:r>
        <w:rPr>
          <w:rFonts w:ascii="宋体" w:hAnsi="宋体" w:cs="宋体" w:eastAsia="宋体" w:hint="default"/>
          <w:spacing w:val="-39"/>
          <w:sz w:val="21"/>
          <w:szCs w:val="21"/>
        </w:rPr>
        <w:t> </w:t>
      </w:r>
      <w:r>
        <w:rPr>
          <w:rFonts w:ascii="宋体" w:hAnsi="宋体" w:cs="宋体" w:eastAsia="宋体" w:hint="default"/>
          <w:spacing w:val="-5"/>
          <w:sz w:val="21"/>
          <w:szCs w:val="21"/>
        </w:rPr>
        <w:t>报告期月份数；</w:t>
      </w:r>
      <w:r>
        <w:rPr>
          <w:rFonts w:ascii="宋体" w:hAnsi="宋体" w:cs="宋体" w:eastAsia="宋体" w:hint="default"/>
          <w:spacing w:val="-5"/>
          <w:sz w:val="21"/>
          <w:szCs w:val="21"/>
        </w:rPr>
        <w:t>Mi</w:t>
      </w:r>
      <w:r>
        <w:rPr>
          <w:rFonts w:ascii="宋体" w:hAnsi="宋体" w:cs="宋体" w:eastAsia="宋体" w:hint="default"/>
          <w:spacing w:val="-41"/>
          <w:sz w:val="21"/>
          <w:szCs w:val="21"/>
        </w:rPr>
        <w:t> </w:t>
      </w:r>
      <w:r>
        <w:rPr>
          <w:rFonts w:ascii="宋体" w:hAnsi="宋体" w:cs="宋体" w:eastAsia="宋体" w:hint="default"/>
          <w:sz w:val="21"/>
          <w:szCs w:val="21"/>
        </w:rPr>
        <w:t>为增加股份次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月起至报告期期末的累计月数；</w:t>
      </w:r>
      <w:r>
        <w:rPr>
          <w:rFonts w:ascii="宋体" w:hAnsi="宋体" w:cs="宋体" w:eastAsia="宋体" w:hint="default"/>
          <w:spacing w:val="-2"/>
          <w:sz w:val="21"/>
          <w:szCs w:val="21"/>
        </w:rPr>
        <w:t>Mj</w:t>
      </w:r>
      <w:r>
        <w:rPr>
          <w:rFonts w:ascii="宋体" w:hAnsi="宋体" w:cs="宋体" w:eastAsia="宋体" w:hint="default"/>
          <w:spacing w:val="14"/>
          <w:sz w:val="21"/>
          <w:szCs w:val="21"/>
        </w:rPr>
        <w:t> </w:t>
      </w:r>
      <w:r>
        <w:rPr>
          <w:rFonts w:ascii="宋体" w:hAnsi="宋体" w:cs="宋体" w:eastAsia="宋体" w:hint="default"/>
          <w:spacing w:val="-2"/>
          <w:sz w:val="21"/>
          <w:szCs w:val="21"/>
        </w:rPr>
        <w:t>为减少股份次月起至报告期期末的累计月数。</w:t>
      </w:r>
    </w:p>
    <w:p>
      <w:pPr>
        <w:tabs>
          <w:tab w:pos="1085" w:val="left" w:leader="none"/>
        </w:tabs>
        <w:spacing w:line="355" w:lineRule="auto" w:before="30"/>
        <w:ind w:left="138" w:right="1789" w:firstLine="525"/>
        <w:jc w:val="left"/>
        <w:rPr>
          <w:rFonts w:ascii="宋体" w:hAnsi="宋体" w:cs="宋体" w:eastAsia="宋体" w:hint="default"/>
          <w:sz w:val="21"/>
          <w:szCs w:val="21"/>
        </w:rPr>
      </w:pPr>
      <w:r>
        <w:rPr>
          <w:rFonts w:ascii="宋体" w:hAnsi="宋体" w:cs="宋体" w:eastAsia="宋体" w:hint="default"/>
          <w:sz w:val="21"/>
          <w:szCs w:val="21"/>
        </w:rPr>
        <w:t>②</w:t>
        <w:tab/>
      </w:r>
      <w:r>
        <w:rPr>
          <w:rFonts w:ascii="宋体" w:hAnsi="宋体" w:cs="宋体" w:eastAsia="宋体" w:hint="default"/>
          <w:spacing w:val="-1"/>
          <w:sz w:val="21"/>
          <w:szCs w:val="21"/>
        </w:rPr>
        <w:t>公司在发行可转换债券、股份期权、认股权证等稀释性潜在普通股情况下，稀释</w:t>
      </w:r>
      <w:r>
        <w:rPr>
          <w:rFonts w:ascii="宋体" w:hAnsi="宋体" w:cs="宋体" w:eastAsia="宋体" w:hint="default"/>
          <w:w w:val="100"/>
          <w:sz w:val="21"/>
          <w:szCs w:val="21"/>
        </w:rPr>
        <w:t> </w:t>
      </w:r>
      <w:r>
        <w:rPr>
          <w:rFonts w:ascii="宋体" w:hAnsi="宋体" w:cs="宋体" w:eastAsia="宋体" w:hint="default"/>
          <w:sz w:val="21"/>
          <w:szCs w:val="21"/>
        </w:rPr>
        <w:t>每股收益可参照如下公式计算：</w:t>
      </w:r>
    </w:p>
    <w:p>
      <w:pPr>
        <w:spacing w:line="355" w:lineRule="auto" w:before="34"/>
        <w:ind w:left="138" w:right="0" w:firstLine="419"/>
        <w:jc w:val="left"/>
        <w:rPr>
          <w:rFonts w:ascii="宋体" w:hAnsi="宋体" w:cs="宋体" w:eastAsia="宋体" w:hint="default"/>
          <w:sz w:val="21"/>
          <w:szCs w:val="21"/>
        </w:rPr>
      </w:pPr>
      <w:r>
        <w:rPr>
          <w:rFonts w:ascii="宋体" w:hAnsi="宋体" w:cs="宋体" w:eastAsia="宋体" w:hint="default"/>
          <w:spacing w:val="-3"/>
          <w:sz w:val="21"/>
          <w:szCs w:val="21"/>
        </w:rPr>
        <w:t>稀释每股收益</w:t>
      </w:r>
      <w:r>
        <w:rPr>
          <w:rFonts w:ascii="宋体" w:hAnsi="宋体" w:cs="宋体" w:eastAsia="宋体" w:hint="default"/>
          <w:spacing w:val="-3"/>
          <w:sz w:val="21"/>
          <w:szCs w:val="21"/>
        </w:rPr>
        <w:t>=P1/(S0</w:t>
      </w:r>
      <w:r>
        <w:rPr>
          <w:rFonts w:ascii="宋体" w:hAnsi="宋体" w:cs="宋体" w:eastAsia="宋体" w:hint="default"/>
          <w:spacing w:val="-3"/>
          <w:sz w:val="21"/>
          <w:szCs w:val="21"/>
        </w:rPr>
        <w:t>＋</w:t>
      </w:r>
      <w:r>
        <w:rPr>
          <w:rFonts w:ascii="宋体" w:hAnsi="宋体" w:cs="宋体" w:eastAsia="宋体" w:hint="default"/>
          <w:spacing w:val="-3"/>
          <w:sz w:val="21"/>
          <w:szCs w:val="21"/>
        </w:rPr>
        <w:t>S1</w:t>
      </w:r>
      <w:r>
        <w:rPr>
          <w:rFonts w:ascii="宋体" w:hAnsi="宋体" w:cs="宋体" w:eastAsia="宋体" w:hint="default"/>
          <w:spacing w:val="-3"/>
          <w:sz w:val="21"/>
          <w:szCs w:val="21"/>
        </w:rPr>
        <w:t>＋</w:t>
      </w:r>
      <w:r>
        <w:rPr>
          <w:rFonts w:ascii="宋体" w:hAnsi="宋体" w:cs="宋体" w:eastAsia="宋体" w:hint="default"/>
          <w:spacing w:val="-3"/>
          <w:sz w:val="21"/>
          <w:szCs w:val="21"/>
        </w:rPr>
        <w:t>Si</w:t>
      </w:r>
      <w:r>
        <w:rPr>
          <w:rFonts w:ascii="宋体" w:hAnsi="宋体" w:cs="宋体" w:eastAsia="宋体" w:hint="default"/>
          <w:spacing w:val="-3"/>
          <w:sz w:val="21"/>
          <w:szCs w:val="21"/>
        </w:rPr>
        <w:t>×</w:t>
      </w:r>
      <w:r>
        <w:rPr>
          <w:rFonts w:ascii="宋体" w:hAnsi="宋体" w:cs="宋体" w:eastAsia="宋体" w:hint="default"/>
          <w:spacing w:val="-3"/>
          <w:sz w:val="21"/>
          <w:szCs w:val="21"/>
        </w:rPr>
        <w:t>Mi</w:t>
      </w:r>
      <w:r>
        <w:rPr>
          <w:rFonts w:ascii="宋体" w:hAnsi="宋体" w:cs="宋体" w:eastAsia="宋体" w:hint="default"/>
          <w:spacing w:val="-3"/>
          <w:sz w:val="21"/>
          <w:szCs w:val="21"/>
        </w:rPr>
        <w:t>÷</w:t>
      </w:r>
      <w:r>
        <w:rPr>
          <w:rFonts w:ascii="宋体" w:hAnsi="宋体" w:cs="宋体" w:eastAsia="宋体" w:hint="default"/>
          <w:spacing w:val="-3"/>
          <w:sz w:val="21"/>
          <w:szCs w:val="21"/>
        </w:rPr>
        <w:t>M0</w:t>
      </w:r>
      <w:r>
        <w:rPr>
          <w:rFonts w:ascii="宋体" w:hAnsi="宋体" w:cs="宋体" w:eastAsia="宋体" w:hint="default"/>
          <w:spacing w:val="-3"/>
          <w:sz w:val="21"/>
          <w:szCs w:val="21"/>
        </w:rPr>
        <w:t>–</w:t>
      </w:r>
      <w:r>
        <w:rPr>
          <w:rFonts w:ascii="宋体" w:hAnsi="宋体" w:cs="宋体" w:eastAsia="宋体" w:hint="default"/>
          <w:spacing w:val="-3"/>
          <w:sz w:val="21"/>
          <w:szCs w:val="21"/>
        </w:rPr>
        <w:t>Sj</w:t>
      </w:r>
      <w:r>
        <w:rPr>
          <w:rFonts w:ascii="宋体" w:hAnsi="宋体" w:cs="宋体" w:eastAsia="宋体" w:hint="default"/>
          <w:spacing w:val="-3"/>
          <w:sz w:val="21"/>
          <w:szCs w:val="21"/>
        </w:rPr>
        <w:t>×</w:t>
      </w:r>
      <w:r>
        <w:rPr>
          <w:rFonts w:ascii="宋体" w:hAnsi="宋体" w:cs="宋体" w:eastAsia="宋体" w:hint="default"/>
          <w:spacing w:val="-3"/>
          <w:sz w:val="21"/>
          <w:szCs w:val="21"/>
        </w:rPr>
        <w:t>Mj</w:t>
      </w:r>
      <w:r>
        <w:rPr>
          <w:rFonts w:ascii="宋体" w:hAnsi="宋体" w:cs="宋体" w:eastAsia="宋体" w:hint="default"/>
          <w:spacing w:val="-3"/>
          <w:sz w:val="21"/>
          <w:szCs w:val="21"/>
        </w:rPr>
        <w:t>÷</w:t>
      </w:r>
      <w:r>
        <w:rPr>
          <w:rFonts w:ascii="宋体" w:hAnsi="宋体" w:cs="宋体" w:eastAsia="宋体" w:hint="default"/>
          <w:spacing w:val="-3"/>
          <w:sz w:val="21"/>
          <w:szCs w:val="21"/>
        </w:rPr>
        <w:t>M0</w:t>
      </w:r>
      <w:r>
        <w:rPr>
          <w:rFonts w:ascii="宋体" w:hAnsi="宋体" w:cs="宋体" w:eastAsia="宋体" w:hint="default"/>
          <w:spacing w:val="-3"/>
          <w:sz w:val="21"/>
          <w:szCs w:val="21"/>
        </w:rPr>
        <w:t>–</w:t>
      </w:r>
      <w:r>
        <w:rPr>
          <w:rFonts w:ascii="宋体" w:hAnsi="宋体" w:cs="宋体" w:eastAsia="宋体" w:hint="default"/>
          <w:spacing w:val="-3"/>
          <w:sz w:val="21"/>
          <w:szCs w:val="21"/>
        </w:rPr>
        <w:t>Sk+</w:t>
      </w:r>
      <w:r>
        <w:rPr>
          <w:rFonts w:ascii="宋体" w:hAnsi="宋体" w:cs="宋体" w:eastAsia="宋体" w:hint="default"/>
          <w:spacing w:val="-3"/>
          <w:sz w:val="21"/>
          <w:szCs w:val="21"/>
        </w:rPr>
        <w:t>认股权证、股份期权、可转</w:t>
      </w:r>
      <w:r>
        <w:rPr>
          <w:rFonts w:ascii="宋体" w:hAnsi="宋体" w:cs="宋体" w:eastAsia="宋体" w:hint="default"/>
          <w:w w:val="100"/>
          <w:sz w:val="21"/>
          <w:szCs w:val="21"/>
        </w:rPr>
        <w:t> </w:t>
      </w:r>
      <w:r>
        <w:rPr>
          <w:rFonts w:ascii="宋体" w:hAnsi="宋体" w:cs="宋体" w:eastAsia="宋体" w:hint="default"/>
          <w:sz w:val="21"/>
          <w:szCs w:val="21"/>
        </w:rPr>
        <w:t>换债券等增加的普通股加权平均数</w:t>
      </w:r>
      <w:r>
        <w:rPr>
          <w:rFonts w:ascii="宋体" w:hAnsi="宋体" w:cs="宋体" w:eastAsia="宋体" w:hint="default"/>
          <w:sz w:val="21"/>
          <w:szCs w:val="21"/>
        </w:rPr>
        <w:t>)</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=79,194,442.06/(110,000,000.00+0+14,124,172.00</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12-0-0)=</w:t>
      </w:r>
      <w:r>
        <w:rPr>
          <w:rFonts w:ascii="宋体" w:hAnsi="宋体" w:cs="宋体" w:eastAsia="宋体" w:hint="default"/>
          <w:spacing w:val="-7"/>
          <w:sz w:val="21"/>
          <w:szCs w:val="21"/>
        </w:rPr>
        <w:t> </w:t>
      </w:r>
      <w:r>
        <w:rPr>
          <w:rFonts w:ascii="宋体" w:hAnsi="宋体" w:cs="宋体" w:eastAsia="宋体" w:hint="default"/>
          <w:sz w:val="21"/>
          <w:szCs w:val="21"/>
        </w:rPr>
        <w:t>0.70</w:t>
      </w:r>
    </w:p>
    <w:p>
      <w:pPr>
        <w:spacing w:line="357" w:lineRule="auto"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P1 </w:t>
      </w:r>
      <w:r>
        <w:rPr>
          <w:rFonts w:ascii="宋体" w:hAnsi="宋体" w:cs="宋体" w:eastAsia="宋体" w:hint="default"/>
          <w:sz w:val="21"/>
          <w:szCs w:val="21"/>
        </w:rPr>
        <w:t>为归属于公司普通股股东的净利润或扣除非经常性损益后归属于公司普通股股东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的净利润，并考虑稀释性潜在普通股对其影响，按《企业会计准则》及有关规定进行调整。</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公司在计算稀释每股收益时，应考虑所有稀释性潜在普通股对</w:t>
      </w:r>
      <w:r>
        <w:rPr>
          <w:rFonts w:ascii="宋体" w:hAnsi="宋体" w:cs="宋体" w:eastAsia="宋体" w:hint="default"/>
          <w:spacing w:val="-46"/>
          <w:sz w:val="21"/>
          <w:szCs w:val="21"/>
        </w:rPr>
        <w:t> </w:t>
      </w:r>
      <w:r>
        <w:rPr>
          <w:rFonts w:ascii="宋体" w:hAnsi="宋体" w:cs="宋体" w:eastAsia="宋体" w:hint="default"/>
          <w:sz w:val="21"/>
          <w:szCs w:val="21"/>
        </w:rPr>
        <w:t>P1</w:t>
      </w:r>
      <w:r>
        <w:rPr>
          <w:rFonts w:ascii="宋体" w:hAnsi="宋体" w:cs="宋体" w:eastAsia="宋体" w:hint="default"/>
          <w:spacing w:val="-49"/>
          <w:sz w:val="21"/>
          <w:szCs w:val="21"/>
        </w:rPr>
        <w:t> </w:t>
      </w:r>
      <w:r>
        <w:rPr>
          <w:rFonts w:ascii="宋体" w:hAnsi="宋体" w:cs="宋体" w:eastAsia="宋体" w:hint="default"/>
          <w:sz w:val="21"/>
          <w:szCs w:val="21"/>
        </w:rPr>
        <w:t>和加权平均股数的影响，</w:t>
      </w:r>
      <w:r>
        <w:rPr>
          <w:rFonts w:ascii="宋体" w:hAnsi="宋体" w:cs="宋体" w:eastAsia="宋体" w:hint="default"/>
          <w:w w:val="100"/>
          <w:sz w:val="21"/>
          <w:szCs w:val="21"/>
        </w:rPr>
        <w:t> </w:t>
      </w:r>
      <w:r>
        <w:rPr>
          <w:rFonts w:ascii="宋体" w:hAnsi="宋体" w:cs="宋体" w:eastAsia="宋体" w:hint="default"/>
          <w:sz w:val="21"/>
          <w:szCs w:val="21"/>
        </w:rPr>
        <w:t>按照其稀释程度从大到小的顺序计入稀释每股收益，直至稀释每股收益达到最小值。</w:t>
      </w:r>
    </w:p>
    <w:p>
      <w:pPr>
        <w:spacing w:after="0" w:line="357" w:lineRule="auto"/>
        <w:jc w:val="left"/>
        <w:rPr>
          <w:rFonts w:ascii="宋体" w:hAnsi="宋体" w:cs="宋体" w:eastAsia="宋体" w:hint="default"/>
          <w:sz w:val="21"/>
          <w:szCs w:val="21"/>
        </w:rPr>
        <w:sectPr>
          <w:pgSz w:w="11910" w:h="16840"/>
          <w:pgMar w:header="915" w:footer="1100" w:top="1100" w:bottom="1280" w:left="1660" w:right="0"/>
        </w:sectPr>
      </w:pPr>
    </w:p>
    <w:p>
      <w:pPr>
        <w:spacing w:line="240" w:lineRule="auto" w:before="0"/>
        <w:rPr>
          <w:rFonts w:ascii="宋体" w:hAnsi="宋体" w:cs="宋体" w:eastAsia="宋体" w:hint="default"/>
          <w:sz w:val="20"/>
          <w:szCs w:val="20"/>
        </w:rPr>
      </w:pPr>
      <w:r>
        <w:rPr/>
        <w:pict>
          <v:group style="position:absolute;margin-left:88.103996pt;margin-top:41.999985pt;width:419.25pt;height:16.3500pt;mso-position-horizontal-relative:page;mso-position-vertical-relative:page;z-index:124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spacing w:line="240" w:lineRule="auto" w:before="3"/>
        <w:rPr>
          <w:rFonts w:ascii="宋体" w:hAnsi="宋体" w:cs="宋体" w:eastAsia="宋体" w:hint="default"/>
          <w:sz w:val="16"/>
          <w:szCs w:val="16"/>
        </w:rPr>
      </w:pPr>
    </w:p>
    <w:p>
      <w:pPr>
        <w:pStyle w:val="Heading1"/>
        <w:tabs>
          <w:tab w:pos="4356" w:val="left" w:leader="none"/>
        </w:tabs>
        <w:spacing w:line="240" w:lineRule="auto"/>
        <w:ind w:left="3000" w:right="522"/>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30"/>
          <w:szCs w:val="30"/>
        </w:rPr>
      </w:pPr>
    </w:p>
    <w:p>
      <w:pPr>
        <w:spacing w:before="224"/>
        <w:ind w:left="878" w:right="522" w:firstLine="0"/>
        <w:jc w:val="left"/>
        <w:rPr>
          <w:rFonts w:ascii="宋体" w:hAnsi="宋体" w:cs="宋体" w:eastAsia="宋体" w:hint="default"/>
          <w:sz w:val="21"/>
          <w:szCs w:val="21"/>
        </w:rPr>
      </w:pPr>
      <w:r>
        <w:rPr>
          <w:rFonts w:ascii="宋体" w:hAnsi="宋体" w:cs="宋体" w:eastAsia="宋体" w:hint="default"/>
          <w:b/>
          <w:bCs/>
          <w:spacing w:val="9"/>
          <w:sz w:val="21"/>
          <w:szCs w:val="21"/>
        </w:rPr>
        <w:t>一、</w:t>
      </w:r>
      <w:r>
        <w:rPr>
          <w:rFonts w:ascii="宋体" w:hAnsi="宋体" w:cs="宋体" w:eastAsia="宋体" w:hint="default"/>
          <w:b/>
          <w:bCs/>
          <w:spacing w:val="-76"/>
          <w:sz w:val="21"/>
          <w:szCs w:val="21"/>
        </w:rPr>
        <w:t> </w:t>
      </w:r>
      <w:r>
        <w:rPr>
          <w:rFonts w:ascii="宋体" w:hAnsi="宋体" w:cs="宋体" w:eastAsia="宋体" w:hint="default"/>
          <w:b/>
          <w:bCs/>
          <w:spacing w:val="15"/>
          <w:sz w:val="21"/>
          <w:szCs w:val="21"/>
        </w:rPr>
        <w:t>股份变动情况表</w:t>
      </w:r>
      <w:r>
        <w:rPr>
          <w:rFonts w:ascii="宋体" w:hAnsi="宋体" w:cs="宋体" w:eastAsia="宋体" w:hint="default"/>
          <w:b/>
          <w:bCs/>
          <w:spacing w:val="-73"/>
          <w:sz w:val="21"/>
          <w:szCs w:val="21"/>
        </w:rPr>
        <w:t> </w:t>
      </w:r>
      <w:r>
        <w:rPr>
          <w:rFonts w:ascii="宋体" w:hAnsi="宋体" w:cs="宋体" w:eastAsia="宋体" w:hint="default"/>
          <w:spacing w:val="9"/>
          <w:sz w:val="21"/>
          <w:szCs w:val="21"/>
        </w:rPr>
        <w:t>(</w:t>
      </w:r>
      <w:r>
        <w:rPr>
          <w:rFonts w:ascii="宋体" w:hAnsi="宋体" w:cs="宋体" w:eastAsia="宋体" w:hint="default"/>
          <w:spacing w:val="9"/>
          <w:sz w:val="21"/>
          <w:szCs w:val="21"/>
        </w:rPr>
        <w:t>单位：</w:t>
      </w:r>
      <w:r>
        <w:rPr>
          <w:rFonts w:ascii="宋体" w:hAnsi="宋体" w:cs="宋体" w:eastAsia="宋体" w:hint="default"/>
          <w:spacing w:val="-78"/>
          <w:sz w:val="21"/>
          <w:szCs w:val="21"/>
        </w:rPr>
        <w:t> </w:t>
      </w:r>
      <w:r>
        <w:rPr>
          <w:rFonts w:ascii="宋体" w:hAnsi="宋体" w:cs="宋体" w:eastAsia="宋体" w:hint="default"/>
          <w:spacing w:val="9"/>
          <w:sz w:val="21"/>
          <w:szCs w:val="21"/>
        </w:rPr>
        <w:t>股</w:t>
      </w:r>
      <w:r>
        <w:rPr>
          <w:rFonts w:ascii="宋体" w:hAnsi="宋体" w:cs="宋体" w:eastAsia="宋体" w:hint="default"/>
          <w:spacing w:val="9"/>
          <w:sz w:val="21"/>
          <w:szCs w:val="21"/>
        </w:rPr>
        <w:t>)</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767"/>
        <w:gridCol w:w="999"/>
        <w:gridCol w:w="910"/>
        <w:gridCol w:w="910"/>
        <w:gridCol w:w="598"/>
        <w:gridCol w:w="675"/>
        <w:gridCol w:w="1106"/>
        <w:gridCol w:w="987"/>
        <w:gridCol w:w="984"/>
        <w:gridCol w:w="912"/>
      </w:tblGrid>
      <w:tr>
        <w:trPr>
          <w:trHeight w:val="247" w:hRule="exact"/>
        </w:trPr>
        <w:tc>
          <w:tcPr>
            <w:tcW w:w="176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7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4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9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9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8" w:hRule="exact"/>
        </w:trPr>
        <w:tc>
          <w:tcPr>
            <w:tcW w:w="1767" w:type="dxa"/>
            <w:vMerge w:val="restart"/>
            <w:tcBorders>
              <w:top w:val="nil" w:sz="6" w:space="0" w:color="auto"/>
              <w:left w:val="single" w:sz="4" w:space="0" w:color="000000"/>
              <w:right w:val="single" w:sz="4" w:space="0" w:color="000000"/>
            </w:tcBorders>
            <w:shd w:val="clear" w:color="auto" w:fill="DCDCDC"/>
          </w:tcPr>
          <w:p>
            <w:pPr/>
          </w:p>
        </w:tc>
        <w:tc>
          <w:tcPr>
            <w:tcW w:w="999"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5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75" w:type="dxa"/>
            <w:vMerge w:val="restart"/>
            <w:tcBorders>
              <w:top w:val="single" w:sz="4" w:space="0" w:color="000000"/>
              <w:left w:val="single" w:sz="4" w:space="0" w:color="000000"/>
              <w:right w:val="single" w:sz="4" w:space="0" w:color="000000"/>
            </w:tcBorders>
            <w:shd w:val="clear" w:color="auto" w:fill="DCDCDC"/>
          </w:tcPr>
          <w:p>
            <w:pPr>
              <w:pStyle w:val="TableParagraph"/>
              <w:spacing w:line="202" w:lineRule="exact"/>
              <w:ind w:left="151" w:right="0" w:hanging="92"/>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106" w:type="dxa"/>
            <w:tcBorders>
              <w:top w:val="single" w:sz="4" w:space="0" w:color="000000"/>
              <w:left w:val="single" w:sz="4" w:space="0" w:color="000000"/>
              <w:bottom w:val="nil" w:sz="6" w:space="0" w:color="auto"/>
              <w:right w:val="single" w:sz="4" w:space="0" w:color="000000"/>
            </w:tcBorders>
            <w:shd w:val="clear" w:color="auto" w:fill="DCDCDC"/>
          </w:tcPr>
          <w:p>
            <w:pPr/>
          </w:p>
        </w:tc>
        <w:tc>
          <w:tcPr>
            <w:tcW w:w="987" w:type="dxa"/>
            <w:tcBorders>
              <w:top w:val="single" w:sz="4" w:space="0" w:color="000000"/>
              <w:left w:val="single" w:sz="4" w:space="0" w:color="000000"/>
              <w:bottom w:val="nil" w:sz="6" w:space="0" w:color="auto"/>
              <w:right w:val="single" w:sz="4" w:space="0" w:color="000000"/>
            </w:tcBorders>
            <w:shd w:val="clear" w:color="auto" w:fill="DCDCDC"/>
          </w:tcPr>
          <w:p>
            <w:pPr/>
          </w:p>
        </w:tc>
        <w:tc>
          <w:tcPr>
            <w:tcW w:w="984"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8" w:hRule="exact"/>
        </w:trPr>
        <w:tc>
          <w:tcPr>
            <w:tcW w:w="1767" w:type="dxa"/>
            <w:vMerge/>
            <w:tcBorders>
              <w:left w:val="single" w:sz="4" w:space="0" w:color="000000"/>
              <w:bottom w:val="nil" w:sz="6" w:space="0" w:color="auto"/>
              <w:right w:val="single" w:sz="4" w:space="0" w:color="000000"/>
            </w:tcBorders>
            <w:shd w:val="clear" w:color="auto" w:fill="DCDCDC"/>
          </w:tcPr>
          <w:p>
            <w:pPr/>
          </w:p>
        </w:tc>
        <w:tc>
          <w:tcPr>
            <w:tcW w:w="999"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5" w:type="dxa"/>
            <w:vMerge/>
            <w:tcBorders>
              <w:left w:val="single" w:sz="4" w:space="0" w:color="000000"/>
              <w:right w:val="single" w:sz="4" w:space="0" w:color="000000"/>
            </w:tcBorders>
            <w:shd w:val="clear" w:color="auto" w:fill="DCDCDC"/>
          </w:tcPr>
          <w:p>
            <w:pPr/>
          </w:p>
        </w:tc>
        <w:tc>
          <w:tcPr>
            <w:tcW w:w="110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87"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767" w:type="dxa"/>
            <w:tcBorders>
              <w:top w:val="nil" w:sz="6" w:space="0" w:color="auto"/>
              <w:left w:val="single" w:sz="4" w:space="0" w:color="000000"/>
              <w:bottom w:val="single" w:sz="4" w:space="0" w:color="000000"/>
              <w:right w:val="single" w:sz="4" w:space="0" w:color="000000"/>
            </w:tcBorders>
            <w:shd w:val="clear" w:color="auto" w:fill="DCDCDC"/>
          </w:tcPr>
          <w:p>
            <w:pPr/>
          </w:p>
        </w:tc>
        <w:tc>
          <w:tcPr>
            <w:tcW w:w="999"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598" w:type="dxa"/>
            <w:vMerge/>
            <w:tcBorders>
              <w:left w:val="single" w:sz="4" w:space="0" w:color="000000"/>
              <w:bottom w:val="single" w:sz="4" w:space="0" w:color="000000"/>
              <w:right w:val="single" w:sz="4" w:space="0" w:color="000000"/>
            </w:tcBorders>
            <w:shd w:val="clear" w:color="auto" w:fill="DCDCDC"/>
          </w:tcPr>
          <w:p>
            <w:pPr/>
          </w:p>
        </w:tc>
        <w:tc>
          <w:tcPr>
            <w:tcW w:w="675" w:type="dxa"/>
            <w:vMerge/>
            <w:tcBorders>
              <w:left w:val="single" w:sz="4" w:space="0" w:color="000000"/>
              <w:bottom w:val="single" w:sz="4" w:space="0" w:color="000000"/>
              <w:right w:val="single" w:sz="4" w:space="0" w:color="000000"/>
            </w:tcBorders>
            <w:shd w:val="clear" w:color="auto" w:fill="DCDCDC"/>
          </w:tcPr>
          <w:p>
            <w:pPr/>
          </w:p>
        </w:tc>
        <w:tc>
          <w:tcPr>
            <w:tcW w:w="1106" w:type="dxa"/>
            <w:vMerge/>
            <w:tcBorders>
              <w:left w:val="single" w:sz="4" w:space="0" w:color="000000"/>
              <w:bottom w:val="single" w:sz="4" w:space="0" w:color="000000"/>
              <w:right w:val="single" w:sz="4" w:space="0" w:color="000000"/>
            </w:tcBorders>
            <w:shd w:val="clear" w:color="auto" w:fill="DCDCDC"/>
          </w:tcPr>
          <w:p>
            <w:pPr/>
          </w:p>
        </w:tc>
        <w:tc>
          <w:tcPr>
            <w:tcW w:w="987" w:type="dxa"/>
            <w:vMerge/>
            <w:tcBorders>
              <w:left w:val="single" w:sz="4" w:space="0" w:color="000000"/>
              <w:bottom w:val="single" w:sz="4" w:space="0" w:color="000000"/>
              <w:right w:val="single" w:sz="4" w:space="0" w:color="000000"/>
            </w:tcBorders>
            <w:shd w:val="clear" w:color="auto" w:fill="DCDCDC"/>
          </w:tcPr>
          <w:p>
            <w:pPr/>
          </w:p>
        </w:tc>
        <w:tc>
          <w:tcPr>
            <w:tcW w:w="984"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r>
      <w:tr>
        <w:trPr>
          <w:trHeight w:val="418"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9" w:type="dxa"/>
            <w:tcBorders>
              <w:top w:val="single" w:sz="46" w:space="0" w:color="DCDCDC"/>
              <w:left w:val="single" w:sz="10" w:space="0" w:color="DCDCDC"/>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38,950,000</w:t>
            </w:r>
          </w:p>
        </w:tc>
        <w:tc>
          <w:tcPr>
            <w:tcW w:w="910"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z w:val="18"/>
              </w:rPr>
              <w:t>35.41%</w:t>
            </w:r>
          </w:p>
        </w:tc>
        <w:tc>
          <w:tcPr>
            <w:tcW w:w="910"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6" w:space="0" w:color="DCDCDC"/>
              <w:left w:val="single" w:sz="4" w:space="0" w:color="000000"/>
              <w:bottom w:val="single" w:sz="4" w:space="0" w:color="000000"/>
              <w:right w:val="single" w:sz="9" w:space="0" w:color="DCDCDC"/>
            </w:tcBorders>
          </w:tcPr>
          <w:p>
            <w:pPr>
              <w:pStyle w:val="TableParagraph"/>
              <w:spacing w:line="240" w:lineRule="auto" w:before="21"/>
              <w:ind w:right="17"/>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74"/>
              <w:ind w:right="11"/>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6" w:space="0" w:color="DCDCDC"/>
              <w:left w:val="single" w:sz="13" w:space="0" w:color="DCDCDC"/>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w w:val="95"/>
                <w:sz w:val="18"/>
              </w:rPr>
              <w:t>-38,950,000</w:t>
            </w:r>
            <w:r>
              <w:rPr>
                <w:rFonts w:ascii="Times New Roman"/>
                <w:sz w:val="18"/>
              </w:rPr>
            </w:r>
          </w:p>
        </w:tc>
        <w:tc>
          <w:tcPr>
            <w:tcW w:w="987"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w w:val="95"/>
                <w:sz w:val="18"/>
              </w:rPr>
              <w:t>-38,950,000</w:t>
            </w:r>
            <w:r>
              <w:rPr>
                <w:rFonts w:ascii="Times New Roman"/>
                <w:sz w:val="18"/>
              </w:rPr>
            </w:r>
          </w:p>
        </w:tc>
        <w:tc>
          <w:tcPr>
            <w:tcW w:w="984"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其中：境内非国有法</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2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38,950,000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18"/>
                <w:szCs w:val="18"/>
              </w:rPr>
            </w:pPr>
            <w:r>
              <w:rPr>
                <w:rFonts w:ascii="Times New Roman"/>
                <w:sz w:val="18"/>
              </w:rPr>
              <w:t>35.41%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w w:val="95"/>
                <w:sz w:val="18"/>
              </w:rPr>
              <w:t>-38,950,000</w:t>
            </w:r>
            <w:r>
              <w:rPr>
                <w:rFonts w:ascii="Times New Roman"/>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w w:val="95"/>
                <w:sz w:val="18"/>
              </w:rPr>
              <w:t>-38,950,000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38,950,000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18"/>
                <w:szCs w:val="18"/>
              </w:rPr>
            </w:pPr>
            <w:r>
              <w:rPr>
                <w:rFonts w:ascii="Times New Roman"/>
                <w:sz w:val="18"/>
              </w:rPr>
              <w:t>35.41%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w w:val="95"/>
                <w:sz w:val="18"/>
              </w:rPr>
              <w:t>-38,950,000</w:t>
            </w:r>
            <w:r>
              <w:rPr>
                <w:rFonts w:ascii="Times New Roman"/>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w w:val="95"/>
                <w:sz w:val="18"/>
              </w:rPr>
              <w:t>-38,950,000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2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0.00%</w:t>
            </w:r>
          </w:p>
        </w:tc>
      </w:tr>
      <w:tr>
        <w:trPr>
          <w:trHeight w:val="362"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71,050,000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18"/>
                <w:szCs w:val="18"/>
              </w:rPr>
            </w:pPr>
            <w:r>
              <w:rPr>
                <w:rFonts w:ascii="Times New Roman"/>
                <w:sz w:val="18"/>
              </w:rPr>
              <w:t>64.59%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14,124,172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38,950,000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53,074,172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124,124,172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71,050,000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64.59%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14,124,172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38,950,000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53,074,172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124,124,172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14,124,172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14,124,172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124,124,172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宋体" w:hAnsi="宋体" w:cs="宋体" w:eastAsia="宋体" w:hint="default"/>
          <w:sz w:val="25"/>
          <w:szCs w:val="25"/>
        </w:rPr>
      </w:pPr>
    </w:p>
    <w:p>
      <w:pPr>
        <w:spacing w:before="36"/>
        <w:ind w:left="878" w:right="522" w:firstLine="0"/>
        <w:jc w:val="left"/>
        <w:rPr>
          <w:rFonts w:ascii="宋体" w:hAnsi="宋体" w:cs="宋体" w:eastAsia="宋体" w:hint="default"/>
          <w:sz w:val="21"/>
          <w:szCs w:val="21"/>
        </w:rPr>
      </w:pPr>
      <w:r>
        <w:rPr>
          <w:rFonts w:ascii="宋体" w:hAnsi="宋体" w:cs="宋体" w:eastAsia="宋体" w:hint="default"/>
          <w:b/>
          <w:bCs/>
          <w:spacing w:val="9"/>
          <w:sz w:val="21"/>
          <w:szCs w:val="21"/>
        </w:rPr>
        <w:t>二、</w:t>
      </w:r>
      <w:r>
        <w:rPr>
          <w:rFonts w:ascii="宋体" w:hAnsi="宋体" w:cs="宋体" w:eastAsia="宋体" w:hint="default"/>
          <w:b/>
          <w:bCs/>
          <w:spacing w:val="-71"/>
          <w:sz w:val="21"/>
          <w:szCs w:val="21"/>
        </w:rPr>
        <w:t> </w:t>
      </w:r>
      <w:r>
        <w:rPr>
          <w:rFonts w:ascii="宋体" w:hAnsi="宋体" w:cs="宋体" w:eastAsia="宋体" w:hint="default"/>
          <w:b/>
          <w:bCs/>
          <w:spacing w:val="16"/>
          <w:sz w:val="21"/>
          <w:szCs w:val="21"/>
        </w:rPr>
        <w:t>限售股份变动情况表</w:t>
      </w:r>
      <w:r>
        <w:rPr>
          <w:rFonts w:ascii="宋体" w:hAnsi="宋体" w:cs="宋体" w:eastAsia="宋体" w:hint="default"/>
          <w:b/>
          <w:bCs/>
          <w:spacing w:val="-66"/>
          <w:sz w:val="21"/>
          <w:szCs w:val="21"/>
        </w:rPr>
        <w:t> </w:t>
      </w:r>
      <w:r>
        <w:rPr>
          <w:rFonts w:ascii="宋体" w:hAnsi="宋体" w:cs="宋体" w:eastAsia="宋体" w:hint="default"/>
          <w:spacing w:val="12"/>
          <w:sz w:val="21"/>
          <w:szCs w:val="21"/>
        </w:rPr>
        <w:t>(</w:t>
      </w:r>
      <w:r>
        <w:rPr>
          <w:rFonts w:ascii="宋体" w:hAnsi="宋体" w:cs="宋体" w:eastAsia="宋体" w:hint="default"/>
          <w:spacing w:val="12"/>
          <w:sz w:val="21"/>
          <w:szCs w:val="21"/>
        </w:rPr>
        <w:t>单位：股</w:t>
      </w:r>
      <w:r>
        <w:rPr>
          <w:rFonts w:ascii="宋体" w:hAnsi="宋体" w:cs="宋体" w:eastAsia="宋体" w:hint="default"/>
          <w:spacing w:val="12"/>
          <w:sz w:val="21"/>
          <w:szCs w:val="21"/>
        </w:rPr>
        <w:t>)</w:t>
      </w:r>
    </w:p>
    <w:p>
      <w:pPr>
        <w:spacing w:line="240" w:lineRule="auto" w:before="11"/>
        <w:rPr>
          <w:rFonts w:ascii="宋体" w:hAnsi="宋体" w:cs="宋体" w:eastAsia="宋体" w:hint="default"/>
          <w:sz w:val="12"/>
          <w:szCs w:val="12"/>
        </w:rPr>
      </w:pPr>
    </w:p>
    <w:tbl>
      <w:tblPr>
        <w:tblW w:w="0" w:type="auto"/>
        <w:jc w:val="left"/>
        <w:tblInd w:w="383" w:type="dxa"/>
        <w:tblLayout w:type="fixed"/>
        <w:tblCellMar>
          <w:top w:w="0" w:type="dxa"/>
          <w:left w:w="0" w:type="dxa"/>
          <w:bottom w:w="0" w:type="dxa"/>
          <w:right w:w="0" w:type="dxa"/>
        </w:tblCellMar>
        <w:tblLook w:val="01E0"/>
      </w:tblPr>
      <w:tblGrid>
        <w:gridCol w:w="1404"/>
        <w:gridCol w:w="1405"/>
        <w:gridCol w:w="1289"/>
        <w:gridCol w:w="1416"/>
        <w:gridCol w:w="1277"/>
        <w:gridCol w:w="1405"/>
        <w:gridCol w:w="1097"/>
      </w:tblGrid>
      <w:tr>
        <w:trPr>
          <w:trHeight w:val="476"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91"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0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解除限售日</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香港喜多来集团</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38,950,000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38,950,000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自上市之日起锁</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31"/>
              <w:jc w:val="right"/>
              <w:rPr>
                <w:rFonts w:ascii="Times New Roman" w:hAnsi="Times New Roman" w:cs="Times New Roman" w:eastAsia="Times New Roman" w:hint="default"/>
                <w:sz w:val="18"/>
                <w:szCs w:val="18"/>
              </w:rPr>
            </w:pPr>
            <w:r>
              <w:rPr>
                <w:rFonts w:ascii="Times New Roman"/>
                <w:sz w:val="18"/>
              </w:rPr>
              <w:t>2010.3.3</w:t>
            </w:r>
          </w:p>
        </w:tc>
      </w:tr>
      <w:tr>
        <w:trPr>
          <w:trHeight w:val="24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38,950,000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38,950,000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455"/>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3"/>
        <w:rPr>
          <w:rFonts w:ascii="宋体" w:hAnsi="宋体" w:cs="宋体" w:eastAsia="宋体" w:hint="default"/>
          <w:sz w:val="25"/>
          <w:szCs w:val="25"/>
        </w:rPr>
      </w:pPr>
    </w:p>
    <w:p>
      <w:pPr>
        <w:spacing w:before="36"/>
        <w:ind w:left="878" w:right="522" w:firstLine="0"/>
        <w:jc w:val="left"/>
        <w:rPr>
          <w:rFonts w:ascii="宋体" w:hAnsi="宋体" w:cs="宋体" w:eastAsia="宋体" w:hint="default"/>
          <w:sz w:val="21"/>
          <w:szCs w:val="21"/>
        </w:rPr>
      </w:pPr>
      <w:r>
        <w:rPr>
          <w:rFonts w:ascii="宋体" w:hAnsi="宋体" w:cs="宋体" w:eastAsia="宋体" w:hint="default"/>
          <w:b/>
          <w:bCs/>
          <w:sz w:val="21"/>
          <w:szCs w:val="21"/>
        </w:rPr>
        <w:t>三、股票发行与上市情况</w:t>
      </w:r>
      <w:r>
        <w:rPr>
          <w:rFonts w:ascii="宋体" w:hAnsi="宋体" w:cs="宋体" w:eastAsia="宋体" w:hint="default"/>
          <w:sz w:val="21"/>
          <w:szCs w:val="21"/>
        </w:rPr>
      </w:r>
    </w:p>
    <w:p>
      <w:pPr>
        <w:spacing w:before="133"/>
        <w:ind w:left="1298" w:right="52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、经中国证监会证监发行字【</w:t>
      </w:r>
      <w:r>
        <w:rPr>
          <w:rFonts w:ascii="宋体" w:hAnsi="宋体" w:cs="宋体" w:eastAsia="宋体" w:hint="default"/>
          <w:sz w:val="21"/>
          <w:szCs w:val="21"/>
        </w:rPr>
        <w:t>2007</w:t>
      </w:r>
      <w:r>
        <w:rPr>
          <w:rFonts w:ascii="宋体" w:hAnsi="宋体" w:cs="宋体" w:eastAsia="宋体" w:hint="default"/>
          <w:sz w:val="21"/>
          <w:szCs w:val="21"/>
        </w:rPr>
        <w:t>】</w:t>
      </w:r>
      <w:r>
        <w:rPr>
          <w:rFonts w:ascii="宋体" w:hAnsi="宋体" w:cs="宋体" w:eastAsia="宋体" w:hint="default"/>
          <w:sz w:val="21"/>
          <w:szCs w:val="21"/>
        </w:rPr>
        <w:t>24</w:t>
      </w:r>
      <w:r>
        <w:rPr>
          <w:rFonts w:ascii="宋体" w:hAnsi="宋体" w:cs="宋体" w:eastAsia="宋体" w:hint="default"/>
          <w:spacing w:val="-43"/>
          <w:sz w:val="21"/>
          <w:szCs w:val="21"/>
        </w:rPr>
        <w:t> </w:t>
      </w:r>
      <w:r>
        <w:rPr>
          <w:rFonts w:ascii="宋体" w:hAnsi="宋体" w:cs="宋体" w:eastAsia="宋体" w:hint="default"/>
          <w:sz w:val="21"/>
          <w:szCs w:val="21"/>
        </w:rPr>
        <w:t>号文核准，公司于</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日发行人民</w:t>
      </w:r>
    </w:p>
    <w:p>
      <w:pPr>
        <w:spacing w:line="355" w:lineRule="auto" w:before="133"/>
        <w:ind w:left="878" w:right="522" w:firstLine="0"/>
        <w:jc w:val="left"/>
        <w:rPr>
          <w:rFonts w:ascii="宋体" w:hAnsi="宋体" w:cs="宋体" w:eastAsia="宋体" w:hint="default"/>
          <w:sz w:val="21"/>
          <w:szCs w:val="21"/>
        </w:rPr>
      </w:pPr>
      <w:r>
        <w:rPr>
          <w:rFonts w:ascii="宋体" w:hAnsi="宋体" w:cs="宋体" w:eastAsia="宋体" w:hint="default"/>
          <w:spacing w:val="-3"/>
          <w:sz w:val="21"/>
          <w:szCs w:val="21"/>
        </w:rPr>
        <w:t>币普通股（</w:t>
      </w:r>
      <w:r>
        <w:rPr>
          <w:rFonts w:ascii="宋体" w:hAnsi="宋体" w:cs="宋体" w:eastAsia="宋体" w:hint="default"/>
          <w:spacing w:val="-3"/>
          <w:sz w:val="21"/>
          <w:szCs w:val="21"/>
        </w:rPr>
        <w:t>A</w:t>
      </w:r>
      <w:r>
        <w:rPr>
          <w:rFonts w:ascii="宋体" w:hAnsi="宋体" w:cs="宋体" w:eastAsia="宋体" w:hint="default"/>
          <w:spacing w:val="-48"/>
          <w:sz w:val="21"/>
          <w:szCs w:val="21"/>
        </w:rPr>
        <w:t> </w:t>
      </w:r>
      <w:r>
        <w:rPr>
          <w:rFonts w:ascii="宋体" w:hAnsi="宋体" w:cs="宋体" w:eastAsia="宋体" w:hint="default"/>
          <w:spacing w:val="-3"/>
          <w:sz w:val="21"/>
          <w:szCs w:val="21"/>
        </w:rPr>
        <w:t>股）</w:t>
      </w:r>
      <w:r>
        <w:rPr>
          <w:rFonts w:ascii="宋体" w:hAnsi="宋体" w:cs="宋体" w:eastAsia="宋体" w:hint="default"/>
          <w:spacing w:val="-3"/>
          <w:sz w:val="21"/>
          <w:szCs w:val="21"/>
        </w:rPr>
        <w:t>2800</w:t>
      </w:r>
      <w:r>
        <w:rPr>
          <w:rFonts w:ascii="宋体" w:hAnsi="宋体" w:cs="宋体" w:eastAsia="宋体" w:hint="default"/>
          <w:spacing w:val="-47"/>
          <w:sz w:val="21"/>
          <w:szCs w:val="21"/>
        </w:rPr>
        <w:t> </w:t>
      </w:r>
      <w:r>
        <w:rPr>
          <w:rFonts w:ascii="宋体" w:hAnsi="宋体" w:cs="宋体" w:eastAsia="宋体" w:hint="default"/>
          <w:spacing w:val="-3"/>
          <w:sz w:val="21"/>
          <w:szCs w:val="21"/>
        </w:rPr>
        <w:t>万股，每股面值</w:t>
      </w:r>
      <w:r>
        <w:rPr>
          <w:rFonts w:ascii="宋体" w:hAnsi="宋体" w:cs="宋体" w:eastAsia="宋体" w:hint="default"/>
          <w:spacing w:val="-48"/>
          <w:sz w:val="21"/>
          <w:szCs w:val="21"/>
        </w:rPr>
        <w:t> </w:t>
      </w:r>
      <w:r>
        <w:rPr>
          <w:rFonts w:ascii="宋体" w:hAnsi="宋体" w:cs="宋体" w:eastAsia="宋体" w:hint="default"/>
          <w:sz w:val="21"/>
          <w:szCs w:val="21"/>
        </w:rPr>
        <w:t>1.00</w:t>
      </w:r>
      <w:r>
        <w:rPr>
          <w:rFonts w:ascii="宋体" w:hAnsi="宋体" w:cs="宋体" w:eastAsia="宋体" w:hint="default"/>
          <w:spacing w:val="-51"/>
          <w:sz w:val="21"/>
          <w:szCs w:val="21"/>
        </w:rPr>
        <w:t> </w:t>
      </w:r>
      <w:r>
        <w:rPr>
          <w:rFonts w:ascii="宋体" w:hAnsi="宋体" w:cs="宋体" w:eastAsia="宋体" w:hint="default"/>
          <w:spacing w:val="-3"/>
          <w:sz w:val="21"/>
          <w:szCs w:val="21"/>
        </w:rPr>
        <w:t>元，每股发行价为</w:t>
      </w:r>
      <w:r>
        <w:rPr>
          <w:rFonts w:ascii="宋体" w:hAnsi="宋体" w:cs="宋体" w:eastAsia="宋体" w:hint="default"/>
          <w:spacing w:val="-48"/>
          <w:sz w:val="21"/>
          <w:szCs w:val="21"/>
        </w:rPr>
        <w:t> </w:t>
      </w:r>
      <w:r>
        <w:rPr>
          <w:rFonts w:ascii="宋体" w:hAnsi="宋体" w:cs="宋体" w:eastAsia="宋体" w:hint="default"/>
          <w:sz w:val="21"/>
          <w:szCs w:val="21"/>
        </w:rPr>
        <w:t>10.28</w:t>
      </w:r>
      <w:r>
        <w:rPr>
          <w:rFonts w:ascii="宋体" w:hAnsi="宋体" w:cs="宋体" w:eastAsia="宋体" w:hint="default"/>
          <w:spacing w:val="-48"/>
          <w:sz w:val="21"/>
          <w:szCs w:val="21"/>
        </w:rPr>
        <w:t> </w:t>
      </w:r>
      <w:r>
        <w:rPr>
          <w:rFonts w:ascii="宋体" w:hAnsi="宋体" w:cs="宋体" w:eastAsia="宋体" w:hint="default"/>
          <w:spacing w:val="-5"/>
          <w:sz w:val="21"/>
          <w:szCs w:val="21"/>
        </w:rPr>
        <w:t>元，于</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103"/>
          <w:sz w:val="21"/>
          <w:szCs w:val="21"/>
        </w:rPr>
        <w:t> </w:t>
      </w:r>
      <w:r>
        <w:rPr>
          <w:rFonts w:ascii="宋体" w:hAnsi="宋体" w:cs="宋体" w:eastAsia="宋体" w:hint="default"/>
          <w:sz w:val="21"/>
          <w:szCs w:val="21"/>
        </w:rPr>
        <w:t>日在深圳证券交易所上市交易。</w:t>
      </w:r>
    </w:p>
    <w:p>
      <w:pPr>
        <w:spacing w:before="32"/>
        <w:ind w:left="1298" w:right="522" w:firstLine="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、经中国证监会证监许可【</w:t>
      </w:r>
      <w:r>
        <w:rPr>
          <w:rFonts w:ascii="宋体" w:hAnsi="宋体" w:cs="宋体" w:eastAsia="宋体" w:hint="default"/>
          <w:spacing w:val="-3"/>
          <w:sz w:val="21"/>
          <w:szCs w:val="21"/>
        </w:rPr>
        <w:t>2010</w:t>
      </w:r>
      <w:r>
        <w:rPr>
          <w:rFonts w:ascii="宋体" w:hAnsi="宋体" w:cs="宋体" w:eastAsia="宋体" w:hint="default"/>
          <w:spacing w:val="-3"/>
          <w:sz w:val="21"/>
          <w:szCs w:val="21"/>
        </w:rPr>
        <w:t>】</w:t>
      </w:r>
      <w:r>
        <w:rPr>
          <w:rFonts w:ascii="宋体" w:hAnsi="宋体" w:cs="宋体" w:eastAsia="宋体" w:hint="default"/>
          <w:spacing w:val="-3"/>
          <w:sz w:val="21"/>
          <w:szCs w:val="21"/>
        </w:rPr>
        <w:t>1210</w:t>
      </w:r>
      <w:r>
        <w:rPr>
          <w:rFonts w:ascii="宋体" w:hAnsi="宋体" w:cs="宋体" w:eastAsia="宋体" w:hint="default"/>
          <w:spacing w:val="-48"/>
          <w:sz w:val="21"/>
          <w:szCs w:val="21"/>
        </w:rPr>
        <w:t> </w:t>
      </w:r>
      <w:r>
        <w:rPr>
          <w:rFonts w:ascii="宋体" w:hAnsi="宋体" w:cs="宋体" w:eastAsia="宋体" w:hint="default"/>
          <w:spacing w:val="-3"/>
          <w:sz w:val="21"/>
          <w:szCs w:val="21"/>
        </w:rPr>
        <w:t>号文核准，公司于</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日增发人民</w:t>
      </w:r>
    </w:p>
    <w:p>
      <w:pPr>
        <w:spacing w:before="135"/>
        <w:ind w:left="878" w:right="522" w:firstLine="0"/>
        <w:jc w:val="left"/>
        <w:rPr>
          <w:rFonts w:ascii="宋体" w:hAnsi="宋体" w:cs="宋体" w:eastAsia="宋体" w:hint="default"/>
          <w:sz w:val="21"/>
          <w:szCs w:val="21"/>
        </w:rPr>
      </w:pPr>
      <w:r>
        <w:rPr>
          <w:rFonts w:ascii="宋体" w:hAnsi="宋体" w:cs="宋体" w:eastAsia="宋体" w:hint="default"/>
          <w:sz w:val="21"/>
          <w:szCs w:val="21"/>
        </w:rPr>
        <w:t>币普通（</w:t>
      </w:r>
      <w:r>
        <w:rPr>
          <w:rFonts w:ascii="宋体" w:hAnsi="宋体" w:cs="宋体" w:eastAsia="宋体" w:hint="default"/>
          <w:sz w:val="21"/>
          <w:szCs w:val="21"/>
        </w:rPr>
        <w:t>A</w:t>
      </w:r>
      <w:r>
        <w:rPr>
          <w:rFonts w:ascii="宋体" w:hAnsi="宋体" w:cs="宋体" w:eastAsia="宋体" w:hint="default"/>
          <w:spacing w:val="-36"/>
          <w:sz w:val="21"/>
          <w:szCs w:val="21"/>
        </w:rPr>
        <w:t> </w:t>
      </w:r>
      <w:r>
        <w:rPr>
          <w:rFonts w:ascii="宋体" w:hAnsi="宋体" w:cs="宋体" w:eastAsia="宋体" w:hint="default"/>
          <w:sz w:val="21"/>
          <w:szCs w:val="21"/>
        </w:rPr>
        <w:t>股）</w:t>
      </w:r>
      <w:r>
        <w:rPr>
          <w:rFonts w:ascii="宋体" w:hAnsi="宋体" w:cs="宋体" w:eastAsia="宋体" w:hint="default"/>
          <w:sz w:val="21"/>
          <w:szCs w:val="21"/>
        </w:rPr>
        <w:t>14,124,172</w:t>
      </w:r>
      <w:r>
        <w:rPr>
          <w:rFonts w:ascii="宋体" w:hAnsi="宋体" w:cs="宋体" w:eastAsia="宋体" w:hint="default"/>
          <w:spacing w:val="-33"/>
          <w:sz w:val="21"/>
          <w:szCs w:val="21"/>
        </w:rPr>
        <w:t> </w:t>
      </w:r>
      <w:r>
        <w:rPr>
          <w:rFonts w:ascii="宋体" w:hAnsi="宋体" w:cs="宋体" w:eastAsia="宋体" w:hint="default"/>
          <w:sz w:val="21"/>
          <w:szCs w:val="21"/>
        </w:rPr>
        <w:t>股，每股面值</w:t>
      </w:r>
      <w:r>
        <w:rPr>
          <w:rFonts w:ascii="宋体" w:hAnsi="宋体" w:cs="宋体" w:eastAsia="宋体" w:hint="default"/>
          <w:spacing w:val="-36"/>
          <w:sz w:val="21"/>
          <w:szCs w:val="21"/>
        </w:rPr>
        <w:t> </w:t>
      </w:r>
      <w:r>
        <w:rPr>
          <w:rFonts w:ascii="宋体" w:hAnsi="宋体" w:cs="宋体" w:eastAsia="宋体" w:hint="default"/>
          <w:sz w:val="21"/>
          <w:szCs w:val="21"/>
        </w:rPr>
        <w:t>1.00</w:t>
      </w:r>
      <w:r>
        <w:rPr>
          <w:rFonts w:ascii="宋体" w:hAnsi="宋体" w:cs="宋体" w:eastAsia="宋体" w:hint="default"/>
          <w:spacing w:val="-36"/>
          <w:sz w:val="21"/>
          <w:szCs w:val="21"/>
        </w:rPr>
        <w:t> </w:t>
      </w:r>
      <w:r>
        <w:rPr>
          <w:rFonts w:ascii="宋体" w:hAnsi="宋体" w:cs="宋体" w:eastAsia="宋体" w:hint="default"/>
          <w:sz w:val="21"/>
          <w:szCs w:val="21"/>
        </w:rPr>
        <w:t>元，每股发行价为</w:t>
      </w:r>
      <w:r>
        <w:rPr>
          <w:rFonts w:ascii="宋体" w:hAnsi="宋体" w:cs="宋体" w:eastAsia="宋体" w:hint="default"/>
          <w:spacing w:val="-33"/>
          <w:sz w:val="21"/>
          <w:szCs w:val="21"/>
        </w:rPr>
        <w:t> </w:t>
      </w:r>
      <w:r>
        <w:rPr>
          <w:rFonts w:ascii="宋体" w:hAnsi="宋体" w:cs="宋体" w:eastAsia="宋体" w:hint="default"/>
          <w:sz w:val="21"/>
          <w:szCs w:val="21"/>
        </w:rPr>
        <w:t>25.69</w:t>
      </w:r>
      <w:r>
        <w:rPr>
          <w:rFonts w:ascii="宋体" w:hAnsi="宋体" w:cs="宋体" w:eastAsia="宋体" w:hint="default"/>
          <w:spacing w:val="-36"/>
          <w:sz w:val="21"/>
          <w:szCs w:val="21"/>
        </w:rPr>
        <w:t> </w:t>
      </w:r>
      <w:r>
        <w:rPr>
          <w:rFonts w:ascii="宋体" w:hAnsi="宋体" w:cs="宋体" w:eastAsia="宋体" w:hint="default"/>
          <w:sz w:val="21"/>
          <w:szCs w:val="21"/>
        </w:rPr>
        <w:t>元，于</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9</w:t>
      </w:r>
    </w:p>
    <w:p>
      <w:pPr>
        <w:spacing w:before="133"/>
        <w:ind w:left="878" w:right="522"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日在深圳证券交易所上市交易。</w:t>
      </w:r>
    </w:p>
    <w:p>
      <w:pPr>
        <w:spacing w:after="0"/>
        <w:jc w:val="left"/>
        <w:rPr>
          <w:rFonts w:ascii="宋体" w:hAnsi="宋体" w:cs="宋体" w:eastAsia="宋体" w:hint="default"/>
          <w:sz w:val="21"/>
          <w:szCs w:val="21"/>
        </w:rPr>
        <w:sectPr>
          <w:pgSz w:w="11910" w:h="16840"/>
          <w:pgMar w:header="915" w:footer="1100" w:top="1100" w:bottom="1280" w:left="920" w:right="0"/>
        </w:sectPr>
      </w:pPr>
    </w:p>
    <w:p>
      <w:pPr>
        <w:spacing w:before="17"/>
        <w:ind w:left="45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48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b/>
          <w:bCs/>
          <w:sz w:val="21"/>
          <w:szCs w:val="21"/>
        </w:rPr>
        <w:t>四、股东情况</w:t>
      </w:r>
      <w:r>
        <w:rPr>
          <w:rFonts w:ascii="宋体" w:hAnsi="宋体" w:cs="宋体" w:eastAsia="宋体" w:hint="default"/>
          <w:sz w:val="21"/>
          <w:szCs w:val="21"/>
        </w:rPr>
      </w:r>
    </w:p>
    <w:p>
      <w:pPr>
        <w:spacing w:before="136"/>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（一）股东数量和持股情况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2336"/>
        <w:gridCol w:w="1379"/>
        <w:gridCol w:w="396"/>
        <w:gridCol w:w="905"/>
        <w:gridCol w:w="1301"/>
        <w:gridCol w:w="518"/>
        <w:gridCol w:w="754"/>
        <w:gridCol w:w="1418"/>
      </w:tblGrid>
      <w:tr>
        <w:trPr>
          <w:trHeight w:val="242"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672" w:type="dxa"/>
            <w:gridSpan w:val="7"/>
            <w:tcBorders>
              <w:top w:val="single" w:sz="4" w:space="0" w:color="000000"/>
              <w:left w:val="single" w:sz="14"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10,996</w:t>
            </w:r>
          </w:p>
        </w:tc>
      </w:tr>
      <w:tr>
        <w:trPr>
          <w:trHeight w:val="304" w:hRule="exact"/>
        </w:trPr>
        <w:tc>
          <w:tcPr>
            <w:tcW w:w="9009"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59"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2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87"/>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8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left="180" w:right="0" w:hanging="92"/>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302" w:hRule="exact"/>
        </w:trPr>
        <w:tc>
          <w:tcPr>
            <w:tcW w:w="2336" w:type="dxa"/>
            <w:tcBorders>
              <w:top w:val="single" w:sz="50" w:space="0" w:color="DCDCDC"/>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775" w:type="dxa"/>
            <w:gridSpan w:val="2"/>
            <w:tcBorders>
              <w:top w:val="single" w:sz="50" w:space="0" w:color="DCDCDC"/>
              <w:left w:val="single" w:sz="4" w:space="0" w:color="000000"/>
              <w:bottom w:val="single" w:sz="4" w:space="0" w:color="000000"/>
              <w:right w:val="single" w:sz="4" w:space="0" w:color="000000"/>
            </w:tcBorders>
          </w:tcPr>
          <w:p>
            <w:pPr>
              <w:pStyle w:val="TableParagraph"/>
              <w:spacing w:line="208" w:lineRule="exact"/>
              <w:ind w:left="2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05"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30.48%</w:t>
            </w:r>
          </w:p>
        </w:tc>
        <w:tc>
          <w:tcPr>
            <w:tcW w:w="1301" w:type="dxa"/>
            <w:tcBorders>
              <w:top w:val="single" w:sz="50" w:space="0" w:color="DCDCDC"/>
              <w:left w:val="single" w:sz="4" w:space="0" w:color="000000"/>
              <w:bottom w:val="single" w:sz="4" w:space="0" w:color="000000"/>
              <w:right w:val="single" w:sz="12" w:space="0" w:color="DCDCDC"/>
            </w:tcBorders>
          </w:tcPr>
          <w:p>
            <w:pPr>
              <w:pStyle w:val="TableParagraph"/>
              <w:spacing w:line="240" w:lineRule="auto" w:before="9"/>
              <w:ind w:right="13"/>
              <w:jc w:val="right"/>
              <w:rPr>
                <w:rFonts w:ascii="Times New Roman" w:hAnsi="Times New Roman" w:cs="Times New Roman" w:eastAsia="Times New Roman" w:hint="default"/>
                <w:sz w:val="18"/>
                <w:szCs w:val="18"/>
              </w:rPr>
            </w:pPr>
            <w:r>
              <w:rPr>
                <w:rFonts w:ascii="Times New Roman"/>
                <w:spacing w:val="-1"/>
                <w:sz w:val="18"/>
              </w:rPr>
              <w:t>37,827,385</w:t>
            </w:r>
          </w:p>
        </w:tc>
        <w:tc>
          <w:tcPr>
            <w:tcW w:w="1273" w:type="dxa"/>
            <w:gridSpan w:val="2"/>
            <w:tcBorders>
              <w:top w:val="single" w:sz="4" w:space="0" w:color="000000"/>
              <w:left w:val="single" w:sz="12" w:space="0" w:color="DCDCDC"/>
              <w:bottom w:val="single" w:sz="4" w:space="0" w:color="000000"/>
              <w:right w:val="single" w:sz="23" w:space="0" w:color="DCDCDC"/>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23" w:space="0" w:color="DCDCDC"/>
              <w:bottom w:val="single" w:sz="4" w:space="0" w:color="000000"/>
              <w:right w:val="single" w:sz="13" w:space="0" w:color="DCDCDC"/>
            </w:tcBorders>
          </w:tcPr>
          <w:p>
            <w:pPr>
              <w:pStyle w:val="TableParagraph"/>
              <w:spacing w:line="240" w:lineRule="auto" w:before="67"/>
              <w:ind w:right="8"/>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12.57%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15,600,000</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1,647,059</w:t>
            </w:r>
          </w:p>
        </w:tc>
      </w:tr>
      <w:tr>
        <w:trPr>
          <w:trHeight w:val="475"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13,940,000</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9.25%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11,480,000</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1,152,941</w:t>
            </w:r>
          </w:p>
        </w:tc>
      </w:tr>
      <w:tr>
        <w:trPr>
          <w:trHeight w:val="4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中国工商银行－易方达价值</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精选股票型证券投资基金</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2,501,549</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24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1.67%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2,075,552</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中国工商银行－申万巴黎新</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动力股票型证券投资基金</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1,498,379</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交通银行－华安宝利配置证</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1,390,000</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1,059,601</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中国工商银行－汇添富均衡</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增长股票型证券投资基金</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1,000,000</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中国建设银行－民生加银精</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选股票型证券投资基金</w:t>
            </w:r>
          </w:p>
        </w:tc>
        <w:tc>
          <w:tcPr>
            <w:tcW w:w="1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5"/>
                <w:sz w:val="18"/>
                <w:szCs w:val="18"/>
              </w:rPr>
              <w:t>、</w:t>
            </w:r>
            <w:r>
              <w:rPr>
                <w:rFonts w:ascii="宋体" w:hAnsi="宋体" w:cs="宋体" w:eastAsia="宋体" w:hint="default"/>
                <w:sz w:val="18"/>
                <w:szCs w:val="18"/>
              </w:rPr>
              <w:t>理财产品等其他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1,000,000</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9009"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2"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1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2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5"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37,827,385</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13,940,000</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11,480,000</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中国工商银行－易方达价值精选股票型证券投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2,501,549</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2,075,552</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中国工商银行－申万巴黎新动力股票型证券投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1,498,379</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交通银行－华安宝利配置证券投资基金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1,390,000</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1,059,601</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5"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中国工商银行－汇添富均衡增长股票型证券投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中国建设银行－民生加银精选股票型证券投资</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803" w:right="80"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6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z w:val="18"/>
                <w:szCs w:val="18"/>
              </w:rPr>
              <w:t>香港喜多来集团有限公司、北京中嘉华信息技术有限公司之间不存在股权上的关系，</w:t>
            </w:r>
          </w:p>
          <w:p>
            <w:pPr>
              <w:pStyle w:val="TableParagraph"/>
              <w:spacing w:line="237" w:lineRule="auto"/>
              <w:ind w:left="25" w:right="23"/>
              <w:jc w:val="both"/>
              <w:rPr>
                <w:rFonts w:ascii="宋体" w:hAnsi="宋体" w:cs="宋体" w:eastAsia="宋体" w:hint="default"/>
                <w:sz w:val="18"/>
                <w:szCs w:val="18"/>
              </w:rPr>
            </w:pPr>
            <w:r>
              <w:rPr>
                <w:rFonts w:ascii="宋体" w:hAnsi="宋体" w:cs="宋体" w:eastAsia="宋体" w:hint="default"/>
                <w:spacing w:val="-2"/>
                <w:sz w:val="18"/>
                <w:szCs w:val="18"/>
              </w:rPr>
              <w:t>但存在如下的人事安排上的关联关系：喜多来集团董事石林之子楚伦巴特尔为北京中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嘉华信息技术有限公司的第二大股东；公司实际控制人谷望江女士之胞妹谷望宁女士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为北京中嘉华信息技术有限公司并列第三大股东。</w:t>
            </w:r>
          </w:p>
        </w:tc>
      </w:tr>
    </w:tbl>
    <w:p>
      <w:pPr>
        <w:spacing w:line="241" w:lineRule="exact" w:before="0"/>
        <w:ind w:left="4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注释</w:t>
      </w:r>
      <w:r>
        <w:rPr>
          <w:rFonts w:ascii="宋体" w:hAnsi="宋体" w:cs="宋体" w:eastAsia="宋体" w:hint="default"/>
          <w:spacing w:val="6"/>
          <w:w w:val="100"/>
          <w:sz w:val="21"/>
          <w:szCs w:val="21"/>
        </w:rPr>
        <w:t>：</w:t>
      </w:r>
      <w:r>
        <w:rPr>
          <w:rFonts w:ascii="宋体" w:hAnsi="宋体" w:cs="宋体" w:eastAsia="宋体" w:hint="default"/>
          <w:spacing w:val="4"/>
          <w:w w:val="100"/>
          <w:sz w:val="21"/>
          <w:szCs w:val="21"/>
        </w:rPr>
        <w:t>根</w:t>
      </w:r>
      <w:r>
        <w:rPr>
          <w:rFonts w:ascii="宋体" w:hAnsi="宋体" w:cs="宋体" w:eastAsia="宋体" w:hint="default"/>
          <w:spacing w:val="5"/>
          <w:w w:val="100"/>
          <w:sz w:val="21"/>
          <w:szCs w:val="21"/>
        </w:rPr>
        <w:t>据</w:t>
      </w:r>
      <w:r>
        <w:rPr>
          <w:rFonts w:ascii="宋体" w:hAnsi="宋体" w:cs="宋体" w:eastAsia="宋体" w:hint="default"/>
          <w:spacing w:val="4"/>
          <w:w w:val="100"/>
          <w:sz w:val="21"/>
          <w:szCs w:val="21"/>
        </w:rPr>
        <w:t>《境内证券市场转</w:t>
      </w:r>
      <w:r>
        <w:rPr>
          <w:rFonts w:ascii="宋体" w:hAnsi="宋体" w:cs="宋体" w:eastAsia="宋体" w:hint="default"/>
          <w:spacing w:val="6"/>
          <w:w w:val="100"/>
          <w:sz w:val="21"/>
          <w:szCs w:val="21"/>
        </w:rPr>
        <w:t>持</w:t>
      </w:r>
      <w:r>
        <w:rPr>
          <w:rFonts w:ascii="宋体" w:hAnsi="宋体" w:cs="宋体" w:eastAsia="宋体" w:hint="default"/>
          <w:spacing w:val="4"/>
          <w:w w:val="100"/>
          <w:sz w:val="21"/>
          <w:szCs w:val="21"/>
        </w:rPr>
        <w:t>部分国有股充实全国社</w:t>
      </w:r>
      <w:r>
        <w:rPr>
          <w:rFonts w:ascii="宋体" w:hAnsi="宋体" w:cs="宋体" w:eastAsia="宋体" w:hint="default"/>
          <w:spacing w:val="6"/>
          <w:w w:val="100"/>
          <w:sz w:val="21"/>
          <w:szCs w:val="21"/>
        </w:rPr>
        <w:t>会</w:t>
      </w:r>
      <w:r>
        <w:rPr>
          <w:rFonts w:ascii="宋体" w:hAnsi="宋体" w:cs="宋体" w:eastAsia="宋体" w:hint="default"/>
          <w:spacing w:val="4"/>
          <w:w w:val="100"/>
          <w:sz w:val="21"/>
          <w:szCs w:val="21"/>
        </w:rPr>
        <w:t>保障基</w:t>
      </w:r>
      <w:r>
        <w:rPr>
          <w:rFonts w:ascii="宋体" w:hAnsi="宋体" w:cs="宋体" w:eastAsia="宋体" w:hint="default"/>
          <w:spacing w:val="6"/>
          <w:w w:val="100"/>
          <w:sz w:val="21"/>
          <w:szCs w:val="21"/>
        </w:rPr>
        <w:t>金</w:t>
      </w:r>
      <w:r>
        <w:rPr>
          <w:rFonts w:ascii="宋体" w:hAnsi="宋体" w:cs="宋体" w:eastAsia="宋体" w:hint="default"/>
          <w:spacing w:val="4"/>
          <w:w w:val="100"/>
          <w:sz w:val="21"/>
          <w:szCs w:val="21"/>
        </w:rPr>
        <w:t>实施办法</w:t>
      </w:r>
      <w:r>
        <w:rPr>
          <w:rFonts w:ascii="宋体" w:hAnsi="宋体" w:cs="宋体" w:eastAsia="宋体" w:hint="default"/>
          <w:spacing w:val="-99"/>
          <w:w w:val="100"/>
          <w:sz w:val="21"/>
          <w:szCs w:val="21"/>
        </w:rPr>
        <w:t>》</w:t>
      </w:r>
      <w:r>
        <w:rPr>
          <w:rFonts w:ascii="宋体" w:hAnsi="宋体" w:cs="宋体" w:eastAsia="宋体" w:hint="default"/>
          <w:spacing w:val="4"/>
          <w:w w:val="100"/>
          <w:sz w:val="21"/>
          <w:szCs w:val="21"/>
        </w:rPr>
        <w:t>（财</w:t>
      </w:r>
      <w:r>
        <w:rPr>
          <w:rFonts w:ascii="宋体" w:hAnsi="宋体" w:cs="宋体" w:eastAsia="宋体" w:hint="default"/>
          <w:w w:val="100"/>
          <w:sz w:val="21"/>
          <w:szCs w:val="21"/>
        </w:rPr>
        <w:t>企</w:t>
      </w:r>
    </w:p>
    <w:p>
      <w:pPr>
        <w:spacing w:before="66"/>
        <w:ind w:left="458" w:right="0" w:firstLine="0"/>
        <w:jc w:val="left"/>
        <w:rPr>
          <w:rFonts w:ascii="宋体" w:hAnsi="宋体" w:cs="宋体" w:eastAsia="宋体" w:hint="default"/>
          <w:sz w:val="21"/>
          <w:szCs w:val="21"/>
        </w:rPr>
      </w:pPr>
      <w:r>
        <w:rPr>
          <w:rFonts w:ascii="宋体" w:hAnsi="宋体" w:cs="宋体" w:eastAsia="宋体" w:hint="default"/>
          <w:sz w:val="21"/>
          <w:szCs w:val="21"/>
        </w:rPr>
        <w:t>[2009]94</w:t>
      </w:r>
      <w:r>
        <w:rPr>
          <w:rFonts w:ascii="宋体" w:hAnsi="宋体" w:cs="宋体" w:eastAsia="宋体" w:hint="default"/>
          <w:spacing w:val="12"/>
          <w:sz w:val="21"/>
          <w:szCs w:val="21"/>
        </w:rPr>
        <w:t> </w:t>
      </w:r>
      <w:r>
        <w:rPr>
          <w:rFonts w:ascii="宋体" w:hAnsi="宋体" w:cs="宋体" w:eastAsia="宋体" w:hint="default"/>
          <w:spacing w:val="-3"/>
          <w:sz w:val="21"/>
          <w:szCs w:val="21"/>
        </w:rPr>
        <w:t>号）规定</w:t>
      </w:r>
      <w:r>
        <w:rPr>
          <w:rFonts w:ascii="宋体" w:hAnsi="宋体" w:cs="宋体" w:eastAsia="宋体" w:hint="default"/>
          <w:spacing w:val="-3"/>
          <w:sz w:val="21"/>
          <w:szCs w:val="21"/>
        </w:rPr>
        <w:t>,</w:t>
      </w:r>
      <w:r>
        <w:rPr>
          <w:rFonts w:ascii="宋体" w:hAnsi="宋体" w:cs="宋体" w:eastAsia="宋体" w:hint="default"/>
          <w:spacing w:val="-3"/>
          <w:sz w:val="21"/>
          <w:szCs w:val="21"/>
        </w:rPr>
        <w:t>我公司第二大股东浪潮电子信息产业股份有限公司和第四大股东济南发</w:t>
      </w:r>
    </w:p>
    <w:p>
      <w:pPr>
        <w:spacing w:before="66"/>
        <w:ind w:left="458" w:right="0" w:firstLine="0"/>
        <w:jc w:val="left"/>
        <w:rPr>
          <w:rFonts w:ascii="宋体" w:hAnsi="宋体" w:cs="宋体" w:eastAsia="宋体" w:hint="default"/>
          <w:sz w:val="21"/>
          <w:szCs w:val="21"/>
        </w:rPr>
      </w:pPr>
      <w:r>
        <w:rPr>
          <w:rFonts w:ascii="宋体" w:hAnsi="宋体" w:cs="宋体" w:eastAsia="宋体" w:hint="default"/>
          <w:sz w:val="21"/>
          <w:szCs w:val="21"/>
        </w:rPr>
        <w:t>展国有工业资产经营有限公司</w:t>
      </w:r>
      <w:r>
        <w:rPr>
          <w:rFonts w:ascii="宋体" w:hAnsi="宋体" w:cs="宋体" w:eastAsia="宋体" w:hint="default"/>
          <w:sz w:val="21"/>
          <w:szCs w:val="21"/>
        </w:rPr>
        <w:t>,</w:t>
      </w:r>
      <w:r>
        <w:rPr>
          <w:rFonts w:ascii="宋体" w:hAnsi="宋体" w:cs="宋体" w:eastAsia="宋体" w:hint="default"/>
          <w:sz w:val="21"/>
          <w:szCs w:val="21"/>
        </w:rPr>
        <w:t>分别被冻结</w:t>
      </w:r>
      <w:r>
        <w:rPr>
          <w:rFonts w:ascii="宋体" w:hAnsi="宋体" w:cs="宋体" w:eastAsia="宋体" w:hint="default"/>
          <w:spacing w:val="-56"/>
          <w:sz w:val="21"/>
          <w:szCs w:val="21"/>
        </w:rPr>
        <w:t> </w:t>
      </w:r>
      <w:r>
        <w:rPr>
          <w:rFonts w:ascii="宋体" w:hAnsi="宋体" w:cs="宋体" w:eastAsia="宋体" w:hint="default"/>
          <w:sz w:val="21"/>
          <w:szCs w:val="21"/>
        </w:rPr>
        <w:t>1,647,059</w:t>
      </w:r>
      <w:r>
        <w:rPr>
          <w:rFonts w:ascii="宋体" w:hAnsi="宋体" w:cs="宋体" w:eastAsia="宋体" w:hint="default"/>
          <w:spacing w:val="-56"/>
          <w:sz w:val="21"/>
          <w:szCs w:val="21"/>
        </w:rPr>
        <w:t> </w:t>
      </w:r>
      <w:r>
        <w:rPr>
          <w:rFonts w:ascii="宋体" w:hAnsi="宋体" w:cs="宋体" w:eastAsia="宋体" w:hint="default"/>
          <w:sz w:val="21"/>
          <w:szCs w:val="21"/>
        </w:rPr>
        <w:t>股和</w:t>
      </w:r>
      <w:r>
        <w:rPr>
          <w:rFonts w:ascii="宋体" w:hAnsi="宋体" w:cs="宋体" w:eastAsia="宋体" w:hint="default"/>
          <w:spacing w:val="-56"/>
          <w:sz w:val="21"/>
          <w:szCs w:val="21"/>
        </w:rPr>
        <w:t> </w:t>
      </w:r>
      <w:r>
        <w:rPr>
          <w:rFonts w:ascii="宋体" w:hAnsi="宋体" w:cs="宋体" w:eastAsia="宋体" w:hint="default"/>
          <w:sz w:val="21"/>
          <w:szCs w:val="21"/>
        </w:rPr>
        <w:t>1,152,941</w:t>
      </w:r>
      <w:r>
        <w:rPr>
          <w:rFonts w:ascii="宋体" w:hAnsi="宋体" w:cs="宋体" w:eastAsia="宋体" w:hint="default"/>
          <w:spacing w:val="-58"/>
          <w:sz w:val="21"/>
          <w:szCs w:val="21"/>
        </w:rPr>
        <w:t> </w:t>
      </w:r>
      <w:r>
        <w:rPr>
          <w:rFonts w:ascii="宋体" w:hAnsi="宋体" w:cs="宋体" w:eastAsia="宋体" w:hint="default"/>
          <w:sz w:val="21"/>
          <w:szCs w:val="21"/>
        </w:rPr>
        <w:t>股股份。</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355" w:lineRule="auto" w:before="0"/>
        <w:ind w:left="878" w:right="0" w:hanging="420"/>
        <w:jc w:val="left"/>
        <w:rPr>
          <w:rFonts w:ascii="宋体" w:hAnsi="宋体" w:cs="宋体" w:eastAsia="宋体" w:hint="default"/>
          <w:sz w:val="21"/>
          <w:szCs w:val="21"/>
        </w:rPr>
      </w:pPr>
      <w:r>
        <w:rPr>
          <w:rFonts w:ascii="宋体" w:hAnsi="宋体" w:cs="宋体" w:eastAsia="宋体" w:hint="default"/>
          <w:b/>
          <w:bCs/>
          <w:sz w:val="21"/>
          <w:szCs w:val="21"/>
        </w:rPr>
        <w:t>（二）公司控股股东情况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报告期内，公司控股股东未发生变化，仍为香港喜多来集团有限公司，其所持有的公司</w:t>
      </w:r>
    </w:p>
    <w:p>
      <w:pPr>
        <w:spacing w:before="34"/>
        <w:ind w:left="458" w:right="0" w:firstLine="0"/>
        <w:jc w:val="left"/>
        <w:rPr>
          <w:rFonts w:ascii="宋体" w:hAnsi="宋体" w:cs="宋体" w:eastAsia="宋体" w:hint="default"/>
          <w:sz w:val="21"/>
          <w:szCs w:val="21"/>
        </w:rPr>
      </w:pPr>
      <w:r>
        <w:rPr>
          <w:rFonts w:ascii="宋体" w:hAnsi="宋体" w:cs="宋体" w:eastAsia="宋体" w:hint="default"/>
          <w:sz w:val="21"/>
          <w:szCs w:val="21"/>
        </w:rPr>
        <w:t>股份无质押、冻结或托管等情况。</w:t>
      </w:r>
    </w:p>
    <w:p>
      <w:pPr>
        <w:spacing w:after="0"/>
        <w:jc w:val="left"/>
        <w:rPr>
          <w:rFonts w:ascii="宋体" w:hAnsi="宋体" w:cs="宋体" w:eastAsia="宋体" w:hint="default"/>
          <w:sz w:val="21"/>
          <w:szCs w:val="21"/>
        </w:rPr>
        <w:sectPr>
          <w:pgSz w:w="11910" w:h="16840"/>
          <w:pgMar w:header="915" w:footer="1100" w:top="1100" w:bottom="1280" w:left="1340" w:right="0"/>
        </w:sectPr>
      </w:pPr>
    </w:p>
    <w:p>
      <w:pPr>
        <w:spacing w:line="357" w:lineRule="auto" w:before="17"/>
        <w:ind w:left="618" w:right="5204"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36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香港喜多来集团有限公司基本情况：</w:t>
      </w:r>
      <w:r>
        <w:rPr>
          <w:rFonts w:ascii="宋体" w:hAnsi="宋体" w:cs="宋体" w:eastAsia="宋体" w:hint="default"/>
          <w:w w:val="100"/>
          <w:sz w:val="21"/>
          <w:szCs w:val="21"/>
        </w:rPr>
        <w:t> </w:t>
      </w:r>
      <w:r>
        <w:rPr>
          <w:rFonts w:ascii="宋体" w:hAnsi="宋体" w:cs="宋体" w:eastAsia="宋体" w:hint="default"/>
          <w:sz w:val="21"/>
          <w:szCs w:val="21"/>
        </w:rPr>
        <w:t>英文名称：</w:t>
      </w:r>
      <w:r>
        <w:rPr>
          <w:rFonts w:ascii="宋体" w:hAnsi="宋体" w:cs="宋体" w:eastAsia="宋体" w:hint="default"/>
          <w:sz w:val="21"/>
          <w:szCs w:val="21"/>
        </w:rPr>
        <w:t>HONGKONG HITORO HOLDINGS</w:t>
      </w:r>
      <w:r>
        <w:rPr>
          <w:rFonts w:ascii="宋体" w:hAnsi="宋体" w:cs="宋体" w:eastAsia="宋体" w:hint="default"/>
          <w:spacing w:val="-6"/>
          <w:sz w:val="21"/>
          <w:szCs w:val="21"/>
        </w:rPr>
        <w:t> </w:t>
      </w:r>
      <w:r>
        <w:rPr>
          <w:rFonts w:ascii="宋体" w:hAnsi="宋体" w:cs="宋体" w:eastAsia="宋体" w:hint="default"/>
          <w:sz w:val="21"/>
          <w:szCs w:val="21"/>
        </w:rPr>
        <w:t>LIMITED</w:t>
      </w:r>
    </w:p>
    <w:p>
      <w:pPr>
        <w:spacing w:line="355" w:lineRule="auto" w:before="30"/>
        <w:ind w:left="618" w:right="5204" w:firstLine="0"/>
        <w:jc w:val="left"/>
        <w:rPr>
          <w:rFonts w:ascii="宋体" w:hAnsi="宋体" w:cs="宋体" w:eastAsia="宋体" w:hint="default"/>
          <w:sz w:val="21"/>
          <w:szCs w:val="21"/>
        </w:rPr>
      </w:pPr>
      <w:r>
        <w:rPr>
          <w:rFonts w:ascii="宋体" w:hAnsi="宋体" w:cs="宋体" w:eastAsia="宋体" w:hint="default"/>
          <w:spacing w:val="-2"/>
          <w:sz w:val="21"/>
          <w:szCs w:val="21"/>
        </w:rPr>
        <w:t>公司董事会成员：陈新、谷望江、石林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设立日期：</w:t>
      </w:r>
      <w:r>
        <w:rPr>
          <w:rFonts w:ascii="宋体" w:hAnsi="宋体" w:cs="宋体" w:eastAsia="宋体" w:hint="default"/>
          <w:sz w:val="21"/>
          <w:szCs w:val="21"/>
        </w:rPr>
        <w:t>1991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宋体" w:hAnsi="宋体" w:cs="宋体" w:eastAsia="宋体" w:hint="default"/>
          <w:sz w:val="21"/>
          <w:szCs w:val="21"/>
        </w:rPr>
        <w:t>400</w:t>
      </w:r>
      <w:r>
        <w:rPr>
          <w:rFonts w:ascii="宋体" w:hAnsi="宋体" w:cs="宋体" w:eastAsia="宋体" w:hint="default"/>
          <w:sz w:val="21"/>
          <w:szCs w:val="21"/>
        </w:rPr>
        <w:t>万港元</w:t>
      </w:r>
    </w:p>
    <w:p>
      <w:pPr>
        <w:spacing w:line="355" w:lineRule="auto" w:before="34"/>
        <w:ind w:left="558" w:right="1789" w:firstLine="60"/>
        <w:jc w:val="left"/>
        <w:rPr>
          <w:rFonts w:ascii="宋体" w:hAnsi="宋体" w:cs="宋体" w:eastAsia="宋体" w:hint="default"/>
          <w:sz w:val="21"/>
          <w:szCs w:val="21"/>
        </w:rPr>
      </w:pPr>
      <w:r>
        <w:rPr>
          <w:rFonts w:ascii="宋体" w:hAnsi="宋体" w:cs="宋体" w:eastAsia="宋体" w:hint="default"/>
          <w:sz w:val="21"/>
          <w:szCs w:val="21"/>
        </w:rPr>
        <w:t>办公地址：香港尖沙咀广东道</w:t>
      </w:r>
      <w:r>
        <w:rPr>
          <w:rFonts w:ascii="宋体" w:hAnsi="宋体" w:cs="宋体" w:eastAsia="宋体" w:hint="default"/>
          <w:sz w:val="21"/>
          <w:szCs w:val="21"/>
        </w:rPr>
        <w:t>9</w:t>
      </w:r>
      <w:r>
        <w:rPr>
          <w:rFonts w:ascii="宋体" w:hAnsi="宋体" w:cs="宋体" w:eastAsia="宋体" w:hint="default"/>
          <w:sz w:val="21"/>
          <w:szCs w:val="21"/>
        </w:rPr>
        <w:t>号港威中心第</w:t>
      </w:r>
      <w:r>
        <w:rPr>
          <w:rFonts w:ascii="宋体" w:hAnsi="宋体" w:cs="宋体" w:eastAsia="宋体" w:hint="default"/>
          <w:sz w:val="21"/>
          <w:szCs w:val="21"/>
        </w:rPr>
        <w:t>6</w:t>
      </w:r>
      <w:r>
        <w:rPr>
          <w:rFonts w:ascii="宋体" w:hAnsi="宋体" w:cs="宋体" w:eastAsia="宋体" w:hint="default"/>
          <w:sz w:val="21"/>
          <w:szCs w:val="21"/>
        </w:rPr>
        <w:t>座</w:t>
      </w:r>
      <w:r>
        <w:rPr>
          <w:rFonts w:ascii="宋体" w:hAnsi="宋体" w:cs="宋体" w:eastAsia="宋体" w:hint="default"/>
          <w:sz w:val="21"/>
          <w:szCs w:val="21"/>
        </w:rPr>
        <w:t>37</w:t>
      </w:r>
      <w:r>
        <w:rPr>
          <w:rFonts w:ascii="宋体" w:hAnsi="宋体" w:cs="宋体" w:eastAsia="宋体" w:hint="default"/>
          <w:sz w:val="21"/>
          <w:szCs w:val="21"/>
        </w:rPr>
        <w:t>搂</w:t>
      </w:r>
      <w:r>
        <w:rPr>
          <w:rFonts w:ascii="宋体" w:hAnsi="宋体" w:cs="宋体" w:eastAsia="宋体" w:hint="default"/>
          <w:w w:val="100"/>
          <w:sz w:val="21"/>
          <w:szCs w:val="21"/>
        </w:rPr>
        <w:t> </w:t>
      </w:r>
      <w:r>
        <w:rPr>
          <w:rFonts w:ascii="宋体" w:hAnsi="宋体" w:cs="宋体" w:eastAsia="宋体" w:hint="default"/>
          <w:sz w:val="21"/>
          <w:szCs w:val="21"/>
        </w:rPr>
        <w:t>公司目前主要从事国际原材料贸易和实业投资。</w:t>
      </w:r>
      <w:r>
        <w:rPr>
          <w:rFonts w:ascii="宋体" w:hAnsi="宋体" w:cs="宋体" w:eastAsia="宋体" w:hint="default"/>
          <w:w w:val="100"/>
          <w:sz w:val="21"/>
          <w:szCs w:val="21"/>
        </w:rPr>
        <w:t> </w:t>
      </w:r>
      <w:r>
        <w:rPr>
          <w:rFonts w:ascii="宋体" w:hAnsi="宋体" w:cs="宋体" w:eastAsia="宋体" w:hint="default"/>
          <w:spacing w:val="-4"/>
          <w:sz w:val="21"/>
          <w:szCs w:val="21"/>
        </w:rPr>
        <w:t>谷望江：女，中国香港籍，拥有永久香港居留权，香港喜多来集团有限公司董事，目前</w:t>
      </w:r>
    </w:p>
    <w:p>
      <w:pPr>
        <w:spacing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为本公司的实际控制人。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（三）公司与实际控制人之间的产权和控制关系</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p>
      <w:pPr>
        <w:spacing w:line="468" w:lineRule="exact"/>
        <w:ind w:left="329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99.75pt;height:23.4pt;mso-position-horizontal-relative:char;mso-position-vertical-relative:line" type="#_x0000_t202" filled="false" stroked="true" strokeweight=".75pt" strokecolor="#000000">
            <w10:anchorlock/>
            <v:textbox inset="0,0,0,0">
              <w:txbxContent>
                <w:p>
                  <w:pPr>
                    <w:spacing w:before="38"/>
                    <w:ind w:left="6" w:right="0" w:firstLine="0"/>
                    <w:jc w:val="center"/>
                    <w:rPr>
                      <w:rFonts w:ascii="宋体" w:hAnsi="宋体" w:cs="宋体" w:eastAsia="宋体" w:hint="default"/>
                      <w:sz w:val="21"/>
                      <w:szCs w:val="21"/>
                    </w:rPr>
                  </w:pPr>
                  <w:r>
                    <w:rPr>
                      <w:rFonts w:ascii="宋体" w:hAnsi="宋体" w:cs="宋体" w:eastAsia="宋体" w:hint="default"/>
                      <w:sz w:val="21"/>
                      <w:szCs w:val="21"/>
                    </w:rPr>
                    <w:t>谷望江</w:t>
                  </w:r>
                </w:p>
              </w:txbxContent>
            </v:textbox>
          </v:shape>
        </w:pict>
      </w:r>
      <w:r>
        <w:rPr>
          <w:rFonts w:ascii="宋体" w:hAnsi="宋体" w:cs="宋体" w:eastAsia="宋体" w:hint="default"/>
          <w:position w:val="-8"/>
          <w:sz w:val="20"/>
          <w:szCs w:val="20"/>
        </w:rPr>
      </w:r>
    </w:p>
    <w:p>
      <w:pPr>
        <w:spacing w:before="19"/>
        <w:ind w:left="0" w:right="1333" w:firstLine="0"/>
        <w:jc w:val="center"/>
        <w:rPr>
          <w:rFonts w:ascii="Times New Roman" w:hAnsi="Times New Roman" w:cs="Times New Roman" w:eastAsia="Times New Roman" w:hint="default"/>
          <w:sz w:val="18"/>
          <w:szCs w:val="18"/>
        </w:rPr>
      </w:pPr>
      <w:r>
        <w:rPr>
          <w:position w:val="-17"/>
        </w:rPr>
        <w:drawing>
          <wp:inline distT="0" distB="0" distL="0" distR="0">
            <wp:extent cx="76200" cy="20447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6" cstate="print"/>
                    <a:stretch>
                      <a:fillRect/>
                    </a:stretch>
                  </pic:blipFill>
                  <pic:spPr>
                    <a:xfrm>
                      <a:off x="0" y="0"/>
                      <a:ext cx="76200" cy="204470"/>
                    </a:xfrm>
                    <a:prstGeom prst="rect">
                      <a:avLst/>
                    </a:prstGeom>
                  </pic:spPr>
                </pic:pic>
              </a:graphicData>
            </a:graphic>
          </wp:inline>
        </w:drawing>
      </w:r>
      <w:r>
        <w:rPr>
          <w:position w:val="-17"/>
        </w:rPr>
      </w:r>
      <w:r>
        <w:rPr>
          <w:rFonts w:ascii="Times New Roman"/>
          <w:sz w:val="18"/>
        </w:rPr>
        <w:t>100%</w:t>
      </w:r>
    </w:p>
    <w:p>
      <w:pPr>
        <w:spacing w:line="240" w:lineRule="auto" w:before="7"/>
        <w:rPr>
          <w:rFonts w:ascii="Times New Roman" w:hAnsi="Times New Roman" w:cs="Times New Roman" w:eastAsia="Times New Roman" w:hint="default"/>
          <w:sz w:val="4"/>
          <w:szCs w:val="4"/>
        </w:rPr>
      </w:pPr>
    </w:p>
    <w:p>
      <w:pPr>
        <w:spacing w:line="468" w:lineRule="exact"/>
        <w:ind w:left="24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75pt;height:23.4pt;mso-position-horizontal-relative:char;mso-position-vertical-relative:line" type="#_x0000_t202" filled="false" stroked="true" strokeweight=".75pt" strokecolor="#000000">
            <w10:anchorlock/>
            <v:textbox inset="0,0,0,0">
              <w:txbxContent>
                <w:p>
                  <w:pPr>
                    <w:spacing w:before="39"/>
                    <w:ind w:left="415" w:right="0" w:firstLine="0"/>
                    <w:jc w:val="left"/>
                    <w:rPr>
                      <w:rFonts w:ascii="宋体" w:hAnsi="宋体" w:cs="宋体" w:eastAsia="宋体" w:hint="default"/>
                      <w:sz w:val="21"/>
                      <w:szCs w:val="21"/>
                    </w:rPr>
                  </w:pPr>
                  <w:r>
                    <w:rPr>
                      <w:rFonts w:ascii="宋体"/>
                      <w:sz w:val="21"/>
                    </w:rPr>
                    <w:t>Infomatic Resources</w:t>
                  </w:r>
                  <w:r>
                    <w:rPr>
                      <w:rFonts w:ascii="宋体"/>
                      <w:spacing w:val="-2"/>
                      <w:sz w:val="21"/>
                    </w:rPr>
                    <w:t> </w:t>
                  </w:r>
                  <w:r>
                    <w:rPr>
                      <w:rFonts w:ascii="宋体"/>
                      <w:sz w:val="21"/>
                    </w:rPr>
                    <w:t>Limited</w:t>
                  </w:r>
                </w:p>
              </w:txbxContent>
            </v:textbox>
          </v:shape>
        </w:pict>
      </w:r>
      <w:r>
        <w:rPr>
          <w:rFonts w:ascii="Times New Roman" w:hAnsi="Times New Roman" w:cs="Times New Roman" w:eastAsia="Times New Roman" w:hint="default"/>
          <w:position w:val="-8"/>
          <w:sz w:val="20"/>
          <w:szCs w:val="20"/>
        </w:rPr>
      </w:r>
    </w:p>
    <w:p>
      <w:pPr>
        <w:spacing w:before="20"/>
        <w:ind w:left="0" w:right="1309" w:firstLine="0"/>
        <w:jc w:val="center"/>
        <w:rPr>
          <w:rFonts w:ascii="Times New Roman" w:hAnsi="Times New Roman" w:cs="Times New Roman" w:eastAsia="Times New Roman" w:hint="default"/>
          <w:sz w:val="18"/>
          <w:szCs w:val="18"/>
        </w:rPr>
      </w:pPr>
      <w:r>
        <w:rPr>
          <w:position w:val="-17"/>
        </w:rPr>
        <w:drawing>
          <wp:inline distT="0" distB="0" distL="0" distR="0">
            <wp:extent cx="76200" cy="20447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76200" cy="204470"/>
                    </a:xfrm>
                    <a:prstGeom prst="rect">
                      <a:avLst/>
                    </a:prstGeom>
                  </pic:spPr>
                </pic:pic>
              </a:graphicData>
            </a:graphic>
          </wp:inline>
        </w:drawing>
      </w:r>
      <w:r>
        <w:rPr>
          <w:position w:val="-17"/>
        </w:rPr>
      </w:r>
      <w:r>
        <w:rPr>
          <w:rFonts w:ascii="Times New Roman"/>
          <w:sz w:val="18"/>
        </w:rPr>
        <w:t>100%</w:t>
      </w:r>
    </w:p>
    <w:p>
      <w:pPr>
        <w:spacing w:line="468" w:lineRule="exact"/>
        <w:ind w:left="24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75pt;height:23.4pt;mso-position-horizontal-relative:char;mso-position-vertical-relative:line" type="#_x0000_t202" filled="false" stroked="true" strokeweight=".75pt" strokecolor="#000000">
            <w10:anchorlock/>
            <v:textbox inset="0,0,0,0">
              <w:txbxContent>
                <w:p>
                  <w:pPr>
                    <w:spacing w:before="42"/>
                    <w:ind w:left="676" w:right="0" w:firstLine="0"/>
                    <w:jc w:val="left"/>
                    <w:rPr>
                      <w:rFonts w:ascii="宋体" w:hAnsi="宋体" w:cs="宋体" w:eastAsia="宋体" w:hint="default"/>
                      <w:sz w:val="21"/>
                      <w:szCs w:val="21"/>
                    </w:rPr>
                  </w:pPr>
                  <w:r>
                    <w:rPr>
                      <w:rFonts w:ascii="宋体" w:hAnsi="宋体" w:cs="宋体" w:eastAsia="宋体" w:hint="default"/>
                      <w:sz w:val="21"/>
                      <w:szCs w:val="21"/>
                    </w:rPr>
                    <w:t>香港喜多来集团有限公司</w:t>
                  </w:r>
                </w:p>
              </w:txbxContent>
            </v:textbox>
          </v:shape>
        </w:pict>
      </w:r>
      <w:r>
        <w:rPr>
          <w:rFonts w:ascii="Times New Roman" w:hAnsi="Times New Roman" w:cs="Times New Roman" w:eastAsia="Times New Roman" w:hint="default"/>
          <w:position w:val="-8"/>
          <w:sz w:val="20"/>
          <w:szCs w:val="20"/>
        </w:rPr>
      </w:r>
    </w:p>
    <w:p>
      <w:pPr>
        <w:spacing w:before="59"/>
        <w:ind w:left="0" w:right="1024" w:firstLine="0"/>
        <w:jc w:val="center"/>
        <w:rPr>
          <w:rFonts w:ascii="Times New Roman" w:hAnsi="Times New Roman" w:cs="Times New Roman" w:eastAsia="Times New Roman" w:hint="default"/>
          <w:sz w:val="18"/>
          <w:szCs w:val="18"/>
        </w:rPr>
      </w:pPr>
      <w:r>
        <w:rPr/>
        <w:pict>
          <v:shape style="position:absolute;margin-left:291.600006pt;margin-top:4.77234pt;width:6pt;height:16.1pt;mso-position-horizontal-relative:page;mso-position-vertical-relative:paragraph;z-index:-746344" type="#_x0000_t75" stroked="false">
            <v:imagedata r:id="rId17" o:title=""/>
          </v:shape>
        </w:pict>
      </w:r>
      <w:r>
        <w:rPr>
          <w:rFonts w:ascii="Times New Roman"/>
          <w:sz w:val="18"/>
        </w:rPr>
        <w:t>30.48%</w:t>
      </w:r>
    </w:p>
    <w:p>
      <w:pPr>
        <w:spacing w:line="240" w:lineRule="auto" w:before="2"/>
        <w:rPr>
          <w:rFonts w:ascii="Times New Roman" w:hAnsi="Times New Roman" w:cs="Times New Roman" w:eastAsia="Times New Roman" w:hint="default"/>
          <w:sz w:val="13"/>
          <w:szCs w:val="13"/>
        </w:rPr>
      </w:pPr>
    </w:p>
    <w:p>
      <w:pPr>
        <w:spacing w:line="468" w:lineRule="exact"/>
        <w:ind w:left="24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75pt;height:23.4pt;mso-position-horizontal-relative:char;mso-position-vertical-relative:line" type="#_x0000_t202" filled="false" stroked="true" strokeweight=".75pt" strokecolor="#000000">
            <w10:anchorlock/>
            <v:textbox inset="0,0,0,0">
              <w:txbxContent>
                <w:p>
                  <w:pPr>
                    <w:spacing w:before="41"/>
                    <w:ind w:left="571" w:right="0" w:firstLine="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2"/>
        <w:rPr>
          <w:rFonts w:ascii="Times New Roman" w:hAnsi="Times New Roman" w:cs="Times New Roman" w:eastAsia="Times New Roman" w:hint="default"/>
          <w:sz w:val="10"/>
          <w:szCs w:val="10"/>
        </w:rPr>
      </w:pPr>
    </w:p>
    <w:p>
      <w:pPr>
        <w:spacing w:before="36"/>
        <w:ind w:left="0" w:right="6538" w:firstLine="0"/>
        <w:jc w:val="center"/>
        <w:rPr>
          <w:rFonts w:ascii="宋体" w:hAnsi="宋体" w:cs="宋体" w:eastAsia="宋体" w:hint="default"/>
          <w:sz w:val="21"/>
          <w:szCs w:val="21"/>
        </w:rPr>
      </w:pPr>
      <w:r>
        <w:rPr>
          <w:rFonts w:ascii="宋体" w:hAnsi="宋体" w:cs="宋体" w:eastAsia="宋体" w:hint="default"/>
          <w:b/>
          <w:bCs/>
          <w:sz w:val="21"/>
          <w:szCs w:val="21"/>
        </w:rPr>
        <w:t>（四）持股在</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以上的法人股东情况</w:t>
      </w:r>
      <w:r>
        <w:rPr>
          <w:rFonts w:ascii="宋体" w:hAnsi="宋体" w:cs="宋体" w:eastAsia="宋体" w:hint="default"/>
          <w:sz w:val="21"/>
          <w:szCs w:val="21"/>
        </w:rPr>
      </w:r>
    </w:p>
    <w:p>
      <w:pPr>
        <w:spacing w:line="355" w:lineRule="auto" w:before="133"/>
        <w:ind w:left="138" w:right="1788" w:firstLine="479"/>
        <w:jc w:val="both"/>
        <w:rPr>
          <w:rFonts w:ascii="宋体" w:hAnsi="宋体" w:cs="宋体" w:eastAsia="宋体" w:hint="default"/>
          <w:sz w:val="21"/>
          <w:szCs w:val="21"/>
        </w:rPr>
      </w:pPr>
      <w:r>
        <w:rPr>
          <w:rFonts w:ascii="宋体" w:hAnsi="宋体" w:cs="宋体" w:eastAsia="宋体" w:hint="default"/>
          <w:sz w:val="21"/>
          <w:szCs w:val="21"/>
        </w:rPr>
        <w:t>报告期内，本公司持有</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z w:val="21"/>
          <w:szCs w:val="21"/>
        </w:rPr>
        <w:t>以上的法人股东有：济南发展国有工业资产经营有限公司、</w:t>
      </w:r>
      <w:r>
        <w:rPr>
          <w:rFonts w:ascii="宋体" w:hAnsi="宋体" w:cs="宋体" w:eastAsia="宋体" w:hint="default"/>
          <w:w w:val="100"/>
          <w:sz w:val="21"/>
          <w:szCs w:val="21"/>
        </w:rPr>
        <w:t> </w:t>
      </w:r>
      <w:r>
        <w:rPr>
          <w:rFonts w:ascii="宋体" w:hAnsi="宋体" w:cs="宋体" w:eastAsia="宋体" w:hint="default"/>
          <w:sz w:val="21"/>
          <w:szCs w:val="21"/>
        </w:rPr>
        <w:t>浪潮电子信息产业股份有限公司、北京中嘉华信息技术有限公司，各股东基本情况如下：</w:t>
      </w:r>
    </w:p>
    <w:p>
      <w:pPr>
        <w:tabs>
          <w:tab w:pos="1940" w:val="left" w:leader="none"/>
        </w:tabs>
        <w:spacing w:line="357" w:lineRule="auto" w:before="32"/>
        <w:ind w:left="678" w:right="5901" w:hanging="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济南发展国有工业资产经营有限公司</w:t>
      </w:r>
      <w:r>
        <w:rPr>
          <w:rFonts w:ascii="宋体" w:hAnsi="宋体" w:cs="宋体" w:eastAsia="宋体" w:hint="default"/>
          <w:w w:val="100"/>
          <w:sz w:val="21"/>
          <w:szCs w:val="21"/>
        </w:rPr>
        <w:t> </w:t>
      </w:r>
      <w:r>
        <w:rPr>
          <w:rFonts w:ascii="宋体" w:hAnsi="宋体" w:cs="宋体" w:eastAsia="宋体" w:hint="default"/>
          <w:spacing w:val="-1"/>
          <w:sz w:val="21"/>
          <w:szCs w:val="21"/>
        </w:rPr>
        <w:t>成立日期：</w:t>
        <w:tab/>
      </w:r>
      <w:r>
        <w:rPr>
          <w:rFonts w:ascii="宋体" w:hAnsi="宋体" w:cs="宋体" w:eastAsia="宋体" w:hint="default"/>
          <w:spacing w:val="-2"/>
          <w:sz w:val="21"/>
          <w:szCs w:val="21"/>
        </w:rPr>
        <w:t>1999</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14</w:t>
      </w:r>
      <w:r>
        <w:rPr>
          <w:rFonts w:ascii="宋体" w:hAnsi="宋体" w:cs="宋体" w:eastAsia="宋体" w:hint="default"/>
          <w:spacing w:val="-2"/>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法定代表人：刘桂祯</w:t>
      </w:r>
    </w:p>
    <w:p>
      <w:pPr>
        <w:tabs>
          <w:tab w:pos="1940" w:val="left" w:leader="none"/>
        </w:tabs>
        <w:spacing w:before="30"/>
        <w:ind w:left="678" w:right="0" w:firstLine="0"/>
        <w:jc w:val="left"/>
        <w:rPr>
          <w:rFonts w:ascii="宋体" w:hAnsi="宋体" w:cs="宋体" w:eastAsia="宋体" w:hint="default"/>
          <w:sz w:val="21"/>
          <w:szCs w:val="21"/>
        </w:rPr>
      </w:pPr>
      <w:r>
        <w:rPr>
          <w:rFonts w:ascii="宋体" w:hAnsi="宋体" w:cs="宋体" w:eastAsia="宋体" w:hint="default"/>
          <w:spacing w:val="-1"/>
          <w:sz w:val="21"/>
          <w:szCs w:val="21"/>
        </w:rPr>
        <w:t>注册资本：</w:t>
        <w:tab/>
      </w:r>
      <w:r>
        <w:rPr>
          <w:rFonts w:ascii="宋体" w:hAnsi="宋体" w:cs="宋体" w:eastAsia="宋体" w:hint="default"/>
          <w:spacing w:val="-1"/>
          <w:sz w:val="21"/>
          <w:szCs w:val="21"/>
        </w:rPr>
        <w:t>2,680</w:t>
      </w:r>
      <w:r>
        <w:rPr>
          <w:rFonts w:ascii="宋体" w:hAnsi="宋体" w:cs="宋体" w:eastAsia="宋体" w:hint="default"/>
          <w:spacing w:val="-1"/>
          <w:sz w:val="21"/>
          <w:szCs w:val="21"/>
        </w:rPr>
        <w:t>万元</w:t>
      </w:r>
    </w:p>
    <w:p>
      <w:pPr>
        <w:spacing w:line="355" w:lineRule="auto" w:before="133"/>
        <w:ind w:left="618" w:right="1762" w:firstLine="60"/>
        <w:jc w:val="left"/>
        <w:rPr>
          <w:rFonts w:ascii="宋体" w:hAnsi="宋体" w:cs="宋体" w:eastAsia="宋体" w:hint="default"/>
          <w:sz w:val="21"/>
          <w:szCs w:val="21"/>
        </w:rPr>
      </w:pPr>
      <w:r>
        <w:rPr>
          <w:rFonts w:ascii="宋体" w:hAnsi="宋体" w:cs="宋体" w:eastAsia="宋体" w:hint="default"/>
          <w:spacing w:val="-1"/>
          <w:w w:val="100"/>
          <w:sz w:val="21"/>
          <w:szCs w:val="21"/>
        </w:rPr>
        <w:t>经营范围：</w:t>
      </w:r>
      <w:r>
        <w:rPr>
          <w:rFonts w:ascii="宋体" w:hAnsi="宋体" w:cs="宋体" w:eastAsia="宋体" w:hint="default"/>
          <w:spacing w:val="31"/>
          <w:w w:val="100"/>
          <w:sz w:val="21"/>
          <w:szCs w:val="21"/>
        </w:rPr>
        <w:t> </w:t>
      </w:r>
      <w:r>
        <w:rPr>
          <w:rFonts w:ascii="宋体" w:hAnsi="宋体" w:cs="宋体" w:eastAsia="宋体" w:hint="default"/>
          <w:spacing w:val="-5"/>
          <w:w w:val="100"/>
          <w:sz w:val="21"/>
          <w:szCs w:val="21"/>
        </w:rPr>
        <w:t>在济南市历城区人民政府授权范围内，依据产权关系经营国有工业资产。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、浪潮电子信息产业股份有限公司</w:t>
      </w:r>
    </w:p>
    <w:p>
      <w:pPr>
        <w:tabs>
          <w:tab w:pos="1820" w:val="left" w:leader="none"/>
        </w:tabs>
        <w:spacing w:line="357" w:lineRule="auto" w:before="33"/>
        <w:ind w:left="558" w:right="6954" w:firstLine="0"/>
        <w:jc w:val="left"/>
        <w:rPr>
          <w:rFonts w:ascii="宋体" w:hAnsi="宋体" w:cs="宋体" w:eastAsia="宋体" w:hint="default"/>
          <w:sz w:val="21"/>
          <w:szCs w:val="21"/>
        </w:rPr>
      </w:pPr>
      <w:r>
        <w:rPr>
          <w:rFonts w:ascii="宋体" w:hAnsi="宋体" w:cs="宋体" w:eastAsia="宋体" w:hint="default"/>
          <w:spacing w:val="-1"/>
          <w:sz w:val="21"/>
          <w:szCs w:val="21"/>
        </w:rPr>
        <w:t>成立日期：</w:t>
        <w:tab/>
      </w:r>
      <w:r>
        <w:rPr>
          <w:rFonts w:ascii="宋体" w:hAnsi="宋体" w:cs="宋体" w:eastAsia="宋体" w:hint="default"/>
          <w:spacing w:val="-2"/>
          <w:sz w:val="21"/>
          <w:szCs w:val="21"/>
        </w:rPr>
        <w:t>1998</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28</w:t>
      </w:r>
      <w:r>
        <w:rPr>
          <w:rFonts w:ascii="宋体" w:hAnsi="宋体" w:cs="宋体" w:eastAsia="宋体" w:hint="default"/>
          <w:spacing w:val="-2"/>
          <w:sz w:val="21"/>
          <w:szCs w:val="21"/>
        </w:rPr>
        <w:t>日</w:t>
      </w:r>
      <w:r>
        <w:rPr>
          <w:rFonts w:ascii="宋体" w:hAnsi="宋体" w:cs="宋体" w:eastAsia="宋体" w:hint="default"/>
          <w:spacing w:val="-87"/>
          <w:sz w:val="21"/>
          <w:szCs w:val="21"/>
        </w:rPr>
        <w:t> </w:t>
      </w:r>
      <w:r>
        <w:rPr>
          <w:rFonts w:ascii="宋体" w:hAnsi="宋体" w:cs="宋体" w:eastAsia="宋体" w:hint="default"/>
          <w:sz w:val="21"/>
          <w:szCs w:val="21"/>
        </w:rPr>
        <w:t>法定代表人：</w:t>
      </w:r>
      <w:r>
        <w:rPr>
          <w:rFonts w:ascii="宋体" w:hAnsi="宋体" w:cs="宋体" w:eastAsia="宋体" w:hint="default"/>
          <w:spacing w:val="-2"/>
          <w:sz w:val="21"/>
          <w:szCs w:val="21"/>
        </w:rPr>
        <w:t> </w:t>
      </w:r>
      <w:r>
        <w:rPr>
          <w:rFonts w:ascii="宋体" w:hAnsi="宋体" w:cs="宋体" w:eastAsia="宋体" w:hint="default"/>
          <w:sz w:val="21"/>
          <w:szCs w:val="21"/>
        </w:rPr>
        <w:t>孙丕恕</w:t>
      </w:r>
      <w:r>
        <w:rPr>
          <w:rFonts w:ascii="宋体" w:hAnsi="宋体" w:cs="宋体" w:eastAsia="宋体" w:hint="default"/>
          <w:w w:val="100"/>
          <w:sz w:val="21"/>
          <w:szCs w:val="21"/>
        </w:rPr>
        <w:t> </w:t>
      </w:r>
      <w:r>
        <w:rPr>
          <w:rFonts w:ascii="宋体" w:hAnsi="宋体" w:cs="宋体" w:eastAsia="宋体" w:hint="default"/>
          <w:spacing w:val="-1"/>
          <w:sz w:val="21"/>
          <w:szCs w:val="21"/>
        </w:rPr>
        <w:t>注册资本：</w:t>
        <w:tab/>
      </w:r>
      <w:r>
        <w:rPr>
          <w:rFonts w:ascii="宋体" w:hAnsi="宋体" w:cs="宋体" w:eastAsia="宋体" w:hint="default"/>
          <w:spacing w:val="-2"/>
          <w:sz w:val="21"/>
          <w:szCs w:val="21"/>
        </w:rPr>
        <w:t>21,500</w:t>
      </w:r>
      <w:r>
        <w:rPr>
          <w:rFonts w:ascii="宋体" w:hAnsi="宋体" w:cs="宋体" w:eastAsia="宋体" w:hint="default"/>
          <w:spacing w:val="-2"/>
          <w:sz w:val="21"/>
          <w:szCs w:val="21"/>
        </w:rPr>
        <w:t>万元</w:t>
      </w:r>
      <w:r>
        <w:rPr>
          <w:rFonts w:ascii="宋体" w:hAnsi="宋体" w:cs="宋体" w:eastAsia="宋体" w:hint="default"/>
          <w:sz w:val="21"/>
          <w:szCs w:val="21"/>
        </w:rPr>
      </w:r>
    </w:p>
    <w:p>
      <w:pPr>
        <w:spacing w:line="357" w:lineRule="auto" w:before="30"/>
        <w:ind w:left="138" w:right="1869" w:firstLine="419"/>
        <w:jc w:val="both"/>
        <w:rPr>
          <w:rFonts w:ascii="宋体" w:hAnsi="宋体" w:cs="宋体" w:eastAsia="宋体" w:hint="default"/>
          <w:sz w:val="21"/>
          <w:szCs w:val="21"/>
        </w:rPr>
      </w:pPr>
      <w:r>
        <w:rPr>
          <w:rFonts w:ascii="宋体" w:hAnsi="宋体" w:cs="宋体" w:eastAsia="宋体" w:hint="default"/>
          <w:spacing w:val="-6"/>
          <w:w w:val="100"/>
          <w:sz w:val="21"/>
          <w:szCs w:val="21"/>
        </w:rPr>
        <w:t>经营范围：计算机及软件、电子产品及其他通信设备（不含无线电发射设备）、商业机</w:t>
      </w:r>
      <w:r>
        <w:rPr>
          <w:rFonts w:ascii="宋体" w:hAnsi="宋体" w:cs="宋体" w:eastAsia="宋体" w:hint="default"/>
          <w:w w:val="100"/>
          <w:sz w:val="21"/>
          <w:szCs w:val="21"/>
        </w:rPr>
        <w:t> </w:t>
      </w:r>
      <w:r>
        <w:rPr>
          <w:rFonts w:ascii="宋体" w:hAnsi="宋体" w:cs="宋体" w:eastAsia="宋体" w:hint="default"/>
          <w:sz w:val="21"/>
          <w:szCs w:val="21"/>
        </w:rPr>
        <w:t>具、电子工业用控制设备、空调数控装置、电子计时器、电控玩具、教学用具的开发、生</w:t>
      </w:r>
      <w:r>
        <w:rPr>
          <w:rFonts w:ascii="宋体" w:hAnsi="宋体" w:cs="宋体" w:eastAsia="宋体" w:hint="default"/>
          <w:spacing w:val="-59"/>
          <w:sz w:val="21"/>
          <w:szCs w:val="21"/>
        </w:rPr>
        <w:t> </w:t>
      </w:r>
      <w:r>
        <w:rPr>
          <w:rFonts w:ascii="宋体" w:hAnsi="宋体" w:cs="宋体" w:eastAsia="宋体" w:hint="default"/>
          <w:sz w:val="21"/>
          <w:szCs w:val="21"/>
        </w:rPr>
        <w:t>产、销售；技术信息服务、计算机租赁业务；电器设备的安装与维修及技术服务；批准范</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围内的自营进出口业务，房屋租赁。</w:t>
      </w:r>
    </w:p>
    <w:p>
      <w:pPr>
        <w:spacing w:after="0" w:line="357" w:lineRule="auto"/>
        <w:jc w:val="both"/>
        <w:rPr>
          <w:rFonts w:ascii="宋体" w:hAnsi="宋体" w:cs="宋体" w:eastAsia="宋体" w:hint="default"/>
          <w:sz w:val="21"/>
          <w:szCs w:val="21"/>
        </w:rPr>
        <w:sectPr>
          <w:pgSz w:w="11910" w:h="16840"/>
          <w:pgMar w:header="915" w:footer="1100" w:top="1100" w:bottom="1280" w:left="1660" w:right="0"/>
        </w:sectPr>
      </w:pPr>
    </w:p>
    <w:p>
      <w:pPr>
        <w:tabs>
          <w:tab w:pos="1940" w:val="left" w:leader="none"/>
        </w:tabs>
        <w:spacing w:line="357" w:lineRule="auto" w:before="17"/>
        <w:ind w:left="678" w:right="6578" w:hanging="6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32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2"/>
          <w:sz w:val="21"/>
          <w:szCs w:val="21"/>
        </w:rPr>
        <w:t>3</w:t>
      </w:r>
      <w:r>
        <w:rPr>
          <w:rFonts w:ascii="宋体" w:hAnsi="宋体" w:cs="宋体" w:eastAsia="宋体" w:hint="default"/>
          <w:spacing w:val="-2"/>
          <w:sz w:val="21"/>
          <w:szCs w:val="21"/>
        </w:rPr>
        <w:t>、北京中嘉华信息技术有限公司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成立日期：</w:t>
        <w:tab/>
      </w:r>
      <w:r>
        <w:rPr>
          <w:rFonts w:ascii="宋体" w:hAnsi="宋体" w:cs="宋体" w:eastAsia="宋体" w:hint="default"/>
          <w:spacing w:val="-2"/>
          <w:sz w:val="21"/>
          <w:szCs w:val="21"/>
        </w:rPr>
        <w:t>2001</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28</w:t>
      </w:r>
      <w:r>
        <w:rPr>
          <w:rFonts w:ascii="宋体" w:hAnsi="宋体" w:cs="宋体" w:eastAsia="宋体" w:hint="default"/>
          <w:spacing w:val="-2"/>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法定代表人：李安龙</w:t>
      </w:r>
    </w:p>
    <w:p>
      <w:pPr>
        <w:tabs>
          <w:tab w:pos="1940" w:val="left" w:leader="none"/>
        </w:tabs>
        <w:spacing w:before="24"/>
        <w:ind w:left="678" w:right="0" w:firstLine="0"/>
        <w:jc w:val="left"/>
        <w:rPr>
          <w:rFonts w:ascii="宋体" w:hAnsi="宋体" w:cs="宋体" w:eastAsia="宋体" w:hint="default"/>
          <w:sz w:val="21"/>
          <w:szCs w:val="21"/>
        </w:rPr>
      </w:pPr>
      <w:r>
        <w:rPr>
          <w:rFonts w:ascii="宋体" w:hAnsi="宋体" w:cs="宋体" w:eastAsia="宋体" w:hint="default"/>
          <w:spacing w:val="-1"/>
          <w:sz w:val="21"/>
          <w:szCs w:val="21"/>
        </w:rPr>
        <w:t>注册资本：</w:t>
        <w:tab/>
      </w:r>
      <w:r>
        <w:rPr>
          <w:rFonts w:ascii="宋体" w:hAnsi="宋体" w:cs="宋体" w:eastAsia="宋体" w:hint="default"/>
          <w:spacing w:val="-1"/>
          <w:sz w:val="24"/>
          <w:szCs w:val="24"/>
        </w:rPr>
        <w:t>1020</w:t>
      </w:r>
      <w:r>
        <w:rPr>
          <w:rFonts w:ascii="宋体" w:hAnsi="宋体" w:cs="宋体" w:eastAsia="宋体" w:hint="default"/>
          <w:spacing w:val="-1"/>
          <w:sz w:val="21"/>
          <w:szCs w:val="21"/>
        </w:rPr>
        <w:t>万元</w:t>
      </w:r>
      <w:r>
        <w:rPr>
          <w:rFonts w:ascii="宋体" w:hAnsi="宋体" w:cs="宋体" w:eastAsia="宋体" w:hint="default"/>
          <w:sz w:val="21"/>
          <w:szCs w:val="21"/>
        </w:rPr>
      </w:r>
    </w:p>
    <w:p>
      <w:pPr>
        <w:spacing w:line="355" w:lineRule="auto" w:before="160"/>
        <w:ind w:left="138" w:right="1791" w:firstLine="539"/>
        <w:jc w:val="both"/>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pacing w:val="98"/>
          <w:sz w:val="21"/>
          <w:szCs w:val="21"/>
        </w:rPr>
        <w:t> </w:t>
      </w:r>
      <w:r>
        <w:rPr>
          <w:rFonts w:ascii="宋体" w:hAnsi="宋体" w:cs="宋体" w:eastAsia="宋体" w:hint="default"/>
          <w:sz w:val="21"/>
          <w:szCs w:val="21"/>
        </w:rPr>
        <w:t>软件开发、数据处理服务，经济贸易咨询，投资咨询、企业管理咨询；</w:t>
      </w:r>
      <w:r>
        <w:rPr>
          <w:rFonts w:ascii="宋体" w:hAnsi="宋体" w:cs="宋体" w:eastAsia="宋体" w:hint="default"/>
          <w:w w:val="100"/>
          <w:sz w:val="21"/>
          <w:szCs w:val="21"/>
        </w:rPr>
        <w:t> </w:t>
      </w:r>
      <w:r>
        <w:rPr>
          <w:rFonts w:ascii="宋体" w:hAnsi="宋体" w:cs="宋体" w:eastAsia="宋体" w:hint="default"/>
          <w:spacing w:val="-4"/>
          <w:w w:val="100"/>
          <w:sz w:val="21"/>
          <w:szCs w:val="21"/>
        </w:rPr>
        <w:t>销售计算机、软件及辅助设备（计算机信息系统安全专用产品除外）、电子产品、日用品、</w:t>
      </w:r>
      <w:r>
        <w:rPr>
          <w:rFonts w:ascii="宋体" w:hAnsi="宋体" w:cs="宋体" w:eastAsia="宋体" w:hint="default"/>
          <w:w w:val="100"/>
          <w:sz w:val="21"/>
          <w:szCs w:val="21"/>
        </w:rPr>
        <w:t> </w:t>
      </w:r>
      <w:r>
        <w:rPr>
          <w:rFonts w:ascii="宋体" w:hAnsi="宋体" w:cs="宋体" w:eastAsia="宋体" w:hint="default"/>
          <w:sz w:val="21"/>
          <w:szCs w:val="21"/>
        </w:rPr>
        <w:t>五金交电、机械设备、纸张。</w:t>
      </w:r>
    </w:p>
    <w:p>
      <w:pPr>
        <w:spacing w:after="0" w:line="355" w:lineRule="auto"/>
        <w:jc w:val="both"/>
        <w:rPr>
          <w:rFonts w:ascii="宋体" w:hAnsi="宋体" w:cs="宋体" w:eastAsia="宋体" w:hint="default"/>
          <w:sz w:val="21"/>
          <w:szCs w:val="21"/>
        </w:rPr>
        <w:sectPr>
          <w:pgSz w:w="11910" w:h="16840"/>
          <w:pgMar w:header="915" w:footer="1100" w:top="1100" w:bottom="1280" w:left="1660" w:right="0"/>
        </w:sectPr>
      </w:pPr>
    </w:p>
    <w:p>
      <w:pPr>
        <w:spacing w:line="240" w:lineRule="auto" w:before="1"/>
        <w:rPr>
          <w:rFonts w:ascii="宋体" w:hAnsi="宋体" w:cs="宋体" w:eastAsia="宋体" w:hint="default"/>
          <w:sz w:val="27"/>
          <w:szCs w:val="27"/>
        </w:rPr>
      </w:pPr>
      <w:r>
        <w:rPr/>
        <w:pict>
          <v:group style="position:absolute;margin-left:88.103996pt;margin-top:41.999985pt;width:419.25pt;height:16.3500pt;mso-position-horizontal-relative:page;mso-position-vertical-relative:page;z-index:145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pStyle w:val="Heading1"/>
        <w:tabs>
          <w:tab w:pos="2751" w:val="left" w:leader="none"/>
        </w:tabs>
        <w:spacing w:line="240" w:lineRule="auto"/>
        <w:ind w:left="1394" w:right="2612"/>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0"/>
          <w:szCs w:val="30"/>
        </w:rPr>
      </w:pPr>
    </w:p>
    <w:p>
      <w:pPr>
        <w:spacing w:before="224"/>
        <w:ind w:left="478" w:right="2612" w:firstLine="0"/>
        <w:jc w:val="left"/>
        <w:rPr>
          <w:rFonts w:ascii="宋体" w:hAnsi="宋体" w:cs="宋体" w:eastAsia="宋体" w:hint="default"/>
          <w:sz w:val="21"/>
          <w:szCs w:val="21"/>
        </w:rPr>
      </w:pPr>
      <w:r>
        <w:rPr>
          <w:rFonts w:ascii="宋体" w:hAnsi="宋体" w:cs="宋体" w:eastAsia="宋体" w:hint="default"/>
          <w:b/>
          <w:bCs/>
          <w:sz w:val="21"/>
          <w:szCs w:val="21"/>
        </w:rPr>
        <w:t>一、董事、监事和高级管理人员情况</w:t>
      </w:r>
      <w:r>
        <w:rPr>
          <w:rFonts w:ascii="宋体" w:hAnsi="宋体" w:cs="宋体" w:eastAsia="宋体" w:hint="default"/>
          <w:sz w:val="21"/>
          <w:szCs w:val="21"/>
        </w:rPr>
      </w:r>
    </w:p>
    <w:p>
      <w:pPr>
        <w:spacing w:line="355" w:lineRule="auto" w:before="133"/>
        <w:ind w:left="898" w:right="3452" w:hanging="42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董事、监事和高级管理人员任职及持股情况（单位：股）</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780"/>
        <w:gridCol w:w="1205"/>
        <w:gridCol w:w="521"/>
        <w:gridCol w:w="518"/>
        <w:gridCol w:w="1524"/>
        <w:gridCol w:w="1474"/>
        <w:gridCol w:w="912"/>
        <w:gridCol w:w="910"/>
        <w:gridCol w:w="1193"/>
      </w:tblGrid>
      <w:tr>
        <w:trPr>
          <w:trHeight w:val="476"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性别</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74"/>
              <w:jc w:val="right"/>
              <w:rPr>
                <w:rFonts w:ascii="宋体" w:hAnsi="宋体" w:cs="宋体" w:eastAsia="宋体" w:hint="default"/>
                <w:sz w:val="18"/>
                <w:szCs w:val="18"/>
              </w:rPr>
            </w:pPr>
            <w:r>
              <w:rPr>
                <w:rFonts w:ascii="宋体" w:hAnsi="宋体" w:cs="宋体" w:eastAsia="宋体" w:hint="default"/>
                <w:sz w:val="18"/>
                <w:szCs w:val="18"/>
              </w:rPr>
              <w:t>年龄</w:t>
            </w:r>
          </w:p>
        </w:tc>
        <w:tc>
          <w:tcPr>
            <w:tcW w:w="1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年初持股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年末持股</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1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谷望江</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63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38,950,000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37,827,385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8"/>
              <w:jc w:val="center"/>
              <w:rPr>
                <w:rFonts w:ascii="宋体" w:hAnsi="宋体" w:cs="宋体" w:eastAsia="宋体" w:hint="default"/>
                <w:sz w:val="18"/>
                <w:szCs w:val="18"/>
              </w:rPr>
            </w:pPr>
            <w:r>
              <w:rPr>
                <w:rFonts w:ascii="宋体" w:hAnsi="宋体" w:cs="宋体" w:eastAsia="宋体" w:hint="default"/>
                <w:sz w:val="18"/>
                <w:szCs w:val="18"/>
              </w:rPr>
              <w:t>二级市场减持</w:t>
            </w: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王爱先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64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石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64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929,400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699,400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8"/>
              <w:jc w:val="center"/>
              <w:rPr>
                <w:rFonts w:ascii="宋体" w:hAnsi="宋体" w:cs="宋体" w:eastAsia="宋体" w:hint="default"/>
                <w:sz w:val="18"/>
                <w:szCs w:val="18"/>
              </w:rPr>
            </w:pPr>
            <w:r>
              <w:rPr>
                <w:rFonts w:ascii="宋体" w:hAnsi="宋体" w:cs="宋体" w:eastAsia="宋体" w:hint="default"/>
                <w:sz w:val="18"/>
                <w:szCs w:val="18"/>
              </w:rPr>
              <w:t>二级市场减持</w:t>
            </w:r>
          </w:p>
        </w:tc>
      </w:tr>
      <w:tr>
        <w:trPr>
          <w:trHeight w:val="36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06"/>
              <w:jc w:val="right"/>
              <w:rPr>
                <w:rFonts w:ascii="宋体" w:hAnsi="宋体" w:cs="宋体" w:eastAsia="宋体" w:hint="default"/>
                <w:sz w:val="18"/>
                <w:szCs w:val="18"/>
              </w:rPr>
            </w:pPr>
            <w:r>
              <w:rPr>
                <w:rFonts w:ascii="宋体" w:hAnsi="宋体" w:cs="宋体" w:eastAsia="宋体" w:hint="default"/>
                <w:sz w:val="18"/>
                <w:szCs w:val="18"/>
              </w:rPr>
              <w:t>史建中</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18"/>
                <w:szCs w:val="18"/>
              </w:rPr>
            </w:pPr>
            <w:r>
              <w:rPr>
                <w:rFonts w:ascii="Times New Roman"/>
                <w:sz w:val="18"/>
              </w:rPr>
              <w:t>47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18"/>
                <w:szCs w:val="18"/>
              </w:rPr>
            </w:pPr>
            <w:r>
              <w:rPr>
                <w:rFonts w:ascii="Times New Roman"/>
                <w:spacing w:val="-1"/>
                <w:sz w:val="18"/>
              </w:rPr>
              <w:t>3,280,000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18"/>
                <w:szCs w:val="18"/>
              </w:rPr>
            </w:pPr>
            <w:r>
              <w:rPr>
                <w:rFonts w:ascii="Times New Roman"/>
                <w:spacing w:val="-1"/>
                <w:sz w:val="18"/>
              </w:rPr>
              <w:t>3,280,000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赵福蕊</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53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汤云为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66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刘素英</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65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钢</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64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李保政</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35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王景涛</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47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唐国奇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820,000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820,000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43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820,000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820,000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z w:val="18"/>
              </w:rPr>
              <w:t>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1,230,000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1,230,000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齐利国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40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46,029,400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44,676,785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1" w:lineRule="exact" w:before="0"/>
        <w:ind w:left="478" w:right="2612" w:firstLine="0"/>
        <w:jc w:val="left"/>
        <w:rPr>
          <w:rFonts w:ascii="宋体" w:hAnsi="宋体" w:cs="宋体" w:eastAsia="宋体" w:hint="default"/>
          <w:sz w:val="21"/>
          <w:szCs w:val="21"/>
        </w:rPr>
      </w:pPr>
      <w:r>
        <w:rPr>
          <w:rFonts w:ascii="宋体" w:hAnsi="宋体" w:cs="宋体" w:eastAsia="宋体" w:hint="default"/>
          <w:sz w:val="21"/>
          <w:szCs w:val="21"/>
        </w:rPr>
        <w:t>注：本公司董事及高级管理人员所持股份，均为间接持股。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463" w:lineRule="auto" w:before="0"/>
        <w:ind w:left="689" w:right="2612" w:hanging="212"/>
        <w:jc w:val="left"/>
        <w:rPr>
          <w:rFonts w:ascii="宋体" w:hAnsi="宋体" w:cs="宋体" w:eastAsia="宋体" w:hint="default"/>
          <w:sz w:val="21"/>
          <w:szCs w:val="21"/>
        </w:rPr>
      </w:pPr>
      <w:r>
        <w:rPr>
          <w:rFonts w:ascii="宋体" w:hAnsi="宋体" w:cs="宋体" w:eastAsia="宋体" w:hint="default"/>
          <w:b/>
          <w:bCs/>
          <w:spacing w:val="-7"/>
          <w:w w:val="100"/>
          <w:sz w:val="21"/>
          <w:szCs w:val="21"/>
        </w:rPr>
        <w:t>（二）、董事、监事、高级管理人员最近</w:t>
      </w:r>
      <w:r>
        <w:rPr>
          <w:rFonts w:ascii="宋体" w:hAnsi="宋体" w:cs="宋体" w:eastAsia="宋体" w:hint="default"/>
          <w:b/>
          <w:bCs/>
          <w:spacing w:val="-45"/>
          <w:w w:val="100"/>
          <w:sz w:val="21"/>
          <w:szCs w:val="21"/>
        </w:rPr>
        <w:t> </w:t>
      </w:r>
      <w:r>
        <w:rPr>
          <w:rFonts w:ascii="宋体" w:hAnsi="宋体" w:cs="宋体" w:eastAsia="宋体" w:hint="default"/>
          <w:b/>
          <w:bCs/>
          <w:w w:val="99"/>
          <w:sz w:val="21"/>
          <w:szCs w:val="21"/>
        </w:rPr>
        <w:t>5</w:t>
      </w:r>
      <w:r>
        <w:rPr>
          <w:rFonts w:ascii="宋体" w:hAnsi="宋体" w:cs="宋体" w:eastAsia="宋体" w:hint="default"/>
          <w:b/>
          <w:bCs/>
          <w:spacing w:val="-44"/>
          <w:w w:val="99"/>
          <w:sz w:val="21"/>
          <w:szCs w:val="21"/>
        </w:rPr>
        <w:t> </w:t>
      </w:r>
      <w:r>
        <w:rPr>
          <w:rFonts w:ascii="宋体" w:hAnsi="宋体" w:cs="宋体" w:eastAsia="宋体" w:hint="default"/>
          <w:b/>
          <w:bCs/>
          <w:spacing w:val="-1"/>
          <w:w w:val="100"/>
          <w:sz w:val="21"/>
          <w:szCs w:val="21"/>
        </w:rPr>
        <w:t>年主要工作经历及在其他单位任职情况</w:t>
      </w:r>
      <w:r>
        <w:rPr>
          <w:rFonts w:ascii="宋体" w:hAnsi="宋体" w:cs="宋体" w:eastAsia="宋体" w:hint="default"/>
          <w:b/>
          <w:bCs/>
          <w:spacing w:val="-104"/>
          <w:w w:val="100"/>
          <w:sz w:val="21"/>
          <w:szCs w:val="21"/>
        </w:rPr>
        <w:t> </w:t>
      </w:r>
      <w:r>
        <w:rPr>
          <w:rFonts w:ascii="宋体" w:hAnsi="宋体" w:cs="宋体" w:eastAsia="宋体" w:hint="default"/>
          <w:b/>
          <w:bCs/>
          <w:spacing w:val="-104"/>
          <w:w w:val="10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、董事简介</w:t>
      </w:r>
      <w:r>
        <w:rPr>
          <w:rFonts w:ascii="宋体" w:hAnsi="宋体" w:cs="宋体" w:eastAsia="宋体" w:hint="default"/>
          <w:sz w:val="21"/>
          <w:szCs w:val="21"/>
        </w:rPr>
      </w:r>
    </w:p>
    <w:p>
      <w:pPr>
        <w:spacing w:line="355" w:lineRule="auto" w:before="58"/>
        <w:ind w:left="478" w:right="1788" w:firstLine="314"/>
        <w:jc w:val="both"/>
        <w:rPr>
          <w:rFonts w:ascii="宋体" w:hAnsi="宋体" w:cs="宋体" w:eastAsia="宋体" w:hint="default"/>
          <w:sz w:val="21"/>
          <w:szCs w:val="21"/>
        </w:rPr>
      </w:pPr>
      <w:r>
        <w:rPr>
          <w:rFonts w:ascii="宋体" w:hAnsi="宋体" w:cs="宋体" w:eastAsia="宋体" w:hint="default"/>
          <w:b/>
          <w:bCs/>
          <w:sz w:val="21"/>
          <w:szCs w:val="21"/>
        </w:rPr>
        <w:t>董事长 谷望江女士</w:t>
      </w:r>
      <w:r>
        <w:rPr>
          <w:rFonts w:ascii="宋体" w:hAnsi="宋体" w:cs="宋体" w:eastAsia="宋体" w:hint="default"/>
          <w:sz w:val="21"/>
          <w:szCs w:val="21"/>
        </w:rPr>
        <w:t>，</w:t>
      </w:r>
      <w:r>
        <w:rPr>
          <w:rFonts w:ascii="宋体" w:hAnsi="宋体" w:cs="宋体" w:eastAsia="宋体" w:hint="default"/>
          <w:sz w:val="21"/>
          <w:szCs w:val="21"/>
        </w:rPr>
        <w:t>1947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月生，曾用名汪江，中国香港籍，大学学历。</w:t>
      </w:r>
      <w:r>
        <w:rPr>
          <w:rFonts w:ascii="宋体" w:hAnsi="宋体" w:cs="宋体" w:eastAsia="宋体" w:hint="default"/>
          <w:sz w:val="21"/>
          <w:szCs w:val="21"/>
        </w:rPr>
        <w:t>2001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3"/>
          <w:sz w:val="21"/>
          <w:szCs w:val="21"/>
        </w:rPr>
        <w:t>至今，任香港喜多来集团有限公司董事。</w:t>
      </w:r>
      <w:r>
        <w:rPr>
          <w:rFonts w:ascii="宋体" w:hAnsi="宋体" w:cs="宋体" w:eastAsia="宋体" w:hint="default"/>
          <w:spacing w:val="-3"/>
          <w:sz w:val="21"/>
          <w:szCs w:val="21"/>
        </w:rPr>
        <w:t>2002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月起任本公司董事长。本届董事任职期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限为</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before="34"/>
        <w:ind w:left="898" w:right="2612" w:firstLine="0"/>
        <w:jc w:val="left"/>
        <w:rPr>
          <w:rFonts w:ascii="宋体" w:hAnsi="宋体" w:cs="宋体" w:eastAsia="宋体" w:hint="default"/>
          <w:sz w:val="21"/>
          <w:szCs w:val="21"/>
        </w:rPr>
      </w:pPr>
      <w:r>
        <w:rPr>
          <w:rFonts w:ascii="宋体" w:hAnsi="宋体" w:cs="宋体" w:eastAsia="宋体" w:hint="default"/>
          <w:sz w:val="21"/>
          <w:szCs w:val="21"/>
        </w:rPr>
        <w:t>在股东单位任职情况：香港喜多来集团有限公司董事</w:t>
      </w:r>
    </w:p>
    <w:p>
      <w:pPr>
        <w:spacing w:line="355" w:lineRule="auto" w:before="133"/>
        <w:ind w:left="478" w:right="1789" w:firstLine="419"/>
        <w:jc w:val="both"/>
        <w:rPr>
          <w:rFonts w:ascii="宋体" w:hAnsi="宋体" w:cs="宋体" w:eastAsia="宋体" w:hint="default"/>
          <w:sz w:val="21"/>
          <w:szCs w:val="21"/>
        </w:rPr>
      </w:pPr>
      <w:r>
        <w:rPr>
          <w:rFonts w:ascii="宋体" w:hAnsi="宋体" w:cs="宋体" w:eastAsia="宋体" w:hint="default"/>
          <w:sz w:val="21"/>
          <w:szCs w:val="21"/>
        </w:rPr>
        <w:t>其他单位任职情况：</w:t>
      </w:r>
      <w:r>
        <w:rPr>
          <w:rFonts w:ascii="宋体" w:hAnsi="宋体" w:cs="宋体" w:eastAsia="宋体" w:hint="default"/>
          <w:spacing w:val="-2"/>
          <w:sz w:val="21"/>
          <w:szCs w:val="21"/>
        </w:rPr>
        <w:t> </w:t>
      </w:r>
      <w:r>
        <w:rPr>
          <w:rFonts w:ascii="宋体" w:hAnsi="宋体" w:cs="宋体" w:eastAsia="宋体" w:hint="default"/>
          <w:sz w:val="21"/>
          <w:szCs w:val="21"/>
        </w:rPr>
        <w:t>Infomatic</w:t>
      </w:r>
      <w:r>
        <w:rPr>
          <w:rFonts w:ascii="宋体" w:hAnsi="宋体" w:cs="宋体" w:eastAsia="宋体" w:hint="default"/>
          <w:spacing w:val="-19"/>
          <w:sz w:val="21"/>
          <w:szCs w:val="21"/>
        </w:rPr>
        <w:t> </w:t>
      </w:r>
      <w:r>
        <w:rPr>
          <w:rFonts w:ascii="宋体" w:hAnsi="宋体" w:cs="宋体" w:eastAsia="宋体" w:hint="default"/>
          <w:sz w:val="21"/>
          <w:szCs w:val="21"/>
        </w:rPr>
        <w:t>Resoures</w:t>
      </w:r>
      <w:r>
        <w:rPr>
          <w:rFonts w:ascii="宋体" w:hAnsi="宋体" w:cs="宋体" w:eastAsia="宋体" w:hint="default"/>
          <w:spacing w:val="-19"/>
          <w:sz w:val="21"/>
          <w:szCs w:val="21"/>
        </w:rPr>
        <w:t> </w:t>
      </w:r>
      <w:r>
        <w:rPr>
          <w:rFonts w:ascii="宋体" w:hAnsi="宋体" w:cs="宋体" w:eastAsia="宋体" w:hint="default"/>
          <w:sz w:val="21"/>
          <w:szCs w:val="21"/>
        </w:rPr>
        <w:t>Limited</w:t>
      </w:r>
      <w:r>
        <w:rPr>
          <w:rFonts w:ascii="宋体" w:hAnsi="宋体" w:cs="宋体" w:eastAsia="宋体" w:hint="default"/>
          <w:spacing w:val="-55"/>
          <w:sz w:val="21"/>
          <w:szCs w:val="21"/>
        </w:rPr>
        <w:t> </w:t>
      </w:r>
      <w:r>
        <w:rPr>
          <w:rFonts w:ascii="宋体" w:hAnsi="宋体" w:cs="宋体" w:eastAsia="宋体" w:hint="default"/>
          <w:sz w:val="21"/>
          <w:szCs w:val="21"/>
        </w:rPr>
        <w:t>董事、日照大地伊索新建材有限公</w:t>
      </w:r>
      <w:r>
        <w:rPr>
          <w:rFonts w:ascii="宋体" w:hAnsi="宋体" w:cs="宋体" w:eastAsia="宋体" w:hint="default"/>
          <w:w w:val="100"/>
          <w:sz w:val="21"/>
          <w:szCs w:val="21"/>
        </w:rPr>
        <w:t> </w:t>
      </w:r>
      <w:r>
        <w:rPr>
          <w:rFonts w:ascii="宋体" w:hAnsi="宋体" w:cs="宋体" w:eastAsia="宋体" w:hint="default"/>
          <w:sz w:val="21"/>
          <w:szCs w:val="21"/>
        </w:rPr>
        <w:t>司董事长、日照大地金属材料加工开发有限公司董事长、</w:t>
      </w:r>
      <w:r>
        <w:rPr>
          <w:rFonts w:ascii="宋体" w:hAnsi="宋体" w:cs="宋体" w:eastAsia="宋体" w:hint="default"/>
          <w:sz w:val="21"/>
          <w:szCs w:val="21"/>
        </w:rPr>
        <w:t>Joy Spring Limited</w:t>
      </w:r>
      <w:r>
        <w:rPr>
          <w:rFonts w:ascii="宋体" w:hAnsi="宋体" w:cs="宋体" w:eastAsia="宋体" w:hint="default"/>
          <w:spacing w:val="9"/>
          <w:sz w:val="21"/>
          <w:szCs w:val="21"/>
        </w:rPr>
        <w:t> </w:t>
      </w:r>
      <w:r>
        <w:rPr>
          <w:rFonts w:ascii="宋体" w:hAnsi="宋体" w:cs="宋体" w:eastAsia="宋体" w:hint="default"/>
          <w:sz w:val="21"/>
          <w:szCs w:val="21"/>
        </w:rPr>
        <w:t>董事、北京</w:t>
      </w:r>
      <w:r>
        <w:rPr>
          <w:rFonts w:ascii="宋体" w:hAnsi="宋体" w:cs="宋体" w:eastAsia="宋体" w:hint="default"/>
          <w:w w:val="100"/>
          <w:sz w:val="21"/>
          <w:szCs w:val="21"/>
        </w:rPr>
        <w:t> </w:t>
      </w:r>
      <w:r>
        <w:rPr>
          <w:rFonts w:ascii="宋体" w:hAnsi="宋体" w:cs="宋体" w:eastAsia="宋体" w:hint="default"/>
          <w:spacing w:val="-4"/>
          <w:sz w:val="21"/>
          <w:szCs w:val="21"/>
        </w:rPr>
        <w:t>东港安全印刷有限公司董事、新疆东港安全印刷有限公司董事长、广州东港安全印刷有限公</w:t>
      </w:r>
    </w:p>
    <w:p>
      <w:pPr>
        <w:spacing w:after="0" w:line="355" w:lineRule="auto"/>
        <w:jc w:val="both"/>
        <w:rPr>
          <w:rFonts w:ascii="宋体" w:hAnsi="宋体" w:cs="宋体" w:eastAsia="宋体" w:hint="default"/>
          <w:sz w:val="21"/>
          <w:szCs w:val="21"/>
        </w:rPr>
        <w:sectPr>
          <w:pgSz w:w="11910" w:h="16840"/>
          <w:pgMar w:header="915" w:footer="1100" w:top="1100" w:bottom="1280" w:left="1320" w:right="0"/>
        </w:sectPr>
      </w:pPr>
    </w:p>
    <w:p>
      <w:pPr>
        <w:spacing w:line="357" w:lineRule="auto" w:before="17"/>
        <w:ind w:left="558" w:right="1680" w:hanging="42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27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2"/>
          <w:sz w:val="21"/>
          <w:szCs w:val="21"/>
        </w:rPr>
        <w:t>司董事长、北京东港嘉华信息技术有限公司董事长、成都东港安全印刷有限公司执行董事。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b/>
          <w:bCs/>
          <w:sz w:val="21"/>
          <w:szCs w:val="21"/>
        </w:rPr>
        <w:t>副董事长</w:t>
      </w:r>
      <w:r>
        <w:rPr>
          <w:rFonts w:ascii="宋体" w:hAnsi="宋体" w:cs="宋体" w:eastAsia="宋体" w:hint="default"/>
          <w:b/>
          <w:bCs/>
          <w:spacing w:val="40"/>
          <w:sz w:val="21"/>
          <w:szCs w:val="21"/>
        </w:rPr>
        <w:t> </w:t>
      </w:r>
      <w:r>
        <w:rPr>
          <w:rFonts w:ascii="宋体" w:hAnsi="宋体" w:cs="宋体" w:eastAsia="宋体" w:hint="default"/>
          <w:b/>
          <w:bCs/>
          <w:spacing w:val="-4"/>
          <w:sz w:val="21"/>
          <w:szCs w:val="21"/>
        </w:rPr>
        <w:t>王爱先先生</w:t>
      </w:r>
      <w:r>
        <w:rPr>
          <w:rFonts w:ascii="宋体" w:hAnsi="宋体" w:cs="宋体" w:eastAsia="宋体" w:hint="default"/>
          <w:spacing w:val="-4"/>
          <w:sz w:val="21"/>
          <w:szCs w:val="21"/>
        </w:rPr>
        <w:t>，</w:t>
      </w:r>
      <w:r>
        <w:rPr>
          <w:rFonts w:ascii="宋体" w:hAnsi="宋体" w:cs="宋体" w:eastAsia="宋体" w:hint="default"/>
          <w:spacing w:val="-4"/>
          <w:sz w:val="21"/>
          <w:szCs w:val="21"/>
        </w:rPr>
        <w:t>1946</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4"/>
          <w:sz w:val="21"/>
          <w:szCs w:val="21"/>
        </w:rPr>
        <w:t>月生，中国国籍，大学学历，中共党员。曾任浪潮电子</w:t>
      </w:r>
    </w:p>
    <w:p>
      <w:pPr>
        <w:spacing w:line="355" w:lineRule="auto" w:before="30"/>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信息产业集团公司董事长、党委书记。</w:t>
      </w:r>
      <w:r>
        <w:rPr>
          <w:rFonts w:ascii="宋体" w:hAnsi="宋体" w:cs="宋体" w:eastAsia="宋体" w:hint="default"/>
          <w:spacing w:val="-4"/>
          <w:sz w:val="21"/>
          <w:szCs w:val="21"/>
        </w:rPr>
        <w:t>2002</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月起任本公司副董事长。本届董事任职期限</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2"/>
          <w:sz w:val="21"/>
          <w:szCs w:val="21"/>
        </w:rPr>
        <w:t>其他单位任职情况：济南益东纸业有限公司董事长、浪潮电子信息产业集团公司顾问、</w:t>
      </w:r>
      <w:r>
        <w:rPr>
          <w:rFonts w:ascii="宋体" w:hAnsi="宋体" w:cs="宋体" w:eastAsia="宋体" w:hint="default"/>
          <w:sz w:val="21"/>
          <w:szCs w:val="21"/>
        </w:rPr>
      </w:r>
    </w:p>
    <w:p>
      <w:pPr>
        <w:spacing w:before="30"/>
        <w:ind w:left="138" w:right="0" w:firstLine="0"/>
        <w:jc w:val="both"/>
        <w:rPr>
          <w:rFonts w:ascii="宋体" w:hAnsi="宋体" w:cs="宋体" w:eastAsia="宋体" w:hint="default"/>
          <w:sz w:val="21"/>
          <w:szCs w:val="21"/>
        </w:rPr>
      </w:pPr>
      <w:r>
        <w:rPr>
          <w:rFonts w:ascii="宋体" w:hAnsi="宋体" w:cs="宋体" w:eastAsia="宋体" w:hint="default"/>
          <w:sz w:val="21"/>
          <w:szCs w:val="21"/>
        </w:rPr>
        <w:t>淄博矿业集团董事，山东东港数据处理有限公司董事长、山东交通运输集团董事。</w:t>
      </w:r>
    </w:p>
    <w:p>
      <w:pPr>
        <w:spacing w:line="355" w:lineRule="auto" w:before="133"/>
        <w:ind w:left="138" w:right="1789" w:firstLine="424"/>
        <w:jc w:val="both"/>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spacing w:val="43"/>
          <w:sz w:val="21"/>
          <w:szCs w:val="21"/>
        </w:rPr>
        <w:t> </w:t>
      </w:r>
      <w:r>
        <w:rPr>
          <w:rFonts w:ascii="宋体" w:hAnsi="宋体" w:cs="宋体" w:eastAsia="宋体" w:hint="default"/>
          <w:b/>
          <w:bCs/>
          <w:spacing w:val="-4"/>
          <w:sz w:val="21"/>
          <w:szCs w:val="21"/>
        </w:rPr>
        <w:t>石林先生</w:t>
      </w:r>
      <w:r>
        <w:rPr>
          <w:rFonts w:ascii="宋体" w:hAnsi="宋体" w:cs="宋体" w:eastAsia="宋体" w:hint="default"/>
          <w:spacing w:val="-4"/>
          <w:sz w:val="21"/>
          <w:szCs w:val="21"/>
        </w:rPr>
        <w:t>，</w:t>
      </w:r>
      <w:r>
        <w:rPr>
          <w:rFonts w:ascii="宋体" w:hAnsi="宋体" w:cs="宋体" w:eastAsia="宋体" w:hint="default"/>
          <w:spacing w:val="-4"/>
          <w:sz w:val="21"/>
          <w:szCs w:val="21"/>
        </w:rPr>
        <w:t>1946</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月生，中国香港籍，大学学历。</w:t>
      </w:r>
      <w:r>
        <w:rPr>
          <w:rFonts w:ascii="宋体" w:hAnsi="宋体" w:cs="宋体" w:eastAsia="宋体" w:hint="default"/>
          <w:spacing w:val="-4"/>
          <w:sz w:val="21"/>
          <w:szCs w:val="21"/>
        </w:rPr>
        <w:t>2001</w:t>
      </w:r>
      <w:r>
        <w:rPr>
          <w:rFonts w:ascii="宋体" w:hAnsi="宋体" w:cs="宋体" w:eastAsia="宋体" w:hint="default"/>
          <w:spacing w:val="-4"/>
          <w:sz w:val="21"/>
          <w:szCs w:val="21"/>
        </w:rPr>
        <w:t>年至今任香港喜多来集团</w:t>
      </w:r>
      <w:r>
        <w:rPr>
          <w:rFonts w:ascii="宋体" w:hAnsi="宋体" w:cs="宋体" w:eastAsia="宋体" w:hint="default"/>
          <w:w w:val="100"/>
          <w:sz w:val="21"/>
          <w:szCs w:val="21"/>
        </w:rPr>
        <w:t> </w:t>
      </w:r>
      <w:r>
        <w:rPr>
          <w:rFonts w:ascii="宋体" w:hAnsi="宋体" w:cs="宋体" w:eastAsia="宋体" w:hint="default"/>
          <w:spacing w:val="-4"/>
          <w:sz w:val="21"/>
          <w:szCs w:val="21"/>
        </w:rPr>
        <w:t>有限公司董事。</w:t>
      </w:r>
      <w:r>
        <w:rPr>
          <w:rFonts w:ascii="宋体" w:hAnsi="宋体" w:cs="宋体" w:eastAsia="宋体" w:hint="default"/>
          <w:spacing w:val="-4"/>
          <w:sz w:val="21"/>
          <w:szCs w:val="21"/>
        </w:rPr>
        <w:t>2002</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月起任本公司董事。本届董事任职期限为</w:t>
      </w:r>
      <w:r>
        <w:rPr>
          <w:rFonts w:ascii="宋体" w:hAnsi="宋体" w:cs="宋体" w:eastAsia="宋体" w:hint="default"/>
          <w:spacing w:val="-4"/>
          <w:sz w:val="21"/>
          <w:szCs w:val="21"/>
        </w:rPr>
        <w:t>2009</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4"/>
          <w:sz w:val="21"/>
          <w:szCs w:val="21"/>
        </w:rPr>
        <w:t>月</w:t>
      </w:r>
      <w:r>
        <w:rPr>
          <w:rFonts w:ascii="宋体" w:hAnsi="宋体" w:cs="宋体" w:eastAsia="宋体" w:hint="default"/>
          <w:spacing w:val="-4"/>
          <w:sz w:val="21"/>
          <w:szCs w:val="21"/>
        </w:rPr>
        <w:t>20</w:t>
      </w:r>
      <w:r>
        <w:rPr>
          <w:rFonts w:ascii="宋体" w:hAnsi="宋体" w:cs="宋体" w:eastAsia="宋体" w:hint="default"/>
          <w:spacing w:val="-4"/>
          <w:sz w:val="21"/>
          <w:szCs w:val="21"/>
        </w:rPr>
        <w:t>日至</w:t>
      </w:r>
      <w:r>
        <w:rPr>
          <w:rFonts w:ascii="宋体" w:hAnsi="宋体" w:cs="宋体" w:eastAsia="宋体" w:hint="default"/>
          <w:spacing w:val="-4"/>
          <w:sz w:val="21"/>
          <w:szCs w:val="21"/>
        </w:rPr>
        <w:t>2012</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9"/>
          <w:sz w:val="21"/>
          <w:szCs w:val="21"/>
        </w:rPr>
        <w:t> </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5"/>
        <w:ind w:left="138" w:right="1791" w:firstLine="419"/>
        <w:jc w:val="both"/>
        <w:rPr>
          <w:rFonts w:ascii="宋体" w:hAnsi="宋体" w:cs="宋体" w:eastAsia="宋体" w:hint="default"/>
          <w:sz w:val="21"/>
          <w:szCs w:val="21"/>
        </w:rPr>
      </w:pPr>
      <w:r>
        <w:rPr>
          <w:rFonts w:ascii="宋体" w:hAnsi="宋体" w:cs="宋体" w:eastAsia="宋体" w:hint="default"/>
          <w:sz w:val="21"/>
          <w:szCs w:val="21"/>
        </w:rPr>
        <w:t>股东单位任职情况：香港喜多来集团有限公司董事，</w:t>
      </w:r>
      <w:r>
        <w:rPr>
          <w:rFonts w:ascii="宋体" w:hAnsi="宋体" w:cs="宋体" w:eastAsia="宋体" w:hint="default"/>
          <w:sz w:val="21"/>
          <w:szCs w:val="21"/>
        </w:rPr>
        <w:t>Rich River Investments</w:t>
      </w:r>
      <w:r>
        <w:rPr>
          <w:rFonts w:ascii="宋体" w:hAnsi="宋体" w:cs="宋体" w:eastAsia="宋体" w:hint="default"/>
          <w:spacing w:val="10"/>
          <w:sz w:val="21"/>
          <w:szCs w:val="21"/>
        </w:rPr>
        <w:t> </w:t>
      </w:r>
      <w:r>
        <w:rPr>
          <w:rFonts w:ascii="宋体" w:hAnsi="宋体" w:cs="宋体" w:eastAsia="宋体" w:hint="default"/>
          <w:sz w:val="21"/>
          <w:szCs w:val="21"/>
        </w:rPr>
        <w:t>Ltd.</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p>
      <w:pPr>
        <w:spacing w:line="355" w:lineRule="auto" w:before="32"/>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其他单位任职情况：日照大地伊索新建材有限公司副董事长、总经理、日照大地金属材</w:t>
      </w:r>
      <w:r>
        <w:rPr>
          <w:rFonts w:ascii="宋体" w:hAnsi="宋体" w:cs="宋体" w:eastAsia="宋体" w:hint="default"/>
          <w:w w:val="100"/>
          <w:sz w:val="21"/>
          <w:szCs w:val="21"/>
        </w:rPr>
        <w:t> </w:t>
      </w:r>
      <w:r>
        <w:rPr>
          <w:rFonts w:ascii="宋体" w:hAnsi="宋体" w:cs="宋体" w:eastAsia="宋体" w:hint="default"/>
          <w:sz w:val="21"/>
          <w:szCs w:val="21"/>
        </w:rPr>
        <w:t>料加工开发有限公司副董事长。</w:t>
      </w:r>
    </w:p>
    <w:p>
      <w:pPr>
        <w:spacing w:line="357" w:lineRule="auto" w:before="32"/>
        <w:ind w:left="138" w:right="1788" w:firstLine="424"/>
        <w:jc w:val="both"/>
        <w:rPr>
          <w:rFonts w:ascii="宋体" w:hAnsi="宋体" w:cs="宋体" w:eastAsia="宋体" w:hint="default"/>
          <w:sz w:val="21"/>
          <w:szCs w:val="21"/>
        </w:rPr>
      </w:pPr>
      <w:r>
        <w:rPr>
          <w:rFonts w:ascii="宋体" w:hAnsi="宋体" w:cs="宋体" w:eastAsia="宋体" w:hint="default"/>
          <w:b/>
          <w:bCs/>
          <w:spacing w:val="-4"/>
          <w:sz w:val="21"/>
          <w:szCs w:val="21"/>
        </w:rPr>
        <w:t>董事、总经理</w:t>
      </w:r>
      <w:r>
        <w:rPr>
          <w:rFonts w:ascii="宋体" w:hAnsi="宋体" w:cs="宋体" w:eastAsia="宋体" w:hint="default"/>
          <w:b/>
          <w:bCs/>
          <w:spacing w:val="49"/>
          <w:sz w:val="21"/>
          <w:szCs w:val="21"/>
        </w:rPr>
        <w:t> </w:t>
      </w:r>
      <w:r>
        <w:rPr>
          <w:rFonts w:ascii="宋体" w:hAnsi="宋体" w:cs="宋体" w:eastAsia="宋体" w:hint="default"/>
          <w:b/>
          <w:bCs/>
          <w:spacing w:val="-4"/>
          <w:sz w:val="21"/>
          <w:szCs w:val="21"/>
        </w:rPr>
        <w:t>史建中先生</w:t>
      </w:r>
      <w:r>
        <w:rPr>
          <w:rFonts w:ascii="宋体" w:hAnsi="宋体" w:cs="宋体" w:eastAsia="宋体" w:hint="default"/>
          <w:spacing w:val="-4"/>
          <w:sz w:val="21"/>
          <w:szCs w:val="21"/>
        </w:rPr>
        <w:t>，</w:t>
      </w:r>
      <w:r>
        <w:rPr>
          <w:rFonts w:ascii="宋体" w:hAnsi="宋体" w:cs="宋体" w:eastAsia="宋体" w:hint="default"/>
          <w:spacing w:val="-4"/>
          <w:sz w:val="21"/>
          <w:szCs w:val="21"/>
        </w:rPr>
        <w:t>1963</w:t>
      </w:r>
      <w:r>
        <w:rPr>
          <w:rFonts w:ascii="宋体" w:hAnsi="宋体" w:cs="宋体" w:eastAsia="宋体" w:hint="default"/>
          <w:spacing w:val="-4"/>
          <w:sz w:val="21"/>
          <w:szCs w:val="21"/>
        </w:rPr>
        <w:t>年</w:t>
      </w:r>
      <w:r>
        <w:rPr>
          <w:rFonts w:ascii="宋体" w:hAnsi="宋体" w:cs="宋体" w:eastAsia="宋体" w:hint="default"/>
          <w:spacing w:val="-4"/>
          <w:sz w:val="21"/>
          <w:szCs w:val="21"/>
        </w:rPr>
        <w:t>5</w:t>
      </w:r>
      <w:r>
        <w:rPr>
          <w:rFonts w:ascii="宋体" w:hAnsi="宋体" w:cs="宋体" w:eastAsia="宋体" w:hint="default"/>
          <w:spacing w:val="-4"/>
          <w:sz w:val="21"/>
          <w:szCs w:val="21"/>
        </w:rPr>
        <w:t>月生，中国国籍，大专学历。</w:t>
      </w:r>
      <w:r>
        <w:rPr>
          <w:rFonts w:ascii="宋体" w:hAnsi="宋体" w:cs="宋体" w:eastAsia="宋体" w:hint="default"/>
          <w:spacing w:val="-4"/>
          <w:sz w:val="21"/>
          <w:szCs w:val="21"/>
        </w:rPr>
        <w:t>2002</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月起任本公</w:t>
      </w:r>
      <w:r>
        <w:rPr>
          <w:rFonts w:ascii="宋体" w:hAnsi="宋体" w:cs="宋体" w:eastAsia="宋体" w:hint="default"/>
          <w:w w:val="100"/>
          <w:sz w:val="21"/>
          <w:szCs w:val="21"/>
        </w:rPr>
        <w:t> </w:t>
      </w:r>
      <w:r>
        <w:rPr>
          <w:rFonts w:ascii="宋体" w:hAnsi="宋体" w:cs="宋体" w:eastAsia="宋体" w:hint="default"/>
          <w:sz w:val="21"/>
          <w:szCs w:val="21"/>
        </w:rPr>
        <w:t>司董事、总经理。本届董事、总经理任职期限为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股东单位任职情况：北京中嘉华信息技术有限公司董事。</w:t>
      </w:r>
      <w:r>
        <w:rPr>
          <w:rFonts w:ascii="宋体" w:hAnsi="宋体" w:cs="宋体" w:eastAsia="宋体" w:hint="default"/>
          <w:w w:val="100"/>
          <w:sz w:val="21"/>
          <w:szCs w:val="21"/>
        </w:rPr>
        <w:t> </w:t>
      </w:r>
      <w:r>
        <w:rPr>
          <w:rFonts w:ascii="宋体" w:hAnsi="宋体" w:cs="宋体" w:eastAsia="宋体" w:hint="default"/>
          <w:spacing w:val="-4"/>
          <w:sz w:val="21"/>
          <w:szCs w:val="21"/>
        </w:rPr>
        <w:t>其他单位任职情况：郑州东港安全印刷有限公司副董事长，北京东港安全印刷有限公司</w:t>
      </w:r>
    </w:p>
    <w:p>
      <w:pPr>
        <w:spacing w:line="357" w:lineRule="auto" w:before="32"/>
        <w:ind w:left="138" w:right="1702" w:firstLine="0"/>
        <w:jc w:val="both"/>
        <w:rPr>
          <w:rFonts w:ascii="宋体" w:hAnsi="宋体" w:cs="宋体" w:eastAsia="宋体" w:hint="default"/>
          <w:sz w:val="21"/>
          <w:szCs w:val="21"/>
        </w:rPr>
      </w:pPr>
      <w:r>
        <w:rPr>
          <w:rFonts w:ascii="宋体" w:hAnsi="宋体" w:cs="宋体" w:eastAsia="宋体" w:hint="default"/>
          <w:spacing w:val="-4"/>
          <w:sz w:val="21"/>
          <w:szCs w:val="21"/>
        </w:rPr>
        <w:t>董事长，新疆东港安全印刷有限公司董事，上海东港安全印刷有限公司董事长、青海东港安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全印刷有限公司董事长，北京东港嘉华安全信息技术有限公司董事，广州东港安全印刷有限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公司董事，上海东港数据处理有限公司董事长，山东东港数据处理有限公司董事、总经理。</w:t>
      </w:r>
    </w:p>
    <w:p>
      <w:pPr>
        <w:spacing w:line="355" w:lineRule="auto" w:before="30"/>
        <w:ind w:left="138" w:right="1788" w:firstLine="424"/>
        <w:jc w:val="both"/>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spacing w:val="35"/>
          <w:sz w:val="21"/>
          <w:szCs w:val="21"/>
        </w:rPr>
        <w:t> </w:t>
      </w:r>
      <w:r>
        <w:rPr>
          <w:rFonts w:ascii="宋体" w:hAnsi="宋体" w:cs="宋体" w:eastAsia="宋体" w:hint="default"/>
          <w:b/>
          <w:bCs/>
          <w:spacing w:val="-4"/>
          <w:sz w:val="21"/>
          <w:szCs w:val="21"/>
        </w:rPr>
        <w:t>赵福蕊女士</w:t>
      </w:r>
      <w:r>
        <w:rPr>
          <w:rFonts w:ascii="宋体" w:hAnsi="宋体" w:cs="宋体" w:eastAsia="宋体" w:hint="default"/>
          <w:spacing w:val="-4"/>
          <w:sz w:val="21"/>
          <w:szCs w:val="21"/>
        </w:rPr>
        <w:t>，</w:t>
      </w:r>
      <w:r>
        <w:rPr>
          <w:rFonts w:ascii="宋体" w:hAnsi="宋体" w:cs="宋体" w:eastAsia="宋体" w:hint="default"/>
          <w:spacing w:val="-4"/>
          <w:sz w:val="21"/>
          <w:szCs w:val="21"/>
        </w:rPr>
        <w:t>1957</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4"/>
          <w:sz w:val="21"/>
          <w:szCs w:val="21"/>
        </w:rPr>
        <w:t>月生，中国国籍，高中学历，曾任济南市历城区物资局财务</w:t>
      </w:r>
      <w:r>
        <w:rPr>
          <w:rFonts w:ascii="宋体" w:hAnsi="宋体" w:cs="宋体" w:eastAsia="宋体" w:hint="default"/>
          <w:w w:val="100"/>
          <w:sz w:val="21"/>
          <w:szCs w:val="21"/>
        </w:rPr>
        <w:t> </w:t>
      </w:r>
      <w:r>
        <w:rPr>
          <w:rFonts w:ascii="宋体" w:hAnsi="宋体" w:cs="宋体" w:eastAsia="宋体" w:hint="default"/>
          <w:spacing w:val="-1"/>
          <w:sz w:val="21"/>
          <w:szCs w:val="21"/>
        </w:rPr>
        <w:t>科副科长、科长，分管副局长等职，现已离岗。</w:t>
      </w:r>
      <w:r>
        <w:rPr>
          <w:rFonts w:ascii="宋体" w:hAnsi="宋体" w:cs="宋体" w:eastAsia="宋体" w:hint="default"/>
          <w:spacing w:val="-1"/>
          <w:sz w:val="21"/>
          <w:szCs w:val="21"/>
        </w:rPr>
        <w:t>2009</w:t>
      </w:r>
      <w:r>
        <w:rPr>
          <w:rFonts w:ascii="宋体" w:hAnsi="宋体" w:cs="宋体" w:eastAsia="宋体" w:hint="default"/>
          <w:spacing w:val="-1"/>
          <w:sz w:val="21"/>
          <w:szCs w:val="21"/>
        </w:rPr>
        <w:t>年</w:t>
      </w:r>
      <w:r>
        <w:rPr>
          <w:rFonts w:ascii="宋体" w:hAnsi="宋体" w:cs="宋体" w:eastAsia="宋体" w:hint="default"/>
          <w:spacing w:val="-1"/>
          <w:sz w:val="21"/>
          <w:szCs w:val="21"/>
        </w:rPr>
        <w:t>8</w:t>
      </w:r>
      <w:r>
        <w:rPr>
          <w:rFonts w:ascii="宋体" w:hAnsi="宋体" w:cs="宋体" w:eastAsia="宋体" w:hint="default"/>
          <w:spacing w:val="-1"/>
          <w:sz w:val="21"/>
          <w:szCs w:val="21"/>
        </w:rPr>
        <w:t>月起任本公司董事，本届董事任职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4"/>
        <w:ind w:left="558" w:right="6189" w:firstLine="0"/>
        <w:jc w:val="left"/>
        <w:rPr>
          <w:rFonts w:ascii="宋体" w:hAnsi="宋体" w:cs="宋体" w:eastAsia="宋体" w:hint="default"/>
          <w:sz w:val="21"/>
          <w:szCs w:val="21"/>
        </w:rPr>
      </w:pPr>
      <w:r>
        <w:rPr>
          <w:rFonts w:ascii="宋体" w:hAnsi="宋体" w:cs="宋体" w:eastAsia="宋体" w:hint="default"/>
          <w:spacing w:val="-2"/>
          <w:sz w:val="21"/>
          <w:szCs w:val="21"/>
        </w:rPr>
        <w:t>股东单位任职情况：无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其他单位任职情况：无</w:t>
      </w:r>
    </w:p>
    <w:p>
      <w:pPr>
        <w:spacing w:line="355" w:lineRule="auto" w:before="32"/>
        <w:ind w:left="138" w:right="1788" w:firstLine="424"/>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92"/>
          <w:sz w:val="21"/>
          <w:szCs w:val="21"/>
        </w:rPr>
        <w:t> </w:t>
      </w:r>
      <w:r>
        <w:rPr>
          <w:rFonts w:ascii="宋体" w:hAnsi="宋体" w:cs="宋体" w:eastAsia="宋体" w:hint="default"/>
          <w:b/>
          <w:bCs/>
          <w:sz w:val="21"/>
          <w:szCs w:val="21"/>
        </w:rPr>
        <w:t>汤云为先生</w:t>
      </w:r>
      <w:r>
        <w:rPr>
          <w:rFonts w:ascii="宋体" w:hAnsi="宋体" w:cs="宋体" w:eastAsia="宋体" w:hint="default"/>
          <w:sz w:val="21"/>
          <w:szCs w:val="21"/>
        </w:rPr>
        <w:t>，</w:t>
      </w:r>
      <w:r>
        <w:rPr>
          <w:rFonts w:ascii="宋体" w:hAnsi="宋体" w:cs="宋体" w:eastAsia="宋体" w:hint="default"/>
          <w:sz w:val="21"/>
          <w:szCs w:val="21"/>
        </w:rPr>
        <w:t>1944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月生，中国国籍，博士学位，注册会计师，</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w w:val="100"/>
          <w:sz w:val="21"/>
          <w:szCs w:val="21"/>
        </w:rPr>
        <w:t> </w:t>
      </w:r>
      <w:r>
        <w:rPr>
          <w:rFonts w:ascii="宋体" w:hAnsi="宋体" w:cs="宋体" w:eastAsia="宋体" w:hint="default"/>
          <w:sz w:val="21"/>
          <w:szCs w:val="21"/>
        </w:rPr>
        <w:t>月起任本公司独立董事，本届独立董事任职期限为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3"/>
        <w:ind w:left="562"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4"/>
          <w:sz w:val="21"/>
          <w:szCs w:val="21"/>
        </w:rPr>
        <w:t>其他单位任职情况：曾任上海财经大学校长、安永大华会计师事务所合伙人，高级顾问</w:t>
      </w:r>
    </w:p>
    <w:p>
      <w:pPr>
        <w:spacing w:line="355" w:lineRule="auto" w:before="30"/>
        <w:ind w:left="138" w:right="1700" w:firstLine="0"/>
        <w:jc w:val="both"/>
        <w:rPr>
          <w:rFonts w:ascii="宋体" w:hAnsi="宋体" w:cs="宋体" w:eastAsia="宋体" w:hint="default"/>
          <w:sz w:val="21"/>
          <w:szCs w:val="21"/>
        </w:rPr>
      </w:pPr>
      <w:r>
        <w:rPr>
          <w:rFonts w:ascii="宋体" w:hAnsi="宋体" w:cs="宋体" w:eastAsia="宋体" w:hint="default"/>
          <w:spacing w:val="-2"/>
          <w:sz w:val="21"/>
          <w:szCs w:val="21"/>
        </w:rPr>
        <w:t>等职。现任上海市会计学会会长，中国会计标准委员会委员，财政部审计准则委员会委员，</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中国平安保险（集团）股份有限公司独立董事，江苏中南建设集团股份有限公司独立董事。</w:t>
      </w:r>
    </w:p>
    <w:p>
      <w:pPr>
        <w:spacing w:line="357" w:lineRule="auto" w:before="32"/>
        <w:ind w:left="138" w:right="1789" w:firstLine="424"/>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2"/>
          <w:sz w:val="21"/>
          <w:szCs w:val="21"/>
        </w:rPr>
        <w:t> </w:t>
      </w:r>
      <w:r>
        <w:rPr>
          <w:rFonts w:ascii="宋体" w:hAnsi="宋体" w:cs="宋体" w:eastAsia="宋体" w:hint="default"/>
          <w:b/>
          <w:bCs/>
          <w:sz w:val="21"/>
          <w:szCs w:val="21"/>
        </w:rPr>
        <w:t>刘素英</w:t>
      </w:r>
      <w:r>
        <w:rPr>
          <w:rFonts w:ascii="宋体" w:hAnsi="宋体" w:cs="宋体" w:eastAsia="宋体" w:hint="default"/>
          <w:sz w:val="21"/>
          <w:szCs w:val="21"/>
        </w:rPr>
        <w:t>，</w:t>
      </w:r>
      <w:r>
        <w:rPr>
          <w:rFonts w:ascii="宋体" w:hAnsi="宋体" w:cs="宋体" w:eastAsia="宋体" w:hint="default"/>
          <w:sz w:val="21"/>
          <w:szCs w:val="21"/>
        </w:rPr>
        <w:t>1945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月生，中国国籍，本科学历，注册会计师，曾任国家审计</w:t>
      </w:r>
      <w:r>
        <w:rPr>
          <w:rFonts w:ascii="宋体" w:hAnsi="宋体" w:cs="宋体" w:eastAsia="宋体" w:hint="default"/>
          <w:w w:val="100"/>
          <w:sz w:val="21"/>
          <w:szCs w:val="21"/>
        </w:rPr>
        <w:t> </w:t>
      </w:r>
      <w:r>
        <w:rPr>
          <w:rFonts w:ascii="宋体" w:hAnsi="宋体" w:cs="宋体" w:eastAsia="宋体" w:hint="default"/>
          <w:spacing w:val="-4"/>
          <w:sz w:val="21"/>
          <w:szCs w:val="21"/>
        </w:rPr>
        <w:t>署行政事业审计司副处长、处长、农林文教司处长、行政国防司处长、新闻通讯审计局局长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助理、副局级审计员，</w:t>
      </w:r>
      <w:r>
        <w:rPr>
          <w:rFonts w:ascii="宋体" w:hAnsi="宋体" w:cs="宋体" w:eastAsia="宋体" w:hint="default"/>
          <w:spacing w:val="-4"/>
          <w:sz w:val="21"/>
          <w:szCs w:val="21"/>
        </w:rPr>
        <w:t>2004</w:t>
      </w:r>
      <w:r>
        <w:rPr>
          <w:rFonts w:ascii="宋体" w:hAnsi="宋体" w:cs="宋体" w:eastAsia="宋体" w:hint="default"/>
          <w:spacing w:val="-4"/>
          <w:sz w:val="21"/>
          <w:szCs w:val="21"/>
        </w:rPr>
        <w:t>年</w:t>
      </w:r>
      <w:r>
        <w:rPr>
          <w:rFonts w:ascii="宋体" w:hAnsi="宋体" w:cs="宋体" w:eastAsia="宋体" w:hint="default"/>
          <w:spacing w:val="-4"/>
          <w:sz w:val="21"/>
          <w:szCs w:val="21"/>
        </w:rPr>
        <w:t>7</w:t>
      </w:r>
      <w:r>
        <w:rPr>
          <w:rFonts w:ascii="宋体" w:hAnsi="宋体" w:cs="宋体" w:eastAsia="宋体" w:hint="default"/>
          <w:spacing w:val="-4"/>
          <w:sz w:val="21"/>
          <w:szCs w:val="21"/>
        </w:rPr>
        <w:t>月退休。</w:t>
      </w:r>
      <w:r>
        <w:rPr>
          <w:rFonts w:ascii="宋体" w:hAnsi="宋体" w:cs="宋体" w:eastAsia="宋体" w:hint="default"/>
          <w:spacing w:val="-4"/>
          <w:sz w:val="21"/>
          <w:szCs w:val="21"/>
        </w:rPr>
        <w:t>2009</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4"/>
          <w:sz w:val="21"/>
          <w:szCs w:val="21"/>
        </w:rPr>
        <w:t>月起任本公司独立董事，本届独立董事任职</w:t>
      </w:r>
    </w:p>
    <w:p>
      <w:pPr>
        <w:spacing w:after="0" w:line="357" w:lineRule="auto"/>
        <w:jc w:val="both"/>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558" w:right="6189" w:hanging="42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24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1"/>
          <w:sz w:val="21"/>
          <w:szCs w:val="21"/>
        </w:rPr>
        <w:t>期限为</w:t>
      </w:r>
      <w:r>
        <w:rPr>
          <w:rFonts w:ascii="宋体" w:hAnsi="宋体" w:cs="宋体" w:eastAsia="宋体" w:hint="default"/>
          <w:spacing w:val="-1"/>
          <w:sz w:val="21"/>
          <w:szCs w:val="21"/>
        </w:rPr>
        <w:t>2009</w:t>
      </w:r>
      <w:r>
        <w:rPr>
          <w:rFonts w:ascii="宋体" w:hAnsi="宋体" w:cs="宋体" w:eastAsia="宋体" w:hint="default"/>
          <w:spacing w:val="-1"/>
          <w:sz w:val="21"/>
          <w:szCs w:val="21"/>
        </w:rPr>
        <w:t>年</w:t>
      </w:r>
      <w:r>
        <w:rPr>
          <w:rFonts w:ascii="宋体" w:hAnsi="宋体" w:cs="宋体" w:eastAsia="宋体" w:hint="default"/>
          <w:spacing w:val="-1"/>
          <w:sz w:val="21"/>
          <w:szCs w:val="21"/>
        </w:rPr>
        <w:t>8</w:t>
      </w:r>
      <w:r>
        <w:rPr>
          <w:rFonts w:ascii="宋体" w:hAnsi="宋体" w:cs="宋体" w:eastAsia="宋体" w:hint="default"/>
          <w:spacing w:val="-1"/>
          <w:sz w:val="21"/>
          <w:szCs w:val="21"/>
        </w:rPr>
        <w:t>月</w:t>
      </w:r>
      <w:r>
        <w:rPr>
          <w:rFonts w:ascii="宋体" w:hAnsi="宋体" w:cs="宋体" w:eastAsia="宋体" w:hint="default"/>
          <w:spacing w:val="-1"/>
          <w:sz w:val="21"/>
          <w:szCs w:val="21"/>
        </w:rPr>
        <w:t>20</w:t>
      </w:r>
      <w:r>
        <w:rPr>
          <w:rFonts w:ascii="宋体" w:hAnsi="宋体" w:cs="宋体" w:eastAsia="宋体" w:hint="default"/>
          <w:spacing w:val="-1"/>
          <w:sz w:val="21"/>
          <w:szCs w:val="21"/>
        </w:rPr>
        <w:t>日至</w:t>
      </w:r>
      <w:r>
        <w:rPr>
          <w:rFonts w:ascii="宋体" w:hAnsi="宋体" w:cs="宋体" w:eastAsia="宋体" w:hint="default"/>
          <w:spacing w:val="-1"/>
          <w:sz w:val="21"/>
          <w:szCs w:val="21"/>
        </w:rPr>
        <w:t>2012</w:t>
      </w:r>
      <w:r>
        <w:rPr>
          <w:rFonts w:ascii="宋体" w:hAnsi="宋体" w:cs="宋体" w:eastAsia="宋体" w:hint="default"/>
          <w:spacing w:val="-1"/>
          <w:sz w:val="21"/>
          <w:szCs w:val="21"/>
        </w:rPr>
        <w:t>年</w:t>
      </w:r>
      <w:r>
        <w:rPr>
          <w:rFonts w:ascii="宋体" w:hAnsi="宋体" w:cs="宋体" w:eastAsia="宋体" w:hint="default"/>
          <w:spacing w:val="-1"/>
          <w:sz w:val="21"/>
          <w:szCs w:val="21"/>
        </w:rPr>
        <w:t>8</w:t>
      </w:r>
      <w:r>
        <w:rPr>
          <w:rFonts w:ascii="宋体" w:hAnsi="宋体" w:cs="宋体" w:eastAsia="宋体" w:hint="default"/>
          <w:spacing w:val="-1"/>
          <w:sz w:val="21"/>
          <w:szCs w:val="21"/>
        </w:rPr>
        <w:t>月</w:t>
      </w:r>
      <w:r>
        <w:rPr>
          <w:rFonts w:ascii="宋体" w:hAnsi="宋体" w:cs="宋体" w:eastAsia="宋体" w:hint="default"/>
          <w:spacing w:val="-1"/>
          <w:sz w:val="21"/>
          <w:szCs w:val="21"/>
        </w:rPr>
        <w:t>19</w:t>
      </w:r>
      <w:r>
        <w:rPr>
          <w:rFonts w:ascii="宋体" w:hAnsi="宋体" w:cs="宋体" w:eastAsia="宋体" w:hint="default"/>
          <w:spacing w:val="-1"/>
          <w:sz w:val="21"/>
          <w:szCs w:val="21"/>
        </w:rPr>
        <w:t>日。</w:t>
      </w:r>
      <w:r>
        <w:rPr>
          <w:rFonts w:ascii="宋体" w:hAnsi="宋体" w:cs="宋体" w:eastAsia="宋体" w:hint="default"/>
          <w:spacing w:val="-83"/>
          <w:sz w:val="21"/>
          <w:szCs w:val="21"/>
        </w:rPr>
        <w:t> </w:t>
      </w:r>
      <w:r>
        <w:rPr>
          <w:rFonts w:ascii="宋体" w:hAnsi="宋体" w:cs="宋体" w:eastAsia="宋体" w:hint="default"/>
          <w:sz w:val="21"/>
          <w:szCs w:val="21"/>
        </w:rPr>
        <w:t>股东单位任职情况：无</w:t>
      </w:r>
    </w:p>
    <w:p>
      <w:pPr>
        <w:spacing w:before="30"/>
        <w:ind w:left="562" w:right="0" w:firstLine="0"/>
        <w:jc w:val="left"/>
        <w:rPr>
          <w:rFonts w:ascii="宋体" w:hAnsi="宋体" w:cs="宋体" w:eastAsia="宋体" w:hint="default"/>
          <w:sz w:val="21"/>
          <w:szCs w:val="21"/>
        </w:rPr>
      </w:pPr>
      <w:r>
        <w:rPr>
          <w:rFonts w:ascii="宋体" w:hAnsi="宋体" w:cs="宋体" w:eastAsia="宋体" w:hint="default"/>
          <w:sz w:val="21"/>
          <w:szCs w:val="21"/>
        </w:rPr>
        <w:t>其他单位任职情况：现任中视传媒股份有限公司独立董事。</w:t>
      </w:r>
    </w:p>
    <w:p>
      <w:pPr>
        <w:spacing w:line="357" w:lineRule="auto" w:before="133"/>
        <w:ind w:left="138" w:right="1788" w:firstLine="424"/>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59"/>
          <w:sz w:val="21"/>
          <w:szCs w:val="21"/>
        </w:rPr>
        <w:t> </w:t>
      </w:r>
      <w:r>
        <w:rPr>
          <w:rFonts w:ascii="宋体" w:hAnsi="宋体" w:cs="宋体" w:eastAsia="宋体" w:hint="default"/>
          <w:b/>
          <w:bCs/>
          <w:spacing w:val="-5"/>
          <w:sz w:val="21"/>
          <w:szCs w:val="21"/>
        </w:rPr>
        <w:t>郑钢先生</w:t>
      </w:r>
      <w:r>
        <w:rPr>
          <w:rFonts w:ascii="宋体" w:hAnsi="宋体" w:cs="宋体" w:eastAsia="宋体" w:hint="default"/>
          <w:spacing w:val="-5"/>
          <w:sz w:val="21"/>
          <w:szCs w:val="21"/>
        </w:rPr>
        <w:t>，</w:t>
      </w:r>
      <w:r>
        <w:rPr>
          <w:rFonts w:ascii="宋体" w:hAnsi="宋体" w:cs="宋体" w:eastAsia="宋体" w:hint="default"/>
          <w:spacing w:val="-5"/>
          <w:sz w:val="21"/>
          <w:szCs w:val="21"/>
        </w:rPr>
        <w:t>1946</w:t>
      </w:r>
      <w:r>
        <w:rPr>
          <w:rFonts w:ascii="宋体" w:hAnsi="宋体" w:cs="宋体" w:eastAsia="宋体" w:hint="default"/>
          <w:spacing w:val="-5"/>
          <w:sz w:val="21"/>
          <w:szCs w:val="21"/>
        </w:rPr>
        <w:t>年</w:t>
      </w:r>
      <w:r>
        <w:rPr>
          <w:rFonts w:ascii="宋体" w:hAnsi="宋体" w:cs="宋体" w:eastAsia="宋体" w:hint="default"/>
          <w:spacing w:val="-5"/>
          <w:sz w:val="21"/>
          <w:szCs w:val="21"/>
        </w:rPr>
        <w:t>7</w:t>
      </w:r>
      <w:r>
        <w:rPr>
          <w:rFonts w:ascii="宋体" w:hAnsi="宋体" w:cs="宋体" w:eastAsia="宋体" w:hint="default"/>
          <w:spacing w:val="-5"/>
          <w:sz w:val="21"/>
          <w:szCs w:val="21"/>
        </w:rPr>
        <w:t>月生，中国国籍，本科学历。曾任山东省检察院经济检察</w:t>
      </w:r>
      <w:r>
        <w:rPr>
          <w:rFonts w:ascii="宋体" w:hAnsi="宋体" w:cs="宋体" w:eastAsia="宋体" w:hint="default"/>
          <w:w w:val="100"/>
          <w:sz w:val="21"/>
          <w:szCs w:val="21"/>
        </w:rPr>
        <w:t> </w:t>
      </w:r>
      <w:r>
        <w:rPr>
          <w:rFonts w:ascii="宋体" w:hAnsi="宋体" w:cs="宋体" w:eastAsia="宋体" w:hint="default"/>
          <w:spacing w:val="-4"/>
          <w:sz w:val="21"/>
          <w:szCs w:val="21"/>
        </w:rPr>
        <w:t>处处长、反贪局局长、副检察长等职，</w:t>
      </w:r>
      <w:r>
        <w:rPr>
          <w:rFonts w:ascii="宋体" w:hAnsi="宋体" w:cs="宋体" w:eastAsia="宋体" w:hint="default"/>
          <w:spacing w:val="-4"/>
          <w:sz w:val="21"/>
          <w:szCs w:val="21"/>
        </w:rPr>
        <w:t>2005</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月退休。</w:t>
      </w:r>
      <w:r>
        <w:rPr>
          <w:rFonts w:ascii="宋体" w:hAnsi="宋体" w:cs="宋体" w:eastAsia="宋体" w:hint="default"/>
          <w:spacing w:val="-4"/>
          <w:sz w:val="21"/>
          <w:szCs w:val="21"/>
        </w:rPr>
        <w:t>2009</w:t>
      </w:r>
      <w:r>
        <w:rPr>
          <w:rFonts w:ascii="宋体" w:hAnsi="宋体" w:cs="宋体" w:eastAsia="宋体" w:hint="default"/>
          <w:spacing w:val="-4"/>
          <w:sz w:val="21"/>
          <w:szCs w:val="21"/>
        </w:rPr>
        <w:t>年</w:t>
      </w:r>
      <w:r>
        <w:rPr>
          <w:rFonts w:ascii="宋体" w:hAnsi="宋体" w:cs="宋体" w:eastAsia="宋体" w:hint="default"/>
          <w:spacing w:val="-4"/>
          <w:sz w:val="21"/>
          <w:szCs w:val="21"/>
        </w:rPr>
        <w:t>8</w:t>
      </w:r>
      <w:r>
        <w:rPr>
          <w:rFonts w:ascii="宋体" w:hAnsi="宋体" w:cs="宋体" w:eastAsia="宋体" w:hint="default"/>
          <w:spacing w:val="-4"/>
          <w:sz w:val="21"/>
          <w:szCs w:val="21"/>
        </w:rPr>
        <w:t>月起任本公司独立董事，本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届独立董事任职期限为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62"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4"/>
          <w:sz w:val="21"/>
          <w:szCs w:val="21"/>
        </w:rPr>
        <w:t>其他单位任职情况：山东省防伪行业协会名誉理事长、山东省保护企业和企业家权益联</w:t>
      </w:r>
    </w:p>
    <w:p>
      <w:pPr>
        <w:spacing w:line="355" w:lineRule="auto" w:before="32"/>
        <w:ind w:left="138" w:right="1789" w:firstLine="0"/>
        <w:jc w:val="left"/>
        <w:rPr>
          <w:rFonts w:ascii="宋体" w:hAnsi="宋体" w:cs="宋体" w:eastAsia="宋体" w:hint="default"/>
          <w:sz w:val="21"/>
          <w:szCs w:val="21"/>
        </w:rPr>
      </w:pPr>
      <w:r>
        <w:rPr>
          <w:rFonts w:ascii="宋体" w:hAnsi="宋体" w:cs="宋体" w:eastAsia="宋体" w:hint="default"/>
          <w:spacing w:val="-4"/>
          <w:sz w:val="21"/>
          <w:szCs w:val="21"/>
        </w:rPr>
        <w:t>合会名誉会长、山东省企业联合会常务理事、山东省企业家协会常务理事、山东省质量协会</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常务理事等职。</w:t>
      </w:r>
    </w:p>
    <w:p>
      <w:pPr>
        <w:spacing w:before="155"/>
        <w:ind w:left="6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监事简介</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5" w:lineRule="auto" w:before="0"/>
        <w:ind w:left="138" w:right="1788" w:firstLine="424"/>
        <w:jc w:val="both"/>
        <w:rPr>
          <w:rFonts w:ascii="宋体" w:hAnsi="宋体" w:cs="宋体" w:eastAsia="宋体" w:hint="default"/>
          <w:sz w:val="21"/>
          <w:szCs w:val="21"/>
        </w:rPr>
      </w:pPr>
      <w:r>
        <w:rPr>
          <w:rFonts w:ascii="宋体" w:hAnsi="宋体" w:cs="宋体" w:eastAsia="宋体" w:hint="default"/>
          <w:b/>
          <w:bCs/>
          <w:sz w:val="21"/>
          <w:szCs w:val="21"/>
        </w:rPr>
        <w:t>监事会主席</w:t>
      </w:r>
      <w:r>
        <w:rPr>
          <w:rFonts w:ascii="宋体" w:hAnsi="宋体" w:cs="宋体" w:eastAsia="宋体" w:hint="default"/>
          <w:b/>
          <w:bCs/>
          <w:spacing w:val="93"/>
          <w:sz w:val="21"/>
          <w:szCs w:val="21"/>
        </w:rPr>
        <w:t> </w:t>
      </w:r>
      <w:r>
        <w:rPr>
          <w:rFonts w:ascii="宋体" w:hAnsi="宋体" w:cs="宋体" w:eastAsia="宋体" w:hint="default"/>
          <w:b/>
          <w:bCs/>
          <w:sz w:val="21"/>
          <w:szCs w:val="21"/>
        </w:rPr>
        <w:t>孙敬女士</w:t>
      </w:r>
      <w:r>
        <w:rPr>
          <w:rFonts w:ascii="宋体" w:hAnsi="宋体" w:cs="宋体" w:eastAsia="宋体" w:hint="default"/>
          <w:sz w:val="21"/>
          <w:szCs w:val="21"/>
        </w:rPr>
        <w:t>，</w:t>
      </w:r>
      <w:r>
        <w:rPr>
          <w:rFonts w:ascii="宋体" w:hAnsi="宋体" w:cs="宋体" w:eastAsia="宋体" w:hint="default"/>
          <w:sz w:val="21"/>
          <w:szCs w:val="21"/>
        </w:rPr>
        <w:t>1962</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月生，中国国籍，大专学历，助理统计师。</w:t>
      </w:r>
      <w:r>
        <w:rPr>
          <w:rFonts w:ascii="宋体" w:hAnsi="宋体" w:cs="宋体" w:eastAsia="宋体" w:hint="default"/>
          <w:sz w:val="21"/>
          <w:szCs w:val="21"/>
        </w:rPr>
        <w:t>2003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月起任本公司监事，本届监事任职期限为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562" w:right="6189" w:hanging="5"/>
        <w:jc w:val="left"/>
        <w:rPr>
          <w:rFonts w:ascii="宋体" w:hAnsi="宋体" w:cs="宋体" w:eastAsia="宋体" w:hint="default"/>
          <w:sz w:val="21"/>
          <w:szCs w:val="21"/>
        </w:rPr>
      </w:pPr>
      <w:r>
        <w:rPr>
          <w:rFonts w:ascii="宋体" w:hAnsi="宋体" w:cs="宋体" w:eastAsia="宋体" w:hint="default"/>
          <w:spacing w:val="-2"/>
          <w:sz w:val="21"/>
          <w:szCs w:val="21"/>
        </w:rPr>
        <w:t>股东单位任职情况：无。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其他单位任职情况：无</w:t>
      </w:r>
    </w:p>
    <w:p>
      <w:pPr>
        <w:spacing w:line="355" w:lineRule="auto" w:before="34"/>
        <w:ind w:left="138" w:right="1788" w:firstLine="424"/>
        <w:jc w:val="both"/>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48"/>
          <w:sz w:val="21"/>
          <w:szCs w:val="21"/>
        </w:rPr>
        <w:t> </w:t>
      </w:r>
      <w:r>
        <w:rPr>
          <w:rFonts w:ascii="宋体" w:hAnsi="宋体" w:cs="宋体" w:eastAsia="宋体" w:hint="default"/>
          <w:b/>
          <w:bCs/>
          <w:spacing w:val="-4"/>
          <w:sz w:val="21"/>
          <w:szCs w:val="21"/>
        </w:rPr>
        <w:t>李保政先生</w:t>
      </w:r>
      <w:r>
        <w:rPr>
          <w:rFonts w:ascii="宋体" w:hAnsi="宋体" w:cs="宋体" w:eastAsia="宋体" w:hint="default"/>
          <w:spacing w:val="-4"/>
          <w:sz w:val="21"/>
          <w:szCs w:val="21"/>
        </w:rPr>
        <w:t>，</w:t>
      </w:r>
      <w:r>
        <w:rPr>
          <w:rFonts w:ascii="宋体" w:hAnsi="宋体" w:cs="宋体" w:eastAsia="宋体" w:hint="default"/>
          <w:spacing w:val="-4"/>
          <w:sz w:val="21"/>
          <w:szCs w:val="21"/>
        </w:rPr>
        <w:t>1975</w:t>
      </w:r>
      <w:r>
        <w:rPr>
          <w:rFonts w:ascii="宋体" w:hAnsi="宋体" w:cs="宋体" w:eastAsia="宋体" w:hint="default"/>
          <w:spacing w:val="-4"/>
          <w:sz w:val="21"/>
          <w:szCs w:val="21"/>
        </w:rPr>
        <w:t>年</w:t>
      </w:r>
      <w:r>
        <w:rPr>
          <w:rFonts w:ascii="宋体" w:hAnsi="宋体" w:cs="宋体" w:eastAsia="宋体" w:hint="default"/>
          <w:spacing w:val="-4"/>
          <w:sz w:val="21"/>
          <w:szCs w:val="21"/>
        </w:rPr>
        <w:t>6</w:t>
      </w:r>
      <w:r>
        <w:rPr>
          <w:rFonts w:ascii="宋体" w:hAnsi="宋体" w:cs="宋体" w:eastAsia="宋体" w:hint="default"/>
          <w:spacing w:val="-4"/>
          <w:sz w:val="21"/>
          <w:szCs w:val="21"/>
        </w:rPr>
        <w:t>月生，中国国籍，大学学历，高级会计师。</w:t>
      </w:r>
      <w:r>
        <w:rPr>
          <w:rFonts w:ascii="宋体" w:hAnsi="宋体" w:cs="宋体" w:eastAsia="宋体" w:hint="default"/>
          <w:spacing w:val="-4"/>
          <w:sz w:val="21"/>
          <w:szCs w:val="21"/>
        </w:rPr>
        <w:t>2002</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月起任</w:t>
      </w:r>
      <w:r>
        <w:rPr>
          <w:rFonts w:ascii="宋体" w:hAnsi="宋体" w:cs="宋体" w:eastAsia="宋体" w:hint="default"/>
          <w:w w:val="100"/>
          <w:sz w:val="21"/>
          <w:szCs w:val="21"/>
        </w:rPr>
        <w:t> </w:t>
      </w:r>
      <w:r>
        <w:rPr>
          <w:rFonts w:ascii="宋体" w:hAnsi="宋体" w:cs="宋体" w:eastAsia="宋体" w:hint="default"/>
          <w:sz w:val="21"/>
          <w:szCs w:val="21"/>
        </w:rPr>
        <w:t>本公司监事。本届监事任职期限为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2"/>
        <w:ind w:left="562" w:right="4633"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2"/>
          <w:sz w:val="21"/>
          <w:szCs w:val="21"/>
        </w:rPr>
        <w:t>其他单位任职情况：浪潮集团有限公司财金中心经理</w:t>
      </w:r>
      <w:r>
        <w:rPr>
          <w:rFonts w:ascii="宋体" w:hAnsi="宋体" w:cs="宋体" w:eastAsia="宋体" w:hint="default"/>
          <w:sz w:val="21"/>
          <w:szCs w:val="21"/>
        </w:rPr>
      </w:r>
    </w:p>
    <w:p>
      <w:pPr>
        <w:spacing w:line="355" w:lineRule="auto" w:before="32"/>
        <w:ind w:left="138" w:right="1789" w:firstLine="424"/>
        <w:jc w:val="both"/>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1"/>
          <w:sz w:val="21"/>
          <w:szCs w:val="21"/>
        </w:rPr>
        <w:t> </w:t>
      </w:r>
      <w:r>
        <w:rPr>
          <w:rFonts w:ascii="宋体" w:hAnsi="宋体" w:cs="宋体" w:eastAsia="宋体" w:hint="default"/>
          <w:b/>
          <w:bCs/>
          <w:sz w:val="21"/>
          <w:szCs w:val="21"/>
        </w:rPr>
        <w:t>王景涛先生</w:t>
      </w:r>
      <w:r>
        <w:rPr>
          <w:rFonts w:ascii="宋体" w:hAnsi="宋体" w:cs="宋体" w:eastAsia="宋体" w:hint="default"/>
          <w:sz w:val="21"/>
          <w:szCs w:val="21"/>
        </w:rPr>
        <w:t>，</w:t>
      </w:r>
      <w:r>
        <w:rPr>
          <w:rFonts w:ascii="宋体" w:hAnsi="宋体" w:cs="宋体" w:eastAsia="宋体" w:hint="default"/>
          <w:sz w:val="21"/>
          <w:szCs w:val="21"/>
        </w:rPr>
        <w:t>1963</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月生，中国国籍，大学学历。</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月起任本公司监事。</w:t>
      </w:r>
      <w:r>
        <w:rPr>
          <w:rFonts w:ascii="宋体" w:hAnsi="宋体" w:cs="宋体" w:eastAsia="宋体" w:hint="default"/>
          <w:w w:val="100"/>
          <w:sz w:val="21"/>
          <w:szCs w:val="21"/>
        </w:rPr>
        <w:t> </w:t>
      </w:r>
      <w:r>
        <w:rPr>
          <w:rFonts w:ascii="宋体" w:hAnsi="宋体" w:cs="宋体" w:eastAsia="宋体" w:hint="default"/>
          <w:sz w:val="21"/>
          <w:szCs w:val="21"/>
        </w:rPr>
        <w:t>本届监事任职期限为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562"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4"/>
          <w:sz w:val="21"/>
          <w:szCs w:val="21"/>
        </w:rPr>
        <w:t>其他单位任职情况：曾任济南市历城区经济贸易局综合办公室主任科员、主任。济南市</w:t>
      </w:r>
    </w:p>
    <w:p>
      <w:pPr>
        <w:spacing w:line="463" w:lineRule="auto" w:before="32"/>
        <w:ind w:left="618" w:right="5443" w:hanging="480"/>
        <w:jc w:val="left"/>
        <w:rPr>
          <w:rFonts w:ascii="宋体" w:hAnsi="宋体" w:cs="宋体" w:eastAsia="宋体" w:hint="default"/>
          <w:sz w:val="21"/>
          <w:szCs w:val="21"/>
        </w:rPr>
      </w:pPr>
      <w:r>
        <w:rPr>
          <w:rFonts w:ascii="宋体" w:hAnsi="宋体" w:cs="宋体" w:eastAsia="宋体" w:hint="default"/>
          <w:spacing w:val="-2"/>
          <w:sz w:val="21"/>
          <w:szCs w:val="21"/>
        </w:rPr>
        <w:t>历城区经济贸易局民营经济科科长（非公务员）</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0"/>
          <w:sz w:val="21"/>
          <w:szCs w:val="21"/>
        </w:rPr>
        <w:t> </w:t>
      </w:r>
      <w:r>
        <w:rPr>
          <w:rFonts w:ascii="宋体" w:hAnsi="宋体" w:cs="宋体" w:eastAsia="宋体" w:hint="default"/>
          <w:b/>
          <w:bCs/>
          <w:sz w:val="21"/>
          <w:szCs w:val="21"/>
        </w:rPr>
        <w:t>高级管理人员简介</w:t>
      </w:r>
      <w:r>
        <w:rPr>
          <w:rFonts w:ascii="宋体" w:hAnsi="宋体" w:cs="宋体" w:eastAsia="宋体" w:hint="default"/>
          <w:sz w:val="21"/>
          <w:szCs w:val="21"/>
        </w:rPr>
      </w:r>
    </w:p>
    <w:p>
      <w:pPr>
        <w:spacing w:line="357" w:lineRule="auto" w:before="58"/>
        <w:ind w:left="138" w:right="1796" w:firstLine="419"/>
        <w:jc w:val="both"/>
        <w:rPr>
          <w:rFonts w:ascii="宋体" w:hAnsi="宋体" w:cs="宋体" w:eastAsia="宋体" w:hint="default"/>
          <w:sz w:val="21"/>
          <w:szCs w:val="21"/>
        </w:rPr>
      </w:pPr>
      <w:r>
        <w:rPr>
          <w:rFonts w:ascii="宋体" w:hAnsi="宋体" w:cs="宋体" w:eastAsia="宋体" w:hint="default"/>
          <w:b/>
          <w:bCs/>
          <w:sz w:val="21"/>
          <w:szCs w:val="21"/>
        </w:rPr>
        <w:t>常务副总经理</w:t>
      </w:r>
      <w:r>
        <w:rPr>
          <w:rFonts w:ascii="宋体" w:hAnsi="宋体" w:cs="宋体" w:eastAsia="宋体" w:hint="default"/>
          <w:b/>
          <w:bCs/>
          <w:spacing w:val="-4"/>
          <w:sz w:val="21"/>
          <w:szCs w:val="21"/>
        </w:rPr>
        <w:t> </w:t>
      </w:r>
      <w:r>
        <w:rPr>
          <w:rFonts w:ascii="宋体" w:hAnsi="宋体" w:cs="宋体" w:eastAsia="宋体" w:hint="default"/>
          <w:b/>
          <w:bCs/>
          <w:sz w:val="21"/>
          <w:szCs w:val="21"/>
        </w:rPr>
        <w:t>唐国奇先生</w:t>
      </w:r>
      <w:r>
        <w:rPr>
          <w:rFonts w:ascii="宋体" w:hAnsi="宋体" w:cs="宋体" w:eastAsia="宋体" w:hint="default"/>
          <w:sz w:val="21"/>
          <w:szCs w:val="21"/>
        </w:rPr>
        <w:t>，</w:t>
      </w:r>
      <w:r>
        <w:rPr>
          <w:rFonts w:ascii="宋体" w:hAnsi="宋体" w:cs="宋体" w:eastAsia="宋体" w:hint="default"/>
          <w:sz w:val="21"/>
          <w:szCs w:val="21"/>
        </w:rPr>
        <w:t>1968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月生，中国国籍，硕士学位，经济师。</w:t>
      </w:r>
      <w:r>
        <w:rPr>
          <w:rFonts w:ascii="宋体" w:hAnsi="宋体" w:cs="宋体" w:eastAsia="宋体" w:hint="default"/>
          <w:sz w:val="21"/>
          <w:szCs w:val="21"/>
        </w:rPr>
        <w:t>2002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pacing w:val="-3"/>
          <w:w w:val="100"/>
          <w:sz w:val="21"/>
          <w:szCs w:val="21"/>
        </w:rPr>
        <w:t> </w:t>
      </w:r>
      <w:r>
        <w:rPr>
          <w:rFonts w:ascii="宋体" w:hAnsi="宋体" w:cs="宋体" w:eastAsia="宋体" w:hint="default"/>
          <w:sz w:val="21"/>
          <w:szCs w:val="21"/>
        </w:rPr>
        <w:t>月起任本公司副总经理、技术负责人。本届任职期限为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7"/>
          <w:w w:val="100"/>
          <w:sz w:val="21"/>
          <w:szCs w:val="21"/>
        </w:rPr>
        <w:t>其他单位任职情况：郑州东港安全印刷有限公司董事，上海东港安全印刷有限公司董事，</w:t>
      </w:r>
    </w:p>
    <w:p>
      <w:pPr>
        <w:spacing w:before="34"/>
        <w:ind w:left="138" w:right="0" w:firstLine="0"/>
        <w:jc w:val="left"/>
        <w:rPr>
          <w:rFonts w:ascii="宋体" w:hAnsi="宋体" w:cs="宋体" w:eastAsia="宋体" w:hint="default"/>
          <w:sz w:val="21"/>
          <w:szCs w:val="21"/>
        </w:rPr>
      </w:pPr>
      <w:r>
        <w:rPr>
          <w:rFonts w:ascii="宋体" w:hAnsi="宋体" w:cs="宋体" w:eastAsia="宋体" w:hint="default"/>
          <w:sz w:val="21"/>
          <w:szCs w:val="21"/>
        </w:rPr>
        <w:t>上海东港数据处理有限公司董事。</w:t>
      </w:r>
    </w:p>
    <w:p>
      <w:pPr>
        <w:spacing w:line="355" w:lineRule="auto" w:before="133"/>
        <w:ind w:left="138" w:right="1789" w:firstLine="424"/>
        <w:jc w:val="both"/>
        <w:rPr>
          <w:rFonts w:ascii="宋体" w:hAnsi="宋体" w:cs="宋体" w:eastAsia="宋体" w:hint="default"/>
          <w:sz w:val="21"/>
          <w:szCs w:val="21"/>
        </w:rPr>
      </w:pPr>
      <w:r>
        <w:rPr>
          <w:rFonts w:ascii="宋体" w:hAnsi="宋体" w:cs="宋体" w:eastAsia="宋体" w:hint="default"/>
          <w:b/>
          <w:bCs/>
          <w:sz w:val="21"/>
          <w:szCs w:val="21"/>
        </w:rPr>
        <w:t>副总经理 朱震先生</w:t>
      </w:r>
      <w:r>
        <w:rPr>
          <w:rFonts w:ascii="宋体" w:hAnsi="宋体" w:cs="宋体" w:eastAsia="宋体" w:hint="default"/>
          <w:sz w:val="21"/>
          <w:szCs w:val="21"/>
        </w:rPr>
        <w:t>，</w:t>
      </w:r>
      <w:r>
        <w:rPr>
          <w:rFonts w:ascii="宋体" w:hAnsi="宋体" w:cs="宋体" w:eastAsia="宋体" w:hint="default"/>
          <w:sz w:val="21"/>
          <w:szCs w:val="21"/>
        </w:rPr>
        <w:t>1967</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月生，中国国籍，大专学历。</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月起任本公司副总</w:t>
      </w:r>
      <w:r>
        <w:rPr>
          <w:rFonts w:ascii="宋体" w:hAnsi="宋体" w:cs="宋体" w:eastAsia="宋体" w:hint="default"/>
          <w:w w:val="100"/>
          <w:sz w:val="21"/>
          <w:szCs w:val="21"/>
        </w:rPr>
        <w:t> </w:t>
      </w:r>
      <w:r>
        <w:rPr>
          <w:rFonts w:ascii="宋体" w:hAnsi="宋体" w:cs="宋体" w:eastAsia="宋体" w:hint="default"/>
          <w:sz w:val="21"/>
          <w:szCs w:val="21"/>
        </w:rPr>
        <w:t>经理兼销售部经理。本届任职期限为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before="17"/>
        <w:ind w:left="762" w:right="1783"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22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其他单位任职情况：广州东港安全印刷有限公司董事。</w:t>
      </w:r>
    </w:p>
    <w:p>
      <w:pPr>
        <w:spacing w:line="355" w:lineRule="auto" w:before="136"/>
        <w:ind w:left="338" w:right="1783" w:firstLine="424"/>
        <w:jc w:val="left"/>
        <w:rPr>
          <w:rFonts w:ascii="宋体" w:hAnsi="宋体" w:cs="宋体" w:eastAsia="宋体" w:hint="default"/>
          <w:sz w:val="21"/>
          <w:szCs w:val="21"/>
        </w:rPr>
      </w:pPr>
      <w:r>
        <w:rPr>
          <w:rFonts w:ascii="宋体" w:hAnsi="宋体" w:cs="宋体" w:eastAsia="宋体" w:hint="default"/>
          <w:b/>
          <w:bCs/>
          <w:sz w:val="21"/>
          <w:szCs w:val="21"/>
        </w:rPr>
        <w:t>副总经理</w:t>
      </w:r>
      <w:r>
        <w:rPr>
          <w:rFonts w:ascii="宋体" w:hAnsi="宋体" w:cs="宋体" w:eastAsia="宋体" w:hint="default"/>
          <w:b/>
          <w:bCs/>
          <w:spacing w:val="-1"/>
          <w:sz w:val="21"/>
          <w:szCs w:val="21"/>
        </w:rPr>
        <w:t> </w:t>
      </w:r>
      <w:r>
        <w:rPr>
          <w:rFonts w:ascii="宋体" w:hAnsi="宋体" w:cs="宋体" w:eastAsia="宋体" w:hint="default"/>
          <w:b/>
          <w:bCs/>
          <w:sz w:val="21"/>
          <w:szCs w:val="21"/>
        </w:rPr>
        <w:t>刘宏先生</w:t>
      </w:r>
      <w:r>
        <w:rPr>
          <w:rFonts w:ascii="宋体" w:hAnsi="宋体" w:cs="宋体" w:eastAsia="宋体" w:hint="default"/>
          <w:sz w:val="21"/>
          <w:szCs w:val="21"/>
        </w:rPr>
        <w:t>，</w:t>
      </w:r>
      <w:r>
        <w:rPr>
          <w:rFonts w:ascii="宋体" w:hAnsi="宋体" w:cs="宋体" w:eastAsia="宋体" w:hint="default"/>
          <w:sz w:val="21"/>
          <w:szCs w:val="21"/>
        </w:rPr>
        <w:t>1968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月生，中国国籍，研究生学历、助理经济师。</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起任本公司副总经理。本届任职期限为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762" w:right="1783"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4"/>
          <w:sz w:val="21"/>
          <w:szCs w:val="21"/>
        </w:rPr>
        <w:t>其他单位任职情况：北京东港安全印刷有限公司董事、总经理，北京东港嘉华安全信息</w:t>
      </w:r>
    </w:p>
    <w:p>
      <w:pPr>
        <w:spacing w:before="34"/>
        <w:ind w:left="338" w:right="0" w:firstLine="0"/>
        <w:jc w:val="both"/>
        <w:rPr>
          <w:rFonts w:ascii="宋体" w:hAnsi="宋体" w:cs="宋体" w:eastAsia="宋体" w:hint="default"/>
          <w:sz w:val="21"/>
          <w:szCs w:val="21"/>
        </w:rPr>
      </w:pPr>
      <w:r>
        <w:rPr>
          <w:rFonts w:ascii="宋体" w:hAnsi="宋体" w:cs="宋体" w:eastAsia="宋体" w:hint="default"/>
          <w:sz w:val="21"/>
          <w:szCs w:val="21"/>
        </w:rPr>
        <w:t>技术有限公司董事、总经理</w:t>
      </w:r>
    </w:p>
    <w:p>
      <w:pPr>
        <w:spacing w:line="355" w:lineRule="auto" w:before="133"/>
        <w:ind w:left="338" w:right="1678" w:firstLine="424"/>
        <w:jc w:val="left"/>
        <w:rPr>
          <w:rFonts w:ascii="宋体" w:hAnsi="宋体" w:cs="宋体" w:eastAsia="宋体" w:hint="default"/>
          <w:sz w:val="21"/>
          <w:szCs w:val="21"/>
        </w:rPr>
      </w:pPr>
      <w:r>
        <w:rPr>
          <w:rFonts w:ascii="宋体" w:hAnsi="宋体" w:cs="宋体" w:eastAsia="宋体" w:hint="default"/>
          <w:b/>
          <w:bCs/>
          <w:sz w:val="21"/>
          <w:szCs w:val="21"/>
        </w:rPr>
        <w:t>副总经理、财务负责人</w:t>
      </w:r>
      <w:r>
        <w:rPr>
          <w:rFonts w:ascii="宋体" w:hAnsi="宋体" w:cs="宋体" w:eastAsia="宋体" w:hint="default"/>
          <w:b/>
          <w:bCs/>
          <w:spacing w:val="-6"/>
          <w:sz w:val="21"/>
          <w:szCs w:val="21"/>
        </w:rPr>
        <w:t> </w:t>
      </w:r>
      <w:r>
        <w:rPr>
          <w:rFonts w:ascii="宋体" w:hAnsi="宋体" w:cs="宋体" w:eastAsia="宋体" w:hint="default"/>
          <w:b/>
          <w:bCs/>
          <w:sz w:val="21"/>
          <w:szCs w:val="21"/>
        </w:rPr>
        <w:t>郑理女士</w:t>
      </w:r>
      <w:r>
        <w:rPr>
          <w:rFonts w:ascii="宋体" w:hAnsi="宋体" w:cs="宋体" w:eastAsia="宋体" w:hint="default"/>
          <w:sz w:val="21"/>
          <w:szCs w:val="21"/>
        </w:rPr>
        <w:t>，</w:t>
      </w:r>
      <w:r>
        <w:rPr>
          <w:rFonts w:ascii="宋体" w:hAnsi="宋体" w:cs="宋体" w:eastAsia="宋体" w:hint="default"/>
          <w:sz w:val="21"/>
          <w:szCs w:val="21"/>
        </w:rPr>
        <w:t>1968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月生，中国国籍，硕士学位，高级会计师。</w:t>
      </w:r>
      <w:r>
        <w:rPr>
          <w:rFonts w:ascii="宋体" w:hAnsi="宋体" w:cs="宋体" w:eastAsia="宋体" w:hint="default"/>
          <w:w w:val="100"/>
          <w:sz w:val="21"/>
          <w:szCs w:val="21"/>
        </w:rPr>
        <w:t> </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月起任副总经理兼财务总监。本届任职期限为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762" w:right="1783"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4"/>
          <w:sz w:val="21"/>
          <w:szCs w:val="21"/>
        </w:rPr>
        <w:t>其他单位任职情况：上海东港安全印刷有限公司董事、财务负责人，上海东港数据处理</w:t>
      </w:r>
      <w:r>
        <w:rPr>
          <w:rFonts w:ascii="宋体" w:hAnsi="宋体" w:cs="宋体" w:eastAsia="宋体" w:hint="default"/>
          <w:sz w:val="21"/>
          <w:szCs w:val="21"/>
        </w:rPr>
      </w:r>
    </w:p>
    <w:p>
      <w:pPr>
        <w:spacing w:before="35"/>
        <w:ind w:left="338" w:right="0" w:firstLine="0"/>
        <w:jc w:val="both"/>
        <w:rPr>
          <w:rFonts w:ascii="宋体" w:hAnsi="宋体" w:cs="宋体" w:eastAsia="宋体" w:hint="default"/>
          <w:sz w:val="21"/>
          <w:szCs w:val="21"/>
        </w:rPr>
      </w:pPr>
      <w:r>
        <w:rPr>
          <w:rFonts w:ascii="宋体" w:hAnsi="宋体" w:cs="宋体" w:eastAsia="宋体" w:hint="default"/>
          <w:sz w:val="21"/>
          <w:szCs w:val="21"/>
        </w:rPr>
        <w:t>有限公司董事。</w:t>
      </w:r>
    </w:p>
    <w:p>
      <w:pPr>
        <w:spacing w:line="355" w:lineRule="auto" w:before="133"/>
        <w:ind w:left="338" w:right="1783" w:firstLine="412"/>
        <w:jc w:val="left"/>
        <w:rPr>
          <w:rFonts w:ascii="宋体" w:hAnsi="宋体" w:cs="宋体" w:eastAsia="宋体" w:hint="default"/>
          <w:sz w:val="21"/>
          <w:szCs w:val="21"/>
        </w:rPr>
      </w:pPr>
      <w:r>
        <w:rPr>
          <w:rFonts w:ascii="宋体" w:hAnsi="宋体" w:cs="宋体" w:eastAsia="宋体" w:hint="default"/>
          <w:b/>
          <w:bCs/>
          <w:sz w:val="21"/>
          <w:szCs w:val="21"/>
        </w:rPr>
        <w:t>副总经理、董事会秘书</w:t>
      </w:r>
      <w:r>
        <w:rPr>
          <w:rFonts w:ascii="宋体" w:hAnsi="宋体" w:cs="宋体" w:eastAsia="宋体" w:hint="default"/>
          <w:b/>
          <w:bCs/>
          <w:spacing w:val="-1"/>
          <w:sz w:val="21"/>
          <w:szCs w:val="21"/>
        </w:rPr>
        <w:t> </w:t>
      </w:r>
      <w:r>
        <w:rPr>
          <w:rFonts w:ascii="宋体" w:hAnsi="宋体" w:cs="宋体" w:eastAsia="宋体" w:hint="default"/>
          <w:b/>
          <w:bCs/>
          <w:sz w:val="21"/>
          <w:szCs w:val="21"/>
        </w:rPr>
        <w:t>齐利国先生</w:t>
      </w:r>
      <w:r>
        <w:rPr>
          <w:rFonts w:ascii="宋体" w:hAnsi="宋体" w:cs="宋体" w:eastAsia="宋体" w:hint="default"/>
          <w:sz w:val="21"/>
          <w:szCs w:val="21"/>
        </w:rPr>
        <w:t>，</w:t>
      </w:r>
      <w:r>
        <w:rPr>
          <w:rFonts w:ascii="宋体" w:hAnsi="宋体" w:cs="宋体" w:eastAsia="宋体" w:hint="default"/>
          <w:sz w:val="21"/>
          <w:szCs w:val="21"/>
        </w:rPr>
        <w:t>1970</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10</w:t>
      </w:r>
      <w:r>
        <w:rPr>
          <w:rFonts w:ascii="宋体" w:hAnsi="宋体" w:cs="宋体" w:eastAsia="宋体" w:hint="default"/>
          <w:spacing w:val="-32"/>
          <w:sz w:val="21"/>
          <w:szCs w:val="21"/>
        </w:rPr>
        <w:t> </w:t>
      </w:r>
      <w:r>
        <w:rPr>
          <w:rFonts w:ascii="宋体" w:hAnsi="宋体" w:cs="宋体" w:eastAsia="宋体" w:hint="default"/>
          <w:sz w:val="21"/>
          <w:szCs w:val="21"/>
        </w:rPr>
        <w:t>月出生，中国国籍，硕士学位。</w:t>
      </w:r>
      <w:r>
        <w:rPr>
          <w:rFonts w:ascii="宋体" w:hAnsi="宋体" w:cs="宋体" w:eastAsia="宋体" w:hint="default"/>
          <w:sz w:val="21"/>
          <w:szCs w:val="21"/>
        </w:rPr>
        <w:t>2006</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月起任本公司副总经理，兼任董事会秘书、办公室主任。本届任职期限为</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355" w:lineRule="auto" w:before="32"/>
        <w:ind w:left="758" w:right="7524" w:hanging="42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股东单位任职情况：无</w:t>
      </w:r>
    </w:p>
    <w:p>
      <w:pPr>
        <w:spacing w:line="355" w:lineRule="auto" w:before="34"/>
        <w:ind w:left="338" w:right="1678" w:firstLine="419"/>
        <w:jc w:val="left"/>
        <w:rPr>
          <w:rFonts w:ascii="宋体" w:hAnsi="宋体" w:cs="宋体" w:eastAsia="宋体" w:hint="default"/>
          <w:sz w:val="21"/>
          <w:szCs w:val="21"/>
        </w:rPr>
      </w:pPr>
      <w:r>
        <w:rPr>
          <w:rFonts w:ascii="宋体" w:hAnsi="宋体" w:cs="宋体" w:eastAsia="宋体" w:hint="default"/>
          <w:spacing w:val="-7"/>
          <w:w w:val="100"/>
          <w:sz w:val="21"/>
          <w:szCs w:val="21"/>
        </w:rPr>
        <w:t>其他单位任职情况：上海东港安全印刷有限公司监事、青海东港安全印刷有限公司监事，</w:t>
      </w:r>
      <w:r>
        <w:rPr>
          <w:rFonts w:ascii="宋体" w:hAnsi="宋体" w:cs="宋体" w:eastAsia="宋体" w:hint="default"/>
          <w:w w:val="100"/>
          <w:sz w:val="21"/>
          <w:szCs w:val="21"/>
        </w:rPr>
        <w:t> </w:t>
      </w:r>
      <w:r>
        <w:rPr>
          <w:rFonts w:ascii="宋体" w:hAnsi="宋体" w:cs="宋体" w:eastAsia="宋体" w:hint="default"/>
          <w:sz w:val="21"/>
          <w:szCs w:val="21"/>
        </w:rPr>
        <w:t>上海东港数据处理有限公司监事，成都东港安全印刷有限公司监事。</w:t>
      </w:r>
    </w:p>
    <w:p>
      <w:pPr>
        <w:spacing w:line="240" w:lineRule="auto" w:before="0"/>
        <w:rPr>
          <w:rFonts w:ascii="宋体" w:hAnsi="宋体" w:cs="宋体" w:eastAsia="宋体" w:hint="default"/>
          <w:sz w:val="20"/>
          <w:szCs w:val="20"/>
        </w:rPr>
      </w:pPr>
    </w:p>
    <w:p>
      <w:pPr>
        <w:spacing w:line="357" w:lineRule="auto" w:before="178"/>
        <w:ind w:left="758" w:right="1783"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
          <w:sz w:val="21"/>
          <w:szCs w:val="21"/>
        </w:rPr>
        <w:t> </w:t>
      </w:r>
      <w:r>
        <w:rPr>
          <w:rFonts w:ascii="宋体" w:hAnsi="宋体" w:cs="宋体" w:eastAsia="宋体" w:hint="default"/>
          <w:b/>
          <w:bCs/>
          <w:sz w:val="21"/>
          <w:szCs w:val="21"/>
        </w:rPr>
        <w:t>董事、监事和高级管理人员年度报酬情况</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、报酬的决策程序和报酬确定依据：公司按照《公司章程》的规定确定董事、监事和</w:t>
      </w:r>
    </w:p>
    <w:p>
      <w:pPr>
        <w:spacing w:line="355" w:lineRule="auto" w:before="30"/>
        <w:ind w:left="338" w:right="1791" w:firstLine="0"/>
        <w:jc w:val="both"/>
        <w:rPr>
          <w:rFonts w:ascii="宋体" w:hAnsi="宋体" w:cs="宋体" w:eastAsia="宋体" w:hint="default"/>
          <w:sz w:val="21"/>
          <w:szCs w:val="21"/>
        </w:rPr>
      </w:pPr>
      <w:r>
        <w:rPr>
          <w:rFonts w:ascii="宋体" w:hAnsi="宋体" w:cs="宋体" w:eastAsia="宋体" w:hint="default"/>
          <w:spacing w:val="-4"/>
          <w:sz w:val="21"/>
          <w:szCs w:val="21"/>
        </w:rPr>
        <w:t>高级管理人员的报酬。董事和监事实行津贴制，报酬和支付方法由股东大会确定；高级管理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人员实行年薪制，报酬和支付方法由董事会确定。公司以行业薪酬水平、经济发展状况、居</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民生活标准、公司经营业绩、岗位职责要求等为依据，在充分协商的前提下确定董事、监事</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和高级管理人员的年度薪酬。</w:t>
      </w:r>
    </w:p>
    <w:p>
      <w:pPr>
        <w:spacing w:before="34"/>
        <w:ind w:left="758" w:right="178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、报告期内，董事、监事和高级管理人员从公司获得报酬情况：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181"/>
        <w:gridCol w:w="1263"/>
        <w:gridCol w:w="1486"/>
        <w:gridCol w:w="1613"/>
        <w:gridCol w:w="878"/>
        <w:gridCol w:w="2333"/>
      </w:tblGrid>
      <w:tr>
        <w:trPr>
          <w:trHeight w:val="710" w:hRule="exact"/>
        </w:trPr>
        <w:tc>
          <w:tcPr>
            <w:tcW w:w="11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4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05" w:right="0" w:firstLine="67"/>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年度从公</w:t>
            </w:r>
          </w:p>
          <w:p>
            <w:pPr>
              <w:pStyle w:val="TableParagraph"/>
              <w:spacing w:line="240" w:lineRule="auto"/>
              <w:ind w:left="103" w:right="12" w:firstLine="2"/>
              <w:jc w:val="left"/>
              <w:rPr>
                <w:rFonts w:ascii="宋体" w:hAnsi="宋体" w:cs="宋体" w:eastAsia="宋体" w:hint="default"/>
                <w:sz w:val="18"/>
                <w:szCs w:val="18"/>
              </w:rPr>
            </w:pPr>
            <w:r>
              <w:rPr>
                <w:rFonts w:ascii="宋体" w:hAnsi="宋体" w:cs="宋体" w:eastAsia="宋体" w:hint="default"/>
                <w:sz w:val="18"/>
                <w:szCs w:val="18"/>
              </w:rPr>
              <w:t>司领取的报酬总 </w:t>
            </w:r>
            <w:r>
              <w:rPr>
                <w:rFonts w:ascii="宋体" w:hAnsi="宋体" w:cs="宋体" w:eastAsia="宋体" w:hint="default"/>
                <w:spacing w:val="-11"/>
                <w:sz w:val="18"/>
                <w:szCs w:val="18"/>
              </w:rPr>
              <w:t>额（万元、含税）</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68" w:right="0" w:hanging="2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年度从公司</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领取的报酬总额</w:t>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（万元、含税）</w:t>
            </w:r>
          </w:p>
        </w:tc>
        <w:tc>
          <w:tcPr>
            <w:tcW w:w="8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63" w:right="0"/>
              <w:jc w:val="left"/>
              <w:rPr>
                <w:rFonts w:ascii="宋体" w:hAnsi="宋体" w:cs="宋体" w:eastAsia="宋体" w:hint="default"/>
                <w:sz w:val="18"/>
                <w:szCs w:val="18"/>
              </w:rPr>
            </w:pPr>
            <w:r>
              <w:rPr>
                <w:rFonts w:ascii="宋体" w:hAnsi="宋体" w:cs="宋体" w:eastAsia="宋体" w:hint="default"/>
                <w:sz w:val="18"/>
                <w:szCs w:val="18"/>
              </w:rPr>
              <w:t>薪酬总</w:t>
            </w:r>
          </w:p>
          <w:p>
            <w:pPr>
              <w:pStyle w:val="TableParagraph"/>
              <w:spacing w:line="240" w:lineRule="auto"/>
              <w:ind w:left="103" w:right="11" w:firstLine="60"/>
              <w:jc w:val="left"/>
              <w:rPr>
                <w:rFonts w:ascii="宋体" w:hAnsi="宋体" w:cs="宋体" w:eastAsia="宋体" w:hint="default"/>
                <w:sz w:val="18"/>
                <w:szCs w:val="18"/>
              </w:rPr>
            </w:pPr>
            <w:r>
              <w:rPr>
                <w:rFonts w:ascii="宋体" w:hAnsi="宋体" w:cs="宋体" w:eastAsia="宋体" w:hint="default"/>
                <w:sz w:val="18"/>
                <w:szCs w:val="18"/>
              </w:rPr>
              <w:t>额同比 </w:t>
            </w:r>
            <w:r>
              <w:rPr>
                <w:rFonts w:ascii="宋体" w:hAnsi="宋体" w:cs="宋体" w:eastAsia="宋体" w:hint="default"/>
                <w:spacing w:val="-12"/>
                <w:sz w:val="18"/>
                <w:szCs w:val="18"/>
              </w:rPr>
              <w:t>增减（</w:t>
            </w:r>
            <w:r>
              <w:rPr>
                <w:rFonts w:ascii="宋体" w:hAnsi="宋体" w:cs="宋体" w:eastAsia="宋体" w:hint="default"/>
                <w:spacing w:val="-12"/>
                <w:sz w:val="18"/>
                <w:szCs w:val="18"/>
              </w:rPr>
              <w:t>%</w:t>
            </w:r>
            <w:r>
              <w:rPr>
                <w:rFonts w:ascii="宋体" w:hAnsi="宋体" w:cs="宋体" w:eastAsia="宋体" w:hint="default"/>
                <w:spacing w:val="-12"/>
                <w:sz w:val="18"/>
                <w:szCs w:val="18"/>
              </w:rPr>
              <w:t>）</w:t>
            </w:r>
          </w:p>
        </w:tc>
        <w:tc>
          <w:tcPr>
            <w:tcW w:w="23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谷望江</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19" w:right="0"/>
              <w:jc w:val="left"/>
              <w:rPr>
                <w:rFonts w:ascii="宋体" w:hAnsi="宋体" w:cs="宋体" w:eastAsia="宋体" w:hint="default"/>
                <w:sz w:val="18"/>
                <w:szCs w:val="18"/>
              </w:rPr>
            </w:pPr>
            <w:r>
              <w:rPr>
                <w:rFonts w:ascii="宋体"/>
                <w:sz w:val="18"/>
              </w:rPr>
              <w:t>2.38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王爱先</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2.38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9" w:right="0"/>
              <w:jc w:val="left"/>
              <w:rPr>
                <w:rFonts w:ascii="宋体" w:hAnsi="宋体" w:cs="宋体" w:eastAsia="宋体" w:hint="default"/>
                <w:sz w:val="18"/>
                <w:szCs w:val="18"/>
              </w:rPr>
            </w:pPr>
            <w:r>
              <w:rPr>
                <w:rFonts w:ascii="宋体"/>
                <w:sz w:val="18"/>
              </w:rPr>
              <w:t>2.38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石林</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2"/>
                <w:sz w:val="18"/>
                <w:szCs w:val="18"/>
              </w:rPr>
              <w:t> </w:t>
            </w:r>
            <w:r>
              <w:rPr>
                <w:rFonts w:ascii="宋体" w:hAnsi="宋体" w:cs="宋体" w:eastAsia="宋体" w:hint="default"/>
                <w:sz w:val="18"/>
                <w:szCs w:val="18"/>
              </w:rPr>
              <w:t>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19" w:right="0"/>
              <w:jc w:val="left"/>
              <w:rPr>
                <w:rFonts w:ascii="宋体" w:hAnsi="宋体" w:cs="宋体" w:eastAsia="宋体" w:hint="default"/>
                <w:sz w:val="18"/>
                <w:szCs w:val="18"/>
              </w:rPr>
            </w:pPr>
            <w:r>
              <w:rPr>
                <w:rFonts w:ascii="宋体"/>
                <w:sz w:val="18"/>
              </w:rPr>
              <w:t>2.38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史建中</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5" w:right="0"/>
              <w:jc w:val="left"/>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2"/>
                <w:sz w:val="18"/>
                <w:szCs w:val="18"/>
              </w:rPr>
              <w:t> </w:t>
            </w:r>
            <w:r>
              <w:rPr>
                <w:rFonts w:ascii="宋体" w:hAnsi="宋体" w:cs="宋体" w:eastAsia="宋体" w:hint="default"/>
                <w:sz w:val="18"/>
                <w:szCs w:val="18"/>
              </w:rPr>
              <w:t>事</w:t>
            </w:r>
          </w:p>
          <w:p>
            <w:pPr>
              <w:pStyle w:val="TableParagraph"/>
              <w:spacing w:line="234" w:lineRule="exact"/>
              <w:ind w:left="35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91.32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3" w:right="0"/>
              <w:jc w:val="left"/>
              <w:rPr>
                <w:rFonts w:ascii="宋体" w:hAnsi="宋体" w:cs="宋体" w:eastAsia="宋体" w:hint="default"/>
                <w:sz w:val="18"/>
                <w:szCs w:val="18"/>
              </w:rPr>
            </w:pPr>
            <w:r>
              <w:rPr>
                <w:rFonts w:ascii="宋体"/>
                <w:sz w:val="18"/>
              </w:rPr>
              <w:t>84.03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8.68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赵福蕊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2"/>
                <w:sz w:val="18"/>
                <w:szCs w:val="18"/>
              </w:rPr>
              <w:t> </w:t>
            </w:r>
            <w:r>
              <w:rPr>
                <w:rFonts w:ascii="宋体" w:hAnsi="宋体" w:cs="宋体" w:eastAsia="宋体" w:hint="default"/>
                <w:sz w:val="18"/>
                <w:szCs w:val="18"/>
              </w:rPr>
              <w:t>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2.38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19" w:right="0"/>
              <w:jc w:val="left"/>
              <w:rPr>
                <w:rFonts w:ascii="宋体" w:hAnsi="宋体" w:cs="宋体" w:eastAsia="宋体" w:hint="default"/>
                <w:sz w:val="18"/>
                <w:szCs w:val="18"/>
              </w:rPr>
            </w:pPr>
            <w:r>
              <w:rPr>
                <w:rFonts w:ascii="宋体"/>
                <w:sz w:val="18"/>
              </w:rPr>
              <w:t>1.30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月入职，</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薪酬为入职后的董事津贴</w:t>
            </w: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汤云为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5.00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9" w:right="0"/>
              <w:jc w:val="left"/>
              <w:rPr>
                <w:rFonts w:ascii="宋体" w:hAnsi="宋体" w:cs="宋体" w:eastAsia="宋体" w:hint="default"/>
                <w:sz w:val="18"/>
                <w:szCs w:val="18"/>
              </w:rPr>
            </w:pPr>
            <w:r>
              <w:rPr>
                <w:rFonts w:ascii="宋体"/>
                <w:sz w:val="18"/>
              </w:rPr>
              <w:t>2.79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月入职，</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薪酬为入职后的董事津贴</w:t>
            </w: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刘素英</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5.00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9" w:right="0"/>
              <w:jc w:val="left"/>
              <w:rPr>
                <w:rFonts w:ascii="宋体" w:hAnsi="宋体" w:cs="宋体" w:eastAsia="宋体" w:hint="default"/>
                <w:sz w:val="18"/>
                <w:szCs w:val="18"/>
              </w:rPr>
            </w:pPr>
            <w:r>
              <w:rPr>
                <w:rFonts w:ascii="宋体"/>
                <w:sz w:val="18"/>
              </w:rPr>
              <w:t>2.79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月入职，</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薪酬为入职后的董事津贴</w:t>
            </w:r>
          </w:p>
        </w:tc>
      </w:tr>
    </w:tbl>
    <w:p>
      <w:pPr>
        <w:spacing w:after="0" w:line="234" w:lineRule="exact"/>
        <w:jc w:val="left"/>
        <w:rPr>
          <w:rFonts w:ascii="宋体" w:hAnsi="宋体" w:cs="宋体" w:eastAsia="宋体" w:hint="default"/>
          <w:sz w:val="18"/>
          <w:szCs w:val="18"/>
        </w:rPr>
        <w:sectPr>
          <w:pgSz w:w="11910" w:h="16840"/>
          <w:pgMar w:header="915" w:footer="1100" w:top="1100" w:bottom="1280" w:left="1460" w:right="0"/>
        </w:sectPr>
      </w:pPr>
    </w:p>
    <w:p>
      <w:pPr>
        <w:spacing w:line="240" w:lineRule="auto" w:before="6"/>
        <w:rPr>
          <w:rFonts w:ascii="宋体" w:hAnsi="宋体" w:cs="宋体" w:eastAsia="宋体" w:hint="default"/>
          <w:sz w:val="2"/>
          <w:szCs w:val="2"/>
        </w:rPr>
      </w:pPr>
      <w:r>
        <w:rPr/>
        <w:pict>
          <v:shape style="position:absolute;margin-left:90.150002pt;margin-top:41.999985pt;width:18pt;height:15.75pt;mso-position-horizontal-relative:page;mso-position-vertical-relative:page;z-index:-746200" type="#_x0000_t75" stroked="false">
            <v:imagedata r:id="rId7" o:title=""/>
          </v:shape>
        </w:pict>
      </w:r>
    </w:p>
    <w:tbl>
      <w:tblPr>
        <w:tblW w:w="0" w:type="auto"/>
        <w:jc w:val="left"/>
        <w:tblInd w:w="112" w:type="dxa"/>
        <w:tblLayout w:type="fixed"/>
        <w:tblCellMar>
          <w:top w:w="0" w:type="dxa"/>
          <w:left w:w="0" w:type="dxa"/>
          <w:bottom w:w="0" w:type="dxa"/>
          <w:right w:w="0" w:type="dxa"/>
        </w:tblCellMar>
        <w:tblLook w:val="01E0"/>
      </w:tblPr>
      <w:tblGrid>
        <w:gridCol w:w="1181"/>
        <w:gridCol w:w="1263"/>
        <w:gridCol w:w="1486"/>
        <w:gridCol w:w="1613"/>
        <w:gridCol w:w="878"/>
        <w:gridCol w:w="2333"/>
      </w:tblGrid>
      <w:tr>
        <w:trPr>
          <w:trHeight w:val="490" w:hRule="exact"/>
        </w:trPr>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钢</w:t>
            </w:r>
          </w:p>
        </w:tc>
        <w:tc>
          <w:tcPr>
            <w:tcW w:w="12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right="4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5.00</w:t>
            </w:r>
          </w:p>
        </w:tc>
        <w:tc>
          <w:tcPr>
            <w:tcW w:w="16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2"/>
              <w:ind w:left="619" w:right="0"/>
              <w:jc w:val="left"/>
              <w:rPr>
                <w:rFonts w:ascii="宋体" w:hAnsi="宋体" w:cs="宋体" w:eastAsia="宋体" w:hint="default"/>
                <w:sz w:val="18"/>
                <w:szCs w:val="18"/>
              </w:rPr>
            </w:pPr>
            <w:r>
              <w:rPr>
                <w:rFonts w:ascii="宋体"/>
                <w:sz w:val="18"/>
              </w:rPr>
              <w:t>2.79</w:t>
            </w:r>
          </w:p>
        </w:tc>
        <w:tc>
          <w:tcPr>
            <w:tcW w:w="8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2333" w:type="dxa"/>
            <w:tcBorders>
              <w:top w:val="single" w:sz="10" w:space="0" w:color="000000"/>
              <w:left w:val="single" w:sz="4" w:space="0" w:color="000000"/>
              <w:bottom w:val="single" w:sz="4" w:space="0" w:color="000000"/>
              <w:right w:val="single" w:sz="4" w:space="0" w:color="000000"/>
            </w:tcBorders>
          </w:tcPr>
          <w:p>
            <w:pPr>
              <w:pStyle w:val="TableParagraph"/>
              <w:spacing w:line="232" w:lineRule="exact" w:before="1"/>
              <w:ind w:left="103" w:right="144"/>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月入职，</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 薪酬为入职后的董事津贴</w:t>
            </w: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敬</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8.87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19" w:right="0"/>
              <w:jc w:val="left"/>
              <w:rPr>
                <w:rFonts w:ascii="宋体" w:hAnsi="宋体" w:cs="宋体" w:eastAsia="宋体" w:hint="default"/>
                <w:sz w:val="18"/>
                <w:szCs w:val="18"/>
              </w:rPr>
            </w:pPr>
            <w:r>
              <w:rPr>
                <w:rFonts w:ascii="宋体"/>
                <w:sz w:val="18"/>
              </w:rPr>
              <w:t>8.87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李保政</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pacing w:val="2"/>
                <w:sz w:val="18"/>
                <w:szCs w:val="18"/>
              </w:rPr>
              <w:t> </w:t>
            </w:r>
            <w:r>
              <w:rPr>
                <w:rFonts w:ascii="宋体" w:hAnsi="宋体" w:cs="宋体" w:eastAsia="宋体" w:hint="default"/>
                <w:sz w:val="18"/>
                <w:szCs w:val="18"/>
              </w:rPr>
              <w:t>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19" w:right="0"/>
              <w:jc w:val="left"/>
              <w:rPr>
                <w:rFonts w:ascii="宋体" w:hAnsi="宋体" w:cs="宋体" w:eastAsia="宋体" w:hint="default"/>
                <w:sz w:val="18"/>
                <w:szCs w:val="18"/>
              </w:rPr>
            </w:pPr>
            <w:r>
              <w:rPr>
                <w:rFonts w:ascii="宋体"/>
                <w:sz w:val="18"/>
              </w:rPr>
              <w:t>1.19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王景涛</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pacing w:val="2"/>
                <w:sz w:val="18"/>
                <w:szCs w:val="18"/>
              </w:rPr>
              <w:t> </w:t>
            </w:r>
            <w:r>
              <w:rPr>
                <w:rFonts w:ascii="宋体" w:hAnsi="宋体" w:cs="宋体" w:eastAsia="宋体" w:hint="default"/>
                <w:sz w:val="18"/>
                <w:szCs w:val="18"/>
              </w:rPr>
              <w:t>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1.19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19" w:right="0"/>
              <w:jc w:val="left"/>
              <w:rPr>
                <w:rFonts w:ascii="宋体" w:hAnsi="宋体" w:cs="宋体" w:eastAsia="宋体" w:hint="default"/>
                <w:sz w:val="18"/>
                <w:szCs w:val="18"/>
              </w:rPr>
            </w:pPr>
            <w:r>
              <w:rPr>
                <w:rFonts w:ascii="宋体"/>
                <w:sz w:val="18"/>
              </w:rPr>
              <w:t>0.60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月入职，</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薪酬为入职后的监事津贴</w:t>
            </w: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唐国奇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43.73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73" w:right="0"/>
              <w:jc w:val="left"/>
              <w:rPr>
                <w:rFonts w:ascii="宋体" w:hAnsi="宋体" w:cs="宋体" w:eastAsia="宋体" w:hint="default"/>
                <w:sz w:val="18"/>
                <w:szCs w:val="18"/>
              </w:rPr>
            </w:pPr>
            <w:r>
              <w:rPr>
                <w:rFonts w:ascii="宋体"/>
                <w:sz w:val="18"/>
              </w:rPr>
              <w:t>40.55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7.84</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37.18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73" w:right="0"/>
              <w:jc w:val="left"/>
              <w:rPr>
                <w:rFonts w:ascii="宋体" w:hAnsi="宋体" w:cs="宋体" w:eastAsia="宋体" w:hint="default"/>
                <w:sz w:val="18"/>
                <w:szCs w:val="18"/>
              </w:rPr>
            </w:pPr>
            <w:r>
              <w:rPr>
                <w:rFonts w:ascii="宋体"/>
                <w:sz w:val="18"/>
              </w:rPr>
              <w:t>34.89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6.56</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37.18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73" w:right="0"/>
              <w:jc w:val="left"/>
              <w:rPr>
                <w:rFonts w:ascii="宋体" w:hAnsi="宋体" w:cs="宋体" w:eastAsia="宋体" w:hint="default"/>
                <w:sz w:val="18"/>
                <w:szCs w:val="18"/>
              </w:rPr>
            </w:pPr>
            <w:r>
              <w:rPr>
                <w:rFonts w:ascii="宋体"/>
                <w:sz w:val="18"/>
              </w:rPr>
              <w:t>34.89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6.56</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firstLine="91"/>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35.15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18"/>
                <w:szCs w:val="18"/>
              </w:rPr>
            </w:pPr>
            <w:r>
              <w:rPr>
                <w:rFonts w:ascii="宋体"/>
                <w:sz w:val="18"/>
              </w:rPr>
              <w:t>32.86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6.98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齐利国</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firstLine="91"/>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35.09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3" w:right="0"/>
              <w:jc w:val="left"/>
              <w:rPr>
                <w:rFonts w:ascii="宋体" w:hAnsi="宋体" w:cs="宋体" w:eastAsia="宋体" w:hint="default"/>
                <w:sz w:val="18"/>
                <w:szCs w:val="18"/>
              </w:rPr>
            </w:pPr>
            <w:r>
              <w:rPr>
                <w:rFonts w:ascii="宋体"/>
                <w:sz w:val="18"/>
              </w:rPr>
              <w:t>32.80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6.98</w:t>
            </w:r>
          </w:p>
        </w:tc>
        <w:tc>
          <w:tcPr>
            <w:tcW w:w="23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spacing w:line="355" w:lineRule="auto" w:before="36"/>
        <w:ind w:left="338" w:right="1783" w:firstLine="0"/>
        <w:jc w:val="left"/>
        <w:rPr>
          <w:rFonts w:ascii="宋体" w:hAnsi="宋体" w:cs="宋体" w:eastAsia="宋体" w:hint="default"/>
          <w:sz w:val="21"/>
          <w:szCs w:val="21"/>
        </w:rPr>
      </w:pPr>
      <w:r>
        <w:rPr>
          <w:rFonts w:ascii="宋体" w:hAnsi="宋体" w:cs="宋体" w:eastAsia="宋体" w:hint="default"/>
          <w:b/>
          <w:bCs/>
          <w:sz w:val="21"/>
          <w:szCs w:val="21"/>
        </w:rPr>
        <w:t>（四）报告期内被选举或离任的董事和监事、以及聘任或解聘的高级管理人员姓名，及董</w:t>
      </w:r>
      <w:r>
        <w:rPr>
          <w:rFonts w:ascii="宋体" w:hAnsi="宋体" w:cs="宋体" w:eastAsia="宋体" w:hint="default"/>
          <w:b/>
          <w:bCs/>
          <w:spacing w:val="-26"/>
          <w:sz w:val="21"/>
          <w:szCs w:val="21"/>
        </w:rPr>
        <w:t> </w:t>
      </w:r>
      <w:r>
        <w:rPr>
          <w:rFonts w:ascii="宋体" w:hAnsi="宋体" w:cs="宋体" w:eastAsia="宋体" w:hint="default"/>
          <w:b/>
          <w:bCs/>
          <w:spacing w:val="-26"/>
          <w:sz w:val="21"/>
          <w:szCs w:val="21"/>
        </w:rPr>
      </w:r>
      <w:r>
        <w:rPr>
          <w:rFonts w:ascii="宋体" w:hAnsi="宋体" w:cs="宋体" w:eastAsia="宋体" w:hint="default"/>
          <w:b/>
          <w:bCs/>
          <w:sz w:val="21"/>
          <w:szCs w:val="21"/>
        </w:rPr>
        <w:t>事和监事离任和高级管理人员解聘原因。</w:t>
      </w:r>
      <w:r>
        <w:rPr>
          <w:rFonts w:ascii="宋体" w:hAnsi="宋体" w:cs="宋体" w:eastAsia="宋体" w:hint="default"/>
          <w:sz w:val="21"/>
          <w:szCs w:val="21"/>
        </w:rPr>
      </w:r>
    </w:p>
    <w:p>
      <w:pPr>
        <w:spacing w:before="32"/>
        <w:ind w:left="758" w:right="178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、报告期内无选举、聘任董事、监事和高级管理人员的情况</w:t>
      </w:r>
    </w:p>
    <w:p>
      <w:pPr>
        <w:spacing w:line="355" w:lineRule="auto" w:before="135"/>
        <w:ind w:left="338" w:right="5013"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、报告期内无董事、监事离职的情况</w:t>
      </w:r>
      <w:r>
        <w:rPr>
          <w:rFonts w:ascii="宋体" w:hAnsi="宋体" w:cs="宋体" w:eastAsia="宋体" w:hint="default"/>
          <w:w w:val="100"/>
          <w:sz w:val="21"/>
          <w:szCs w:val="21"/>
        </w:rPr>
        <w:t> </w:t>
      </w:r>
      <w:r>
        <w:rPr>
          <w:rFonts w:ascii="宋体" w:hAnsi="宋体" w:cs="宋体" w:eastAsia="宋体" w:hint="default"/>
          <w:b/>
          <w:bCs/>
          <w:sz w:val="21"/>
          <w:szCs w:val="21"/>
        </w:rPr>
        <w:t>二、员工情况</w:t>
      </w:r>
      <w:r>
        <w:rPr>
          <w:rFonts w:ascii="宋体" w:hAnsi="宋体" w:cs="宋体" w:eastAsia="宋体" w:hint="default"/>
          <w:sz w:val="21"/>
          <w:szCs w:val="21"/>
        </w:rPr>
      </w:r>
    </w:p>
    <w:p>
      <w:pPr>
        <w:spacing w:line="355" w:lineRule="auto" w:before="32"/>
        <w:ind w:left="758" w:right="2798"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 </w:t>
      </w:r>
      <w:r>
        <w:rPr>
          <w:rFonts w:ascii="宋体" w:hAnsi="宋体" w:cs="宋体" w:eastAsia="宋体" w:hint="default"/>
          <w:sz w:val="21"/>
          <w:szCs w:val="21"/>
        </w:rPr>
        <w:t>日，本公司（含控股子公司）员工总数为 </w:t>
      </w:r>
      <w:r>
        <w:rPr>
          <w:rFonts w:ascii="宋体" w:hAnsi="宋体" w:cs="宋体" w:eastAsia="宋体" w:hint="default"/>
          <w:sz w:val="21"/>
          <w:szCs w:val="21"/>
        </w:rPr>
        <w:t>1313</w:t>
      </w:r>
      <w:r>
        <w:rPr>
          <w:rFonts w:ascii="宋体" w:hAnsi="宋体" w:cs="宋体" w:eastAsia="宋体" w:hint="default"/>
          <w:spacing w:val="-55"/>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、专业构成情况如下：</w:t>
      </w:r>
    </w:p>
    <w:p>
      <w:pPr>
        <w:spacing w:line="240" w:lineRule="auto" w:before="1"/>
        <w:rPr>
          <w:rFonts w:ascii="宋体" w:hAnsi="宋体" w:cs="宋体" w:eastAsia="宋体" w:hint="default"/>
          <w:sz w:val="15"/>
          <w:szCs w:val="15"/>
        </w:rPr>
      </w:pPr>
    </w:p>
    <w:tbl>
      <w:tblPr>
        <w:tblW w:w="0" w:type="auto"/>
        <w:jc w:val="left"/>
        <w:tblInd w:w="1196" w:type="dxa"/>
        <w:tblLayout w:type="fixed"/>
        <w:tblCellMar>
          <w:top w:w="0" w:type="dxa"/>
          <w:left w:w="0" w:type="dxa"/>
          <w:bottom w:w="0" w:type="dxa"/>
          <w:right w:w="0" w:type="dxa"/>
        </w:tblCellMar>
        <w:tblLook w:val="01E0"/>
      </w:tblPr>
      <w:tblGrid>
        <w:gridCol w:w="1808"/>
        <w:gridCol w:w="2268"/>
        <w:gridCol w:w="2730"/>
      </w:tblGrid>
      <w:tr>
        <w:trPr>
          <w:trHeight w:val="347"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11" w:lineRule="exact"/>
              <w:ind w:right="566"/>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268"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730" w:type="dxa"/>
            <w:tcBorders>
              <w:top w:val="nil" w:sz="6" w:space="0" w:color="auto"/>
              <w:left w:val="nil" w:sz="6" w:space="0" w:color="auto"/>
              <w:bottom w:val="nil" w:sz="6" w:space="0" w:color="auto"/>
              <w:right w:val="nil" w:sz="6" w:space="0" w:color="auto"/>
            </w:tcBorders>
          </w:tcPr>
          <w:p>
            <w:pPr>
              <w:pStyle w:val="TableParagraph"/>
              <w:spacing w:line="226" w:lineRule="exact"/>
              <w:ind w:left="457" w:right="0"/>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72"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63"/>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0" w:right="0"/>
              <w:jc w:val="center"/>
              <w:rPr>
                <w:rFonts w:ascii="Arial" w:hAnsi="Arial" w:cs="Arial" w:eastAsia="Arial" w:hint="default"/>
                <w:sz w:val="21"/>
                <w:szCs w:val="21"/>
              </w:rPr>
            </w:pPr>
            <w:r>
              <w:rPr>
                <w:rFonts w:ascii="Arial"/>
                <w:sz w:val="21"/>
              </w:rPr>
              <w:t>590</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61" w:right="0"/>
              <w:jc w:val="center"/>
              <w:rPr>
                <w:rFonts w:ascii="Arial" w:hAnsi="Arial" w:cs="Arial" w:eastAsia="Arial" w:hint="default"/>
                <w:sz w:val="21"/>
                <w:szCs w:val="21"/>
              </w:rPr>
            </w:pPr>
            <w:r>
              <w:rPr>
                <w:rFonts w:ascii="Arial"/>
                <w:sz w:val="21"/>
              </w:rPr>
              <w:t>45</w:t>
            </w:r>
          </w:p>
        </w:tc>
      </w:tr>
      <w:tr>
        <w:trPr>
          <w:trHeight w:val="473"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3"/>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0" w:right="0"/>
              <w:jc w:val="center"/>
              <w:rPr>
                <w:rFonts w:ascii="Arial" w:hAnsi="Arial" w:cs="Arial" w:eastAsia="Arial" w:hint="default"/>
                <w:sz w:val="21"/>
                <w:szCs w:val="21"/>
              </w:rPr>
            </w:pPr>
            <w:r>
              <w:rPr>
                <w:rFonts w:ascii="Arial"/>
                <w:sz w:val="21"/>
              </w:rPr>
              <w:t>162</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61" w:right="0"/>
              <w:jc w:val="center"/>
              <w:rPr>
                <w:rFonts w:ascii="Arial" w:hAnsi="Arial" w:cs="Arial" w:eastAsia="Arial" w:hint="default"/>
                <w:sz w:val="21"/>
                <w:szCs w:val="21"/>
              </w:rPr>
            </w:pPr>
            <w:r>
              <w:rPr>
                <w:rFonts w:ascii="Arial"/>
                <w:sz w:val="21"/>
              </w:rPr>
              <w:t>12</w:t>
            </w:r>
          </w:p>
        </w:tc>
      </w:tr>
      <w:tr>
        <w:trPr>
          <w:trHeight w:val="474"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3"/>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0" w:right="0"/>
              <w:jc w:val="center"/>
              <w:rPr>
                <w:rFonts w:ascii="Arial" w:hAnsi="Arial" w:cs="Arial" w:eastAsia="Arial" w:hint="default"/>
                <w:sz w:val="21"/>
                <w:szCs w:val="21"/>
              </w:rPr>
            </w:pPr>
            <w:r>
              <w:rPr>
                <w:rFonts w:ascii="Arial"/>
                <w:sz w:val="21"/>
              </w:rPr>
              <w:t>383</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61" w:right="0"/>
              <w:jc w:val="center"/>
              <w:rPr>
                <w:rFonts w:ascii="Arial" w:hAnsi="Arial" w:cs="Arial" w:eastAsia="Arial" w:hint="default"/>
                <w:sz w:val="21"/>
                <w:szCs w:val="21"/>
              </w:rPr>
            </w:pPr>
            <w:r>
              <w:rPr>
                <w:rFonts w:ascii="Arial"/>
                <w:sz w:val="21"/>
              </w:rPr>
              <w:t>29</w:t>
            </w:r>
          </w:p>
        </w:tc>
      </w:tr>
      <w:tr>
        <w:trPr>
          <w:trHeight w:val="473"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3"/>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center"/>
              <w:rPr>
                <w:rFonts w:ascii="Arial" w:hAnsi="Arial" w:cs="Arial" w:eastAsia="Arial" w:hint="default"/>
                <w:sz w:val="21"/>
                <w:szCs w:val="21"/>
              </w:rPr>
            </w:pPr>
            <w:r>
              <w:rPr>
                <w:rFonts w:ascii="Arial"/>
                <w:sz w:val="21"/>
              </w:rPr>
              <w:t>34</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59" w:right="0"/>
              <w:jc w:val="center"/>
              <w:rPr>
                <w:rFonts w:ascii="Arial" w:hAnsi="Arial" w:cs="Arial" w:eastAsia="Arial" w:hint="default"/>
                <w:sz w:val="21"/>
                <w:szCs w:val="21"/>
              </w:rPr>
            </w:pPr>
            <w:r>
              <w:rPr>
                <w:rFonts w:ascii="Arial"/>
                <w:w w:val="100"/>
                <w:sz w:val="21"/>
              </w:rPr>
              <w:t>3</w:t>
            </w:r>
          </w:p>
        </w:tc>
      </w:tr>
      <w:tr>
        <w:trPr>
          <w:trHeight w:val="473"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3"/>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0" w:right="0"/>
              <w:jc w:val="center"/>
              <w:rPr>
                <w:rFonts w:ascii="Arial" w:hAnsi="Arial" w:cs="Arial" w:eastAsia="Arial" w:hint="default"/>
                <w:sz w:val="21"/>
                <w:szCs w:val="21"/>
              </w:rPr>
            </w:pPr>
            <w:r>
              <w:rPr>
                <w:rFonts w:ascii="Arial"/>
                <w:sz w:val="21"/>
              </w:rPr>
              <w:t>144</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47" w:right="0"/>
              <w:jc w:val="center"/>
              <w:rPr>
                <w:rFonts w:ascii="Arial" w:hAnsi="Arial" w:cs="Arial" w:eastAsia="Arial" w:hint="default"/>
                <w:sz w:val="21"/>
                <w:szCs w:val="21"/>
              </w:rPr>
            </w:pPr>
            <w:r>
              <w:rPr>
                <w:rFonts w:ascii="Arial"/>
                <w:spacing w:val="-15"/>
                <w:sz w:val="21"/>
              </w:rPr>
              <w:t>11</w:t>
            </w:r>
            <w:r>
              <w:rPr>
                <w:rFonts w:ascii="Arial"/>
                <w:sz w:val="21"/>
              </w:rPr>
            </w:r>
          </w:p>
        </w:tc>
      </w:tr>
      <w:tr>
        <w:trPr>
          <w:trHeight w:val="345" w:hRule="exact"/>
        </w:trPr>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6"/>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center"/>
              <w:rPr>
                <w:rFonts w:ascii="Arial" w:hAnsi="Arial" w:cs="Arial" w:eastAsia="Arial" w:hint="default"/>
                <w:sz w:val="21"/>
                <w:szCs w:val="21"/>
              </w:rPr>
            </w:pPr>
            <w:r>
              <w:rPr>
                <w:rFonts w:ascii="Arial"/>
                <w:sz w:val="21"/>
              </w:rPr>
              <w:t>1313</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64" w:right="0"/>
              <w:jc w:val="center"/>
              <w:rPr>
                <w:rFonts w:ascii="Arial" w:hAnsi="Arial" w:cs="Arial" w:eastAsia="Arial" w:hint="default"/>
                <w:sz w:val="21"/>
                <w:szCs w:val="21"/>
              </w:rPr>
            </w:pPr>
            <w:r>
              <w:rPr>
                <w:rFonts w:ascii="Arial"/>
                <w:sz w:val="21"/>
              </w:rPr>
              <w:t>100</w:t>
            </w:r>
          </w:p>
        </w:tc>
      </w:tr>
    </w:tbl>
    <w:p>
      <w:pPr>
        <w:spacing w:line="240" w:lineRule="auto" w:before="12"/>
        <w:rPr>
          <w:rFonts w:ascii="宋体" w:hAnsi="宋体" w:cs="宋体" w:eastAsia="宋体" w:hint="default"/>
          <w:sz w:val="24"/>
          <w:szCs w:val="24"/>
        </w:rPr>
      </w:pPr>
    </w:p>
    <w:p>
      <w:pPr>
        <w:spacing w:before="36"/>
        <w:ind w:left="758" w:right="178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、员工受教育程度构成如下：</w:t>
      </w:r>
    </w:p>
    <w:p>
      <w:pPr>
        <w:spacing w:line="240" w:lineRule="auto" w:before="10"/>
        <w:rPr>
          <w:rFonts w:ascii="宋体" w:hAnsi="宋体" w:cs="宋体" w:eastAsia="宋体" w:hint="default"/>
          <w:sz w:val="11"/>
          <w:szCs w:val="11"/>
        </w:rPr>
      </w:pPr>
    </w:p>
    <w:tbl>
      <w:tblPr>
        <w:tblW w:w="0" w:type="auto"/>
        <w:jc w:val="left"/>
        <w:tblInd w:w="879" w:type="dxa"/>
        <w:tblLayout w:type="fixed"/>
        <w:tblCellMar>
          <w:top w:w="0" w:type="dxa"/>
          <w:left w:w="0" w:type="dxa"/>
          <w:bottom w:w="0" w:type="dxa"/>
          <w:right w:w="0" w:type="dxa"/>
        </w:tblCellMar>
        <w:tblLook w:val="01E0"/>
      </w:tblPr>
      <w:tblGrid>
        <w:gridCol w:w="2290"/>
        <w:gridCol w:w="2120"/>
        <w:gridCol w:w="2732"/>
      </w:tblGrid>
      <w:tr>
        <w:trPr>
          <w:trHeight w:val="339"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11" w:lineRule="exact"/>
              <w:ind w:right="413"/>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120" w:type="dxa"/>
            <w:tcBorders>
              <w:top w:val="nil" w:sz="6" w:space="0" w:color="auto"/>
              <w:left w:val="nil" w:sz="6" w:space="0" w:color="auto"/>
              <w:bottom w:val="nil" w:sz="6" w:space="0" w:color="auto"/>
              <w:right w:val="nil" w:sz="6" w:space="0" w:color="auto"/>
            </w:tcBorders>
          </w:tcPr>
          <w:p>
            <w:pPr>
              <w:pStyle w:val="TableParagraph"/>
              <w:spacing w:line="211" w:lineRule="exact"/>
              <w:ind w:right="41"/>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732" w:type="dxa"/>
            <w:tcBorders>
              <w:top w:val="nil" w:sz="6" w:space="0" w:color="auto"/>
              <w:left w:val="nil" w:sz="6" w:space="0" w:color="auto"/>
              <w:bottom w:val="nil" w:sz="6" w:space="0" w:color="auto"/>
              <w:right w:val="nil" w:sz="6" w:space="0" w:color="auto"/>
            </w:tcBorders>
          </w:tcPr>
          <w:p>
            <w:pPr>
              <w:pStyle w:val="TableParagraph"/>
              <w:spacing w:line="226" w:lineRule="exact"/>
              <w:ind w:left="458" w:right="0"/>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55"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3"/>
              <w:jc w:val="center"/>
              <w:rPr>
                <w:rFonts w:ascii="宋体" w:hAnsi="宋体" w:cs="宋体" w:eastAsia="宋体" w:hint="default"/>
                <w:sz w:val="21"/>
                <w:szCs w:val="21"/>
              </w:rPr>
            </w:pPr>
            <w:r>
              <w:rPr>
                <w:rFonts w:ascii="宋体" w:hAnsi="宋体" w:cs="宋体" w:eastAsia="宋体" w:hint="default"/>
                <w:sz w:val="21"/>
                <w:szCs w:val="21"/>
              </w:rPr>
              <w:t>本科及本科以上</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
              <w:jc w:val="center"/>
              <w:rPr>
                <w:rFonts w:ascii="Arial" w:hAnsi="Arial" w:cs="Arial" w:eastAsia="Arial" w:hint="default"/>
                <w:sz w:val="21"/>
                <w:szCs w:val="21"/>
              </w:rPr>
            </w:pPr>
            <w:r>
              <w:rPr>
                <w:rFonts w:ascii="Arial"/>
                <w:sz w:val="21"/>
              </w:rPr>
              <w:t>254</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63" w:right="0"/>
              <w:jc w:val="center"/>
              <w:rPr>
                <w:rFonts w:ascii="Arial" w:hAnsi="Arial" w:cs="Arial" w:eastAsia="Arial" w:hint="default"/>
                <w:sz w:val="21"/>
                <w:szCs w:val="21"/>
              </w:rPr>
            </w:pPr>
            <w:r>
              <w:rPr>
                <w:rFonts w:ascii="Arial"/>
                <w:sz w:val="21"/>
              </w:rPr>
              <w:t>19</w:t>
            </w:r>
          </w:p>
        </w:tc>
      </w:tr>
      <w:tr>
        <w:trPr>
          <w:trHeight w:val="456"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3"/>
              <w:jc w:val="center"/>
              <w:rPr>
                <w:rFonts w:ascii="宋体" w:hAnsi="宋体" w:cs="宋体" w:eastAsia="宋体" w:hint="default"/>
                <w:sz w:val="21"/>
                <w:szCs w:val="21"/>
              </w:rPr>
            </w:pPr>
            <w:r>
              <w:rPr>
                <w:rFonts w:ascii="宋体" w:hAnsi="宋体" w:cs="宋体" w:eastAsia="宋体" w:hint="default"/>
                <w:sz w:val="21"/>
                <w:szCs w:val="21"/>
              </w:rPr>
              <w:t>大专</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3"/>
              <w:jc w:val="center"/>
              <w:rPr>
                <w:rFonts w:ascii="Arial" w:hAnsi="Arial" w:cs="Arial" w:eastAsia="Arial" w:hint="default"/>
                <w:sz w:val="21"/>
                <w:szCs w:val="21"/>
              </w:rPr>
            </w:pPr>
            <w:r>
              <w:rPr>
                <w:rFonts w:ascii="Arial"/>
                <w:sz w:val="21"/>
              </w:rPr>
              <w:t>422</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63" w:right="0"/>
              <w:jc w:val="center"/>
              <w:rPr>
                <w:rFonts w:ascii="Arial" w:hAnsi="Arial" w:cs="Arial" w:eastAsia="Arial" w:hint="default"/>
                <w:sz w:val="21"/>
                <w:szCs w:val="21"/>
              </w:rPr>
            </w:pPr>
            <w:r>
              <w:rPr>
                <w:rFonts w:ascii="Arial"/>
                <w:sz w:val="21"/>
              </w:rPr>
              <w:t>32</w:t>
            </w:r>
          </w:p>
        </w:tc>
      </w:tr>
      <w:tr>
        <w:trPr>
          <w:trHeight w:val="456"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1"/>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3"/>
              <w:jc w:val="center"/>
              <w:rPr>
                <w:rFonts w:ascii="Arial" w:hAnsi="Arial" w:cs="Arial" w:eastAsia="Arial" w:hint="default"/>
                <w:sz w:val="21"/>
                <w:szCs w:val="21"/>
              </w:rPr>
            </w:pPr>
            <w:r>
              <w:rPr>
                <w:rFonts w:ascii="Arial"/>
                <w:sz w:val="21"/>
              </w:rPr>
              <w:t>637</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63" w:right="0"/>
              <w:jc w:val="center"/>
              <w:rPr>
                <w:rFonts w:ascii="Arial" w:hAnsi="Arial" w:cs="Arial" w:eastAsia="Arial" w:hint="default"/>
                <w:sz w:val="21"/>
                <w:szCs w:val="21"/>
              </w:rPr>
            </w:pPr>
            <w:r>
              <w:rPr>
                <w:rFonts w:ascii="Arial"/>
                <w:sz w:val="21"/>
              </w:rPr>
              <w:t>49</w:t>
            </w:r>
          </w:p>
        </w:tc>
      </w:tr>
      <w:tr>
        <w:trPr>
          <w:trHeight w:val="338"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3"/>
              <w:jc w:val="center"/>
              <w:rPr>
                <w:rFonts w:ascii="宋体" w:hAnsi="宋体" w:cs="宋体" w:eastAsia="宋体" w:hint="default"/>
                <w:sz w:val="21"/>
                <w:szCs w:val="21"/>
              </w:rPr>
            </w:pPr>
            <w:r>
              <w:rPr>
                <w:rFonts w:ascii="宋体" w:hAnsi="宋体" w:cs="宋体" w:eastAsia="宋体" w:hint="default"/>
                <w:sz w:val="21"/>
                <w:szCs w:val="21"/>
              </w:rPr>
              <w:t>合计</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1"/>
              <w:jc w:val="center"/>
              <w:rPr>
                <w:rFonts w:ascii="Arial" w:hAnsi="Arial" w:cs="Arial" w:eastAsia="Arial" w:hint="default"/>
                <w:sz w:val="21"/>
                <w:szCs w:val="21"/>
              </w:rPr>
            </w:pPr>
            <w:r>
              <w:rPr>
                <w:rFonts w:ascii="Arial"/>
                <w:sz w:val="21"/>
              </w:rPr>
              <w:t>1313</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60" w:right="0"/>
              <w:jc w:val="center"/>
              <w:rPr>
                <w:rFonts w:ascii="Arial" w:hAnsi="Arial" w:cs="Arial" w:eastAsia="Arial" w:hint="default"/>
                <w:sz w:val="21"/>
                <w:szCs w:val="21"/>
              </w:rPr>
            </w:pPr>
            <w:r>
              <w:rPr>
                <w:rFonts w:ascii="Arial"/>
                <w:sz w:val="21"/>
              </w:rPr>
              <w:t>100</w:t>
            </w:r>
          </w:p>
        </w:tc>
      </w:tr>
    </w:tbl>
    <w:p>
      <w:pPr>
        <w:spacing w:line="240" w:lineRule="auto" w:before="3"/>
        <w:rPr>
          <w:rFonts w:ascii="宋体" w:hAnsi="宋体" w:cs="宋体" w:eastAsia="宋体" w:hint="default"/>
          <w:sz w:val="24"/>
          <w:szCs w:val="24"/>
        </w:rPr>
      </w:pPr>
    </w:p>
    <w:p>
      <w:pPr>
        <w:spacing w:before="36"/>
        <w:ind w:left="758" w:right="178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、本公司没有需承担费用的离退休员工。</w:t>
      </w:r>
    </w:p>
    <w:p>
      <w:pPr>
        <w:spacing w:after="0"/>
        <w:jc w:val="left"/>
        <w:rPr>
          <w:rFonts w:ascii="宋体" w:hAnsi="宋体" w:cs="宋体" w:eastAsia="宋体" w:hint="default"/>
          <w:sz w:val="21"/>
          <w:szCs w:val="21"/>
        </w:rPr>
        <w:sectPr>
          <w:pgSz w:w="11910" w:h="16840"/>
          <w:pgMar w:header="915" w:footer="1100" w:top="1100" w:bottom="1280" w:left="1460" w:right="0"/>
        </w:sectPr>
      </w:pPr>
    </w:p>
    <w:p>
      <w:pPr>
        <w:spacing w:line="240" w:lineRule="auto" w:before="0"/>
        <w:rPr>
          <w:rFonts w:ascii="宋体" w:hAnsi="宋体" w:cs="宋体" w:eastAsia="宋体" w:hint="default"/>
          <w:sz w:val="20"/>
          <w:szCs w:val="20"/>
        </w:rPr>
      </w:pPr>
      <w:r>
        <w:rPr/>
        <w:pict>
          <v:group style="position:absolute;margin-left:88.103996pt;margin-top:41.999985pt;width:419.25pt;height:16.3500pt;mso-position-horizontal-relative:page;mso-position-vertical-relative:page;z-index:157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tabs>
          <w:tab w:pos="1355" w:val="left" w:leader="none"/>
        </w:tabs>
        <w:spacing w:line="240" w:lineRule="auto"/>
        <w:ind w:right="1656"/>
        <w:jc w:val="center"/>
        <w:rPr>
          <w:b w:val="0"/>
          <w:bCs w:val="0"/>
        </w:rPr>
      </w:pPr>
      <w:bookmarkStart w:name="_TOC_250006" w:id="5"/>
      <w:r>
        <w:rPr>
          <w:w w:val="95"/>
        </w:rPr>
        <w:t>第五节</w:t>
        <w:tab/>
      </w:r>
      <w:r>
        <w:rPr/>
        <w:t>公司治理结构</w:t>
      </w:r>
      <w:bookmarkEnd w:id="5"/>
      <w:r>
        <w:rPr>
          <w:b w:val="0"/>
          <w:bCs w:val="0"/>
        </w:rPr>
      </w:r>
    </w:p>
    <w:p>
      <w:pPr>
        <w:spacing w:line="355" w:lineRule="auto" w:before="207"/>
        <w:ind w:left="558" w:right="1788" w:hanging="420"/>
        <w:jc w:val="left"/>
        <w:rPr>
          <w:rFonts w:ascii="宋体" w:hAnsi="宋体" w:cs="宋体" w:eastAsia="宋体" w:hint="default"/>
          <w:sz w:val="21"/>
          <w:szCs w:val="21"/>
        </w:rPr>
      </w:pPr>
      <w:r>
        <w:rPr>
          <w:rFonts w:ascii="宋体" w:hAnsi="宋体" w:cs="宋体" w:eastAsia="宋体" w:hint="default"/>
          <w:b/>
          <w:bCs/>
          <w:sz w:val="21"/>
          <w:szCs w:val="21"/>
        </w:rPr>
        <w:t>一、公司治理基本情况</w:t>
      </w:r>
      <w:r>
        <w:rPr>
          <w:rFonts w:ascii="宋体" w:hAnsi="宋体" w:cs="宋体" w:eastAsia="宋体" w:hint="default"/>
          <w:b/>
          <w:bCs/>
          <w:spacing w:val="-3"/>
          <w:w w:val="100"/>
          <w:sz w:val="21"/>
          <w:szCs w:val="21"/>
        </w:rPr>
        <w:t> </w:t>
      </w:r>
      <w:r>
        <w:rPr>
          <w:rFonts w:ascii="宋体" w:hAnsi="宋体" w:cs="宋体" w:eastAsia="宋体" w:hint="default"/>
          <w:spacing w:val="-19"/>
          <w:w w:val="100"/>
          <w:sz w:val="21"/>
          <w:szCs w:val="21"/>
        </w:rPr>
        <w:t>公司严格按照《公司法》、《证券法》、《上市公司治理准则》、《深圳证券交易所股票上市</w:t>
      </w:r>
    </w:p>
    <w:p>
      <w:pPr>
        <w:spacing w:line="357" w:lineRule="auto" w:before="32"/>
        <w:ind w:left="138" w:right="1680" w:firstLine="0"/>
        <w:jc w:val="left"/>
        <w:rPr>
          <w:rFonts w:ascii="宋体" w:hAnsi="宋体" w:cs="宋体" w:eastAsia="宋体" w:hint="default"/>
          <w:sz w:val="21"/>
          <w:szCs w:val="21"/>
        </w:rPr>
      </w:pPr>
      <w:r>
        <w:rPr>
          <w:rFonts w:ascii="宋体" w:hAnsi="宋体" w:cs="宋体" w:eastAsia="宋体" w:hint="default"/>
          <w:spacing w:val="-2"/>
          <w:sz w:val="21"/>
          <w:szCs w:val="21"/>
        </w:rPr>
        <w:t>规则》和中国证监会及深圳证券交易所颁布的其他相关法律法规的要求，制定《公司章程》</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7"/>
          <w:sz w:val="21"/>
          <w:szCs w:val="21"/>
        </w:rPr>
        <w:t>及其他内部控制规章制度，完善公司内部法人治理结构，健全内部管理制度，规范公司行为。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公司的治理结构符合中国证监会关于上市公司治理的相关规范性文件。</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、关于股东、股东大会</w:t>
      </w:r>
      <w:r>
        <w:rPr>
          <w:rFonts w:ascii="宋体" w:hAnsi="宋体" w:cs="宋体" w:eastAsia="宋体" w:hint="default"/>
          <w:sz w:val="21"/>
          <w:szCs w:val="21"/>
        </w:rPr>
      </w:r>
    </w:p>
    <w:p>
      <w:pPr>
        <w:spacing w:line="357" w:lineRule="auto" w:before="30"/>
        <w:ind w:left="138" w:right="1680" w:firstLine="419"/>
        <w:jc w:val="left"/>
        <w:rPr>
          <w:rFonts w:ascii="宋体" w:hAnsi="宋体" w:cs="宋体" w:eastAsia="宋体" w:hint="default"/>
          <w:sz w:val="21"/>
          <w:szCs w:val="21"/>
        </w:rPr>
      </w:pPr>
      <w:r>
        <w:rPr>
          <w:rFonts w:ascii="宋体" w:hAnsi="宋体" w:cs="宋体" w:eastAsia="宋体" w:hint="default"/>
          <w:spacing w:val="-4"/>
          <w:sz w:val="21"/>
          <w:szCs w:val="21"/>
        </w:rPr>
        <w:t>股东大会是公司的权力机构，依法行使下列职权：</w:t>
      </w:r>
      <w:r>
        <w:rPr>
          <w:rFonts w:ascii="宋体" w:hAnsi="宋体" w:cs="宋体" w:eastAsia="宋体" w:hint="default"/>
          <w:spacing w:val="-4"/>
          <w:sz w:val="21"/>
          <w:szCs w:val="21"/>
        </w:rPr>
        <w:t>1</w:t>
      </w:r>
      <w:r>
        <w:rPr>
          <w:rFonts w:ascii="宋体" w:hAnsi="宋体" w:cs="宋体" w:eastAsia="宋体" w:hint="default"/>
          <w:spacing w:val="-4"/>
          <w:sz w:val="21"/>
          <w:szCs w:val="21"/>
        </w:rPr>
        <w:t>）决定公司的经营方针和投资计划；</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）选举和更换非由职工代表担任的董事、监事，决定有关董事、监事的报酬事项；</w:t>
      </w:r>
      <w:r>
        <w:rPr>
          <w:rFonts w:ascii="宋体" w:hAnsi="宋体" w:cs="宋体" w:eastAsia="宋体" w:hint="default"/>
          <w:spacing w:val="-4"/>
          <w:sz w:val="21"/>
          <w:szCs w:val="21"/>
        </w:rPr>
        <w:t>3</w:t>
      </w:r>
      <w:r>
        <w:rPr>
          <w:rFonts w:ascii="宋体" w:hAnsi="宋体" w:cs="宋体" w:eastAsia="宋体" w:hint="default"/>
          <w:spacing w:val="-4"/>
          <w:sz w:val="21"/>
          <w:szCs w:val="21"/>
        </w:rPr>
        <w:t>）审议</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批准董事会的报告；</w:t>
      </w:r>
      <w:r>
        <w:rPr>
          <w:rFonts w:ascii="宋体" w:hAnsi="宋体" w:cs="宋体" w:eastAsia="宋体" w:hint="default"/>
          <w:sz w:val="21"/>
          <w:szCs w:val="21"/>
        </w:rPr>
        <w:t>4</w:t>
      </w:r>
      <w:r>
        <w:rPr>
          <w:rFonts w:ascii="宋体" w:hAnsi="宋体" w:cs="宋体" w:eastAsia="宋体" w:hint="default"/>
          <w:sz w:val="21"/>
          <w:szCs w:val="21"/>
        </w:rPr>
        <w:t>）审议批准监事会报告； </w:t>
      </w:r>
      <w:r>
        <w:rPr>
          <w:rFonts w:ascii="宋体" w:hAnsi="宋体" w:cs="宋体" w:eastAsia="宋体" w:hint="default"/>
          <w:sz w:val="21"/>
          <w:szCs w:val="21"/>
        </w:rPr>
        <w:t>5</w:t>
      </w:r>
      <w:r>
        <w:rPr>
          <w:rFonts w:ascii="宋体" w:hAnsi="宋体" w:cs="宋体" w:eastAsia="宋体" w:hint="default"/>
          <w:sz w:val="21"/>
          <w:szCs w:val="21"/>
        </w:rPr>
        <w:t>）审议批准公司的年度财务预算方案、决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算方案；</w:t>
      </w:r>
      <w:r>
        <w:rPr>
          <w:rFonts w:ascii="宋体" w:hAnsi="宋体" w:cs="宋体" w:eastAsia="宋体" w:hint="default"/>
          <w:spacing w:val="-4"/>
          <w:sz w:val="21"/>
          <w:szCs w:val="21"/>
        </w:rPr>
        <w:t>6</w:t>
      </w:r>
      <w:r>
        <w:rPr>
          <w:rFonts w:ascii="宋体" w:hAnsi="宋体" w:cs="宋体" w:eastAsia="宋体" w:hint="default"/>
          <w:spacing w:val="-4"/>
          <w:sz w:val="21"/>
          <w:szCs w:val="21"/>
        </w:rPr>
        <w:t>）审议批准公司的利润分配方案和弥补亏损方案；</w:t>
      </w:r>
      <w:r>
        <w:rPr>
          <w:rFonts w:ascii="宋体" w:hAnsi="宋体" w:cs="宋体" w:eastAsia="宋体" w:hint="default"/>
          <w:spacing w:val="-4"/>
          <w:sz w:val="21"/>
          <w:szCs w:val="21"/>
        </w:rPr>
        <w:t>7</w:t>
      </w:r>
      <w:r>
        <w:rPr>
          <w:rFonts w:ascii="宋体" w:hAnsi="宋体" w:cs="宋体" w:eastAsia="宋体" w:hint="default"/>
          <w:spacing w:val="-4"/>
          <w:sz w:val="21"/>
          <w:szCs w:val="21"/>
        </w:rPr>
        <w:t>）对公司增加或者减少注册资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本作出决议；</w:t>
      </w:r>
      <w:r>
        <w:rPr>
          <w:rFonts w:ascii="宋体" w:hAnsi="宋体" w:cs="宋体" w:eastAsia="宋体" w:hint="default"/>
          <w:spacing w:val="-4"/>
          <w:sz w:val="21"/>
          <w:szCs w:val="21"/>
        </w:rPr>
        <w:t>8</w:t>
      </w:r>
      <w:r>
        <w:rPr>
          <w:rFonts w:ascii="宋体" w:hAnsi="宋体" w:cs="宋体" w:eastAsia="宋体" w:hint="default"/>
          <w:spacing w:val="-4"/>
          <w:sz w:val="21"/>
          <w:szCs w:val="21"/>
        </w:rPr>
        <w:t>）对发行公司债券作出决议；</w:t>
      </w:r>
      <w:r>
        <w:rPr>
          <w:rFonts w:ascii="宋体" w:hAnsi="宋体" w:cs="宋体" w:eastAsia="宋体" w:hint="default"/>
          <w:spacing w:val="-4"/>
          <w:sz w:val="21"/>
          <w:szCs w:val="21"/>
        </w:rPr>
        <w:t>9</w:t>
      </w:r>
      <w:r>
        <w:rPr>
          <w:rFonts w:ascii="宋体" w:hAnsi="宋体" w:cs="宋体" w:eastAsia="宋体" w:hint="default"/>
          <w:spacing w:val="-4"/>
          <w:sz w:val="21"/>
          <w:szCs w:val="21"/>
        </w:rPr>
        <w:t>）对公司合并、分立、解散、清算或者变更公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司形式作出决议；</w:t>
      </w:r>
      <w:r>
        <w:rPr>
          <w:rFonts w:ascii="宋体" w:hAnsi="宋体" w:cs="宋体" w:eastAsia="宋体" w:hint="default"/>
          <w:spacing w:val="-4"/>
          <w:sz w:val="21"/>
          <w:szCs w:val="21"/>
        </w:rPr>
        <w:t>10</w:t>
      </w:r>
      <w:r>
        <w:rPr>
          <w:rFonts w:ascii="宋体" w:hAnsi="宋体" w:cs="宋体" w:eastAsia="宋体" w:hint="default"/>
          <w:spacing w:val="-4"/>
          <w:sz w:val="21"/>
          <w:szCs w:val="21"/>
        </w:rPr>
        <w:t>）修改公司章程；</w:t>
      </w:r>
      <w:r>
        <w:rPr>
          <w:rFonts w:ascii="宋体" w:hAnsi="宋体" w:cs="宋体" w:eastAsia="宋体" w:hint="default"/>
          <w:spacing w:val="-4"/>
          <w:sz w:val="21"/>
          <w:szCs w:val="21"/>
        </w:rPr>
        <w:t>11</w:t>
      </w:r>
      <w:r>
        <w:rPr>
          <w:rFonts w:ascii="宋体" w:hAnsi="宋体" w:cs="宋体" w:eastAsia="宋体" w:hint="default"/>
          <w:spacing w:val="-4"/>
          <w:sz w:val="21"/>
          <w:szCs w:val="21"/>
        </w:rPr>
        <w:t>）对公司聘用、解聘会计师事务所作出决议；</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4"/>
          <w:sz w:val="21"/>
          <w:szCs w:val="21"/>
        </w:rPr>
        <w:t>审议批准公司章程规定的担保事项；</w:t>
      </w:r>
      <w:r>
        <w:rPr>
          <w:rFonts w:ascii="宋体" w:hAnsi="宋体" w:cs="宋体" w:eastAsia="宋体" w:hint="default"/>
          <w:spacing w:val="-4"/>
          <w:sz w:val="21"/>
          <w:szCs w:val="21"/>
        </w:rPr>
        <w:t>13</w:t>
      </w:r>
      <w:r>
        <w:rPr>
          <w:rFonts w:ascii="宋体" w:hAnsi="宋体" w:cs="宋体" w:eastAsia="宋体" w:hint="default"/>
          <w:spacing w:val="-4"/>
          <w:sz w:val="21"/>
          <w:szCs w:val="21"/>
        </w:rPr>
        <w:t>）审议公司在一年内购买、出售重大资产超过公司最</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近一期经审计总资产</w:t>
      </w:r>
      <w:r>
        <w:rPr>
          <w:rFonts w:ascii="宋体" w:hAnsi="宋体" w:cs="宋体" w:eastAsia="宋体" w:hint="default"/>
          <w:spacing w:val="-35"/>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的事项；</w:t>
      </w:r>
      <w:r>
        <w:rPr>
          <w:rFonts w:ascii="宋体" w:hAnsi="宋体" w:cs="宋体" w:eastAsia="宋体" w:hint="default"/>
          <w:spacing w:val="-3"/>
          <w:sz w:val="21"/>
          <w:szCs w:val="21"/>
        </w:rPr>
        <w:t>14</w:t>
      </w:r>
      <w:r>
        <w:rPr>
          <w:rFonts w:ascii="宋体" w:hAnsi="宋体" w:cs="宋体" w:eastAsia="宋体" w:hint="default"/>
          <w:spacing w:val="-3"/>
          <w:sz w:val="21"/>
          <w:szCs w:val="21"/>
        </w:rPr>
        <w:t>）审议批准变更募集资金用途事项；</w:t>
      </w:r>
      <w:r>
        <w:rPr>
          <w:rFonts w:ascii="宋体" w:hAnsi="宋体" w:cs="宋体" w:eastAsia="宋体" w:hint="default"/>
          <w:spacing w:val="-3"/>
          <w:sz w:val="21"/>
          <w:szCs w:val="21"/>
        </w:rPr>
        <w:t>15</w:t>
      </w:r>
      <w:r>
        <w:rPr>
          <w:rFonts w:ascii="宋体" w:hAnsi="宋体" w:cs="宋体" w:eastAsia="宋体" w:hint="default"/>
          <w:spacing w:val="-3"/>
          <w:sz w:val="21"/>
          <w:szCs w:val="21"/>
        </w:rPr>
        <w:t>）审议批准股权</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激励计划；</w:t>
      </w:r>
      <w:r>
        <w:rPr>
          <w:rFonts w:ascii="宋体" w:hAnsi="宋体" w:cs="宋体" w:eastAsia="宋体" w:hint="default"/>
          <w:spacing w:val="-4"/>
          <w:sz w:val="21"/>
          <w:szCs w:val="21"/>
        </w:rPr>
        <w:t>16</w:t>
      </w:r>
      <w:r>
        <w:rPr>
          <w:rFonts w:ascii="宋体" w:hAnsi="宋体" w:cs="宋体" w:eastAsia="宋体" w:hint="default"/>
          <w:spacing w:val="-4"/>
          <w:sz w:val="21"/>
          <w:szCs w:val="21"/>
        </w:rPr>
        <w:t>）审议批准重大关联交易事项；</w:t>
      </w:r>
      <w:r>
        <w:rPr>
          <w:rFonts w:ascii="宋体" w:hAnsi="宋体" w:cs="宋体" w:eastAsia="宋体" w:hint="default"/>
          <w:spacing w:val="-4"/>
          <w:sz w:val="21"/>
          <w:szCs w:val="21"/>
        </w:rPr>
        <w:t>17</w:t>
      </w:r>
      <w:r>
        <w:rPr>
          <w:rFonts w:ascii="宋体" w:hAnsi="宋体" w:cs="宋体" w:eastAsia="宋体" w:hint="default"/>
          <w:spacing w:val="-4"/>
          <w:sz w:val="21"/>
          <w:szCs w:val="21"/>
        </w:rPr>
        <w:t>）审议法律、行政法规、部门规章或公司章</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程规定的应当由股东大会决定的其他事项。</w:t>
      </w:r>
    </w:p>
    <w:p>
      <w:pPr>
        <w:spacing w:line="357" w:lineRule="auto" w:before="30"/>
        <w:ind w:left="138" w:right="1791" w:firstLine="419"/>
        <w:jc w:val="both"/>
        <w:rPr>
          <w:rFonts w:ascii="宋体" w:hAnsi="宋体" w:cs="宋体" w:eastAsia="宋体" w:hint="default"/>
          <w:sz w:val="21"/>
          <w:szCs w:val="21"/>
        </w:rPr>
      </w:pPr>
      <w:r>
        <w:rPr>
          <w:rFonts w:ascii="宋体" w:hAnsi="宋体" w:cs="宋体" w:eastAsia="宋体" w:hint="default"/>
          <w:spacing w:val="-4"/>
          <w:sz w:val="21"/>
          <w:szCs w:val="21"/>
        </w:rPr>
        <w:t>本公司还依据《公司法》、《公司章程》、《上市公司治理准则》等文件制定了《股东</w:t>
      </w:r>
      <w:r>
        <w:rPr>
          <w:rFonts w:ascii="宋体" w:hAnsi="宋体" w:cs="宋体" w:eastAsia="宋体" w:hint="default"/>
          <w:w w:val="100"/>
          <w:sz w:val="21"/>
          <w:szCs w:val="21"/>
        </w:rPr>
        <w:t> </w:t>
      </w:r>
      <w:r>
        <w:rPr>
          <w:rFonts w:ascii="宋体" w:hAnsi="宋体" w:cs="宋体" w:eastAsia="宋体" w:hint="default"/>
          <w:spacing w:val="-4"/>
          <w:sz w:val="21"/>
          <w:szCs w:val="21"/>
        </w:rPr>
        <w:t>大会议事规则》，对股东大会的权力、召开程序、提案、表决、对中小股东权益的保护等方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面作了具体的规定。</w:t>
      </w:r>
    </w:p>
    <w:p>
      <w:pPr>
        <w:spacing w:line="355" w:lineRule="auto" w:before="30"/>
        <w:ind w:left="558" w:right="1789"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、控股股东与公司</w:t>
      </w:r>
      <w:r>
        <w:rPr>
          <w:rFonts w:ascii="宋体" w:hAnsi="宋体" w:cs="宋体" w:eastAsia="宋体" w:hint="default"/>
          <w:b/>
          <w:bCs/>
          <w:spacing w:val="-103"/>
          <w:sz w:val="21"/>
          <w:szCs w:val="21"/>
        </w:rPr>
        <w:t> </w:t>
      </w:r>
      <w:r>
        <w:rPr>
          <w:rFonts w:ascii="宋体" w:hAnsi="宋体" w:cs="宋体" w:eastAsia="宋体" w:hint="default"/>
          <w:spacing w:val="-15"/>
          <w:w w:val="100"/>
          <w:sz w:val="21"/>
          <w:szCs w:val="21"/>
        </w:rPr>
        <w:t>公司控股股东严格根据《上市公司治理准则》、《深圳证券交易所股票上市规则》、《公司</w:t>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章程》规范股东行为，通过股东大会行使股东权利，未发生超越股东大会及董事会而直接干</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预公司经营与决策的行为。</w:t>
      </w:r>
    </w:p>
    <w:p>
      <w:pPr>
        <w:spacing w:line="357" w:lineRule="auto" w:before="30"/>
        <w:ind w:left="558" w:right="1782"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、关于董事与董事会</w:t>
      </w:r>
      <w:r>
        <w:rPr>
          <w:rFonts w:ascii="宋体" w:hAnsi="宋体" w:cs="宋体" w:eastAsia="宋体" w:hint="default"/>
          <w:b/>
          <w:bCs/>
          <w:spacing w:val="-103"/>
          <w:sz w:val="21"/>
          <w:szCs w:val="21"/>
        </w:rPr>
        <w:t> </w:t>
      </w:r>
      <w:r>
        <w:rPr>
          <w:rFonts w:ascii="宋体" w:hAnsi="宋体" w:cs="宋体" w:eastAsia="宋体" w:hint="default"/>
          <w:spacing w:val="-9"/>
          <w:w w:val="100"/>
          <w:sz w:val="21"/>
          <w:szCs w:val="21"/>
        </w:rPr>
        <w:t>公司严格按照《公司法》、《公司章程》及《上市公司股东大会规范性意见》等相关法律</w:t>
      </w:r>
    </w:p>
    <w:p>
      <w:pPr>
        <w:spacing w:before="30"/>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法规选举产生董事人选，董事会人数及人员构成符合法律法规的要求。公司董事会严格按照</w:t>
      </w:r>
    </w:p>
    <w:p>
      <w:pPr>
        <w:spacing w:line="357" w:lineRule="auto" w:before="133"/>
        <w:ind w:left="138" w:right="0" w:firstLine="0"/>
        <w:jc w:val="left"/>
        <w:rPr>
          <w:rFonts w:ascii="宋体" w:hAnsi="宋体" w:cs="宋体" w:eastAsia="宋体" w:hint="default"/>
          <w:sz w:val="21"/>
          <w:szCs w:val="21"/>
        </w:rPr>
      </w:pPr>
      <w:r>
        <w:rPr>
          <w:rFonts w:ascii="宋体" w:hAnsi="宋体" w:cs="宋体" w:eastAsia="宋体" w:hint="default"/>
          <w:spacing w:val="-9"/>
          <w:w w:val="100"/>
          <w:sz w:val="21"/>
          <w:szCs w:val="21"/>
        </w:rPr>
        <w:t>《公司章程》、《独立董事制度》及《董事会议事规则》《中小企业板块上市公司董事行为指</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2"/>
          <w:sz w:val="21"/>
          <w:szCs w:val="21"/>
        </w:rPr>
        <w:t>引》等相关规定召集召开董事会，各董事认真出席董事会，认真审议各项议案，履行职责，</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勤勉尽责。独立董事独立履行职责，维护公司整体利益，尤其关注中小股东的合法权益不受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损害，对重要及重大事项发表独立意见。</w:t>
      </w:r>
    </w:p>
    <w:p>
      <w:pPr>
        <w:spacing w:before="3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、关于监事与监事会</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138" w:right="1783" w:firstLine="419"/>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15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9"/>
          <w:w w:val="100"/>
          <w:sz w:val="21"/>
          <w:szCs w:val="21"/>
        </w:rPr>
        <w:t>公司严格按照《公司法》、《公司章程》及《上市公司股东大会规范性意见》等相关法律</w:t>
      </w:r>
      <w:r>
        <w:rPr>
          <w:rFonts w:ascii="宋体" w:hAnsi="宋体" w:cs="宋体" w:eastAsia="宋体" w:hint="default"/>
          <w:w w:val="100"/>
          <w:sz w:val="21"/>
          <w:szCs w:val="21"/>
        </w:rPr>
        <w:t> </w:t>
      </w:r>
      <w:r>
        <w:rPr>
          <w:rFonts w:ascii="宋体" w:hAnsi="宋体" w:cs="宋体" w:eastAsia="宋体" w:hint="default"/>
          <w:spacing w:val="-4"/>
          <w:sz w:val="21"/>
          <w:szCs w:val="21"/>
        </w:rPr>
        <w:t>法规选举产生监事人选，监事会人数及人员构成符合法律法规的要求。公司监事会严格按照</w:t>
      </w:r>
    </w:p>
    <w:p>
      <w:pPr>
        <w:spacing w:line="355" w:lineRule="auto" w:before="30"/>
        <w:ind w:left="138" w:right="1680" w:firstLine="0"/>
        <w:jc w:val="left"/>
        <w:rPr>
          <w:rFonts w:ascii="宋体" w:hAnsi="宋体" w:cs="宋体" w:eastAsia="宋体" w:hint="default"/>
          <w:sz w:val="21"/>
          <w:szCs w:val="21"/>
        </w:rPr>
      </w:pPr>
      <w:r>
        <w:rPr>
          <w:rFonts w:ascii="宋体" w:hAnsi="宋体" w:cs="宋体" w:eastAsia="宋体" w:hint="default"/>
          <w:spacing w:val="-2"/>
          <w:sz w:val="21"/>
          <w:szCs w:val="21"/>
        </w:rPr>
        <w:t>《公司章程》及《监事会议事规则》等相关规定召集召开监事会，各监事认真出席监事会，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认真履行职责，对公司重大事项、关联交易、财务状况等进行监督并发表意见。</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、关于公司与投资者</w:t>
      </w:r>
      <w:r>
        <w:rPr>
          <w:rFonts w:ascii="宋体" w:hAnsi="宋体" w:cs="宋体" w:eastAsia="宋体" w:hint="default"/>
          <w:sz w:val="21"/>
          <w:szCs w:val="21"/>
        </w:rPr>
      </w:r>
    </w:p>
    <w:p>
      <w:pPr>
        <w:spacing w:line="355" w:lineRule="auto" w:before="34"/>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为了加强与投资者的双向沟通，公司制定了《投资者关系管理制度》，依托巨潮资讯中</w:t>
      </w:r>
      <w:r>
        <w:rPr>
          <w:rFonts w:ascii="宋体" w:hAnsi="宋体" w:cs="宋体" w:eastAsia="宋体" w:hint="default"/>
          <w:w w:val="100"/>
          <w:sz w:val="21"/>
          <w:szCs w:val="21"/>
        </w:rPr>
        <w:t> </w:t>
      </w:r>
      <w:r>
        <w:rPr>
          <w:rFonts w:ascii="宋体" w:hAnsi="宋体" w:cs="宋体" w:eastAsia="宋体" w:hint="default"/>
          <w:sz w:val="21"/>
          <w:szCs w:val="21"/>
        </w:rPr>
        <w:t>小企业路演网建立了与投资者的沟通平台，公司明确了投资者关系管理的职能部门和负责</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人，组织实施投资者关系的日常管理工作。</w:t>
      </w:r>
    </w:p>
    <w:p>
      <w:pPr>
        <w:spacing w:line="355" w:lineRule="auto" w:before="32"/>
        <w:ind w:left="558" w:right="1782"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9"/>
          <w:w w:val="100"/>
          <w:sz w:val="21"/>
          <w:szCs w:val="21"/>
        </w:rPr>
        <w:t>公司根据《公司章程》、《深圳证券交易所股票上市规则》和中国证监会及深圳证券交易</w:t>
      </w:r>
    </w:p>
    <w:p>
      <w:pPr>
        <w:spacing w:line="355" w:lineRule="auto" w:before="35"/>
        <w:ind w:left="138" w:right="1788" w:firstLine="0"/>
        <w:jc w:val="both"/>
        <w:rPr>
          <w:rFonts w:ascii="宋体" w:hAnsi="宋体" w:cs="宋体" w:eastAsia="宋体" w:hint="default"/>
          <w:sz w:val="21"/>
          <w:szCs w:val="21"/>
        </w:rPr>
      </w:pPr>
      <w:r>
        <w:rPr>
          <w:rFonts w:ascii="宋体" w:hAnsi="宋体" w:cs="宋体" w:eastAsia="宋体" w:hint="default"/>
          <w:spacing w:val="-4"/>
          <w:sz w:val="21"/>
          <w:szCs w:val="21"/>
        </w:rPr>
        <w:t>所的相关法律法规的要求，认真履行信息披露义务。公司指定《证券时报》和“巨潮网”为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公司信息披露的报纸和网站，真实、准确、及时地披露公司信息，确保公司所有股东公平地</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获得公司相关信息。</w:t>
      </w:r>
    </w:p>
    <w:p>
      <w:pPr>
        <w:spacing w:line="355" w:lineRule="auto" w:before="32"/>
        <w:ind w:left="558" w:right="1789" w:hanging="42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、关于相关利益者</w:t>
      </w:r>
      <w:r>
        <w:rPr>
          <w:rFonts w:ascii="宋体" w:hAnsi="宋体" w:cs="宋体" w:eastAsia="宋体" w:hint="default"/>
          <w:b/>
          <w:bCs/>
          <w:spacing w:val="-103"/>
          <w:sz w:val="21"/>
          <w:szCs w:val="21"/>
        </w:rPr>
        <w:t> </w:t>
      </w:r>
      <w:r>
        <w:rPr>
          <w:rFonts w:ascii="宋体" w:hAnsi="宋体" w:cs="宋体" w:eastAsia="宋体" w:hint="default"/>
          <w:spacing w:val="-4"/>
          <w:sz w:val="21"/>
          <w:szCs w:val="21"/>
        </w:rPr>
        <w:t>公司充分尊重和维护相关利益者的合法权益，积极与相关利益者合作，加强与各方的沟</w:t>
      </w:r>
    </w:p>
    <w:p>
      <w:pPr>
        <w:spacing w:line="355" w:lineRule="auto" w:before="34"/>
        <w:ind w:left="558" w:right="0" w:hanging="420"/>
        <w:jc w:val="left"/>
        <w:rPr>
          <w:rFonts w:ascii="宋体" w:hAnsi="宋体" w:cs="宋体" w:eastAsia="宋体" w:hint="default"/>
          <w:sz w:val="21"/>
          <w:szCs w:val="21"/>
        </w:rPr>
      </w:pPr>
      <w:r>
        <w:rPr>
          <w:rFonts w:ascii="宋体" w:hAnsi="宋体" w:cs="宋体" w:eastAsia="宋体" w:hint="default"/>
          <w:spacing w:val="-7"/>
          <w:sz w:val="21"/>
          <w:szCs w:val="21"/>
        </w:rPr>
        <w:t>通和交流，实现股东、员工、社会等各方利益的均衡，以推动公司持续、稳定、健康地发展。</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w w:val="100"/>
          <w:sz w:val="21"/>
          <w:szCs w:val="21"/>
        </w:rPr>
        <w:t>公司治理的实际情况与中国证监会有关上市公司治理的规范性文件要求基本符合。公司</w:t>
      </w:r>
    </w:p>
    <w:p>
      <w:pPr>
        <w:spacing w:line="355" w:lineRule="auto" w:before="32"/>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根据新版《深圳证券交易所股票上市规则》的规定，已组织修改和制定包括《公司章程》在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内的公司相关的内部管理文件。</w:t>
      </w:r>
    </w:p>
    <w:p>
      <w:pPr>
        <w:spacing w:before="3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二、公司治理情况</w:t>
      </w:r>
      <w:r>
        <w:rPr>
          <w:rFonts w:ascii="宋体" w:hAnsi="宋体" w:cs="宋体" w:eastAsia="宋体" w:hint="default"/>
          <w:sz w:val="21"/>
          <w:szCs w:val="21"/>
        </w:rPr>
      </w:r>
    </w:p>
    <w:p>
      <w:pPr>
        <w:spacing w:before="133"/>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007</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日</w:t>
      </w:r>
      <w:r>
        <w:rPr>
          <w:rFonts w:ascii="宋体" w:hAnsi="宋体" w:cs="宋体" w:eastAsia="宋体" w:hint="default"/>
          <w:spacing w:val="-92"/>
          <w:w w:val="100"/>
          <w:sz w:val="21"/>
          <w:szCs w:val="21"/>
        </w:rPr>
        <w:t>，</w:t>
      </w:r>
      <w:r>
        <w:rPr>
          <w:rFonts w:ascii="宋体" w:hAnsi="宋体" w:cs="宋体" w:eastAsia="宋体" w:hint="default"/>
          <w:w w:val="100"/>
          <w:sz w:val="21"/>
          <w:szCs w:val="21"/>
        </w:rPr>
        <w:t>我</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治</w:t>
      </w:r>
      <w:r>
        <w:rPr>
          <w:rFonts w:ascii="宋体" w:hAnsi="宋体" w:cs="宋体" w:eastAsia="宋体" w:hint="default"/>
          <w:spacing w:val="-3"/>
          <w:w w:val="100"/>
          <w:sz w:val="21"/>
          <w:szCs w:val="21"/>
        </w:rPr>
        <w:t>理</w:t>
      </w:r>
      <w:r>
        <w:rPr>
          <w:rFonts w:ascii="宋体" w:hAnsi="宋体" w:cs="宋体" w:eastAsia="宋体" w:hint="default"/>
          <w:w w:val="100"/>
          <w:sz w:val="21"/>
          <w:szCs w:val="21"/>
        </w:rPr>
        <w:t>专</w:t>
      </w:r>
      <w:r>
        <w:rPr>
          <w:rFonts w:ascii="宋体" w:hAnsi="宋体" w:cs="宋体" w:eastAsia="宋体" w:hint="default"/>
          <w:spacing w:val="-3"/>
          <w:w w:val="100"/>
          <w:sz w:val="21"/>
          <w:szCs w:val="21"/>
        </w:rPr>
        <w:t>项活</w:t>
      </w:r>
      <w:r>
        <w:rPr>
          <w:rFonts w:ascii="宋体" w:hAnsi="宋体" w:cs="宋体" w:eastAsia="宋体" w:hint="default"/>
          <w:w w:val="100"/>
          <w:sz w:val="21"/>
          <w:szCs w:val="21"/>
        </w:rPr>
        <w:t>动中</w:t>
      </w:r>
      <w:r>
        <w:rPr>
          <w:rFonts w:ascii="宋体" w:hAnsi="宋体" w:cs="宋体" w:eastAsia="宋体" w:hint="default"/>
          <w:spacing w:val="-3"/>
          <w:w w:val="100"/>
          <w:sz w:val="21"/>
          <w:szCs w:val="21"/>
        </w:rPr>
        <w:t>所</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问</w:t>
      </w:r>
      <w:r>
        <w:rPr>
          <w:rFonts w:ascii="宋体" w:hAnsi="宋体" w:cs="宋体" w:eastAsia="宋体" w:hint="default"/>
          <w:spacing w:val="-3"/>
          <w:w w:val="100"/>
          <w:sz w:val="21"/>
          <w:szCs w:val="21"/>
        </w:rPr>
        <w:t>题</w:t>
      </w:r>
      <w:r>
        <w:rPr>
          <w:rFonts w:ascii="宋体" w:hAnsi="宋体" w:cs="宋体" w:eastAsia="宋体" w:hint="default"/>
          <w:w w:val="100"/>
          <w:sz w:val="21"/>
          <w:szCs w:val="21"/>
        </w:rPr>
        <w:t>的</w:t>
      </w:r>
      <w:r>
        <w:rPr>
          <w:rFonts w:ascii="宋体" w:hAnsi="宋体" w:cs="宋体" w:eastAsia="宋体" w:hint="default"/>
          <w:spacing w:val="-3"/>
          <w:w w:val="100"/>
          <w:sz w:val="21"/>
          <w:szCs w:val="21"/>
        </w:rPr>
        <w:t>整</w:t>
      </w:r>
      <w:r>
        <w:rPr>
          <w:rFonts w:ascii="宋体" w:hAnsi="宋体" w:cs="宋体" w:eastAsia="宋体" w:hint="default"/>
          <w:w w:val="100"/>
          <w:sz w:val="21"/>
          <w:szCs w:val="21"/>
        </w:rPr>
        <w:t>改</w:t>
      </w:r>
      <w:r>
        <w:rPr>
          <w:rFonts w:ascii="宋体" w:hAnsi="宋体" w:cs="宋体" w:eastAsia="宋体" w:hint="default"/>
          <w:spacing w:val="-3"/>
          <w:w w:val="100"/>
          <w:sz w:val="21"/>
          <w:szCs w:val="21"/>
        </w:rPr>
        <w:t>工</w:t>
      </w:r>
      <w:r>
        <w:rPr>
          <w:rFonts w:ascii="宋体" w:hAnsi="宋体" w:cs="宋体" w:eastAsia="宋体" w:hint="default"/>
          <w:w w:val="100"/>
          <w:sz w:val="21"/>
          <w:szCs w:val="21"/>
        </w:rPr>
        <w:t>作已</w:t>
      </w:r>
      <w:r>
        <w:rPr>
          <w:rFonts w:ascii="宋体" w:hAnsi="宋体" w:cs="宋体" w:eastAsia="宋体" w:hint="default"/>
          <w:spacing w:val="-3"/>
          <w:w w:val="100"/>
          <w:sz w:val="21"/>
          <w:szCs w:val="21"/>
        </w:rPr>
        <w:t>基</w:t>
      </w:r>
      <w:r>
        <w:rPr>
          <w:rFonts w:ascii="宋体" w:hAnsi="宋体" w:cs="宋体" w:eastAsia="宋体" w:hint="default"/>
          <w:w w:val="100"/>
          <w:sz w:val="21"/>
          <w:szCs w:val="21"/>
        </w:rPr>
        <w:t>本</w:t>
      </w:r>
    </w:p>
    <w:p>
      <w:pPr>
        <w:spacing w:line="355" w:lineRule="auto" w:before="133"/>
        <w:ind w:left="138" w:right="1784" w:firstLine="0"/>
        <w:jc w:val="left"/>
        <w:rPr>
          <w:rFonts w:ascii="宋体" w:hAnsi="宋体" w:cs="宋体" w:eastAsia="宋体" w:hint="default"/>
          <w:sz w:val="21"/>
          <w:szCs w:val="21"/>
        </w:rPr>
      </w:pPr>
      <w:r>
        <w:rPr>
          <w:rFonts w:ascii="宋体" w:hAnsi="宋体" w:cs="宋体" w:eastAsia="宋体" w:hint="default"/>
          <w:sz w:val="21"/>
          <w:szCs w:val="21"/>
        </w:rPr>
        <w:t>完成。为持续规范公司法人治理结构，我公司在</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年对企业内部控制制度进行了完善和</w:t>
      </w:r>
      <w:r>
        <w:rPr>
          <w:rFonts w:ascii="宋体" w:hAnsi="宋体" w:cs="宋体" w:eastAsia="宋体" w:hint="default"/>
          <w:w w:val="100"/>
          <w:sz w:val="21"/>
          <w:szCs w:val="21"/>
        </w:rPr>
        <w:t> </w:t>
      </w:r>
      <w:r>
        <w:rPr>
          <w:rFonts w:ascii="宋体" w:hAnsi="宋体" w:cs="宋体" w:eastAsia="宋体" w:hint="default"/>
          <w:spacing w:val="-4"/>
          <w:w w:val="100"/>
          <w:sz w:val="21"/>
          <w:szCs w:val="21"/>
        </w:rPr>
        <w:t>补充，制定了《内幕信息知情人管理制度》和《年报信息披露重大差错责任追究制度》。</w:t>
      </w:r>
      <w:r>
        <w:rPr>
          <w:rFonts w:ascii="宋体" w:hAnsi="宋体" w:cs="宋体" w:eastAsia="宋体" w:hint="default"/>
          <w:w w:val="100"/>
          <w:sz w:val="21"/>
          <w:szCs w:val="21"/>
        </w:rPr>
        <w:t> </w:t>
      </w:r>
      <w:r>
        <w:rPr>
          <w:rFonts w:ascii="宋体" w:hAnsi="宋体" w:cs="宋体" w:eastAsia="宋体" w:hint="default"/>
          <w:b/>
          <w:bCs/>
          <w:sz w:val="21"/>
          <w:szCs w:val="21"/>
        </w:rPr>
        <w:t>三、董事长、独立董事及其他董事履职情况</w:t>
      </w:r>
      <w:r>
        <w:rPr>
          <w:rFonts w:ascii="宋体" w:hAnsi="宋体" w:cs="宋体" w:eastAsia="宋体" w:hint="default"/>
          <w:sz w:val="21"/>
          <w:szCs w:val="21"/>
        </w:rPr>
      </w:r>
    </w:p>
    <w:p>
      <w:pPr>
        <w:spacing w:before="34"/>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期内</w:t>
      </w:r>
      <w:r>
        <w:rPr>
          <w:rFonts w:ascii="宋体" w:hAnsi="宋体" w:cs="宋体" w:eastAsia="宋体" w:hint="default"/>
          <w:spacing w:val="-75"/>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事长</w:t>
      </w:r>
      <w:r>
        <w:rPr>
          <w:rFonts w:ascii="宋体" w:hAnsi="宋体" w:cs="宋体" w:eastAsia="宋体" w:hint="default"/>
          <w:spacing w:val="-75"/>
          <w:w w:val="100"/>
          <w:sz w:val="21"/>
          <w:szCs w:val="21"/>
        </w:rPr>
        <w:t>、</w:t>
      </w:r>
      <w:r>
        <w:rPr>
          <w:rFonts w:ascii="宋体" w:hAnsi="宋体" w:cs="宋体" w:eastAsia="宋体" w:hint="default"/>
          <w:spacing w:val="-3"/>
          <w:w w:val="100"/>
          <w:sz w:val="21"/>
          <w:szCs w:val="21"/>
        </w:rPr>
        <w:t>独</w:t>
      </w:r>
      <w:r>
        <w:rPr>
          <w:rFonts w:ascii="宋体" w:hAnsi="宋体" w:cs="宋体" w:eastAsia="宋体" w:hint="default"/>
          <w:w w:val="100"/>
          <w:sz w:val="21"/>
          <w:szCs w:val="21"/>
        </w:rPr>
        <w:t>立董</w:t>
      </w:r>
      <w:r>
        <w:rPr>
          <w:rFonts w:ascii="宋体" w:hAnsi="宋体" w:cs="宋体" w:eastAsia="宋体" w:hint="default"/>
          <w:spacing w:val="-3"/>
          <w:w w:val="100"/>
          <w:sz w:val="21"/>
          <w:szCs w:val="21"/>
        </w:rPr>
        <w:t>事</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严</w:t>
      </w:r>
      <w:r>
        <w:rPr>
          <w:rFonts w:ascii="宋体" w:hAnsi="宋体" w:cs="宋体" w:eastAsia="宋体" w:hint="default"/>
          <w:w w:val="100"/>
          <w:sz w:val="21"/>
          <w:szCs w:val="21"/>
        </w:rPr>
        <w:t>格</w:t>
      </w:r>
      <w:r>
        <w:rPr>
          <w:rFonts w:ascii="宋体" w:hAnsi="宋体" w:cs="宋体" w:eastAsia="宋体" w:hint="default"/>
          <w:spacing w:val="-3"/>
          <w:w w:val="100"/>
          <w:sz w:val="21"/>
          <w:szCs w:val="21"/>
        </w:rPr>
        <w:t>按</w:t>
      </w:r>
      <w:r>
        <w:rPr>
          <w:rFonts w:ascii="宋体" w:hAnsi="宋体" w:cs="宋体" w:eastAsia="宋体" w:hint="default"/>
          <w:spacing w:val="-75"/>
          <w:w w:val="100"/>
          <w:sz w:val="21"/>
          <w:szCs w:val="21"/>
        </w:rPr>
        <w:t>照</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章程</w:t>
      </w:r>
      <w:r>
        <w:rPr>
          <w:rFonts w:ascii="宋体" w:hAnsi="宋体" w:cs="宋体" w:eastAsia="宋体" w:hint="default"/>
          <w:spacing w:val="-106"/>
          <w:w w:val="100"/>
          <w:sz w:val="21"/>
          <w:szCs w:val="21"/>
        </w:rPr>
        <w:t>》</w:t>
      </w:r>
      <w:r>
        <w:rPr>
          <w:rFonts w:ascii="宋体" w:hAnsi="宋体" w:cs="宋体" w:eastAsia="宋体" w:hint="default"/>
          <w:spacing w:val="-18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事规</w:t>
      </w:r>
      <w:r>
        <w:rPr>
          <w:rFonts w:ascii="宋体" w:hAnsi="宋体" w:cs="宋体" w:eastAsia="宋体" w:hint="default"/>
          <w:spacing w:val="-3"/>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55" w:lineRule="auto" w:before="133"/>
        <w:ind w:left="138" w:right="1789" w:firstLine="0"/>
        <w:jc w:val="left"/>
        <w:rPr>
          <w:rFonts w:ascii="宋体" w:hAnsi="宋体" w:cs="宋体" w:eastAsia="宋体" w:hint="default"/>
          <w:sz w:val="21"/>
          <w:szCs w:val="21"/>
        </w:rPr>
      </w:pPr>
      <w:r>
        <w:rPr>
          <w:rFonts w:ascii="宋体" w:hAnsi="宋体" w:cs="宋体" w:eastAsia="宋体" w:hint="default"/>
          <w:spacing w:val="-4"/>
          <w:sz w:val="21"/>
          <w:szCs w:val="21"/>
        </w:rPr>
        <w:t>《独立董事工作细则》及其他有关法律法规制度的规定和要求，恪尽职守、诚实守信地履行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职责。</w:t>
      </w:r>
    </w:p>
    <w:p>
      <w:pPr>
        <w:spacing w:line="357" w:lineRule="auto" w:before="32"/>
        <w:ind w:left="138" w:right="0" w:firstLine="419"/>
        <w:jc w:val="left"/>
        <w:rPr>
          <w:rFonts w:ascii="宋体" w:hAnsi="宋体" w:cs="宋体" w:eastAsia="宋体" w:hint="default"/>
          <w:sz w:val="21"/>
          <w:szCs w:val="21"/>
        </w:rPr>
      </w:pPr>
      <w:r>
        <w:rPr>
          <w:rFonts w:ascii="宋体" w:hAnsi="宋体" w:cs="宋体" w:eastAsia="宋体" w:hint="default"/>
          <w:spacing w:val="-7"/>
          <w:w w:val="100"/>
          <w:sz w:val="21"/>
          <w:szCs w:val="21"/>
        </w:rPr>
        <w:t>董事长全力加强董事会建设，严格按照董事会集体决策机制，决定公司的重大经营事项，</w:t>
      </w:r>
      <w:r>
        <w:rPr>
          <w:rFonts w:ascii="宋体" w:hAnsi="宋体" w:cs="宋体" w:eastAsia="宋体" w:hint="default"/>
          <w:w w:val="100"/>
          <w:sz w:val="21"/>
          <w:szCs w:val="21"/>
        </w:rPr>
        <w:t> </w:t>
      </w:r>
      <w:r>
        <w:rPr>
          <w:rFonts w:ascii="宋体" w:hAnsi="宋体" w:cs="宋体" w:eastAsia="宋体" w:hint="default"/>
          <w:spacing w:val="-7"/>
          <w:sz w:val="21"/>
          <w:szCs w:val="21"/>
        </w:rPr>
        <w:t>并严格执行股东大会的决议。公司现有独立董事三名，其中两名为会计专业人士。报告期内，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9"/>
          <w:w w:val="100"/>
          <w:sz w:val="21"/>
          <w:szCs w:val="21"/>
        </w:rPr>
        <w:t>公司的独立董事能按照有关法律、法规、《公司章程》、《独立董事制度》的规定勤勉地履行</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4"/>
          <w:sz w:val="21"/>
          <w:szCs w:val="21"/>
        </w:rPr>
        <w:t>职责，以认真负责的态度出席</w:t>
      </w:r>
      <w:r>
        <w:rPr>
          <w:rFonts w:ascii="宋体" w:hAnsi="宋体" w:cs="宋体" w:eastAsia="宋体" w:hint="default"/>
          <w:spacing w:val="-38"/>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年度</w:t>
      </w:r>
      <w:r>
        <w:rPr>
          <w:rFonts w:ascii="宋体" w:hAnsi="宋体" w:cs="宋体" w:eastAsia="宋体" w:hint="default"/>
          <w:spacing w:val="-40"/>
          <w:sz w:val="21"/>
          <w:szCs w:val="21"/>
        </w:rPr>
        <w:t> </w:t>
      </w:r>
      <w:r>
        <w:rPr>
          <w:rFonts w:ascii="宋体" w:hAnsi="宋体" w:cs="宋体" w:eastAsia="宋体" w:hint="default"/>
          <w:sz w:val="21"/>
          <w:szCs w:val="21"/>
        </w:rPr>
        <w:t>9</w:t>
      </w:r>
      <w:r>
        <w:rPr>
          <w:rFonts w:ascii="宋体" w:hAnsi="宋体" w:cs="宋体" w:eastAsia="宋体" w:hint="default"/>
          <w:spacing w:val="-38"/>
          <w:sz w:val="21"/>
          <w:szCs w:val="21"/>
        </w:rPr>
        <w:t> </w:t>
      </w:r>
      <w:r>
        <w:rPr>
          <w:rFonts w:ascii="宋体" w:hAnsi="宋体" w:cs="宋体" w:eastAsia="宋体" w:hint="default"/>
          <w:spacing w:val="-5"/>
          <w:sz w:val="21"/>
          <w:szCs w:val="21"/>
        </w:rPr>
        <w:t>次董事会。公司独立董事能恪尽职守、勤勉尽责，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详细了解公司整个生产运作情况，对公司重大事项发表了独立意见，对董事会决策的公正公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平及保护中小投资者利益起到了积极作用。其他董事也严格遵守各项规定，尽职尽责，切实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维护公司及股东利益。</w:t>
      </w:r>
    </w:p>
    <w:p>
      <w:pPr>
        <w:spacing w:before="30"/>
        <w:ind w:left="452" w:right="0" w:firstLine="0"/>
        <w:jc w:val="left"/>
        <w:rPr>
          <w:rFonts w:ascii="宋体" w:hAnsi="宋体" w:cs="宋体" w:eastAsia="宋体" w:hint="default"/>
          <w:sz w:val="21"/>
          <w:szCs w:val="21"/>
        </w:rPr>
      </w:pPr>
      <w:r>
        <w:rPr>
          <w:rFonts w:ascii="宋体" w:hAnsi="宋体" w:cs="宋体" w:eastAsia="宋体" w:hint="default"/>
          <w:sz w:val="21"/>
          <w:szCs w:val="21"/>
        </w:rPr>
        <w:t>报告期内公司第二届和第三届董事会共召开了</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次会议，董事出席会议情况如下：</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240" w:lineRule="auto" w:before="12"/>
        <w:rPr>
          <w:rFonts w:ascii="宋体" w:hAnsi="宋体" w:cs="宋体" w:eastAsia="宋体" w:hint="default"/>
          <w:sz w:val="2"/>
          <w:szCs w:val="2"/>
        </w:rPr>
      </w:pPr>
      <w:r>
        <w:rPr/>
        <w:pict>
          <v:shape style="position:absolute;margin-left:90.150002pt;margin-top:41.999985pt;width:18pt;height:15.75pt;mso-position-horizontal-relative:page;mso-position-vertical-relative:page;z-index:-746128" type="#_x0000_t75" stroked="false">
            <v:imagedata r:id="rId7" o:title=""/>
          </v:shape>
        </w:pict>
      </w:r>
    </w:p>
    <w:tbl>
      <w:tblPr>
        <w:tblW w:w="0" w:type="auto"/>
        <w:jc w:val="left"/>
        <w:tblInd w:w="113" w:type="dxa"/>
        <w:tblLayout w:type="fixed"/>
        <w:tblCellMar>
          <w:top w:w="0" w:type="dxa"/>
          <w:left w:w="0" w:type="dxa"/>
          <w:bottom w:w="0" w:type="dxa"/>
          <w:right w:w="0" w:type="dxa"/>
        </w:tblCellMar>
        <w:tblLook w:val="01E0"/>
      </w:tblPr>
      <w:tblGrid>
        <w:gridCol w:w="955"/>
        <w:gridCol w:w="1138"/>
        <w:gridCol w:w="638"/>
        <w:gridCol w:w="943"/>
        <w:gridCol w:w="1157"/>
        <w:gridCol w:w="840"/>
        <w:gridCol w:w="840"/>
        <w:gridCol w:w="1364"/>
        <w:gridCol w:w="465"/>
      </w:tblGrid>
      <w:tr>
        <w:trPr>
          <w:trHeight w:val="484" w:hRule="exact"/>
        </w:trPr>
        <w:tc>
          <w:tcPr>
            <w:tcW w:w="95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10"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13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03"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63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1" w:right="0" w:hanging="89"/>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43"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157"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2" w:right="0" w:hanging="89"/>
              <w:jc w:val="left"/>
              <w:rPr>
                <w:rFonts w:ascii="宋体" w:hAnsi="宋体" w:cs="宋体" w:eastAsia="宋体" w:hint="default"/>
                <w:sz w:val="18"/>
                <w:szCs w:val="18"/>
              </w:rPr>
            </w:pPr>
            <w:r>
              <w:rPr>
                <w:rFonts w:ascii="宋体" w:hAnsi="宋体" w:cs="宋体" w:eastAsia="宋体" w:hint="default"/>
                <w:sz w:val="18"/>
                <w:szCs w:val="18"/>
              </w:rPr>
              <w:t>以通讯方式参</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加会议次数</w:t>
            </w:r>
          </w:p>
        </w:tc>
        <w:tc>
          <w:tcPr>
            <w:tcW w:w="84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次数</w:t>
            </w:r>
          </w:p>
        </w:tc>
        <w:tc>
          <w:tcPr>
            <w:tcW w:w="84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55"/>
              <w:jc w:val="right"/>
              <w:rPr>
                <w:rFonts w:ascii="宋体" w:hAnsi="宋体" w:cs="宋体" w:eastAsia="宋体" w:hint="default"/>
                <w:sz w:val="18"/>
                <w:szCs w:val="18"/>
              </w:rPr>
            </w:pPr>
            <w:r>
              <w:rPr>
                <w:rFonts w:ascii="宋体" w:hAnsi="宋体" w:cs="宋体" w:eastAsia="宋体" w:hint="default"/>
                <w:sz w:val="18"/>
                <w:szCs w:val="18"/>
              </w:rPr>
              <w:t>缺席次数</w:t>
            </w:r>
          </w:p>
        </w:tc>
        <w:tc>
          <w:tcPr>
            <w:tcW w:w="1364"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4" w:right="0" w:hanging="89"/>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亲自出席会议</w:t>
            </w:r>
          </w:p>
        </w:tc>
        <w:tc>
          <w:tcPr>
            <w:tcW w:w="465" w:type="dxa"/>
            <w:vMerge w:val="restart"/>
            <w:tcBorders>
              <w:top w:val="single" w:sz="6" w:space="0" w:color="000000"/>
              <w:left w:val="single" w:sz="10" w:space="0" w:color="DCDCDC"/>
              <w:right w:val="nil" w:sz="6" w:space="0" w:color="auto"/>
            </w:tcBorders>
          </w:tcPr>
          <w:p>
            <w:pP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谷望江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5" w:type="dxa"/>
            <w:vMerge/>
            <w:tcBorders>
              <w:left w:val="single" w:sz="10" w:space="0" w:color="DCDCDC"/>
              <w:right w:val="nil" w:sz="6" w:space="0" w:color="auto"/>
            </w:tcBorders>
          </w:tcPr>
          <w:p>
            <w:pPr/>
          </w:p>
        </w:tc>
      </w:tr>
      <w:tr>
        <w:trPr>
          <w:trHeight w:val="242" w:hRule="exact"/>
        </w:trPr>
        <w:tc>
          <w:tcPr>
            <w:tcW w:w="27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5144"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9</w:t>
            </w:r>
          </w:p>
        </w:tc>
        <w:tc>
          <w:tcPr>
            <w:tcW w:w="465" w:type="dxa"/>
            <w:vMerge/>
            <w:tcBorders>
              <w:left w:val="single" w:sz="10" w:space="0" w:color="DCDCDC"/>
              <w:right w:val="nil" w:sz="6" w:space="0" w:color="auto"/>
            </w:tcBorders>
          </w:tcPr>
          <w:p>
            <w:pPr/>
          </w:p>
        </w:tc>
      </w:tr>
      <w:tr>
        <w:trPr>
          <w:trHeight w:val="242" w:hRule="exact"/>
        </w:trPr>
        <w:tc>
          <w:tcPr>
            <w:tcW w:w="27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5144"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w:t>
            </w:r>
          </w:p>
        </w:tc>
        <w:tc>
          <w:tcPr>
            <w:tcW w:w="465" w:type="dxa"/>
            <w:vMerge/>
            <w:tcBorders>
              <w:left w:val="single" w:sz="10" w:space="0" w:color="DCDCDC"/>
              <w:right w:val="nil" w:sz="6" w:space="0" w:color="auto"/>
            </w:tcBorders>
          </w:tcPr>
          <w:p>
            <w:pPr/>
          </w:p>
        </w:tc>
      </w:tr>
      <w:tr>
        <w:trPr>
          <w:trHeight w:val="245" w:hRule="exact"/>
        </w:trPr>
        <w:tc>
          <w:tcPr>
            <w:tcW w:w="27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5144"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465" w:type="dxa"/>
            <w:vMerge/>
            <w:tcBorders>
              <w:left w:val="single" w:sz="10" w:space="0" w:color="DCDCDC"/>
              <w:right w:val="nil" w:sz="6" w:space="0" w:color="auto"/>
            </w:tcBorders>
          </w:tcPr>
          <w:p>
            <w:pPr/>
          </w:p>
        </w:tc>
      </w:tr>
      <w:tr>
        <w:trPr>
          <w:trHeight w:val="242" w:hRule="exact"/>
        </w:trPr>
        <w:tc>
          <w:tcPr>
            <w:tcW w:w="273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5144"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465" w:type="dxa"/>
            <w:vMerge/>
            <w:tcBorders>
              <w:left w:val="single" w:sz="10" w:space="0" w:color="DCDCDC"/>
              <w:bottom w:val="nil" w:sz="6" w:space="0" w:color="auto"/>
              <w:right w:val="nil" w:sz="6" w:space="0" w:color="auto"/>
            </w:tcBorders>
          </w:tcPr>
          <w:p>
            <w:pPr/>
          </w:p>
        </w:tc>
      </w:tr>
    </w:tbl>
    <w:p>
      <w:pPr>
        <w:spacing w:line="241" w:lineRule="exact" w:before="0"/>
        <w:ind w:left="538" w:right="1788" w:firstLine="0"/>
        <w:jc w:val="left"/>
        <w:rPr>
          <w:rFonts w:ascii="宋体" w:hAnsi="宋体" w:cs="宋体" w:eastAsia="宋体" w:hint="default"/>
          <w:sz w:val="21"/>
          <w:szCs w:val="21"/>
        </w:rPr>
      </w:pPr>
      <w:r>
        <w:rPr>
          <w:rFonts w:ascii="宋体" w:hAnsi="宋体" w:cs="宋体" w:eastAsia="宋体" w:hint="default"/>
          <w:sz w:val="21"/>
          <w:szCs w:val="21"/>
        </w:rPr>
        <w:t>报告期内，公司现任独立董事对公司董事会议案及公司其他事项没有提出异议。</w:t>
      </w:r>
    </w:p>
    <w:p>
      <w:pPr>
        <w:spacing w:line="357" w:lineRule="auto" w:before="135"/>
        <w:ind w:left="538" w:right="754" w:hanging="420"/>
        <w:jc w:val="left"/>
        <w:rPr>
          <w:rFonts w:ascii="宋体" w:hAnsi="宋体" w:cs="宋体" w:eastAsia="宋体" w:hint="default"/>
          <w:sz w:val="21"/>
          <w:szCs w:val="21"/>
        </w:rPr>
      </w:pPr>
      <w:r>
        <w:rPr>
          <w:rFonts w:ascii="宋体" w:hAnsi="宋体" w:cs="宋体" w:eastAsia="宋体" w:hint="default"/>
          <w:b/>
          <w:bCs/>
          <w:sz w:val="21"/>
          <w:szCs w:val="21"/>
        </w:rPr>
        <w:t>四、公司与控股股东在业务、人员、资产、机构、财务等方面的情况</w:t>
      </w:r>
      <w:r>
        <w:rPr>
          <w:rFonts w:ascii="宋体" w:hAnsi="宋体" w:cs="宋体" w:eastAsia="宋体" w:hint="default"/>
          <w:b/>
          <w:bCs/>
          <w:w w:val="100"/>
          <w:sz w:val="21"/>
          <w:szCs w:val="21"/>
        </w:rPr>
        <w:t> </w:t>
      </w:r>
      <w:r>
        <w:rPr>
          <w:rFonts w:ascii="宋体" w:hAnsi="宋体" w:cs="宋体" w:eastAsia="宋体" w:hint="default"/>
          <w:spacing w:val="-7"/>
          <w:sz w:val="21"/>
          <w:szCs w:val="21"/>
        </w:rPr>
        <w:t>公司具备完整、规范的产、供、销生产经营管理体制和运行机制，在业务、人员、资产、</w:t>
      </w:r>
    </w:p>
    <w:p>
      <w:pPr>
        <w:spacing w:before="30"/>
        <w:ind w:left="118" w:right="1788" w:firstLine="0"/>
        <w:jc w:val="left"/>
        <w:rPr>
          <w:rFonts w:ascii="宋体" w:hAnsi="宋体" w:cs="宋体" w:eastAsia="宋体" w:hint="default"/>
          <w:sz w:val="21"/>
          <w:szCs w:val="21"/>
        </w:rPr>
      </w:pPr>
      <w:r>
        <w:rPr>
          <w:rFonts w:ascii="宋体" w:hAnsi="宋体" w:cs="宋体" w:eastAsia="宋体" w:hint="default"/>
          <w:sz w:val="21"/>
          <w:szCs w:val="21"/>
        </w:rPr>
        <w:t>机构、财务等方面与股东单位完全分开，独立运作。</w:t>
      </w:r>
    </w:p>
    <w:p>
      <w:pPr>
        <w:spacing w:line="357" w:lineRule="auto" w:before="133"/>
        <w:ind w:left="538" w:right="1778" w:hanging="420"/>
        <w:jc w:val="left"/>
        <w:rPr>
          <w:rFonts w:ascii="宋体" w:hAnsi="宋体" w:cs="宋体" w:eastAsia="宋体" w:hint="default"/>
          <w:sz w:val="21"/>
          <w:szCs w:val="21"/>
        </w:rPr>
      </w:pPr>
      <w:r>
        <w:rPr>
          <w:rFonts w:ascii="宋体" w:hAnsi="宋体" w:cs="宋体" w:eastAsia="宋体" w:hint="default"/>
          <w:sz w:val="21"/>
          <w:szCs w:val="21"/>
        </w:rPr>
        <w:t>（一）业务独立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公司具有完整的采购供应体系、完整的生产管理体系和独立的销售运作体系，</w:t>
      </w:r>
      <w:r>
        <w:rPr>
          <w:rFonts w:ascii="宋体" w:hAnsi="宋体" w:cs="宋体" w:eastAsia="宋体" w:hint="default"/>
          <w:spacing w:val="15"/>
          <w:sz w:val="21"/>
          <w:szCs w:val="21"/>
        </w:rPr>
        <w:t> </w:t>
      </w:r>
      <w:r>
        <w:rPr>
          <w:rFonts w:ascii="宋体" w:hAnsi="宋体" w:cs="宋体" w:eastAsia="宋体" w:hint="default"/>
          <w:sz w:val="21"/>
          <w:szCs w:val="21"/>
        </w:rPr>
        <w:t>独立开</w:t>
      </w:r>
    </w:p>
    <w:p>
      <w:pPr>
        <w:spacing w:before="30"/>
        <w:ind w:left="118" w:right="1788" w:firstLine="0"/>
        <w:jc w:val="left"/>
        <w:rPr>
          <w:rFonts w:ascii="宋体" w:hAnsi="宋体" w:cs="宋体" w:eastAsia="宋体" w:hint="default"/>
          <w:sz w:val="21"/>
          <w:szCs w:val="21"/>
        </w:rPr>
      </w:pPr>
      <w:r>
        <w:rPr>
          <w:rFonts w:ascii="宋体" w:hAnsi="宋体" w:cs="宋体" w:eastAsia="宋体" w:hint="default"/>
          <w:sz w:val="21"/>
          <w:szCs w:val="21"/>
        </w:rPr>
        <w:t>展业务，不依赖于任何股东及关联方。</w:t>
      </w:r>
    </w:p>
    <w:p>
      <w:pPr>
        <w:spacing w:line="355" w:lineRule="auto" w:before="133"/>
        <w:ind w:left="538" w:right="1788" w:hanging="420"/>
        <w:jc w:val="left"/>
        <w:rPr>
          <w:rFonts w:ascii="宋体" w:hAnsi="宋体" w:cs="宋体" w:eastAsia="宋体" w:hint="default"/>
          <w:sz w:val="21"/>
          <w:szCs w:val="21"/>
        </w:rPr>
      </w:pPr>
      <w:r>
        <w:rPr>
          <w:rFonts w:ascii="宋体" w:hAnsi="宋体" w:cs="宋体" w:eastAsia="宋体" w:hint="default"/>
          <w:sz w:val="21"/>
          <w:szCs w:val="21"/>
        </w:rPr>
        <w:t>（二）人员独立</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本公司董事、监事及高级管理人员严格按照《公司法》《公司章程》的有关规定产生；</w:t>
      </w:r>
    </w:p>
    <w:p>
      <w:pPr>
        <w:spacing w:line="357" w:lineRule="auto" w:before="32"/>
        <w:ind w:left="118" w:right="1788" w:firstLine="0"/>
        <w:jc w:val="left"/>
        <w:rPr>
          <w:rFonts w:ascii="宋体" w:hAnsi="宋体" w:cs="宋体" w:eastAsia="宋体" w:hint="default"/>
          <w:sz w:val="21"/>
          <w:szCs w:val="21"/>
        </w:rPr>
      </w:pPr>
      <w:r>
        <w:rPr>
          <w:rFonts w:ascii="宋体" w:hAnsi="宋体" w:cs="宋体" w:eastAsia="宋体" w:hint="default"/>
          <w:spacing w:val="-4"/>
          <w:w w:val="100"/>
          <w:sz w:val="21"/>
          <w:szCs w:val="21"/>
        </w:rPr>
        <w:t>公司建有独立的人事及工资管理系统；公司还制订了严格的《人事管理制度》，人员管理做</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到了制度化。</w:t>
      </w:r>
    </w:p>
    <w:p>
      <w:pPr>
        <w:spacing w:line="355" w:lineRule="auto" w:before="30"/>
        <w:ind w:left="538" w:right="1788" w:hanging="420"/>
        <w:jc w:val="left"/>
        <w:rPr>
          <w:rFonts w:ascii="宋体" w:hAnsi="宋体" w:cs="宋体" w:eastAsia="宋体" w:hint="default"/>
          <w:sz w:val="21"/>
          <w:szCs w:val="21"/>
        </w:rPr>
      </w:pPr>
      <w:r>
        <w:rPr>
          <w:rFonts w:ascii="宋体" w:hAnsi="宋体" w:cs="宋体" w:eastAsia="宋体" w:hint="default"/>
          <w:sz w:val="21"/>
          <w:szCs w:val="21"/>
        </w:rPr>
        <w:t>（三）资产独立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本公司的主要资产包括主营业务所需的完整的生产设备、土地、厂房、办公用房、仓储</w:t>
      </w:r>
    </w:p>
    <w:p>
      <w:pPr>
        <w:spacing w:line="355" w:lineRule="auto" w:before="32"/>
        <w:ind w:left="118" w:right="1788" w:firstLine="0"/>
        <w:jc w:val="left"/>
        <w:rPr>
          <w:rFonts w:ascii="宋体" w:hAnsi="宋体" w:cs="宋体" w:eastAsia="宋体" w:hint="default"/>
          <w:sz w:val="21"/>
          <w:szCs w:val="21"/>
        </w:rPr>
      </w:pPr>
      <w:r>
        <w:rPr>
          <w:rFonts w:ascii="宋体" w:hAnsi="宋体" w:cs="宋体" w:eastAsia="宋体" w:hint="default"/>
          <w:spacing w:val="-4"/>
          <w:sz w:val="21"/>
          <w:szCs w:val="21"/>
        </w:rPr>
        <w:t>用房、交通工具和知识产权，具有完整的配套设施。上述资产产权清晰，完全独立于股东单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位。</w:t>
      </w:r>
    </w:p>
    <w:p>
      <w:pPr>
        <w:spacing w:line="355" w:lineRule="auto" w:before="34"/>
        <w:ind w:left="538" w:right="754" w:hanging="420"/>
        <w:jc w:val="left"/>
        <w:rPr>
          <w:rFonts w:ascii="宋体" w:hAnsi="宋体" w:cs="宋体" w:eastAsia="宋体" w:hint="default"/>
          <w:sz w:val="21"/>
          <w:szCs w:val="21"/>
        </w:rPr>
      </w:pPr>
      <w:r>
        <w:rPr>
          <w:rFonts w:ascii="宋体" w:hAnsi="宋体" w:cs="宋体" w:eastAsia="宋体" w:hint="default"/>
          <w:sz w:val="21"/>
          <w:szCs w:val="21"/>
        </w:rPr>
        <w:t>（四）机构独立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本公司设股东大会、董事会、监事会，按照《公司章程》的规定履行相关权利和义务。</w:t>
      </w:r>
    </w:p>
    <w:p>
      <w:pPr>
        <w:spacing w:line="355" w:lineRule="auto" w:before="32"/>
        <w:ind w:left="118" w:right="1788" w:firstLine="0"/>
        <w:jc w:val="left"/>
        <w:rPr>
          <w:rFonts w:ascii="宋体" w:hAnsi="宋体" w:cs="宋体" w:eastAsia="宋体" w:hint="default"/>
          <w:sz w:val="21"/>
          <w:szCs w:val="21"/>
        </w:rPr>
      </w:pPr>
      <w:r>
        <w:rPr>
          <w:rFonts w:ascii="宋体" w:hAnsi="宋体" w:cs="宋体" w:eastAsia="宋体" w:hint="default"/>
          <w:spacing w:val="-4"/>
          <w:sz w:val="21"/>
          <w:szCs w:val="21"/>
        </w:rPr>
        <w:t>公司拥有独立的组织机构，拥有独立的运作、管理和考核机制。公司总经理、副总经理、董</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事会秘书、财务总监均在公司领取报酬。</w:t>
      </w:r>
    </w:p>
    <w:p>
      <w:pPr>
        <w:spacing w:line="355" w:lineRule="auto" w:before="35"/>
        <w:ind w:left="538" w:right="1788" w:hanging="420"/>
        <w:jc w:val="left"/>
        <w:rPr>
          <w:rFonts w:ascii="宋体" w:hAnsi="宋体" w:cs="宋体" w:eastAsia="宋体" w:hint="default"/>
          <w:sz w:val="21"/>
          <w:szCs w:val="21"/>
        </w:rPr>
      </w:pPr>
      <w:r>
        <w:rPr>
          <w:rFonts w:ascii="宋体" w:hAnsi="宋体" w:cs="宋体" w:eastAsia="宋体" w:hint="default"/>
          <w:sz w:val="21"/>
          <w:szCs w:val="21"/>
        </w:rPr>
        <w:t>（五）财务独立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公司设有独立的财务部门，建立独立的财务会计核算体系和财务管理制度，财务人员与</w:t>
      </w:r>
    </w:p>
    <w:p>
      <w:pPr>
        <w:spacing w:line="355" w:lineRule="auto" w:before="32"/>
        <w:ind w:left="118" w:right="1788" w:firstLine="0"/>
        <w:jc w:val="left"/>
        <w:rPr>
          <w:rFonts w:ascii="宋体" w:hAnsi="宋体" w:cs="宋体" w:eastAsia="宋体" w:hint="default"/>
          <w:sz w:val="21"/>
          <w:szCs w:val="21"/>
        </w:rPr>
      </w:pPr>
      <w:r>
        <w:rPr>
          <w:rFonts w:ascii="宋体" w:hAnsi="宋体" w:cs="宋体" w:eastAsia="宋体" w:hint="default"/>
          <w:spacing w:val="-4"/>
          <w:sz w:val="21"/>
          <w:szCs w:val="21"/>
        </w:rPr>
        <w:t>股东单位完全独立，不存在交叉任职情况。公司独立开设银行帐户，作为独立的纳税人依法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独立纳税。</w:t>
      </w:r>
    </w:p>
    <w:p>
      <w:pPr>
        <w:spacing w:line="357" w:lineRule="auto" w:before="32"/>
        <w:ind w:left="538" w:right="1788" w:hanging="420"/>
        <w:jc w:val="left"/>
        <w:rPr>
          <w:rFonts w:ascii="宋体" w:hAnsi="宋体" w:cs="宋体" w:eastAsia="宋体" w:hint="default"/>
          <w:sz w:val="21"/>
          <w:szCs w:val="21"/>
        </w:rPr>
      </w:pPr>
      <w:r>
        <w:rPr>
          <w:rFonts w:ascii="宋体" w:hAnsi="宋体" w:cs="宋体" w:eastAsia="宋体" w:hint="default"/>
          <w:b/>
          <w:bCs/>
          <w:sz w:val="21"/>
          <w:szCs w:val="21"/>
        </w:rPr>
        <w:t>五、公司内部控制制度的建设和执行情况</w:t>
      </w:r>
      <w:r>
        <w:rPr>
          <w:rFonts w:ascii="宋体" w:hAnsi="宋体" w:cs="宋体" w:eastAsia="宋体" w:hint="default"/>
          <w:b/>
          <w:bCs/>
          <w:w w:val="100"/>
          <w:sz w:val="21"/>
          <w:szCs w:val="21"/>
        </w:rPr>
        <w:t> </w:t>
      </w:r>
      <w:r>
        <w:rPr>
          <w:rFonts w:ascii="宋体" w:hAnsi="宋体" w:cs="宋体" w:eastAsia="宋体" w:hint="default"/>
          <w:spacing w:val="-4"/>
          <w:sz w:val="21"/>
          <w:szCs w:val="21"/>
        </w:rPr>
        <w:t>公司根据中国证监会关于规范公司治理结构的相关文件，建立健全了包括《股东大会议</w:t>
      </w:r>
    </w:p>
    <w:p>
      <w:pPr>
        <w:spacing w:before="30"/>
        <w:ind w:left="118" w:right="754" w:firstLine="0"/>
        <w:jc w:val="left"/>
        <w:rPr>
          <w:rFonts w:ascii="宋体" w:hAnsi="宋体" w:cs="宋体" w:eastAsia="宋体" w:hint="default"/>
          <w:sz w:val="21"/>
          <w:szCs w:val="21"/>
        </w:rPr>
      </w:pPr>
      <w:r>
        <w:rPr>
          <w:rFonts w:ascii="宋体" w:hAnsi="宋体" w:cs="宋体" w:eastAsia="宋体" w:hint="default"/>
          <w:w w:val="100"/>
          <w:sz w:val="21"/>
          <w:szCs w:val="21"/>
        </w:rPr>
        <w:t>事规</w:t>
      </w:r>
      <w:r>
        <w:rPr>
          <w:rFonts w:ascii="宋体" w:hAnsi="宋体" w:cs="宋体" w:eastAsia="宋体" w:hint="default"/>
          <w:spacing w:val="-3"/>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w:t>
      </w:r>
      <w:r>
        <w:rPr>
          <w:rFonts w:ascii="宋体" w:hAnsi="宋体" w:cs="宋体" w:eastAsia="宋体" w:hint="default"/>
          <w:spacing w:val="-3"/>
          <w:w w:val="100"/>
          <w:sz w:val="21"/>
          <w:szCs w:val="21"/>
        </w:rPr>
        <w:t>规</w:t>
      </w:r>
      <w:r>
        <w:rPr>
          <w:rFonts w:ascii="宋体" w:hAnsi="宋体" w:cs="宋体" w:eastAsia="宋体" w:hint="default"/>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w:t>
      </w:r>
      <w:r>
        <w:rPr>
          <w:rFonts w:ascii="宋体" w:hAnsi="宋体" w:cs="宋体" w:eastAsia="宋体" w:hint="default"/>
          <w:spacing w:val="-3"/>
          <w:w w:val="100"/>
          <w:sz w:val="21"/>
          <w:szCs w:val="21"/>
        </w:rPr>
        <w:t>规</w:t>
      </w:r>
      <w:r>
        <w:rPr>
          <w:rFonts w:ascii="宋体" w:hAnsi="宋体" w:cs="宋体" w:eastAsia="宋体" w:hint="default"/>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资金</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制度</w:t>
      </w:r>
      <w:r>
        <w:rPr>
          <w:rFonts w:ascii="宋体" w:hAnsi="宋体" w:cs="宋体" w:eastAsia="宋体" w:hint="default"/>
          <w:w w:val="100"/>
          <w:sz w:val="21"/>
          <w:szCs w:val="21"/>
        </w:rPr>
        <w:t>》</w:t>
      </w:r>
    </w:p>
    <w:p>
      <w:pPr>
        <w:spacing w:after="0"/>
        <w:jc w:val="left"/>
        <w:rPr>
          <w:rFonts w:ascii="宋体" w:hAnsi="宋体" w:cs="宋体" w:eastAsia="宋体" w:hint="default"/>
          <w:sz w:val="21"/>
          <w:szCs w:val="21"/>
        </w:rPr>
        <w:sectPr>
          <w:pgSz w:w="11910" w:h="16840"/>
          <w:pgMar w:header="915" w:footer="1100" w:top="1100" w:bottom="1280" w:left="1680" w:right="0"/>
        </w:sectPr>
      </w:pPr>
    </w:p>
    <w:p>
      <w:pPr>
        <w:spacing w:line="357" w:lineRule="auto" w:before="17"/>
        <w:ind w:left="138" w:right="1789"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10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4"/>
          <w:sz w:val="21"/>
          <w:szCs w:val="21"/>
        </w:rPr>
        <w:t>等在内的内部控制制度，并在上市公司治理专项活动中，进行了修订和完善，达到了证券监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管部门的要求。</w:t>
      </w:r>
    </w:p>
    <w:p>
      <w:pPr>
        <w:spacing w:line="357" w:lineRule="auto" w:before="30"/>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董事会及其下设的专业委员会发挥职能，负责审议公司的经营战略和重大决策，公司高</w:t>
      </w:r>
      <w:r>
        <w:rPr>
          <w:rFonts w:ascii="宋体" w:hAnsi="宋体" w:cs="宋体" w:eastAsia="宋体" w:hint="default"/>
          <w:w w:val="100"/>
          <w:sz w:val="21"/>
          <w:szCs w:val="21"/>
        </w:rPr>
        <w:t> </w:t>
      </w:r>
      <w:r>
        <w:rPr>
          <w:rFonts w:ascii="宋体" w:hAnsi="宋体" w:cs="宋体" w:eastAsia="宋体" w:hint="default"/>
          <w:spacing w:val="-4"/>
          <w:sz w:val="21"/>
          <w:szCs w:val="21"/>
        </w:rPr>
        <w:t>级管理层在董事会的授权范围内，负责公司的日常生产经营活动，高管层和董事会之间责权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关系明确。公司的各项内部控制制度健全，并将内控制度的检查融入了日常工作中，并不断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完善，以适应公司管理和发展的需要，有效保证了公司正常的生产经营和规范化运作。董事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会下属的审计委员会和审计部认真履行职责，通过内部审计发现问题，预防风险，通过对内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部财务数据和工作流程的审计，规范内部运作，提高财务信息披露质量，保证了公司日常生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产经营的合法性和规范化。公司将在今后的工作中进一步完善内部控制制度，规范运作，为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公司健康稳定的发展奠定基础。</w:t>
      </w:r>
    </w:p>
    <w:p>
      <w:pPr>
        <w:spacing w:line="355" w:lineRule="auto" w:before="33"/>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六、公司财务报告控制制度的建设和执行情况</w:t>
      </w:r>
      <w:r>
        <w:rPr>
          <w:rFonts w:ascii="宋体" w:hAnsi="宋体" w:cs="宋体" w:eastAsia="宋体" w:hint="default"/>
          <w:b/>
          <w:bCs/>
          <w:w w:val="100"/>
          <w:sz w:val="21"/>
          <w:szCs w:val="21"/>
        </w:rPr>
        <w:t> </w:t>
      </w:r>
      <w:r>
        <w:rPr>
          <w:rFonts w:ascii="宋体" w:hAnsi="宋体" w:cs="宋体" w:eastAsia="宋体" w:hint="default"/>
          <w:spacing w:val="-4"/>
          <w:sz w:val="21"/>
          <w:szCs w:val="21"/>
        </w:rPr>
        <w:t>公司根据《会计法》及财政部颁布的各项会计制度建立了完备的会计核算体系，建立健</w:t>
      </w:r>
    </w:p>
    <w:p>
      <w:pPr>
        <w:spacing w:line="357" w:lineRule="auto" w:before="32"/>
        <w:ind w:left="138" w:right="1683" w:firstLine="0"/>
        <w:jc w:val="both"/>
        <w:rPr>
          <w:rFonts w:ascii="宋体" w:hAnsi="宋体" w:cs="宋体" w:eastAsia="宋体" w:hint="default"/>
          <w:sz w:val="21"/>
          <w:szCs w:val="21"/>
        </w:rPr>
      </w:pPr>
      <w:r>
        <w:rPr>
          <w:rFonts w:ascii="宋体" w:hAnsi="宋体" w:cs="宋体" w:eastAsia="宋体" w:hint="default"/>
          <w:spacing w:val="-4"/>
          <w:sz w:val="21"/>
          <w:szCs w:val="21"/>
        </w:rPr>
        <w:t>全了关于财务核算方面的内部控制制度。公司财务部是会计系统的核算机构，负责制定财务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管理制度，并指导各子公司的财务工作。公司在货币资金、采购、生产、销售收入、成本结</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转、贷款、费用归集、投资与筹资、财务报告编制等各个环节均制定了明确的审批、授权和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监管制度，并在日常工作中得到了较好的执行。为完善公司治理机制，强化内部控制，做好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6"/>
          <w:w w:val="100"/>
          <w:sz w:val="21"/>
          <w:szCs w:val="21"/>
        </w:rPr>
        <w:t>财务报告的编制工作，公司制定了《独立董事年报工作制度》、《审计委员会年报工作制度、</w:t>
      </w:r>
    </w:p>
    <w:p>
      <w:pPr>
        <w:spacing w:line="355" w:lineRule="auto" w:before="30"/>
        <w:ind w:left="138" w:right="1789" w:firstLine="0"/>
        <w:jc w:val="left"/>
        <w:rPr>
          <w:rFonts w:ascii="宋体" w:hAnsi="宋体" w:cs="宋体" w:eastAsia="宋体" w:hint="default"/>
          <w:sz w:val="21"/>
          <w:szCs w:val="21"/>
        </w:rPr>
      </w:pPr>
      <w:r>
        <w:rPr>
          <w:rFonts w:ascii="宋体" w:hAnsi="宋体" w:cs="宋体" w:eastAsia="宋体" w:hint="default"/>
          <w:spacing w:val="-4"/>
          <w:w w:val="100"/>
          <w:sz w:val="21"/>
          <w:szCs w:val="21"/>
        </w:rPr>
        <w:t>《年报信息披露重大差错责任追究制度》，以充分发挥独立董事和审计委员会的审核和监督</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作用。</w:t>
      </w:r>
    </w:p>
    <w:p>
      <w:pPr>
        <w:spacing w:line="355" w:lineRule="auto" w:before="35"/>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公司董事会审计委员会和独立董事对财务报告编制及审计过程进行监督，在审计前统筹</w:t>
      </w:r>
      <w:r>
        <w:rPr>
          <w:rFonts w:ascii="宋体" w:hAnsi="宋体" w:cs="宋体" w:eastAsia="宋体" w:hint="default"/>
          <w:w w:val="100"/>
          <w:sz w:val="21"/>
          <w:szCs w:val="21"/>
        </w:rPr>
        <w:t> </w:t>
      </w:r>
      <w:r>
        <w:rPr>
          <w:rFonts w:ascii="宋体" w:hAnsi="宋体" w:cs="宋体" w:eastAsia="宋体" w:hint="default"/>
          <w:spacing w:val="-2"/>
          <w:sz w:val="21"/>
          <w:szCs w:val="21"/>
        </w:rPr>
        <w:t>安排审计计划，审计过程中就发现的问题和重大事项充分沟通，财务审计报告编制完毕后，</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审计委员会对财务报表和审计报告进行审议，表决通过后，才提交董事会进行审议。公司所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有定期报告均进行了及时披露，无推迟情况的发生，年度审计报告均被出具标准无保留意见，</w:t>
      </w:r>
      <w:r>
        <w:rPr>
          <w:rFonts w:ascii="宋体" w:hAnsi="宋体" w:cs="宋体" w:eastAsia="宋体" w:hint="default"/>
          <w:spacing w:val="-69"/>
          <w:w w:val="100"/>
          <w:sz w:val="21"/>
          <w:szCs w:val="21"/>
        </w:rPr>
        <w:t> </w:t>
      </w:r>
      <w:r>
        <w:rPr>
          <w:rFonts w:ascii="宋体" w:hAnsi="宋体" w:cs="宋体" w:eastAsia="宋体" w:hint="default"/>
          <w:spacing w:val="-69"/>
          <w:w w:val="100"/>
          <w:sz w:val="21"/>
          <w:szCs w:val="21"/>
        </w:rPr>
      </w:r>
      <w:r>
        <w:rPr>
          <w:rFonts w:ascii="宋体" w:hAnsi="宋体" w:cs="宋体" w:eastAsia="宋体" w:hint="default"/>
          <w:sz w:val="21"/>
          <w:szCs w:val="21"/>
        </w:rPr>
        <w:t>未发现存在重大缺陷的情况。</w:t>
      </w:r>
    </w:p>
    <w:p>
      <w:pPr>
        <w:spacing w:line="331" w:lineRule="auto" w:before="34"/>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七、公司对高级管理人员的考评及激励机制</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、考评机制：由公司董事会按年度对公司高级管理人员的业绩和履职情况进行考评，</w:t>
      </w:r>
    </w:p>
    <w:p>
      <w:pPr>
        <w:spacing w:line="333" w:lineRule="auto" w:before="27"/>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并根据工作业绩决定年度薪酬，以考核结果作为下一年度的岗位安排、年薪档次、是否续聘</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及职位升降和下一届任免的依据。</w:t>
      </w:r>
    </w:p>
    <w:p>
      <w:pPr>
        <w:spacing w:line="333" w:lineRule="auto" w:before="25"/>
        <w:ind w:left="138" w:right="1789" w:firstLine="419"/>
        <w:jc w:val="lef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、激励机制：公司对高级管理人员实行年薪制，分为工资和奖金两部分。董事会根据</w:t>
      </w:r>
      <w:r>
        <w:rPr>
          <w:rFonts w:ascii="宋体" w:hAnsi="宋体" w:cs="宋体" w:eastAsia="宋体" w:hint="default"/>
          <w:w w:val="100"/>
          <w:sz w:val="21"/>
          <w:szCs w:val="21"/>
        </w:rPr>
        <w:t> </w:t>
      </w:r>
      <w:r>
        <w:rPr>
          <w:rFonts w:ascii="宋体" w:hAnsi="宋体" w:cs="宋体" w:eastAsia="宋体" w:hint="default"/>
          <w:spacing w:val="-4"/>
          <w:sz w:val="21"/>
          <w:szCs w:val="21"/>
        </w:rPr>
        <w:t>公司近几年的经营状况和个人的岗位职责，确定年度工资额；每年年终董事会根据高级管理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人员本年度的工作业绩进行考评后确定对高管人员的奖金总额。</w:t>
      </w:r>
      <w:r>
        <w:rPr>
          <w:rFonts w:ascii="宋体" w:hAnsi="宋体" w:cs="宋体" w:eastAsia="宋体" w:hint="default"/>
          <w:w w:val="100"/>
          <w:sz w:val="21"/>
          <w:szCs w:val="21"/>
        </w:rPr>
        <w:t> </w:t>
      </w:r>
      <w:r>
        <w:rPr>
          <w:rFonts w:ascii="宋体" w:hAnsi="宋体" w:cs="宋体" w:eastAsia="宋体" w:hint="default"/>
          <w:b/>
          <w:bCs/>
          <w:sz w:val="21"/>
          <w:szCs w:val="21"/>
        </w:rPr>
        <w:t>八、公司同业竞争和关联交易的情况</w:t>
      </w:r>
      <w:r>
        <w:rPr>
          <w:rFonts w:ascii="宋体" w:hAnsi="宋体" w:cs="宋体" w:eastAsia="宋体" w:hint="default"/>
          <w:sz w:val="21"/>
          <w:szCs w:val="21"/>
        </w:rPr>
      </w:r>
    </w:p>
    <w:p>
      <w:pPr>
        <w:spacing w:line="333" w:lineRule="auto" w:before="51"/>
        <w:ind w:left="138" w:right="1762" w:firstLine="419"/>
        <w:jc w:val="left"/>
        <w:rPr>
          <w:rFonts w:ascii="宋体" w:hAnsi="宋体" w:cs="宋体" w:eastAsia="宋体" w:hint="default"/>
          <w:sz w:val="21"/>
          <w:szCs w:val="21"/>
        </w:rPr>
      </w:pPr>
      <w:r>
        <w:rPr>
          <w:rFonts w:ascii="宋体" w:hAnsi="宋体" w:cs="宋体" w:eastAsia="宋体" w:hint="default"/>
          <w:spacing w:val="-4"/>
          <w:sz w:val="21"/>
          <w:szCs w:val="21"/>
        </w:rPr>
        <w:t>公司上市时，持股</w:t>
      </w:r>
      <w:r>
        <w:rPr>
          <w:rFonts w:ascii="宋体" w:hAnsi="宋体" w:cs="宋体" w:eastAsia="宋体" w:hint="default"/>
          <w:spacing w:val="-18"/>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％以上股东做出了避免同业竞争的承诺，自上市以来未发生同业竞</w:t>
      </w:r>
      <w:r>
        <w:rPr>
          <w:rFonts w:ascii="宋体" w:hAnsi="宋体" w:cs="宋体" w:eastAsia="宋体" w:hint="default"/>
          <w:w w:val="100"/>
          <w:sz w:val="21"/>
          <w:szCs w:val="21"/>
        </w:rPr>
        <w:t> </w:t>
      </w:r>
      <w:r>
        <w:rPr>
          <w:rFonts w:ascii="宋体" w:hAnsi="宋体" w:cs="宋体" w:eastAsia="宋体" w:hint="default"/>
          <w:sz w:val="21"/>
          <w:szCs w:val="21"/>
        </w:rPr>
        <w:t>争情况。</w:t>
      </w:r>
    </w:p>
    <w:p>
      <w:pPr>
        <w:spacing w:before="25"/>
        <w:ind w:left="558" w:right="0" w:firstLine="0"/>
        <w:jc w:val="left"/>
        <w:rPr>
          <w:rFonts w:ascii="宋体" w:hAnsi="宋体" w:cs="宋体" w:eastAsia="宋体" w:hint="default"/>
          <w:sz w:val="21"/>
          <w:szCs w:val="21"/>
        </w:rPr>
      </w:pPr>
      <w:r>
        <w:rPr>
          <w:rFonts w:ascii="宋体" w:hAnsi="宋体" w:cs="宋体" w:eastAsia="宋体" w:hint="default"/>
          <w:sz w:val="21"/>
          <w:szCs w:val="21"/>
        </w:rPr>
        <w:t>公司目前不存在经常性关联交易，</w:t>
      </w:r>
      <w:r>
        <w:rPr>
          <w:rFonts w:ascii="宋体" w:hAnsi="宋体" w:cs="宋体" w:eastAsia="宋体" w:hint="default"/>
          <w:sz w:val="21"/>
          <w:szCs w:val="21"/>
        </w:rPr>
        <w:t>2010</w:t>
      </w:r>
      <w:r>
        <w:rPr>
          <w:rFonts w:ascii="宋体" w:hAnsi="宋体" w:cs="宋体" w:eastAsia="宋体" w:hint="default"/>
          <w:spacing w:val="12"/>
          <w:sz w:val="21"/>
          <w:szCs w:val="21"/>
        </w:rPr>
        <w:t> </w:t>
      </w:r>
      <w:r>
        <w:rPr>
          <w:rFonts w:ascii="宋体" w:hAnsi="宋体" w:cs="宋体" w:eastAsia="宋体" w:hint="default"/>
          <w:sz w:val="21"/>
          <w:szCs w:val="21"/>
        </w:rPr>
        <w:t>年公司之控股子公司北京东港嘉华安全信息技</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333" w:lineRule="auto" w:before="17"/>
        <w:ind w:left="138" w:right="168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08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2"/>
          <w:sz w:val="21"/>
          <w:szCs w:val="21"/>
        </w:rPr>
        <w:t>术有限公司，因建设需要向关联方日照大地依索新建材有限公司采购了少量建筑用夹芯板，</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交易总价格为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万元，定价原则为市场价。</w:t>
      </w: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公司目前不存在需要整改的同业竞争和关联交易问题。</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240" w:lineRule="auto" w:before="1"/>
        <w:rPr>
          <w:rFonts w:ascii="宋体" w:hAnsi="宋体" w:cs="宋体" w:eastAsia="宋体" w:hint="default"/>
          <w:sz w:val="27"/>
          <w:szCs w:val="27"/>
        </w:rPr>
      </w:pPr>
      <w:r>
        <w:rPr/>
        <w:pict>
          <v:group style="position:absolute;margin-left:88.103996pt;margin-top:41.999985pt;width:419.25pt;height:16.3500pt;mso-position-horizontal-relative:page;mso-position-vertical-relative:page;z-index:169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pStyle w:val="Heading1"/>
        <w:tabs>
          <w:tab w:pos="1355" w:val="left" w:leader="none"/>
        </w:tabs>
        <w:spacing w:line="240" w:lineRule="auto"/>
        <w:ind w:right="1659"/>
        <w:jc w:val="center"/>
        <w:rPr>
          <w:b w:val="0"/>
          <w:bCs w:val="0"/>
        </w:rPr>
      </w:pPr>
      <w:bookmarkStart w:name="_TOC_250005" w:id="6"/>
      <w:r>
        <w:rPr>
          <w:w w:val="95"/>
        </w:rPr>
        <w:t>第六节</w:t>
        <w:tab/>
      </w:r>
      <w:r>
        <w:rPr/>
        <w:t>股东大会情况简介</w:t>
      </w:r>
      <w:bookmarkEnd w:id="6"/>
      <w:r>
        <w:rPr>
          <w:b w:val="0"/>
          <w:bCs w:val="0"/>
        </w:rPr>
      </w:r>
    </w:p>
    <w:p>
      <w:pPr>
        <w:spacing w:line="240" w:lineRule="auto" w:before="0"/>
        <w:rPr>
          <w:rFonts w:ascii="宋体" w:hAnsi="宋体" w:cs="宋体" w:eastAsia="宋体" w:hint="default"/>
          <w:b/>
          <w:bCs/>
          <w:sz w:val="30"/>
          <w:szCs w:val="30"/>
        </w:rPr>
      </w:pPr>
    </w:p>
    <w:p>
      <w:pPr>
        <w:spacing w:line="355" w:lineRule="auto" w:before="224"/>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一、报告期内召开年度股东大会和临时股东大会的情况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报告期内，公司共召开了一次年度股东大会和三次临时股东大会。</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（一）公司于</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日召开了</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年年度股东大会。该次股东大会的会议决</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议刊登在</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（二）公司于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日召开了</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年第一次临时股东大会。该次股东大会的</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会议决议刊登在</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28</w:t>
      </w:r>
      <w:r>
        <w:rPr>
          <w:rFonts w:ascii="宋体" w:hAnsi="宋体" w:cs="宋体" w:eastAsia="宋体" w:hint="default"/>
          <w:spacing w:val="-48"/>
          <w:sz w:val="21"/>
          <w:szCs w:val="21"/>
        </w:rPr>
        <w:t> </w:t>
      </w:r>
      <w:r>
        <w:rPr>
          <w:rFonts w:ascii="宋体" w:hAnsi="宋体" w:cs="宋体" w:eastAsia="宋体" w:hint="default"/>
          <w:spacing w:val="-4"/>
          <w:sz w:val="21"/>
          <w:szCs w:val="21"/>
        </w:rPr>
        <w:t>日的《证券时报》和巨潮资讯网（</w:t>
      </w:r>
      <w:hyperlink r:id="rId15">
        <w:r>
          <w:rPr>
            <w:rFonts w:ascii="宋体" w:hAnsi="宋体" w:cs="宋体" w:eastAsia="宋体" w:hint="default"/>
            <w:spacing w:val="-4"/>
            <w:sz w:val="21"/>
            <w:szCs w:val="21"/>
          </w:rPr>
          <w:t>www.cninfo.com.cn</w:t>
        </w:r>
      </w:hyperlink>
      <w:r>
        <w:rPr>
          <w:rFonts w:ascii="宋体" w:hAnsi="宋体" w:cs="宋体" w:eastAsia="宋体" w:hint="default"/>
          <w:spacing w:val="-4"/>
          <w:sz w:val="21"/>
          <w:szCs w:val="21"/>
        </w:rPr>
        <w:t>）上。</w:t>
      </w:r>
    </w:p>
    <w:p>
      <w:pPr>
        <w:spacing w:before="133"/>
        <w:ind w:left="558" w:right="0" w:firstLine="0"/>
        <w:jc w:val="left"/>
        <w:rPr>
          <w:rFonts w:ascii="宋体" w:hAnsi="宋体" w:cs="宋体" w:eastAsia="宋体" w:hint="default"/>
          <w:sz w:val="21"/>
          <w:szCs w:val="21"/>
        </w:rPr>
      </w:pPr>
      <w:r>
        <w:rPr>
          <w:rFonts w:ascii="宋体" w:hAnsi="宋体" w:cs="宋体" w:eastAsia="宋体" w:hint="default"/>
          <w:spacing w:val="-9"/>
          <w:sz w:val="21"/>
          <w:szCs w:val="21"/>
        </w:rPr>
        <w:t>（三）公司于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日召开了</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pacing w:val="-4"/>
          <w:sz w:val="21"/>
          <w:szCs w:val="21"/>
        </w:rPr>
        <w:t>年第二次临时股东大会。该次股东大会的</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会议决议刊登在</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16</w:t>
      </w:r>
      <w:r>
        <w:rPr>
          <w:rFonts w:ascii="宋体" w:hAnsi="宋体" w:cs="宋体" w:eastAsia="宋体" w:hint="default"/>
          <w:spacing w:val="-46"/>
          <w:sz w:val="21"/>
          <w:szCs w:val="21"/>
        </w:rPr>
        <w:t> </w:t>
      </w:r>
      <w:r>
        <w:rPr>
          <w:rFonts w:ascii="宋体" w:hAnsi="宋体" w:cs="宋体" w:eastAsia="宋体" w:hint="default"/>
          <w:spacing w:val="-7"/>
          <w:sz w:val="21"/>
          <w:szCs w:val="21"/>
        </w:rPr>
        <w:t>日的《证券时报》和巨潮资讯网（</w:t>
      </w:r>
      <w:hyperlink r:id="rId15">
        <w:r>
          <w:rPr>
            <w:rFonts w:ascii="宋体" w:hAnsi="宋体" w:cs="宋体" w:eastAsia="宋体" w:hint="default"/>
            <w:spacing w:val="-7"/>
            <w:sz w:val="21"/>
            <w:szCs w:val="21"/>
          </w:rPr>
          <w:t>www.cninfo.com.cn</w:t>
        </w:r>
      </w:hyperlink>
      <w:r>
        <w:rPr>
          <w:rFonts w:ascii="宋体" w:hAnsi="宋体" w:cs="宋体" w:eastAsia="宋体" w:hint="default"/>
          <w:spacing w:val="-7"/>
          <w:sz w:val="21"/>
          <w:szCs w:val="21"/>
        </w:rPr>
        <w:t>）上。</w:t>
      </w:r>
    </w:p>
    <w:p>
      <w:pPr>
        <w:spacing w:before="135"/>
        <w:ind w:left="558" w:right="0" w:firstLine="0"/>
        <w:jc w:val="left"/>
        <w:rPr>
          <w:rFonts w:ascii="宋体" w:hAnsi="宋体" w:cs="宋体" w:eastAsia="宋体" w:hint="default"/>
          <w:sz w:val="21"/>
          <w:szCs w:val="21"/>
        </w:rPr>
      </w:pPr>
      <w:r>
        <w:rPr>
          <w:rFonts w:ascii="宋体" w:hAnsi="宋体" w:cs="宋体" w:eastAsia="宋体" w:hint="default"/>
          <w:spacing w:val="-9"/>
          <w:sz w:val="21"/>
          <w:szCs w:val="21"/>
        </w:rPr>
        <w:t>（四）公司于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z w:val="21"/>
          <w:szCs w:val="21"/>
        </w:rPr>
        <w:t>日召开了</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pacing w:val="-4"/>
          <w:sz w:val="21"/>
          <w:szCs w:val="21"/>
        </w:rPr>
        <w:t>年第三次临时股东大会。该次股东大会的</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会议决议刊登在</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19</w:t>
      </w:r>
      <w:r>
        <w:rPr>
          <w:rFonts w:ascii="宋体" w:hAnsi="宋体" w:cs="宋体" w:eastAsia="宋体" w:hint="default"/>
          <w:spacing w:val="-46"/>
          <w:sz w:val="21"/>
          <w:szCs w:val="21"/>
        </w:rPr>
        <w:t> </w:t>
      </w:r>
      <w:r>
        <w:rPr>
          <w:rFonts w:ascii="宋体" w:hAnsi="宋体" w:cs="宋体" w:eastAsia="宋体" w:hint="default"/>
          <w:spacing w:val="-7"/>
          <w:sz w:val="21"/>
          <w:szCs w:val="21"/>
        </w:rPr>
        <w:t>日的《证券时报》和巨潮资讯网（</w:t>
      </w:r>
      <w:hyperlink r:id="rId15">
        <w:r>
          <w:rPr>
            <w:rFonts w:ascii="宋体" w:hAnsi="宋体" w:cs="宋体" w:eastAsia="宋体" w:hint="default"/>
            <w:spacing w:val="-7"/>
            <w:sz w:val="21"/>
            <w:szCs w:val="21"/>
          </w:rPr>
          <w:t>www.cninfo.com.cn</w:t>
        </w:r>
      </w:hyperlink>
      <w:r>
        <w:rPr>
          <w:rFonts w:ascii="宋体" w:hAnsi="宋体" w:cs="宋体" w:eastAsia="宋体" w:hint="default"/>
          <w:spacing w:val="-7"/>
          <w:sz w:val="21"/>
          <w:szCs w:val="21"/>
        </w:rPr>
        <w:t>）上。</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240" w:lineRule="auto" w:before="2"/>
        <w:rPr>
          <w:rFonts w:ascii="宋体" w:hAnsi="宋体" w:cs="宋体" w:eastAsia="宋体" w:hint="default"/>
          <w:sz w:val="23"/>
          <w:szCs w:val="23"/>
        </w:rPr>
      </w:pPr>
    </w:p>
    <w:p>
      <w:pPr>
        <w:pStyle w:val="Heading1"/>
        <w:tabs>
          <w:tab w:pos="1355" w:val="left" w:leader="none"/>
        </w:tabs>
        <w:spacing w:line="240" w:lineRule="auto"/>
        <w:ind w:right="1499"/>
        <w:jc w:val="center"/>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30"/>
          <w:szCs w:val="30"/>
        </w:rPr>
      </w:pPr>
    </w:p>
    <w:p>
      <w:pPr>
        <w:spacing w:before="224"/>
        <w:ind w:left="298" w:right="4356" w:firstLine="0"/>
        <w:jc w:val="left"/>
        <w:rPr>
          <w:rFonts w:ascii="宋体" w:hAnsi="宋体" w:cs="宋体" w:eastAsia="宋体" w:hint="default"/>
          <w:sz w:val="21"/>
          <w:szCs w:val="21"/>
        </w:rPr>
      </w:pPr>
      <w:r>
        <w:rPr>
          <w:rFonts w:ascii="宋体" w:hAnsi="宋体" w:cs="宋体" w:eastAsia="宋体" w:hint="default"/>
          <w:b/>
          <w:bCs/>
          <w:sz w:val="21"/>
          <w:szCs w:val="21"/>
        </w:rPr>
        <w:t>一、公司经营情况</w:t>
      </w:r>
      <w:r>
        <w:rPr>
          <w:rFonts w:ascii="宋体" w:hAnsi="宋体" w:cs="宋体" w:eastAsia="宋体" w:hint="default"/>
          <w:sz w:val="21"/>
          <w:szCs w:val="21"/>
        </w:rPr>
      </w:r>
    </w:p>
    <w:p>
      <w:pPr>
        <w:spacing w:line="355" w:lineRule="auto" w:before="133"/>
        <w:ind w:left="298" w:right="4356" w:firstLine="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（一）报告期内公司经营情况的回顾</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1</w:t>
      </w:r>
      <w:r>
        <w:rPr>
          <w:rFonts w:ascii="宋体" w:hAnsi="宋体" w:cs="宋体" w:eastAsia="宋体" w:hint="default"/>
          <w:sz w:val="21"/>
          <w:szCs w:val="21"/>
        </w:rPr>
        <w:t>、公司总体经营情况分析</w:t>
      </w:r>
    </w:p>
    <w:p>
      <w:pPr>
        <w:spacing w:line="357" w:lineRule="auto" w:before="32"/>
        <w:ind w:left="298" w:right="1788" w:firstLine="482"/>
        <w:jc w:val="both"/>
        <w:rPr>
          <w:rFonts w:ascii="宋体" w:hAnsi="宋体" w:cs="宋体" w:eastAsia="宋体" w:hint="default"/>
          <w:sz w:val="21"/>
          <w:szCs w:val="21"/>
        </w:rPr>
      </w:pPr>
      <w:r>
        <w:rPr>
          <w:rFonts w:ascii="宋体" w:hAnsi="宋体" w:cs="宋体" w:eastAsia="宋体" w:hint="default"/>
          <w:spacing w:val="-3"/>
          <w:sz w:val="21"/>
          <w:szCs w:val="21"/>
        </w:rPr>
        <w:t>2010</w:t>
      </w:r>
      <w:r>
        <w:rPr>
          <w:rFonts w:ascii="宋体" w:hAnsi="宋体" w:cs="宋体" w:eastAsia="宋体" w:hint="default"/>
          <w:spacing w:val="-3"/>
          <w:sz w:val="21"/>
          <w:szCs w:val="21"/>
        </w:rPr>
        <w:t>年公司传统票据业务增速良好，公司实现营业总收入</w:t>
      </w:r>
      <w:r>
        <w:rPr>
          <w:rFonts w:ascii="宋体" w:hAnsi="宋体" w:cs="宋体" w:eastAsia="宋体" w:hint="default"/>
          <w:spacing w:val="-3"/>
          <w:sz w:val="21"/>
          <w:szCs w:val="21"/>
        </w:rPr>
        <w:t>71,223.31</w:t>
      </w:r>
      <w:r>
        <w:rPr>
          <w:rFonts w:ascii="宋体" w:hAnsi="宋体" w:cs="宋体" w:eastAsia="宋体" w:hint="default"/>
          <w:spacing w:val="-3"/>
          <w:sz w:val="21"/>
          <w:szCs w:val="21"/>
        </w:rPr>
        <w:t>万元，较去年同期</w:t>
      </w:r>
      <w:r>
        <w:rPr>
          <w:rFonts w:ascii="宋体" w:hAnsi="宋体" w:cs="宋体" w:eastAsia="宋体" w:hint="default"/>
          <w:w w:val="100"/>
          <w:sz w:val="21"/>
          <w:szCs w:val="21"/>
        </w:rPr>
        <w:t> </w:t>
      </w:r>
      <w:r>
        <w:rPr>
          <w:rFonts w:ascii="宋体" w:hAnsi="宋体" w:cs="宋体" w:eastAsia="宋体" w:hint="default"/>
          <w:spacing w:val="-1"/>
          <w:sz w:val="21"/>
          <w:szCs w:val="21"/>
        </w:rPr>
        <w:t>增长</w:t>
      </w:r>
      <w:r>
        <w:rPr>
          <w:rFonts w:ascii="宋体" w:hAnsi="宋体" w:cs="宋体" w:eastAsia="宋体" w:hint="default"/>
          <w:spacing w:val="-1"/>
          <w:sz w:val="21"/>
          <w:szCs w:val="21"/>
        </w:rPr>
        <w:t>29.29</w:t>
      </w:r>
      <w:r>
        <w:rPr>
          <w:rFonts w:ascii="宋体" w:hAnsi="宋体" w:cs="宋体" w:eastAsia="宋体" w:hint="default"/>
          <w:spacing w:val="-1"/>
          <w:sz w:val="21"/>
          <w:szCs w:val="21"/>
        </w:rPr>
        <w:t>％。</w:t>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9</w:t>
      </w:r>
      <w:r>
        <w:rPr>
          <w:rFonts w:ascii="宋体" w:hAnsi="宋体" w:cs="宋体" w:eastAsia="宋体" w:hint="default"/>
          <w:spacing w:val="-1"/>
          <w:sz w:val="21"/>
          <w:szCs w:val="21"/>
        </w:rPr>
        <w:t>月，公司完成了增发再融资计划，增发股票</w:t>
      </w:r>
      <w:r>
        <w:rPr>
          <w:rFonts w:ascii="宋体" w:hAnsi="宋体" w:cs="宋体" w:eastAsia="宋体" w:hint="default"/>
          <w:spacing w:val="-1"/>
          <w:sz w:val="21"/>
          <w:szCs w:val="21"/>
        </w:rPr>
        <w:t>14,124,172</w:t>
      </w:r>
      <w:r>
        <w:rPr>
          <w:rFonts w:ascii="宋体" w:hAnsi="宋体" w:cs="宋体" w:eastAsia="宋体" w:hint="default"/>
          <w:spacing w:val="-1"/>
          <w:sz w:val="21"/>
          <w:szCs w:val="21"/>
        </w:rPr>
        <w:t>股</w:t>
      </w:r>
      <w:r>
        <w:rPr>
          <w:rFonts w:ascii="宋体" w:hAnsi="宋体" w:cs="宋体" w:eastAsia="宋体" w:hint="default"/>
          <w:spacing w:val="-1"/>
          <w:sz w:val="21"/>
          <w:szCs w:val="21"/>
        </w:rPr>
        <w:t>,</w:t>
      </w:r>
      <w:r>
        <w:rPr>
          <w:rFonts w:ascii="宋体" w:hAnsi="宋体" w:cs="宋体" w:eastAsia="宋体" w:hint="default"/>
          <w:spacing w:val="-1"/>
          <w:sz w:val="21"/>
          <w:szCs w:val="21"/>
        </w:rPr>
        <w:t>募集资金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3.45</w:t>
      </w:r>
      <w:r>
        <w:rPr>
          <w:rFonts w:ascii="宋体" w:hAnsi="宋体" w:cs="宋体" w:eastAsia="宋体" w:hint="default"/>
          <w:spacing w:val="-4"/>
          <w:sz w:val="21"/>
          <w:szCs w:val="21"/>
        </w:rPr>
        <w:t>亿元，投资建设了个性化彩印、智能卡和综合金融服务外包项目，目前各募投项目厂房</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8"/>
          <w:sz w:val="21"/>
          <w:szCs w:val="21"/>
        </w:rPr>
        <w:t>建设工作已基本完毕，但尚未产生效益。</w:t>
      </w:r>
      <w:r>
        <w:rPr>
          <w:rFonts w:ascii="宋体" w:hAnsi="宋体" w:cs="宋体" w:eastAsia="宋体" w:hint="default"/>
          <w:spacing w:val="8"/>
          <w:sz w:val="21"/>
          <w:szCs w:val="21"/>
        </w:rPr>
        <w:t>2010</w:t>
      </w:r>
      <w:r>
        <w:rPr>
          <w:rFonts w:ascii="宋体" w:hAnsi="宋体" w:cs="宋体" w:eastAsia="宋体" w:hint="default"/>
          <w:spacing w:val="8"/>
          <w:sz w:val="21"/>
          <w:szCs w:val="21"/>
        </w:rPr>
        <w:t>年营业利润增长</w:t>
      </w:r>
      <w:r>
        <w:rPr>
          <w:rFonts w:ascii="宋体" w:hAnsi="宋体" w:cs="宋体" w:eastAsia="宋体" w:hint="default"/>
          <w:spacing w:val="8"/>
          <w:sz w:val="21"/>
          <w:szCs w:val="21"/>
        </w:rPr>
        <w:t>16.41</w:t>
      </w:r>
      <w:r>
        <w:rPr>
          <w:rFonts w:ascii="宋体" w:hAnsi="宋体" w:cs="宋体" w:eastAsia="宋体" w:hint="default"/>
          <w:spacing w:val="8"/>
          <w:sz w:val="21"/>
          <w:szCs w:val="21"/>
        </w:rPr>
        <w:t>％，利润总额增长</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14.59</w:t>
      </w:r>
      <w:r>
        <w:rPr>
          <w:rFonts w:ascii="宋体" w:hAnsi="宋体" w:cs="宋体" w:eastAsia="宋体" w:hint="default"/>
          <w:sz w:val="21"/>
          <w:szCs w:val="21"/>
        </w:rPr>
        <w:t>％，归属于上市公司股东的净利润增长</w:t>
      </w:r>
      <w:r>
        <w:rPr>
          <w:rFonts w:ascii="宋体" w:hAnsi="宋体" w:cs="宋体" w:eastAsia="宋体" w:hint="default"/>
          <w:sz w:val="21"/>
          <w:szCs w:val="21"/>
        </w:rPr>
        <w:t>6.98</w:t>
      </w:r>
      <w:r>
        <w:rPr>
          <w:rFonts w:ascii="宋体" w:hAnsi="宋体" w:cs="宋体" w:eastAsia="宋体" w:hint="default"/>
          <w:sz w:val="21"/>
          <w:szCs w:val="21"/>
        </w:rPr>
        <w:t>％。</w:t>
      </w:r>
    </w:p>
    <w:p>
      <w:pPr>
        <w:spacing w:before="32"/>
        <w:ind w:left="298" w:right="435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年公司主营业务及其经营状况</w:t>
      </w:r>
    </w:p>
    <w:p>
      <w:pPr>
        <w:spacing w:line="355" w:lineRule="auto" w:before="133"/>
        <w:ind w:left="780" w:right="0" w:hanging="6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）主营业务的范围</w:t>
      </w:r>
      <w:r>
        <w:rPr>
          <w:rFonts w:ascii="宋体" w:hAnsi="宋体" w:cs="宋体" w:eastAsia="宋体" w:hint="default"/>
          <w:w w:val="100"/>
          <w:sz w:val="21"/>
          <w:szCs w:val="21"/>
        </w:rPr>
        <w:t> </w:t>
      </w:r>
      <w:r>
        <w:rPr>
          <w:rFonts w:ascii="宋体" w:hAnsi="宋体" w:cs="宋体" w:eastAsia="宋体" w:hint="default"/>
          <w:spacing w:val="-3"/>
          <w:sz w:val="21"/>
          <w:szCs w:val="21"/>
        </w:rPr>
        <w:t>公司经营范围：出版物、包装装潢印刷品、其他类印刷品印刷，纸制品的生产、销售，</w:t>
      </w:r>
    </w:p>
    <w:p>
      <w:pPr>
        <w:spacing w:line="355" w:lineRule="auto" w:before="32"/>
        <w:ind w:left="298" w:right="0" w:firstLine="0"/>
        <w:jc w:val="left"/>
        <w:rPr>
          <w:rFonts w:ascii="宋体" w:hAnsi="宋体" w:cs="宋体" w:eastAsia="宋体" w:hint="default"/>
          <w:sz w:val="21"/>
          <w:szCs w:val="21"/>
        </w:rPr>
      </w:pPr>
      <w:r>
        <w:rPr>
          <w:rFonts w:ascii="宋体" w:hAnsi="宋体" w:cs="宋体" w:eastAsia="宋体" w:hint="default"/>
          <w:spacing w:val="-4"/>
          <w:sz w:val="21"/>
          <w:szCs w:val="21"/>
        </w:rPr>
        <w:t>高档纸张的防伪处理、销售，数据打印系统的开发、生产，科技信息咨询服务，</w:t>
      </w:r>
      <w:r>
        <w:rPr>
          <w:rFonts w:ascii="宋体" w:hAnsi="宋体" w:cs="宋体" w:eastAsia="宋体" w:hint="default"/>
          <w:spacing w:val="-4"/>
          <w:sz w:val="21"/>
          <w:szCs w:val="21"/>
        </w:rPr>
        <w:t>IC</w:t>
      </w:r>
      <w:r>
        <w:rPr>
          <w:rFonts w:ascii="宋体" w:hAnsi="宋体" w:cs="宋体" w:eastAsia="宋体" w:hint="default"/>
          <w:spacing w:val="-4"/>
          <w:sz w:val="21"/>
          <w:szCs w:val="21"/>
        </w:rPr>
        <w:t>卡产品和</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7"/>
          <w:sz w:val="21"/>
          <w:szCs w:val="21"/>
        </w:rPr>
        <w:t>智能标签产品的生产、销售。公司目前主要从事商业票据印刷以及纸制品的加工、销售业务。</w:t>
      </w:r>
    </w:p>
    <w:p>
      <w:pPr>
        <w:spacing w:before="34"/>
        <w:ind w:left="718" w:right="43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）主要财务数据变动及其原因</w:t>
      </w:r>
    </w:p>
    <w:p>
      <w:pPr>
        <w:spacing w:before="133"/>
        <w:ind w:left="6704" w:right="0" w:firstLine="0"/>
        <w:jc w:val="left"/>
        <w:rPr>
          <w:rFonts w:ascii="宋体" w:hAnsi="宋体" w:cs="宋体" w:eastAsia="宋体" w:hint="default"/>
          <w:sz w:val="21"/>
          <w:szCs w:val="21"/>
        </w:rPr>
      </w:pPr>
      <w:r>
        <w:rPr>
          <w:rFonts w:ascii="宋体" w:hAnsi="宋体" w:cs="宋体" w:eastAsia="宋体" w:hint="default"/>
          <w:sz w:val="21"/>
          <w:szCs w:val="21"/>
        </w:rPr>
        <w:t>单位：万元、元</w:t>
      </w:r>
    </w:p>
    <w:p>
      <w:pPr>
        <w:spacing w:line="240" w:lineRule="auto" w:before="11"/>
        <w:rPr>
          <w:rFonts w:ascii="宋体" w:hAnsi="宋体" w:cs="宋体" w:eastAsia="宋体" w:hint="default"/>
          <w:sz w:val="7"/>
          <w:szCs w:val="7"/>
        </w:rPr>
      </w:pPr>
    </w:p>
    <w:p>
      <w:pPr>
        <w:spacing w:before="44"/>
        <w:ind w:left="0" w:right="1539" w:firstLine="0"/>
        <w:jc w:val="right"/>
        <w:rPr>
          <w:rFonts w:ascii="宋体" w:hAnsi="宋体" w:cs="宋体" w:eastAsia="宋体" w:hint="default"/>
          <w:sz w:val="18"/>
          <w:szCs w:val="18"/>
        </w:rPr>
      </w:pPr>
      <w:r>
        <w:rPr/>
        <w:pict>
          <v:shape style="position:absolute;margin-left:80.064003pt;margin-top:3.231708pt;width:436.3pt;height:145.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3"/>
                    <w:gridCol w:w="1496"/>
                    <w:gridCol w:w="1361"/>
                    <w:gridCol w:w="1767"/>
                  </w:tblGrid>
                  <w:tr>
                    <w:trPr>
                      <w:trHeight w:val="242"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245"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712,233,094.92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550,874,357.75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18"/>
                            <w:szCs w:val="18"/>
                          </w:rPr>
                        </w:pPr>
                        <w:r>
                          <w:rPr>
                            <w:rFonts w:ascii="Times New Roman"/>
                            <w:sz w:val="18"/>
                          </w:rPr>
                          <w:t>29.29%</w:t>
                        </w:r>
                      </w:p>
                    </w:tc>
                  </w:tr>
                  <w:tr>
                    <w:trPr>
                      <w:trHeight w:val="242"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104,116,173.40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90,856,919.37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14.59%</w:t>
                        </w:r>
                      </w:p>
                    </w:tc>
                  </w:tr>
                  <w:tr>
                    <w:trPr>
                      <w:trHeight w:val="245"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79,194,442.06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74,026,819.95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6.98%</w:t>
                        </w:r>
                      </w:p>
                    </w:tc>
                  </w:tr>
                  <w:tr>
                    <w:trPr>
                      <w:trHeight w:val="476"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（元）</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77,934,107.98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71,699,861.85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8.69%</w:t>
                        </w:r>
                      </w:p>
                    </w:tc>
                  </w:tr>
                  <w:tr>
                    <w:trPr>
                      <w:trHeight w:val="308"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96"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179,535,678.40</w:t>
                        </w:r>
                      </w:p>
                    </w:tc>
                    <w:tc>
                      <w:tcPr>
                        <w:tcW w:w="1361" w:type="dxa"/>
                        <w:tcBorders>
                          <w:top w:val="single" w:sz="4" w:space="0" w:color="000000"/>
                          <w:left w:val="single" w:sz="4" w:space="0" w:color="000000"/>
                          <w:bottom w:val="single" w:sz="51" w:space="0" w:color="DCDCDC"/>
                          <w:right w:val="single" w:sz="10" w:space="0" w:color="DCDCDC"/>
                        </w:tcBorders>
                      </w:tcPr>
                      <w:p>
                        <w:pPr>
                          <w:pStyle w:val="TableParagraph"/>
                          <w:spacing w:line="240" w:lineRule="auto" w:before="8"/>
                          <w:ind w:right="14"/>
                          <w:jc w:val="right"/>
                          <w:rPr>
                            <w:rFonts w:ascii="Times New Roman" w:hAnsi="Times New Roman" w:cs="Times New Roman" w:eastAsia="Times New Roman" w:hint="default"/>
                            <w:sz w:val="18"/>
                            <w:szCs w:val="18"/>
                          </w:rPr>
                        </w:pPr>
                        <w:r>
                          <w:rPr>
                            <w:rFonts w:ascii="Times New Roman"/>
                            <w:spacing w:val="-2"/>
                            <w:sz w:val="18"/>
                          </w:rPr>
                          <w:t>111,617,008.83</w:t>
                        </w:r>
                      </w:p>
                    </w:tc>
                    <w:tc>
                      <w:tcPr>
                        <w:tcW w:w="1767"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8"/>
                          <w:ind w:right="9"/>
                          <w:jc w:val="right"/>
                          <w:rPr>
                            <w:rFonts w:ascii="Times New Roman" w:hAnsi="Times New Roman" w:cs="Times New Roman" w:eastAsia="Times New Roman" w:hint="default"/>
                            <w:sz w:val="18"/>
                            <w:szCs w:val="18"/>
                          </w:rPr>
                        </w:pPr>
                        <w:r>
                          <w:rPr>
                            <w:rFonts w:ascii="Times New Roman"/>
                            <w:sz w:val="18"/>
                          </w:rPr>
                          <w:t>60.85%</w:t>
                        </w:r>
                      </w:p>
                    </w:tc>
                  </w:tr>
                  <w:tr>
                    <w:trPr>
                      <w:trHeight w:val="347"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08"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right="5"/>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496"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18"/>
                            <w:szCs w:val="18"/>
                          </w:rPr>
                        </w:pPr>
                        <w:r>
                          <w:rPr>
                            <w:rFonts w:ascii="Times New Roman"/>
                            <w:spacing w:val="-1"/>
                            <w:sz w:val="18"/>
                          </w:rPr>
                          <w:t>1,337,336,997.69</w:t>
                        </w:r>
                      </w:p>
                    </w:tc>
                    <w:tc>
                      <w:tcPr>
                        <w:tcW w:w="1361" w:type="dxa"/>
                        <w:tcBorders>
                          <w:top w:val="single" w:sz="47" w:space="0" w:color="DCDCDC"/>
                          <w:left w:val="single" w:sz="4" w:space="0" w:color="000000"/>
                          <w:bottom w:val="single" w:sz="4" w:space="0" w:color="000000"/>
                          <w:right w:val="single" w:sz="10" w:space="0" w:color="DCDCDC"/>
                        </w:tcBorders>
                      </w:tcPr>
                      <w:p>
                        <w:pPr>
                          <w:pStyle w:val="TableParagraph"/>
                          <w:spacing w:line="240" w:lineRule="auto" w:before="19"/>
                          <w:ind w:right="14"/>
                          <w:jc w:val="right"/>
                          <w:rPr>
                            <w:rFonts w:ascii="Times New Roman" w:hAnsi="Times New Roman" w:cs="Times New Roman" w:eastAsia="Times New Roman" w:hint="default"/>
                            <w:sz w:val="18"/>
                            <w:szCs w:val="18"/>
                          </w:rPr>
                        </w:pPr>
                        <w:r>
                          <w:rPr>
                            <w:rFonts w:ascii="Times New Roman"/>
                            <w:spacing w:val="-1"/>
                            <w:sz w:val="18"/>
                          </w:rPr>
                          <w:t>993,016,822.76</w:t>
                        </w:r>
                      </w:p>
                    </w:tc>
                    <w:tc>
                      <w:tcPr>
                        <w:tcW w:w="1767"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73"/>
                          <w:ind w:right="9"/>
                          <w:jc w:val="right"/>
                          <w:rPr>
                            <w:rFonts w:ascii="Times New Roman" w:hAnsi="Times New Roman" w:cs="Times New Roman" w:eastAsia="Times New Roman" w:hint="default"/>
                            <w:sz w:val="18"/>
                            <w:szCs w:val="18"/>
                          </w:rPr>
                        </w:pPr>
                        <w:r>
                          <w:rPr>
                            <w:rFonts w:ascii="Times New Roman"/>
                            <w:sz w:val="18"/>
                          </w:rPr>
                          <w:t>34.67%</w:t>
                        </w:r>
                      </w:p>
                    </w:tc>
                  </w:tr>
                  <w:tr>
                    <w:trPr>
                      <w:trHeight w:val="244"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归属于上市公司股东的所有者权益（元）</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964,284,418.30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572,981,361.71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68.29%</w:t>
                        </w:r>
                      </w:p>
                    </w:tc>
                  </w:tr>
                  <w:tr>
                    <w:trPr>
                      <w:trHeight w:val="244" w:hRule="exact"/>
                    </w:trPr>
                    <w:tc>
                      <w:tcPr>
                        <w:tcW w:w="4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49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124,124,172.00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18"/>
                            <w:szCs w:val="18"/>
                          </w:rPr>
                        </w:pPr>
                        <w:r>
                          <w:rPr>
                            <w:rFonts w:ascii="Times New Roman"/>
                            <w:sz w:val="18"/>
                          </w:rPr>
                          <w:t>12.84%</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357" w:lineRule="auto" w:before="0"/>
        <w:ind w:left="780" w:right="0" w:hanging="48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主要产品、原材料等价格变动情况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报告期内公司主要产品的平均销售价格与往年基本持平，原纸、油墨等主要原材料的</w:t>
      </w:r>
    </w:p>
    <w:p>
      <w:pPr>
        <w:spacing w:line="355" w:lineRule="auto" w:before="32"/>
        <w:ind w:left="298" w:right="0" w:firstLine="0"/>
        <w:jc w:val="left"/>
        <w:rPr>
          <w:rFonts w:ascii="宋体" w:hAnsi="宋体" w:cs="宋体" w:eastAsia="宋体" w:hint="default"/>
          <w:sz w:val="21"/>
          <w:szCs w:val="21"/>
        </w:rPr>
      </w:pPr>
      <w:r>
        <w:rPr>
          <w:rFonts w:ascii="宋体" w:hAnsi="宋体" w:cs="宋体" w:eastAsia="宋体" w:hint="default"/>
          <w:spacing w:val="-4"/>
          <w:sz w:val="21"/>
          <w:szCs w:val="21"/>
        </w:rPr>
        <w:t>总体价格水平较</w:t>
      </w:r>
      <w:r>
        <w:rPr>
          <w:rFonts w:ascii="宋体" w:hAnsi="宋体" w:cs="宋体" w:eastAsia="宋体" w:hint="default"/>
          <w:spacing w:val="-4"/>
          <w:sz w:val="21"/>
          <w:szCs w:val="21"/>
        </w:rPr>
        <w:t>2009</w:t>
      </w:r>
      <w:r>
        <w:rPr>
          <w:rFonts w:ascii="宋体" w:hAnsi="宋体" w:cs="宋体" w:eastAsia="宋体" w:hint="default"/>
          <w:spacing w:val="-4"/>
          <w:sz w:val="21"/>
          <w:szCs w:val="21"/>
        </w:rPr>
        <w:t>年有所上升，给成本控制带来较大压力，公司采取集团招标采购等措施</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降低采购成本，预计在</w:t>
      </w:r>
      <w:r>
        <w:rPr>
          <w:rFonts w:ascii="宋体" w:hAnsi="宋体" w:cs="宋体" w:eastAsia="宋体" w:hint="default"/>
          <w:sz w:val="21"/>
          <w:szCs w:val="21"/>
        </w:rPr>
        <w:t>2011</w:t>
      </w:r>
      <w:r>
        <w:rPr>
          <w:rFonts w:ascii="宋体" w:hAnsi="宋体" w:cs="宋体" w:eastAsia="宋体" w:hint="default"/>
          <w:sz w:val="21"/>
          <w:szCs w:val="21"/>
        </w:rPr>
        <w:t>年原材料价格将依然保持高位运行。</w:t>
      </w:r>
    </w:p>
    <w:p>
      <w:pPr>
        <w:spacing w:line="355" w:lineRule="auto" w:before="32"/>
        <w:ind w:left="7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订单签署和执行情况</w:t>
      </w:r>
      <w:r>
        <w:rPr>
          <w:rFonts w:ascii="宋体" w:hAnsi="宋体" w:cs="宋体" w:eastAsia="宋体" w:hint="default"/>
          <w:w w:val="100"/>
          <w:sz w:val="21"/>
          <w:szCs w:val="21"/>
        </w:rPr>
        <w:t> </w:t>
      </w:r>
      <w:r>
        <w:rPr>
          <w:rFonts w:ascii="宋体" w:hAnsi="宋体" w:cs="宋体" w:eastAsia="宋体" w:hint="default"/>
          <w:sz w:val="21"/>
          <w:szCs w:val="21"/>
        </w:rPr>
        <w:t>公司的经营模式为以销定产，一般情况下与主要客户签署框架协议，主要明确产品类</w:t>
      </w:r>
    </w:p>
    <w:p>
      <w:pPr>
        <w:spacing w:line="355" w:lineRule="auto" w:before="34"/>
        <w:ind w:left="298" w:right="0" w:firstLine="0"/>
        <w:jc w:val="left"/>
        <w:rPr>
          <w:rFonts w:ascii="宋体" w:hAnsi="宋体" w:cs="宋体" w:eastAsia="宋体" w:hint="default"/>
          <w:sz w:val="21"/>
          <w:szCs w:val="21"/>
        </w:rPr>
      </w:pPr>
      <w:r>
        <w:rPr>
          <w:rFonts w:ascii="宋体" w:hAnsi="宋体" w:cs="宋体" w:eastAsia="宋体" w:hint="default"/>
          <w:spacing w:val="-4"/>
          <w:sz w:val="21"/>
          <w:szCs w:val="21"/>
        </w:rPr>
        <w:t>别、服务事项、收款约定等内容，具体操作视实际下单情况而定。通常情况下，公司订单流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程大致为：公司设计供样或客户来样→客户确认下单→生产→入库→发货。公司产品参照市</w:t>
      </w:r>
    </w:p>
    <w:p>
      <w:pPr>
        <w:spacing w:after="0" w:line="355" w:lineRule="auto"/>
        <w:jc w:val="left"/>
        <w:rPr>
          <w:rFonts w:ascii="宋体" w:hAnsi="宋体" w:cs="宋体" w:eastAsia="宋体" w:hint="default"/>
          <w:sz w:val="21"/>
          <w:szCs w:val="21"/>
        </w:rPr>
        <w:sectPr>
          <w:headerReference w:type="default" r:id="rId18"/>
          <w:pgSz w:w="11910" w:h="16840"/>
          <w:pgMar w:header="840" w:footer="1100" w:top="1160" w:bottom="1280" w:left="1500" w:right="0"/>
        </w:sectPr>
      </w:pPr>
    </w:p>
    <w:p>
      <w:pPr>
        <w:spacing w:line="357" w:lineRule="auto" w:before="17"/>
        <w:ind w:left="218" w:right="1422"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600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4"/>
          <w:sz w:val="21"/>
          <w:szCs w:val="21"/>
        </w:rPr>
        <w:t>场同类产品的售价对客户报价。公司在新产品开发、产品品质、交货周期、服务等方面具有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综合优势。报告期内，公司产品订单执行情况良好，订单总体数量较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年有所增长。</w:t>
      </w:r>
    </w:p>
    <w:p>
      <w:pPr>
        <w:spacing w:before="3"/>
        <w:ind w:left="638" w:right="14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）主营业务产品销售毛利率变化情况</w:t>
      </w:r>
    </w:p>
    <w:p>
      <w:pPr>
        <w:spacing w:line="240" w:lineRule="auto" w:before="10"/>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1421"/>
        <w:gridCol w:w="1424"/>
        <w:gridCol w:w="1421"/>
        <w:gridCol w:w="1421"/>
        <w:gridCol w:w="2324"/>
      </w:tblGrid>
      <w:tr>
        <w:trPr>
          <w:trHeight w:val="449" w:hRule="exact"/>
        </w:trPr>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3"/>
              <w:ind w:left="41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360" w:hRule="exact"/>
        </w:trPr>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254"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36.38</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1" w:right="0"/>
              <w:jc w:val="left"/>
              <w:rPr>
                <w:rFonts w:ascii="宋体" w:hAnsi="宋体" w:cs="宋体" w:eastAsia="宋体" w:hint="default"/>
                <w:sz w:val="18"/>
                <w:szCs w:val="18"/>
              </w:rPr>
            </w:pPr>
            <w:r>
              <w:rPr>
                <w:rFonts w:ascii="宋体"/>
                <w:sz w:val="18"/>
              </w:rPr>
              <w:t>37.28%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32.47%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-0.90%</w:t>
            </w:r>
          </w:p>
        </w:tc>
      </w:tr>
    </w:tbl>
    <w:p>
      <w:pPr>
        <w:spacing w:line="241" w:lineRule="exact" w:before="0"/>
        <w:ind w:left="637" w:right="5463"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）主营业务按行业、产品和地区分布情况</w:t>
      </w:r>
    </w:p>
    <w:p>
      <w:pPr>
        <w:spacing w:line="240" w:lineRule="auto" w:before="5"/>
        <w:rPr>
          <w:rFonts w:ascii="宋体" w:hAnsi="宋体" w:cs="宋体" w:eastAsia="宋体" w:hint="default"/>
          <w:sz w:val="19"/>
          <w:szCs w:val="19"/>
        </w:rPr>
      </w:pPr>
    </w:p>
    <w:p>
      <w:pPr>
        <w:spacing w:before="0"/>
        <w:ind w:left="682" w:right="5313" w:firstLine="0"/>
        <w:jc w:val="center"/>
        <w:rPr>
          <w:rFonts w:ascii="宋体" w:hAnsi="宋体" w:cs="宋体" w:eastAsia="宋体" w:hint="default"/>
          <w:sz w:val="21"/>
          <w:szCs w:val="21"/>
        </w:rPr>
      </w:pPr>
      <w:r>
        <w:rPr>
          <w:rFonts w:ascii="宋体" w:hAnsi="宋体" w:cs="宋体" w:eastAsia="宋体" w:hint="default"/>
          <w:sz w:val="21"/>
          <w:szCs w:val="21"/>
        </w:rPr>
        <w:t>①分行业和分产品经营情况（单位：万元）</w:t>
      </w:r>
    </w:p>
    <w:p>
      <w:pPr>
        <w:spacing w:line="240" w:lineRule="auto" w:before="12"/>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498"/>
        <w:gridCol w:w="1157"/>
        <w:gridCol w:w="1159"/>
        <w:gridCol w:w="1157"/>
        <w:gridCol w:w="1159"/>
        <w:gridCol w:w="1157"/>
        <w:gridCol w:w="1159"/>
      </w:tblGrid>
      <w:tr>
        <w:trPr>
          <w:trHeight w:val="245" w:hRule="exact"/>
        </w:trPr>
        <w:tc>
          <w:tcPr>
            <w:tcW w:w="844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8" w:hRule="exact"/>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pacing w:val="-1"/>
                <w:sz w:val="18"/>
                <w:szCs w:val="18"/>
              </w:rPr>
              <w:t>毛利率（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48" w:right="0" w:hanging="15"/>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8" w:lineRule="exact"/>
              <w:ind w:left="48"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45" w:right="0" w:hanging="15"/>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8" w:lineRule="exact"/>
              <w:ind w:left="45"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毛利率比上年</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票证印刷业</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69,145.79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43,993.98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36.38%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28.66%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30.50%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-0.90%</w:t>
            </w:r>
          </w:p>
        </w:tc>
      </w:tr>
      <w:tr>
        <w:trPr>
          <w:trHeight w:val="243" w:hRule="exact"/>
        </w:trPr>
        <w:tc>
          <w:tcPr>
            <w:tcW w:w="844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24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57,312.25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34,475.00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39.85%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29.75%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31.36%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-0.74</w:t>
            </w:r>
            <w:r>
              <w:rPr>
                <w:rFonts w:ascii="宋体" w:hAnsi="宋体" w:cs="宋体" w:eastAsia="宋体" w:hint="default"/>
                <w:sz w:val="18"/>
                <w:szCs w:val="18"/>
              </w:rPr>
              <w:t>％</w:t>
            </w:r>
          </w:p>
        </w:tc>
      </w:tr>
      <w:tr>
        <w:trPr>
          <w:trHeight w:val="24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纸制品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w w:val="95"/>
                <w:sz w:val="18"/>
              </w:rPr>
              <w:t>4,775.76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w w:val="95"/>
                <w:sz w:val="18"/>
              </w:rPr>
              <w:t>4,595.94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3.77%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-11.82%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-6.61%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-5.37</w:t>
            </w:r>
            <w:r>
              <w:rPr>
                <w:rFonts w:ascii="宋体" w:hAnsi="宋体" w:cs="宋体" w:eastAsia="宋体" w:hint="default"/>
                <w:sz w:val="18"/>
                <w:szCs w:val="18"/>
              </w:rPr>
              <w:t>％</w:t>
            </w:r>
          </w:p>
        </w:tc>
      </w:tr>
      <w:tr>
        <w:trPr>
          <w:trHeight w:val="24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标签</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w w:val="95"/>
                <w:sz w:val="18"/>
              </w:rPr>
              <w:t>3,043.70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2,035.07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33.14%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95.30%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138.96%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-12.22</w:t>
            </w:r>
            <w:r>
              <w:rPr>
                <w:rFonts w:ascii="宋体" w:hAnsi="宋体" w:cs="宋体" w:eastAsia="宋体" w:hint="default"/>
                <w:sz w:val="18"/>
                <w:szCs w:val="18"/>
              </w:rPr>
              <w:t>％</w:t>
            </w:r>
          </w:p>
        </w:tc>
      </w:tr>
      <w:tr>
        <w:trPr>
          <w:trHeight w:val="24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数据产品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w w:val="95"/>
                <w:sz w:val="18"/>
              </w:rPr>
              <w:t>3,397.53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w w:val="95"/>
                <w:sz w:val="18"/>
              </w:rPr>
              <w:t>2,342.15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31.06%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30.71%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38.23%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-3.76</w:t>
            </w:r>
            <w:r>
              <w:rPr>
                <w:rFonts w:ascii="宋体" w:hAnsi="宋体" w:cs="宋体" w:eastAsia="宋体" w:hint="default"/>
                <w:sz w:val="18"/>
                <w:szCs w:val="18"/>
              </w:rPr>
              <w:t>％</w:t>
            </w:r>
          </w:p>
        </w:tc>
      </w:tr>
      <w:tr>
        <w:trPr>
          <w:trHeight w:val="24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彩印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616.55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545.82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11.47%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bl>
    <w:p>
      <w:pPr>
        <w:spacing w:before="86"/>
        <w:ind w:left="638" w:right="1422" w:firstLine="0"/>
        <w:jc w:val="left"/>
        <w:rPr>
          <w:rFonts w:ascii="宋体" w:hAnsi="宋体" w:cs="宋体" w:eastAsia="宋体" w:hint="default"/>
          <w:sz w:val="21"/>
          <w:szCs w:val="21"/>
        </w:rPr>
      </w:pPr>
      <w:r>
        <w:rPr>
          <w:rFonts w:ascii="宋体" w:hAnsi="宋体" w:cs="宋体" w:eastAsia="宋体" w:hint="default"/>
          <w:w w:val="100"/>
          <w:sz w:val="21"/>
          <w:szCs w:val="21"/>
        </w:rPr>
        <w:t>②分</w:t>
      </w:r>
      <w:r>
        <w:rPr>
          <w:rFonts w:ascii="宋体" w:hAnsi="宋体" w:cs="宋体" w:eastAsia="宋体" w:hint="default"/>
          <w:spacing w:val="-3"/>
          <w:w w:val="100"/>
          <w:sz w:val="21"/>
          <w:szCs w:val="21"/>
        </w:rPr>
        <w:t>地</w:t>
      </w:r>
      <w:r>
        <w:rPr>
          <w:rFonts w:ascii="宋体" w:hAnsi="宋体" w:cs="宋体" w:eastAsia="宋体" w:hint="default"/>
          <w:w w:val="100"/>
          <w:sz w:val="21"/>
          <w:szCs w:val="21"/>
        </w:rPr>
        <w:t>区</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单位</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10"/>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1704"/>
        <w:gridCol w:w="3227"/>
        <w:gridCol w:w="3401"/>
      </w:tblGrid>
      <w:tr>
        <w:trPr>
          <w:trHeight w:val="242" w:hRule="exact"/>
        </w:trPr>
        <w:tc>
          <w:tcPr>
            <w:tcW w:w="17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分地区</w:t>
            </w:r>
          </w:p>
        </w:tc>
        <w:tc>
          <w:tcPr>
            <w:tcW w:w="32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6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主营业务收入比上年同期增减</w:t>
            </w:r>
            <w:r>
              <w:rPr>
                <w:rFonts w:ascii="宋体" w:hAnsi="宋体" w:cs="宋体" w:eastAsia="宋体" w:hint="default"/>
                <w:sz w:val="18"/>
                <w:szCs w:val="18"/>
              </w:rPr>
              <w:t>%</w:t>
            </w:r>
          </w:p>
        </w:tc>
      </w:tr>
      <w:tr>
        <w:trPr>
          <w:trHeight w:val="31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北方地区</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50448.77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36.79</w:t>
            </w:r>
          </w:p>
        </w:tc>
      </w:tr>
      <w:tr>
        <w:trPr>
          <w:trHeight w:val="3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南方地区</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18697.02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10.86</w:t>
            </w:r>
          </w:p>
        </w:tc>
      </w:tr>
    </w:tbl>
    <w:p>
      <w:pPr>
        <w:spacing w:line="241" w:lineRule="exact" w:before="0"/>
        <w:ind w:left="429" w:right="1422" w:firstLine="0"/>
        <w:jc w:val="left"/>
        <w:rPr>
          <w:rFonts w:ascii="宋体" w:hAnsi="宋体" w:cs="宋体" w:eastAsia="宋体" w:hint="default"/>
          <w:sz w:val="21"/>
          <w:szCs w:val="21"/>
        </w:rPr>
      </w:pPr>
      <w:r>
        <w:rPr>
          <w:rFonts w:ascii="宋体" w:hAnsi="宋体" w:cs="宋体" w:eastAsia="宋体" w:hint="default"/>
          <w:w w:val="100"/>
          <w:sz w:val="21"/>
          <w:szCs w:val="21"/>
        </w:rPr>
        <w:t>③占</w:t>
      </w:r>
      <w:r>
        <w:rPr>
          <w:rFonts w:ascii="宋体" w:hAnsi="宋体" w:cs="宋体" w:eastAsia="宋体" w:hint="default"/>
          <w:spacing w:val="-3"/>
          <w:w w:val="100"/>
          <w:sz w:val="21"/>
          <w:szCs w:val="21"/>
        </w:rPr>
        <w:t>主</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或</w:t>
      </w:r>
      <w:r>
        <w:rPr>
          <w:rFonts w:ascii="宋体" w:hAnsi="宋体" w:cs="宋体" w:eastAsia="宋体" w:hint="default"/>
          <w:w w:val="100"/>
          <w:sz w:val="21"/>
          <w:szCs w:val="21"/>
        </w:rPr>
        <w:t>主</w:t>
      </w:r>
      <w:r>
        <w:rPr>
          <w:rFonts w:ascii="宋体" w:hAnsi="宋体" w:cs="宋体" w:eastAsia="宋体" w:hint="default"/>
          <w:spacing w:val="-3"/>
          <w:w w:val="100"/>
          <w:sz w:val="21"/>
          <w:szCs w:val="21"/>
        </w:rPr>
        <w:t>营</w:t>
      </w:r>
      <w:r>
        <w:rPr>
          <w:rFonts w:ascii="宋体" w:hAnsi="宋体" w:cs="宋体" w:eastAsia="宋体" w:hint="default"/>
          <w:w w:val="100"/>
          <w:sz w:val="21"/>
          <w:szCs w:val="21"/>
        </w:rPr>
        <w:t>业务</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3"/>
          <w:w w:val="100"/>
          <w:sz w:val="21"/>
          <w:szCs w:val="21"/>
        </w:rPr>
        <w:t>的</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w w:val="100"/>
          <w:sz w:val="21"/>
          <w:szCs w:val="21"/>
        </w:rPr>
        <w:t>经营</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32"/>
        <w:gridCol w:w="2129"/>
        <w:gridCol w:w="2132"/>
        <w:gridCol w:w="2132"/>
      </w:tblGrid>
      <w:tr>
        <w:trPr>
          <w:trHeight w:val="245"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21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51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243"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91" w:right="0"/>
              <w:jc w:val="left"/>
              <w:rPr>
                <w:rFonts w:ascii="Times New Roman" w:hAnsi="Times New Roman" w:cs="Times New Roman" w:eastAsia="Times New Roman" w:hint="default"/>
                <w:sz w:val="18"/>
                <w:szCs w:val="18"/>
              </w:rPr>
            </w:pPr>
            <w:r>
              <w:rPr>
                <w:rFonts w:ascii="Times New Roman"/>
                <w:sz w:val="18"/>
              </w:rPr>
              <w:t>57,312.25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96" w:right="0"/>
              <w:jc w:val="left"/>
              <w:rPr>
                <w:rFonts w:ascii="Times New Roman" w:hAnsi="Times New Roman" w:cs="Times New Roman" w:eastAsia="Times New Roman" w:hint="default"/>
                <w:sz w:val="18"/>
                <w:szCs w:val="18"/>
              </w:rPr>
            </w:pPr>
            <w:r>
              <w:rPr>
                <w:rFonts w:ascii="Times New Roman"/>
                <w:sz w:val="18"/>
              </w:rPr>
              <w:t>34,475.00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39.85%</w:t>
            </w:r>
          </w:p>
        </w:tc>
      </w:tr>
    </w:tbl>
    <w:p>
      <w:pPr>
        <w:spacing w:line="241" w:lineRule="exact" w:before="0"/>
        <w:ind w:left="429" w:right="1422"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6"/>
          <w:sz w:val="21"/>
          <w:szCs w:val="21"/>
        </w:rPr>
        <w:t> </w:t>
      </w:r>
      <w:r>
        <w:rPr>
          <w:rFonts w:ascii="宋体" w:hAnsi="宋体" w:cs="宋体" w:eastAsia="宋体" w:hint="default"/>
          <w:sz w:val="21"/>
          <w:szCs w:val="21"/>
        </w:rPr>
        <w:t>报告期内，公司主营业务及其结构、主营业务盈利能力未发生重大变化。</w:t>
      </w:r>
    </w:p>
    <w:p>
      <w:pPr>
        <w:spacing w:before="133"/>
        <w:ind w:left="429" w:right="1422"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6"/>
          <w:sz w:val="21"/>
          <w:szCs w:val="21"/>
        </w:rPr>
        <w:t> </w:t>
      </w:r>
      <w:r>
        <w:rPr>
          <w:rFonts w:ascii="宋体" w:hAnsi="宋体" w:cs="宋体" w:eastAsia="宋体" w:hint="default"/>
          <w:sz w:val="21"/>
          <w:szCs w:val="21"/>
        </w:rPr>
        <w:t>报告期内，公司主营业务市场、主营业务成本构成未发生显著变化</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323" w:right="14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）主要供应商及客户情况</w:t>
      </w: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3553"/>
        <w:gridCol w:w="1224"/>
        <w:gridCol w:w="1226"/>
        <w:gridCol w:w="1227"/>
        <w:gridCol w:w="1226"/>
      </w:tblGrid>
      <w:tr>
        <w:trPr>
          <w:trHeight w:val="355"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90" w:right="0"/>
              <w:jc w:val="center"/>
              <w:rPr>
                <w:rFonts w:ascii="宋体" w:hAnsi="宋体" w:cs="宋体" w:eastAsia="宋体" w:hint="default"/>
                <w:sz w:val="18"/>
                <w:szCs w:val="18"/>
              </w:rPr>
            </w:pPr>
            <w:r>
              <w:rPr>
                <w:rFonts w:ascii="宋体" w:hAnsi="宋体" w:cs="宋体" w:eastAsia="宋体" w:hint="default"/>
                <w:spacing w:val="-10"/>
                <w:sz w:val="18"/>
                <w:szCs w:val="18"/>
              </w:rPr>
              <w:t>同比增减（</w:t>
            </w:r>
            <w:r>
              <w:rPr>
                <w:rFonts w:ascii="宋体" w:hAnsi="宋体" w:cs="宋体" w:eastAsia="宋体" w:hint="default"/>
                <w:spacing w:val="-10"/>
                <w:sz w:val="18"/>
                <w:szCs w:val="18"/>
              </w:rPr>
              <w:t>%</w:t>
            </w:r>
            <w:r>
              <w:rPr>
                <w:rFonts w:ascii="宋体" w:hAnsi="宋体" w:cs="宋体" w:eastAsia="宋体" w:hint="default"/>
                <w:spacing w:val="-10"/>
                <w:sz w:val="18"/>
                <w:szCs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82"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前五名供应商合计采购金额占年度采购总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金额的比重（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40.80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32.21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8.59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23.96</w:t>
            </w:r>
          </w:p>
        </w:tc>
      </w:tr>
      <w:tr>
        <w:trPr>
          <w:trHeight w:val="360"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前五名供应商预付帐款余额（万元）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434.44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r>
      <w:tr>
        <w:trPr>
          <w:trHeight w:val="482"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前五名供应商预付帐款余额占预付帐款总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余额的比重（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20.64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0</w:t>
            </w:r>
          </w:p>
        </w:tc>
      </w:tr>
      <w:tr>
        <w:trPr>
          <w:trHeight w:val="351"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9"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9" w:lineRule="exact"/>
              <w:ind w:left="90" w:right="0"/>
              <w:jc w:val="center"/>
              <w:rPr>
                <w:rFonts w:ascii="宋体" w:hAnsi="宋体" w:cs="宋体" w:eastAsia="宋体" w:hint="default"/>
                <w:sz w:val="18"/>
                <w:szCs w:val="18"/>
              </w:rPr>
            </w:pPr>
            <w:r>
              <w:rPr>
                <w:rFonts w:ascii="宋体" w:hAnsi="宋体" w:cs="宋体" w:eastAsia="宋体" w:hint="default"/>
                <w:spacing w:val="-10"/>
                <w:sz w:val="18"/>
                <w:szCs w:val="18"/>
              </w:rPr>
              <w:t>同比增减（</w:t>
            </w:r>
            <w:r>
              <w:rPr>
                <w:rFonts w:ascii="宋体" w:hAnsi="宋体" w:cs="宋体" w:eastAsia="宋体" w:hint="default"/>
                <w:spacing w:val="-10"/>
                <w:sz w:val="18"/>
                <w:szCs w:val="18"/>
              </w:rPr>
              <w:t>%</w:t>
            </w:r>
            <w:r>
              <w:rPr>
                <w:rFonts w:ascii="宋体" w:hAnsi="宋体" w:cs="宋体" w:eastAsia="宋体" w:hint="default"/>
                <w:spacing w:val="-10"/>
                <w:sz w:val="18"/>
                <w:szCs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9" w:lineRule="exact"/>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80"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前五名客户销售额合计占公司销售总额的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13.47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19.38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-4.25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14.05</w:t>
            </w:r>
          </w:p>
        </w:tc>
      </w:tr>
      <w:tr>
        <w:trPr>
          <w:trHeight w:val="361"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前五名客户应收帐款余额（万元）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1393.41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23.93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5722.86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r>
      <w:tr>
        <w:trPr>
          <w:trHeight w:val="476"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前五名客户应收帐款余额占公司应收帐款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总额的比重（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18"/>
                <w:szCs w:val="18"/>
              </w:rPr>
            </w:pPr>
            <w:r>
              <w:rPr>
                <w:rFonts w:ascii="宋体"/>
                <w:sz w:val="18"/>
              </w:rPr>
              <w:t>21.96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1.21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20.75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0</w:t>
            </w:r>
          </w:p>
        </w:tc>
      </w:tr>
    </w:tbl>
    <w:p>
      <w:pPr>
        <w:spacing w:line="241" w:lineRule="exact" w:before="0"/>
        <w:ind w:left="638" w:right="1422" w:firstLine="0"/>
        <w:jc w:val="left"/>
        <w:rPr>
          <w:rFonts w:ascii="宋体" w:hAnsi="宋体" w:cs="宋体" w:eastAsia="宋体" w:hint="default"/>
          <w:sz w:val="21"/>
          <w:szCs w:val="21"/>
        </w:rPr>
      </w:pPr>
      <w:r>
        <w:rPr>
          <w:rFonts w:ascii="宋体" w:hAnsi="宋体" w:cs="宋体" w:eastAsia="宋体" w:hint="default"/>
          <w:sz w:val="21"/>
          <w:szCs w:val="21"/>
        </w:rPr>
        <w:t>公司前五名供应商及客户与我公司不存在关联关系，公司董事、监事、高级管理人员、</w:t>
      </w:r>
    </w:p>
    <w:p>
      <w:pPr>
        <w:spacing w:line="357" w:lineRule="auto" w:before="133"/>
        <w:ind w:left="218" w:right="1780" w:firstLine="0"/>
        <w:jc w:val="left"/>
        <w:rPr>
          <w:rFonts w:ascii="宋体" w:hAnsi="宋体" w:cs="宋体" w:eastAsia="宋体" w:hint="default"/>
          <w:sz w:val="21"/>
          <w:szCs w:val="21"/>
        </w:rPr>
      </w:pPr>
      <w:r>
        <w:rPr>
          <w:rFonts w:ascii="宋体" w:hAnsi="宋体" w:cs="宋体" w:eastAsia="宋体" w:hint="default"/>
          <w:sz w:val="21"/>
          <w:szCs w:val="21"/>
        </w:rPr>
        <w:t>核心技术人员、持股</w:t>
      </w:r>
      <w:r>
        <w:rPr>
          <w:rFonts w:ascii="宋体" w:hAnsi="宋体" w:cs="宋体" w:eastAsia="宋体" w:hint="default"/>
          <w:spacing w:val="1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以上股东、实际控制人和其他关联方在前五名供应商和客户中无直</w:t>
      </w:r>
      <w:r>
        <w:rPr>
          <w:rFonts w:ascii="宋体" w:hAnsi="宋体" w:cs="宋体" w:eastAsia="宋体" w:hint="default"/>
          <w:w w:val="100"/>
          <w:sz w:val="21"/>
          <w:szCs w:val="21"/>
        </w:rPr>
        <w:t> </w:t>
      </w:r>
      <w:r>
        <w:rPr>
          <w:rFonts w:ascii="宋体" w:hAnsi="宋体" w:cs="宋体" w:eastAsia="宋体" w:hint="default"/>
          <w:sz w:val="21"/>
          <w:szCs w:val="21"/>
        </w:rPr>
        <w:t>接或间接拥有权益。</w:t>
      </w:r>
    </w:p>
    <w:p>
      <w:pPr>
        <w:spacing w:after="0" w:line="357" w:lineRule="auto"/>
        <w:jc w:val="left"/>
        <w:rPr>
          <w:rFonts w:ascii="宋体" w:hAnsi="宋体" w:cs="宋体" w:eastAsia="宋体" w:hint="default"/>
          <w:sz w:val="21"/>
          <w:szCs w:val="21"/>
        </w:rPr>
        <w:sectPr>
          <w:headerReference w:type="default" r:id="rId19"/>
          <w:pgSz w:w="11910" w:h="16840"/>
          <w:pgMar w:header="915" w:footer="1100" w:top="1100" w:bottom="1280" w:left="1580" w:right="0"/>
        </w:sectPr>
      </w:pPr>
    </w:p>
    <w:p>
      <w:pPr>
        <w:spacing w:before="17"/>
        <w:ind w:left="638" w:right="1422"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98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）公司主要费用情况（单位：元）</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003"/>
        <w:gridCol w:w="1537"/>
        <w:gridCol w:w="1644"/>
        <w:gridCol w:w="1644"/>
        <w:gridCol w:w="1397"/>
        <w:gridCol w:w="1303"/>
      </w:tblGrid>
      <w:tr>
        <w:trPr>
          <w:trHeight w:val="476"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left="5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减幅度</w:t>
            </w:r>
            <w:r>
              <w:rPr>
                <w:rFonts w:ascii="宋体" w:hAnsi="宋体" w:cs="宋体" w:eastAsia="宋体" w:hint="default"/>
                <w:sz w:val="18"/>
                <w:szCs w:val="18"/>
              </w:rPr>
              <w:t>%</w:t>
            </w:r>
          </w:p>
        </w:tc>
        <w:tc>
          <w:tcPr>
            <w:tcW w:w="13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年营</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业收入比例</w:t>
            </w:r>
            <w:r>
              <w:rPr>
                <w:rFonts w:ascii="宋体" w:hAnsi="宋体" w:cs="宋体" w:eastAsia="宋体" w:hint="default"/>
                <w:sz w:val="18"/>
                <w:szCs w:val="18"/>
              </w:rPr>
              <w:t>%</w:t>
            </w:r>
          </w:p>
        </w:tc>
      </w:tr>
      <w:tr>
        <w:trPr>
          <w:trHeight w:val="245"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61,832,155.20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56,696,696.24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3"/>
              <w:jc w:val="right"/>
              <w:rPr>
                <w:rFonts w:ascii="宋体" w:hAnsi="宋体" w:cs="宋体" w:eastAsia="宋体" w:hint="default"/>
                <w:sz w:val="18"/>
                <w:szCs w:val="18"/>
              </w:rPr>
            </w:pPr>
            <w:r>
              <w:rPr>
                <w:rFonts w:ascii="宋体"/>
                <w:spacing w:val="-1"/>
                <w:sz w:val="18"/>
              </w:rPr>
              <w:t>56,542,276.37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9.06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8.68</w:t>
            </w:r>
          </w:p>
        </w:tc>
      </w:tr>
      <w:tr>
        <w:trPr>
          <w:trHeight w:val="242"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79,703,034.14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62,617,248.50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3"/>
              <w:jc w:val="right"/>
              <w:rPr>
                <w:rFonts w:ascii="宋体" w:hAnsi="宋体" w:cs="宋体" w:eastAsia="宋体" w:hint="default"/>
                <w:sz w:val="18"/>
                <w:szCs w:val="18"/>
              </w:rPr>
            </w:pPr>
            <w:r>
              <w:rPr>
                <w:rFonts w:ascii="宋体"/>
                <w:spacing w:val="-1"/>
                <w:sz w:val="18"/>
              </w:rPr>
              <w:t>38,126,460.39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27.29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11.19</w:t>
            </w:r>
          </w:p>
        </w:tc>
      </w:tr>
      <w:tr>
        <w:trPr>
          <w:trHeight w:val="245"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center"/>
              <w:rPr>
                <w:rFonts w:ascii="宋体" w:hAnsi="宋体" w:cs="宋体" w:eastAsia="宋体" w:hint="default"/>
                <w:sz w:val="18"/>
                <w:szCs w:val="18"/>
              </w:rPr>
            </w:pPr>
            <w:r>
              <w:rPr>
                <w:rFonts w:ascii="宋体"/>
                <w:sz w:val="18"/>
              </w:rPr>
              <w:t>7,085,301.49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124,347.89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1"/>
              <w:jc w:val="right"/>
              <w:rPr>
                <w:rFonts w:ascii="宋体" w:hAnsi="宋体" w:cs="宋体" w:eastAsia="宋体" w:hint="default"/>
                <w:sz w:val="18"/>
                <w:szCs w:val="18"/>
              </w:rPr>
            </w:pPr>
            <w:r>
              <w:rPr>
                <w:rFonts w:ascii="宋体"/>
                <w:spacing w:val="-1"/>
                <w:sz w:val="18"/>
              </w:rPr>
              <w:t>-965,572.42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5597.97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0.99</w:t>
            </w:r>
          </w:p>
        </w:tc>
      </w:tr>
      <w:tr>
        <w:trPr>
          <w:trHeight w:val="242"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所 得</w:t>
            </w:r>
            <w:r>
              <w:rPr>
                <w:rFonts w:ascii="宋体" w:hAnsi="宋体" w:cs="宋体" w:eastAsia="宋体" w:hint="default"/>
                <w:spacing w:val="2"/>
                <w:sz w:val="18"/>
                <w:szCs w:val="18"/>
              </w:rPr>
              <w:t> </w:t>
            </w:r>
            <w:r>
              <w:rPr>
                <w:rFonts w:ascii="宋体" w:hAnsi="宋体" w:cs="宋体" w:eastAsia="宋体" w:hint="default"/>
                <w:sz w:val="18"/>
                <w:szCs w:val="18"/>
              </w:rPr>
              <w:t>税</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17,044,514.61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11,400,312.12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9"/>
              <w:jc w:val="right"/>
              <w:rPr>
                <w:rFonts w:ascii="宋体" w:hAnsi="宋体" w:cs="宋体" w:eastAsia="宋体" w:hint="default"/>
                <w:sz w:val="18"/>
                <w:szCs w:val="18"/>
              </w:rPr>
            </w:pPr>
            <w:r>
              <w:rPr>
                <w:rFonts w:ascii="宋体"/>
                <w:spacing w:val="-1"/>
                <w:sz w:val="18"/>
              </w:rPr>
              <w:t>8,235,624.84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49.51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2.39</w:t>
            </w:r>
          </w:p>
        </w:tc>
      </w:tr>
    </w:tbl>
    <w:p>
      <w:pPr>
        <w:spacing w:line="241" w:lineRule="exact" w:before="0"/>
        <w:ind w:left="218" w:right="1422" w:firstLine="0"/>
        <w:jc w:val="left"/>
        <w:rPr>
          <w:rFonts w:ascii="宋体" w:hAnsi="宋体" w:cs="宋体" w:eastAsia="宋体" w:hint="default"/>
          <w:sz w:val="21"/>
          <w:szCs w:val="21"/>
        </w:rPr>
      </w:pPr>
      <w:r>
        <w:rPr>
          <w:rFonts w:ascii="宋体" w:hAnsi="宋体" w:cs="宋体" w:eastAsia="宋体" w:hint="default"/>
          <w:sz w:val="21"/>
          <w:szCs w:val="21"/>
        </w:rPr>
        <w:t>主要变动说明：</w:t>
      </w:r>
    </w:p>
    <w:p>
      <w:pPr>
        <w:spacing w:line="357" w:lineRule="auto" w:before="133"/>
        <w:ind w:left="218" w:right="1783" w:firstLine="419"/>
        <w:jc w:val="left"/>
        <w:rPr>
          <w:rFonts w:ascii="宋体" w:hAnsi="宋体" w:cs="宋体" w:eastAsia="宋体" w:hint="default"/>
          <w:sz w:val="21"/>
          <w:szCs w:val="21"/>
        </w:rPr>
      </w:pPr>
      <w:r>
        <w:rPr>
          <w:rFonts w:ascii="宋体" w:hAnsi="宋体" w:cs="宋体" w:eastAsia="宋体" w:hint="default"/>
          <w:sz w:val="21"/>
          <w:szCs w:val="21"/>
        </w:rPr>
        <w:t>财务费用增加</w:t>
      </w:r>
      <w:r>
        <w:rPr>
          <w:rFonts w:ascii="宋体" w:hAnsi="宋体" w:cs="宋体" w:eastAsia="宋体" w:hint="default"/>
          <w:spacing w:val="11"/>
          <w:sz w:val="21"/>
          <w:szCs w:val="21"/>
        </w:rPr>
        <w:t> </w:t>
      </w:r>
      <w:r>
        <w:rPr>
          <w:rFonts w:ascii="宋体" w:hAnsi="宋体" w:cs="宋体" w:eastAsia="宋体" w:hint="default"/>
          <w:sz w:val="21"/>
          <w:szCs w:val="21"/>
        </w:rPr>
        <w:t>5597.97%</w:t>
      </w:r>
      <w:r>
        <w:rPr>
          <w:rFonts w:ascii="宋体" w:hAnsi="宋体" w:cs="宋体" w:eastAsia="宋体" w:hint="default"/>
          <w:sz w:val="21"/>
          <w:szCs w:val="21"/>
        </w:rPr>
        <w:t>的主要原因是：在募集资金到位前，公司利用自筹资金先期启</w:t>
      </w:r>
      <w:r>
        <w:rPr>
          <w:rFonts w:ascii="宋体" w:hAnsi="宋体" w:cs="宋体" w:eastAsia="宋体" w:hint="default"/>
          <w:w w:val="100"/>
          <w:sz w:val="21"/>
          <w:szCs w:val="21"/>
        </w:rPr>
        <w:t> </w:t>
      </w:r>
      <w:r>
        <w:rPr>
          <w:rFonts w:ascii="宋体" w:hAnsi="宋体" w:cs="宋体" w:eastAsia="宋体" w:hint="default"/>
          <w:sz w:val="21"/>
          <w:szCs w:val="21"/>
        </w:rPr>
        <w:t>动了募集资金项目，导致利息支出增加。</w:t>
      </w:r>
    </w:p>
    <w:p>
      <w:pPr>
        <w:spacing w:before="30"/>
        <w:ind w:left="638" w:right="1422" w:firstLine="0"/>
        <w:jc w:val="left"/>
        <w:rPr>
          <w:rFonts w:ascii="宋体" w:hAnsi="宋体" w:cs="宋体" w:eastAsia="宋体" w:hint="default"/>
          <w:sz w:val="21"/>
          <w:szCs w:val="21"/>
        </w:rPr>
      </w:pPr>
      <w:r>
        <w:rPr>
          <w:rFonts w:ascii="宋体" w:hAnsi="宋体" w:cs="宋体" w:eastAsia="宋体" w:hint="default"/>
          <w:spacing w:val="-2"/>
          <w:sz w:val="21"/>
          <w:szCs w:val="21"/>
        </w:rPr>
        <w:t>所得税增加</w:t>
      </w:r>
      <w:r>
        <w:rPr>
          <w:rFonts w:ascii="宋体" w:hAnsi="宋体" w:cs="宋体" w:eastAsia="宋体" w:hint="default"/>
          <w:spacing w:val="18"/>
          <w:sz w:val="21"/>
          <w:szCs w:val="21"/>
        </w:rPr>
        <w:t> </w:t>
      </w:r>
      <w:r>
        <w:rPr>
          <w:rFonts w:ascii="宋体" w:hAnsi="宋体" w:cs="宋体" w:eastAsia="宋体" w:hint="default"/>
          <w:spacing w:val="-2"/>
          <w:sz w:val="21"/>
          <w:szCs w:val="21"/>
        </w:rPr>
        <w:t>49.51</w:t>
      </w:r>
      <w:r>
        <w:rPr>
          <w:rFonts w:ascii="宋体" w:hAnsi="宋体" w:cs="宋体" w:eastAsia="宋体" w:hint="default"/>
          <w:spacing w:val="-2"/>
          <w:sz w:val="21"/>
          <w:szCs w:val="21"/>
        </w:rPr>
        <w:t>％的主要原因是：本年利润总额增加，且部分子公司税率提高所致。</w:t>
      </w:r>
    </w:p>
    <w:p>
      <w:pPr>
        <w:tabs>
          <w:tab w:pos="6833" w:val="left" w:leader="none"/>
        </w:tabs>
        <w:spacing w:before="133"/>
        <w:ind w:left="638" w:right="14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）现金流状况分析</w:t>
        <w:tab/>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743" w:type="dxa"/>
        <w:tblLayout w:type="fixed"/>
        <w:tblCellMar>
          <w:top w:w="0" w:type="dxa"/>
          <w:left w:w="0" w:type="dxa"/>
          <w:bottom w:w="0" w:type="dxa"/>
          <w:right w:w="0" w:type="dxa"/>
        </w:tblCellMar>
        <w:tblLook w:val="01E0"/>
      </w:tblPr>
      <w:tblGrid>
        <w:gridCol w:w="2278"/>
        <w:gridCol w:w="1791"/>
        <w:gridCol w:w="1793"/>
        <w:gridCol w:w="1393"/>
      </w:tblGrid>
      <w:tr>
        <w:trPr>
          <w:trHeight w:val="24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6"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一、经营活动产生的现金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spacing w:val="-1"/>
                <w:sz w:val="18"/>
              </w:rPr>
              <w:t>179,535,678.40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5"/>
              <w:jc w:val="right"/>
              <w:rPr>
                <w:rFonts w:ascii="Times New Roman" w:hAnsi="Times New Roman" w:cs="Times New Roman" w:eastAsia="Times New Roman" w:hint="default"/>
                <w:sz w:val="18"/>
                <w:szCs w:val="18"/>
              </w:rPr>
            </w:pPr>
            <w:r>
              <w:rPr>
                <w:rFonts w:ascii="Times New Roman"/>
                <w:spacing w:val="-2"/>
                <w:sz w:val="18"/>
              </w:rPr>
              <w:t>111,617,008.83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60.85%</w:t>
            </w:r>
          </w:p>
        </w:tc>
      </w:tr>
      <w:tr>
        <w:trPr>
          <w:trHeight w:val="24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794,119,134.24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633,810,589.33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25.29%</w:t>
            </w:r>
          </w:p>
        </w:tc>
      </w:tr>
      <w:tr>
        <w:trPr>
          <w:trHeight w:val="24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614,583,455.84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522,193,580.50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17.69%</w:t>
            </w:r>
          </w:p>
        </w:tc>
      </w:tr>
      <w:tr>
        <w:trPr>
          <w:trHeight w:val="478"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二、投资活动产生的现金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-254,594,521.32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-133,802,452.23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-90.28%</w:t>
            </w:r>
          </w:p>
        </w:tc>
      </w:tr>
      <w:tr>
        <w:trPr>
          <w:trHeight w:val="24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17,655.00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-41.15%</w:t>
            </w:r>
          </w:p>
        </w:tc>
      </w:tr>
      <w:tr>
        <w:trPr>
          <w:trHeight w:val="24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254,612,176.32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133,832,452.23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90.25%</w:t>
            </w:r>
          </w:p>
        </w:tc>
      </w:tr>
      <w:tr>
        <w:trPr>
          <w:trHeight w:val="478"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三、筹资活动产生的现金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285,276,814.43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88,336,600.00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222.94%</w:t>
            </w:r>
          </w:p>
        </w:tc>
      </w:tr>
      <w:tr>
        <w:trPr>
          <w:trHeight w:val="24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660,695,904.75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145,500,000.00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354.09%</w:t>
            </w:r>
          </w:p>
        </w:tc>
      </w:tr>
      <w:tr>
        <w:trPr>
          <w:trHeight w:val="24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375,419,090.32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57,163,400.00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556.75%</w:t>
            </w:r>
          </w:p>
        </w:tc>
      </w:tr>
      <w:tr>
        <w:trPr>
          <w:trHeight w:val="478"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四、现金及现金等价物净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额增加</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210,208,728.95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66,339,092.38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216.87%</w:t>
            </w:r>
          </w:p>
        </w:tc>
      </w:tr>
      <w:tr>
        <w:trPr>
          <w:trHeight w:val="24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1,454,832,693.99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779,340,589.33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86.67%</w:t>
            </w:r>
          </w:p>
        </w:tc>
      </w:tr>
      <w:tr>
        <w:trPr>
          <w:trHeight w:val="24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1,244,614,722.48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713,189,432.73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74.51%</w:t>
            </w:r>
          </w:p>
        </w:tc>
      </w:tr>
    </w:tbl>
    <w:p>
      <w:pPr>
        <w:spacing w:line="241" w:lineRule="exact" w:before="0"/>
        <w:ind w:left="638" w:right="1422"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before="80"/>
        <w:ind w:left="638" w:right="1422" w:firstLine="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经营活动产生的现金流量净额增加</w:t>
      </w:r>
      <w:r>
        <w:rPr>
          <w:rFonts w:ascii="宋体" w:hAnsi="宋体" w:cs="宋体" w:eastAsia="宋体" w:hint="default"/>
          <w:spacing w:val="13"/>
          <w:sz w:val="21"/>
          <w:szCs w:val="21"/>
        </w:rPr>
        <w:t> </w:t>
      </w:r>
      <w:r>
        <w:rPr>
          <w:rFonts w:ascii="宋体" w:hAnsi="宋体" w:cs="宋体" w:eastAsia="宋体" w:hint="default"/>
          <w:spacing w:val="-2"/>
          <w:sz w:val="21"/>
          <w:szCs w:val="21"/>
        </w:rPr>
        <w:t>60.85%</w:t>
      </w:r>
      <w:r>
        <w:rPr>
          <w:rFonts w:ascii="宋体" w:hAnsi="宋体" w:cs="宋体" w:eastAsia="宋体" w:hint="default"/>
          <w:spacing w:val="-2"/>
          <w:sz w:val="21"/>
          <w:szCs w:val="21"/>
        </w:rPr>
        <w:t>，主要是本年度销售收入增加所致。</w:t>
      </w:r>
    </w:p>
    <w:p>
      <w:pPr>
        <w:spacing w:line="309" w:lineRule="auto" w:before="78"/>
        <w:ind w:left="218" w:right="1422" w:firstLine="419"/>
        <w:jc w:val="left"/>
        <w:rPr>
          <w:rFonts w:ascii="宋体" w:hAnsi="宋体" w:cs="宋体" w:eastAsia="宋体" w:hint="default"/>
          <w:sz w:val="21"/>
          <w:szCs w:val="21"/>
        </w:rPr>
      </w:pPr>
      <w:r>
        <w:rPr>
          <w:rFonts w:ascii="宋体" w:hAnsi="宋体" w:cs="宋体" w:eastAsia="宋体" w:hint="default"/>
          <w:sz w:val="21"/>
          <w:szCs w:val="21"/>
        </w:rPr>
        <w:t>投资活动产生的现金流量净额减少</w:t>
      </w:r>
      <w:r>
        <w:rPr>
          <w:rFonts w:ascii="宋体" w:hAnsi="宋体" w:cs="宋体" w:eastAsia="宋体" w:hint="default"/>
          <w:spacing w:val="97"/>
          <w:sz w:val="21"/>
          <w:szCs w:val="21"/>
        </w:rPr>
        <w:t> </w:t>
      </w:r>
      <w:r>
        <w:rPr>
          <w:rFonts w:ascii="宋体" w:hAnsi="宋体" w:cs="宋体" w:eastAsia="宋体" w:hint="default"/>
          <w:sz w:val="21"/>
          <w:szCs w:val="21"/>
        </w:rPr>
        <w:t>90.28</w:t>
      </w:r>
      <w:r>
        <w:rPr>
          <w:rFonts w:ascii="宋体" w:hAnsi="宋体" w:cs="宋体" w:eastAsia="宋体" w:hint="default"/>
          <w:sz w:val="21"/>
          <w:szCs w:val="21"/>
        </w:rPr>
        <w:t>％，主要是本年度公司固定资产投资增加所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line="309" w:lineRule="auto" w:before="17"/>
        <w:ind w:left="638" w:right="1779" w:firstLine="0"/>
        <w:jc w:val="left"/>
        <w:rPr>
          <w:rFonts w:ascii="宋体" w:hAnsi="宋体" w:cs="宋体" w:eastAsia="宋体" w:hint="default"/>
          <w:sz w:val="21"/>
          <w:szCs w:val="21"/>
        </w:rPr>
      </w:pPr>
      <w:r>
        <w:rPr>
          <w:rFonts w:ascii="宋体" w:hAnsi="宋体" w:cs="宋体" w:eastAsia="宋体" w:hint="default"/>
          <w:sz w:val="21"/>
          <w:szCs w:val="21"/>
        </w:rPr>
        <w:t>投资活动现金流入量减少</w:t>
      </w:r>
      <w:r>
        <w:rPr>
          <w:rFonts w:ascii="宋体" w:hAnsi="宋体" w:cs="宋体" w:eastAsia="宋体" w:hint="default"/>
          <w:sz w:val="21"/>
          <w:szCs w:val="21"/>
        </w:rPr>
        <w:t>-41.15%</w:t>
      </w:r>
      <w:r>
        <w:rPr>
          <w:rFonts w:ascii="宋体" w:hAnsi="宋体" w:cs="宋体" w:eastAsia="宋体" w:hint="default"/>
          <w:sz w:val="21"/>
          <w:szCs w:val="21"/>
        </w:rPr>
        <w:t>，主要本年度处置固定资产收回的现金减少所致。</w:t>
      </w:r>
      <w:r>
        <w:rPr>
          <w:rFonts w:ascii="宋体" w:hAnsi="宋体" w:cs="宋体" w:eastAsia="宋体" w:hint="default"/>
          <w:w w:val="100"/>
          <w:sz w:val="21"/>
          <w:szCs w:val="21"/>
        </w:rPr>
        <w:t> </w:t>
      </w:r>
      <w:r>
        <w:rPr>
          <w:rFonts w:ascii="宋体" w:hAnsi="宋体" w:cs="宋体" w:eastAsia="宋体" w:hint="default"/>
          <w:sz w:val="21"/>
          <w:szCs w:val="21"/>
        </w:rPr>
        <w:t>投资活动现金流出量增加</w:t>
      </w:r>
      <w:r>
        <w:rPr>
          <w:rFonts w:ascii="宋体" w:hAnsi="宋体" w:cs="宋体" w:eastAsia="宋体" w:hint="default"/>
          <w:spacing w:val="-56"/>
          <w:sz w:val="21"/>
          <w:szCs w:val="21"/>
        </w:rPr>
        <w:t> </w:t>
      </w:r>
      <w:r>
        <w:rPr>
          <w:rFonts w:ascii="宋体" w:hAnsi="宋体" w:cs="宋体" w:eastAsia="宋体" w:hint="default"/>
          <w:sz w:val="21"/>
          <w:szCs w:val="21"/>
        </w:rPr>
        <w:t>90.25</w:t>
      </w:r>
      <w:r>
        <w:rPr>
          <w:rFonts w:ascii="宋体" w:hAnsi="宋体" w:cs="宋体" w:eastAsia="宋体" w:hint="default"/>
          <w:sz w:val="21"/>
          <w:szCs w:val="21"/>
        </w:rPr>
        <w:t>％，主要是本年度公司固定资产投资增加所致。</w:t>
      </w:r>
      <w:r>
        <w:rPr>
          <w:rFonts w:ascii="宋体" w:hAnsi="宋体" w:cs="宋体" w:eastAsia="宋体" w:hint="default"/>
          <w:w w:val="100"/>
          <w:sz w:val="21"/>
          <w:szCs w:val="21"/>
        </w:rPr>
        <w:t> </w:t>
      </w:r>
      <w:r>
        <w:rPr>
          <w:rFonts w:ascii="宋体" w:hAnsi="宋体" w:cs="宋体" w:eastAsia="宋体" w:hint="default"/>
          <w:sz w:val="21"/>
          <w:szCs w:val="21"/>
        </w:rPr>
        <w:t>筹资活动产生的现金流量净额增加</w:t>
      </w:r>
      <w:r>
        <w:rPr>
          <w:rFonts w:ascii="宋体" w:hAnsi="宋体" w:cs="宋体" w:eastAsia="宋体" w:hint="default"/>
          <w:spacing w:val="14"/>
          <w:sz w:val="21"/>
          <w:szCs w:val="21"/>
        </w:rPr>
        <w:t> </w:t>
      </w:r>
      <w:r>
        <w:rPr>
          <w:rFonts w:ascii="宋体" w:hAnsi="宋体" w:cs="宋体" w:eastAsia="宋体" w:hint="default"/>
          <w:sz w:val="21"/>
          <w:szCs w:val="21"/>
        </w:rPr>
        <w:t>222.94</w:t>
      </w:r>
      <w:r>
        <w:rPr>
          <w:rFonts w:ascii="宋体" w:hAnsi="宋体" w:cs="宋体" w:eastAsia="宋体" w:hint="default"/>
          <w:sz w:val="21"/>
          <w:szCs w:val="21"/>
        </w:rPr>
        <w:t>％，主要是本年度公司增发股票募集资金所</w:t>
      </w:r>
    </w:p>
    <w:p>
      <w:pPr>
        <w:spacing w:before="19"/>
        <w:ind w:left="218" w:right="1422" w:firstLine="0"/>
        <w:jc w:val="left"/>
        <w:rPr>
          <w:rFonts w:ascii="宋体" w:hAnsi="宋体" w:cs="宋体" w:eastAsia="宋体" w:hint="default"/>
          <w:sz w:val="21"/>
          <w:szCs w:val="21"/>
        </w:rPr>
      </w:pPr>
      <w:r>
        <w:rPr>
          <w:rFonts w:ascii="宋体" w:hAnsi="宋体" w:cs="宋体" w:eastAsia="宋体" w:hint="default"/>
          <w:sz w:val="21"/>
          <w:szCs w:val="21"/>
        </w:rPr>
        <w:t>致。</w:t>
      </w:r>
    </w:p>
    <w:p>
      <w:pPr>
        <w:spacing w:line="309" w:lineRule="auto" w:before="78"/>
        <w:ind w:left="218" w:right="1781" w:firstLine="419"/>
        <w:jc w:val="left"/>
        <w:rPr>
          <w:rFonts w:ascii="宋体" w:hAnsi="宋体" w:cs="宋体" w:eastAsia="宋体" w:hint="default"/>
          <w:sz w:val="21"/>
          <w:szCs w:val="21"/>
        </w:rPr>
      </w:pPr>
      <w:r>
        <w:rPr>
          <w:rFonts w:ascii="宋体" w:hAnsi="宋体" w:cs="宋体" w:eastAsia="宋体" w:hint="default"/>
          <w:sz w:val="21"/>
          <w:szCs w:val="21"/>
        </w:rPr>
        <w:t>筹资活动现金流入量增加</w:t>
      </w:r>
      <w:r>
        <w:rPr>
          <w:rFonts w:ascii="宋体" w:hAnsi="宋体" w:cs="宋体" w:eastAsia="宋体" w:hint="default"/>
          <w:spacing w:val="13"/>
          <w:sz w:val="21"/>
          <w:szCs w:val="21"/>
        </w:rPr>
        <w:t> </w:t>
      </w:r>
      <w:r>
        <w:rPr>
          <w:rFonts w:ascii="宋体" w:hAnsi="宋体" w:cs="宋体" w:eastAsia="宋体" w:hint="default"/>
          <w:sz w:val="21"/>
          <w:szCs w:val="21"/>
        </w:rPr>
        <w:t>354.09</w:t>
      </w:r>
      <w:r>
        <w:rPr>
          <w:rFonts w:ascii="宋体" w:hAnsi="宋体" w:cs="宋体" w:eastAsia="宋体" w:hint="default"/>
          <w:sz w:val="21"/>
          <w:szCs w:val="21"/>
        </w:rPr>
        <w:t>％，主要是本年度公司增发股票募集资金，以及向银</w:t>
      </w:r>
      <w:r>
        <w:rPr>
          <w:rFonts w:ascii="宋体" w:hAnsi="宋体" w:cs="宋体" w:eastAsia="宋体" w:hint="default"/>
          <w:w w:val="100"/>
          <w:sz w:val="21"/>
          <w:szCs w:val="21"/>
        </w:rPr>
        <w:t> </w:t>
      </w:r>
      <w:r>
        <w:rPr>
          <w:rFonts w:ascii="宋体" w:hAnsi="宋体" w:cs="宋体" w:eastAsia="宋体" w:hint="default"/>
          <w:sz w:val="21"/>
          <w:szCs w:val="21"/>
        </w:rPr>
        <w:t>行贷款所致。</w:t>
      </w:r>
    </w:p>
    <w:p>
      <w:pPr>
        <w:spacing w:line="309" w:lineRule="auto" w:before="17"/>
        <w:ind w:left="638" w:right="1422" w:firstLine="0"/>
        <w:jc w:val="left"/>
        <w:rPr>
          <w:rFonts w:ascii="宋体" w:hAnsi="宋体" w:cs="宋体" w:eastAsia="宋体" w:hint="default"/>
          <w:sz w:val="21"/>
          <w:szCs w:val="21"/>
        </w:rPr>
      </w:pPr>
      <w:r>
        <w:rPr>
          <w:rFonts w:ascii="宋体" w:hAnsi="宋体" w:cs="宋体" w:eastAsia="宋体" w:hint="default"/>
          <w:sz w:val="21"/>
          <w:szCs w:val="21"/>
        </w:rPr>
        <w:t>筹资活动现金流出量增加</w:t>
      </w:r>
      <w:r>
        <w:rPr>
          <w:rFonts w:ascii="宋体" w:hAnsi="宋体" w:cs="宋体" w:eastAsia="宋体" w:hint="default"/>
          <w:spacing w:val="-56"/>
          <w:sz w:val="21"/>
          <w:szCs w:val="21"/>
        </w:rPr>
        <w:t> </w:t>
      </w:r>
      <w:r>
        <w:rPr>
          <w:rFonts w:ascii="宋体" w:hAnsi="宋体" w:cs="宋体" w:eastAsia="宋体" w:hint="default"/>
          <w:sz w:val="21"/>
          <w:szCs w:val="21"/>
        </w:rPr>
        <w:t>556.75</w:t>
      </w:r>
      <w:r>
        <w:rPr>
          <w:rFonts w:ascii="宋体" w:hAnsi="宋体" w:cs="宋体" w:eastAsia="宋体" w:hint="default"/>
          <w:sz w:val="21"/>
          <w:szCs w:val="21"/>
        </w:rPr>
        <w:t>％，主要是本年度公司归还银行贷款所致。</w:t>
      </w:r>
      <w:r>
        <w:rPr>
          <w:rFonts w:ascii="宋体" w:hAnsi="宋体" w:cs="宋体" w:eastAsia="宋体" w:hint="default"/>
          <w:w w:val="100"/>
          <w:sz w:val="21"/>
          <w:szCs w:val="21"/>
        </w:rPr>
        <w:t> </w:t>
      </w:r>
      <w:r>
        <w:rPr>
          <w:rFonts w:ascii="宋体" w:hAnsi="宋体" w:cs="宋体" w:eastAsia="宋体" w:hint="default"/>
          <w:sz w:val="21"/>
          <w:szCs w:val="21"/>
        </w:rPr>
        <w:t>现金及现金等价物净额增加</w:t>
      </w:r>
      <w:r>
        <w:rPr>
          <w:rFonts w:ascii="宋体" w:hAnsi="宋体" w:cs="宋体" w:eastAsia="宋体" w:hint="default"/>
          <w:spacing w:val="-54"/>
          <w:sz w:val="21"/>
          <w:szCs w:val="21"/>
        </w:rPr>
        <w:t> </w:t>
      </w:r>
      <w:r>
        <w:rPr>
          <w:rFonts w:ascii="宋体" w:hAnsi="宋体" w:cs="宋体" w:eastAsia="宋体" w:hint="default"/>
          <w:sz w:val="21"/>
          <w:szCs w:val="21"/>
        </w:rPr>
        <w:t>216.87</w:t>
      </w:r>
      <w:r>
        <w:rPr>
          <w:rFonts w:ascii="宋体" w:hAnsi="宋体" w:cs="宋体" w:eastAsia="宋体" w:hint="default"/>
          <w:sz w:val="21"/>
          <w:szCs w:val="21"/>
        </w:rPr>
        <w:t>％，主要是本年度公司增发股票，募集资金所致。</w:t>
      </w:r>
      <w:r>
        <w:rPr>
          <w:rFonts w:ascii="宋体" w:hAnsi="宋体" w:cs="宋体" w:eastAsia="宋体" w:hint="default"/>
          <w:w w:val="100"/>
          <w:sz w:val="21"/>
          <w:szCs w:val="21"/>
        </w:rPr>
        <w:t> </w:t>
      </w:r>
      <w:r>
        <w:rPr>
          <w:rFonts w:ascii="宋体" w:hAnsi="宋体" w:cs="宋体" w:eastAsia="宋体" w:hint="default"/>
          <w:spacing w:val="-2"/>
          <w:sz w:val="21"/>
          <w:szCs w:val="21"/>
        </w:rPr>
        <w:t>现金流入总计增加</w:t>
      </w:r>
      <w:r>
        <w:rPr>
          <w:rFonts w:ascii="宋体" w:hAnsi="宋体" w:cs="宋体" w:eastAsia="宋体" w:hint="default"/>
          <w:sz w:val="21"/>
          <w:szCs w:val="21"/>
        </w:rPr>
        <w:t> </w:t>
      </w:r>
      <w:r>
        <w:rPr>
          <w:rFonts w:ascii="宋体" w:hAnsi="宋体" w:cs="宋体" w:eastAsia="宋体" w:hint="default"/>
          <w:spacing w:val="-2"/>
          <w:sz w:val="21"/>
          <w:szCs w:val="21"/>
        </w:rPr>
        <w:t>86.67</w:t>
      </w:r>
      <w:r>
        <w:rPr>
          <w:rFonts w:ascii="宋体" w:hAnsi="宋体" w:cs="宋体" w:eastAsia="宋体" w:hint="default"/>
          <w:spacing w:val="-2"/>
          <w:sz w:val="21"/>
          <w:szCs w:val="21"/>
        </w:rPr>
        <w:t>％，主要是本年度公司增发股票募集资金、向银行贷款所致。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现金流出总计增加 </w:t>
      </w:r>
      <w:r>
        <w:rPr>
          <w:rFonts w:ascii="宋体" w:hAnsi="宋体" w:cs="宋体" w:eastAsia="宋体" w:hint="default"/>
          <w:spacing w:val="-3"/>
          <w:sz w:val="21"/>
          <w:szCs w:val="21"/>
        </w:rPr>
        <w:t>74.51</w:t>
      </w:r>
      <w:r>
        <w:rPr>
          <w:rFonts w:ascii="宋体" w:hAnsi="宋体" w:cs="宋体" w:eastAsia="宋体" w:hint="default"/>
          <w:spacing w:val="-3"/>
          <w:sz w:val="21"/>
          <w:szCs w:val="21"/>
        </w:rPr>
        <w:t>％，主要是本年度公司加大了固定资产投资，并向银行归还贷</w:t>
      </w:r>
    </w:p>
    <w:p>
      <w:pPr>
        <w:spacing w:line="309" w:lineRule="auto" w:before="17"/>
        <w:ind w:left="218" w:right="7105" w:firstLine="0"/>
        <w:jc w:val="left"/>
        <w:rPr>
          <w:rFonts w:ascii="宋体" w:hAnsi="宋体" w:cs="宋体" w:eastAsia="宋体" w:hint="default"/>
          <w:sz w:val="21"/>
          <w:szCs w:val="21"/>
        </w:rPr>
      </w:pPr>
      <w:r>
        <w:rPr>
          <w:rFonts w:ascii="宋体" w:hAnsi="宋体" w:cs="宋体" w:eastAsia="宋体" w:hint="default"/>
          <w:sz w:val="21"/>
          <w:szCs w:val="21"/>
        </w:rPr>
        <w:t>款所致。</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、公司主要资产构成：</w:t>
      </w:r>
    </w:p>
    <w:p>
      <w:pPr>
        <w:spacing w:before="72"/>
        <w:ind w:left="638" w:right="1422" w:firstLine="0"/>
        <w:jc w:val="left"/>
        <w:rPr>
          <w:rFonts w:ascii="宋体" w:hAnsi="宋体" w:cs="宋体" w:eastAsia="宋体" w:hint="default"/>
          <w:sz w:val="21"/>
          <w:szCs w:val="21"/>
        </w:rPr>
      </w:pPr>
      <w:r>
        <w:rPr>
          <w:rFonts w:ascii="宋体" w:hAnsi="宋体" w:cs="宋体" w:eastAsia="宋体" w:hint="default"/>
          <w:sz w:val="21"/>
          <w:szCs w:val="21"/>
        </w:rPr>
        <w:t>公司主要办公、厂房、生产设备的地点：济南市山大北路</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号，公司合法拥有目前所</w:t>
      </w:r>
    </w:p>
    <w:p>
      <w:pPr>
        <w:spacing w:after="0"/>
        <w:jc w:val="left"/>
        <w:rPr>
          <w:rFonts w:ascii="宋体" w:hAnsi="宋体" w:cs="宋体" w:eastAsia="宋体" w:hint="default"/>
          <w:sz w:val="21"/>
          <w:szCs w:val="21"/>
        </w:rPr>
        <w:sectPr>
          <w:pgSz w:w="11910" w:h="16840"/>
          <w:pgMar w:header="915" w:footer="1100" w:top="1100" w:bottom="1280" w:left="1580" w:right="0"/>
        </w:sectPr>
      </w:pPr>
    </w:p>
    <w:p>
      <w:pPr>
        <w:spacing w:line="309" w:lineRule="auto" w:before="17"/>
        <w:ind w:left="558" w:right="1783" w:hanging="42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96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使用的土地、厂房及生产设备。公司主要房屋及设备不存在担保、诉讼、仲裁等情形。</w:t>
      </w:r>
      <w:r>
        <w:rPr>
          <w:rFonts w:ascii="宋体" w:hAnsi="宋体" w:cs="宋体" w:eastAsia="宋体" w:hint="default"/>
          <w:w w:val="100"/>
          <w:sz w:val="21"/>
          <w:szCs w:val="21"/>
        </w:rPr>
        <w:t> </w:t>
      </w:r>
      <w:r>
        <w:rPr>
          <w:rFonts w:ascii="宋体" w:hAnsi="宋体" w:cs="宋体" w:eastAsia="宋体" w:hint="default"/>
          <w:sz w:val="21"/>
          <w:szCs w:val="21"/>
        </w:rPr>
        <w:t>公司在全国设立有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家控股子公司，主要从事商业票据产品的生产和销售业务，并合法</w:t>
      </w:r>
    </w:p>
    <w:p>
      <w:pPr>
        <w:spacing w:line="309" w:lineRule="auto" w:before="0"/>
        <w:ind w:left="138" w:right="1789" w:firstLine="0"/>
        <w:jc w:val="left"/>
        <w:rPr>
          <w:rFonts w:ascii="宋体" w:hAnsi="宋体" w:cs="宋体" w:eastAsia="宋体" w:hint="default"/>
          <w:sz w:val="21"/>
          <w:szCs w:val="21"/>
        </w:rPr>
      </w:pPr>
      <w:r>
        <w:rPr>
          <w:rFonts w:ascii="宋体" w:hAnsi="宋体" w:cs="宋体" w:eastAsia="宋体" w:hint="default"/>
          <w:spacing w:val="-4"/>
          <w:sz w:val="21"/>
          <w:szCs w:val="21"/>
        </w:rPr>
        <w:t>拥有所使用的厂房及生产设备。公司核心资产年使用率较高，平均产能利用率高于生产能力</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的</w:t>
      </w:r>
      <w:r>
        <w:rPr>
          <w:rFonts w:ascii="宋体" w:hAnsi="宋体" w:cs="宋体" w:eastAsia="宋体" w:hint="default"/>
          <w:spacing w:val="-56"/>
          <w:sz w:val="21"/>
          <w:szCs w:val="21"/>
        </w:rPr>
        <w:t> </w:t>
      </w:r>
      <w:r>
        <w:rPr>
          <w:rFonts w:ascii="宋体" w:hAnsi="宋体" w:cs="宋体" w:eastAsia="宋体" w:hint="default"/>
          <w:sz w:val="21"/>
          <w:szCs w:val="21"/>
        </w:rPr>
        <w:t>80%</w:t>
      </w:r>
      <w:r>
        <w:rPr>
          <w:rFonts w:ascii="宋体" w:hAnsi="宋体" w:cs="宋体" w:eastAsia="宋体" w:hint="default"/>
          <w:sz w:val="21"/>
          <w:szCs w:val="21"/>
        </w:rPr>
        <w:t>；核心设备资产成新率均在</w:t>
      </w:r>
      <w:r>
        <w:rPr>
          <w:rFonts w:ascii="宋体" w:hAnsi="宋体" w:cs="宋体" w:eastAsia="宋体" w:hint="default"/>
          <w:spacing w:val="-55"/>
          <w:sz w:val="21"/>
          <w:szCs w:val="21"/>
        </w:rPr>
        <w:t> </w:t>
      </w:r>
      <w:r>
        <w:rPr>
          <w:rFonts w:ascii="宋体" w:hAnsi="宋体" w:cs="宋体" w:eastAsia="宋体" w:hint="default"/>
          <w:sz w:val="21"/>
          <w:szCs w:val="21"/>
        </w:rPr>
        <w:t>70%</w:t>
      </w:r>
      <w:r>
        <w:rPr>
          <w:rFonts w:ascii="宋体" w:hAnsi="宋体" w:cs="宋体" w:eastAsia="宋体" w:hint="default"/>
          <w:sz w:val="21"/>
          <w:szCs w:val="21"/>
        </w:rPr>
        <w:t>以上，不存在减值迹象。</w:t>
      </w:r>
    </w:p>
    <w:p>
      <w:pPr>
        <w:spacing w:before="19"/>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）资产构成变动情况</w:t>
      </w:r>
    </w:p>
    <w:p>
      <w:pPr>
        <w:spacing w:line="240" w:lineRule="auto" w:before="7"/>
        <w:rPr>
          <w:rFonts w:ascii="宋体" w:hAnsi="宋体" w:cs="宋体" w:eastAsia="宋体" w:hint="default"/>
          <w:sz w:val="8"/>
          <w:szCs w:val="8"/>
        </w:rPr>
      </w:pPr>
    </w:p>
    <w:tbl>
      <w:tblPr>
        <w:tblW w:w="0" w:type="auto"/>
        <w:jc w:val="left"/>
        <w:tblInd w:w="898" w:type="dxa"/>
        <w:tblLayout w:type="fixed"/>
        <w:tblCellMar>
          <w:top w:w="0" w:type="dxa"/>
          <w:left w:w="0" w:type="dxa"/>
          <w:bottom w:w="0" w:type="dxa"/>
          <w:right w:w="0" w:type="dxa"/>
        </w:tblCellMar>
        <w:tblLook w:val="01E0"/>
      </w:tblPr>
      <w:tblGrid>
        <w:gridCol w:w="1657"/>
        <w:gridCol w:w="1805"/>
        <w:gridCol w:w="1808"/>
        <w:gridCol w:w="1515"/>
      </w:tblGrid>
      <w:tr>
        <w:trPr>
          <w:trHeight w:val="612" w:hRule="exact"/>
        </w:trPr>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91" w:right="149" w:hanging="336"/>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年占总资产的 比重（</w:t>
            </w:r>
            <w:r>
              <w:rPr>
                <w:rFonts w:ascii="宋体" w:hAnsi="宋体" w:cs="宋体" w:eastAsia="宋体" w:hint="default"/>
                <w:sz w:val="18"/>
                <w:szCs w:val="18"/>
              </w:rPr>
              <w:t>%</w:t>
            </w:r>
            <w:r>
              <w:rPr>
                <w:rFonts w:ascii="宋体" w:hAnsi="宋体" w:cs="宋体" w:eastAsia="宋体" w:hint="default"/>
                <w:sz w:val="18"/>
                <w:szCs w:val="18"/>
              </w:rPr>
              <w:t>）</w:t>
            </w:r>
          </w:p>
        </w:tc>
        <w:tc>
          <w:tcPr>
            <w:tcW w:w="18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92" w:right="151" w:hanging="337"/>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年占总资产的 比重（</w:t>
            </w:r>
            <w:r>
              <w:rPr>
                <w:rFonts w:ascii="宋体" w:hAnsi="宋体" w:cs="宋体" w:eastAsia="宋体" w:hint="default"/>
                <w:sz w:val="18"/>
                <w:szCs w:val="18"/>
              </w:rPr>
              <w:t>%</w:t>
            </w:r>
            <w:r>
              <w:rPr>
                <w:rFonts w:ascii="宋体" w:hAnsi="宋体" w:cs="宋体" w:eastAsia="宋体" w:hint="default"/>
                <w:sz w:val="18"/>
                <w:szCs w:val="18"/>
              </w:rPr>
              <w:t>）</w:t>
            </w:r>
          </w:p>
        </w:tc>
        <w:tc>
          <w:tcPr>
            <w:tcW w:w="15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168"/>
              <w:jc w:val="righ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60" w:hRule="exact"/>
        </w:trPr>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7"/>
              <w:jc w:val="right"/>
              <w:rPr>
                <w:rFonts w:ascii="宋体" w:hAnsi="宋体" w:cs="宋体" w:eastAsia="宋体" w:hint="default"/>
                <w:sz w:val="18"/>
                <w:szCs w:val="18"/>
              </w:rPr>
            </w:pPr>
            <w:r>
              <w:rPr>
                <w:rFonts w:ascii="宋体"/>
                <w:sz w:val="18"/>
              </w:rPr>
              <w:t>4.50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3.79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0.71</w:t>
            </w:r>
          </w:p>
        </w:tc>
      </w:tr>
      <w:tr>
        <w:trPr>
          <w:trHeight w:val="360" w:hRule="exact"/>
        </w:trPr>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7"/>
              <w:jc w:val="right"/>
              <w:rPr>
                <w:rFonts w:ascii="宋体" w:hAnsi="宋体" w:cs="宋体" w:eastAsia="宋体" w:hint="default"/>
                <w:sz w:val="18"/>
                <w:szCs w:val="18"/>
              </w:rPr>
            </w:pPr>
            <w:r>
              <w:rPr>
                <w:rFonts w:ascii="宋体"/>
                <w:sz w:val="18"/>
              </w:rPr>
              <w:t>6.84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9.21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-2.37</w:t>
            </w:r>
          </w:p>
        </w:tc>
      </w:tr>
      <w:tr>
        <w:trPr>
          <w:trHeight w:val="360" w:hRule="exact"/>
        </w:trPr>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z w:val="18"/>
              </w:rPr>
              <w:t>43.80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37.06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6.74</w:t>
            </w:r>
          </w:p>
        </w:tc>
      </w:tr>
      <w:tr>
        <w:trPr>
          <w:trHeight w:val="360" w:hRule="exact"/>
        </w:trPr>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7"/>
              <w:jc w:val="right"/>
              <w:rPr>
                <w:rFonts w:ascii="宋体" w:hAnsi="宋体" w:cs="宋体" w:eastAsia="宋体" w:hint="default"/>
                <w:sz w:val="18"/>
                <w:szCs w:val="18"/>
              </w:rPr>
            </w:pPr>
            <w:r>
              <w:rPr>
                <w:rFonts w:ascii="宋体"/>
                <w:sz w:val="18"/>
              </w:rPr>
              <w:t>7.36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19.82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-12.46</w:t>
            </w:r>
          </w:p>
        </w:tc>
      </w:tr>
      <w:tr>
        <w:trPr>
          <w:trHeight w:val="363" w:hRule="exact"/>
        </w:trPr>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7"/>
              <w:jc w:val="right"/>
              <w:rPr>
                <w:rFonts w:ascii="宋体" w:hAnsi="宋体" w:cs="宋体" w:eastAsia="宋体" w:hint="default"/>
                <w:sz w:val="18"/>
                <w:szCs w:val="18"/>
              </w:rPr>
            </w:pPr>
            <w:r>
              <w:rPr>
                <w:rFonts w:ascii="宋体"/>
                <w:sz w:val="18"/>
              </w:rPr>
              <w:t>4.75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6.57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-1.82</w:t>
            </w:r>
          </w:p>
        </w:tc>
      </w:tr>
    </w:tbl>
    <w:p>
      <w:pPr>
        <w:spacing w:line="240" w:lineRule="auto" w:before="11"/>
        <w:rPr>
          <w:rFonts w:ascii="宋体" w:hAnsi="宋体" w:cs="宋体" w:eastAsia="宋体" w:hint="default"/>
          <w:sz w:val="25"/>
          <w:szCs w:val="2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）存货变动情况单位：元</w:t>
      </w:r>
    </w:p>
    <w:p>
      <w:pPr>
        <w:spacing w:line="240" w:lineRule="auto" w:before="10"/>
        <w:rPr>
          <w:rFonts w:ascii="宋体" w:hAnsi="宋体" w:cs="宋体" w:eastAsia="宋体" w:hint="default"/>
          <w:sz w:val="12"/>
          <w:szCs w:val="12"/>
        </w:rPr>
      </w:pPr>
    </w:p>
    <w:tbl>
      <w:tblPr>
        <w:tblW w:w="0" w:type="auto"/>
        <w:jc w:val="left"/>
        <w:tblInd w:w="754" w:type="dxa"/>
        <w:tblLayout w:type="fixed"/>
        <w:tblCellMar>
          <w:top w:w="0" w:type="dxa"/>
          <w:left w:w="0" w:type="dxa"/>
          <w:bottom w:w="0" w:type="dxa"/>
          <w:right w:w="0" w:type="dxa"/>
        </w:tblCellMar>
        <w:tblLook w:val="01E0"/>
      </w:tblPr>
      <w:tblGrid>
        <w:gridCol w:w="1534"/>
        <w:gridCol w:w="1594"/>
        <w:gridCol w:w="1995"/>
        <w:gridCol w:w="1947"/>
      </w:tblGrid>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22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年末余额</w:t>
            </w:r>
          </w:p>
        </w:tc>
        <w:tc>
          <w:tcPr>
            <w:tcW w:w="19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57"/>
                <w:sz w:val="18"/>
                <w:szCs w:val="18"/>
              </w:rPr>
              <w:t> </w:t>
            </w:r>
            <w:r>
              <w:rPr>
                <w:rFonts w:ascii="宋体" w:hAnsi="宋体" w:cs="宋体" w:eastAsia="宋体" w:hint="default"/>
                <w:sz w:val="18"/>
                <w:szCs w:val="18"/>
              </w:rPr>
              <w:t>2010</w:t>
            </w:r>
            <w:r>
              <w:rPr>
                <w:rFonts w:ascii="宋体" w:hAnsi="宋体" w:cs="宋体" w:eastAsia="宋体" w:hint="default"/>
                <w:spacing w:val="-56"/>
                <w:sz w:val="18"/>
                <w:szCs w:val="18"/>
              </w:rPr>
              <w:t> </w:t>
            </w:r>
            <w:r>
              <w:rPr>
                <w:rFonts w:ascii="宋体" w:hAnsi="宋体" w:cs="宋体" w:eastAsia="宋体" w:hint="default"/>
                <w:sz w:val="18"/>
                <w:szCs w:val="18"/>
              </w:rPr>
              <w:t>年末总资产的</w:t>
            </w:r>
            <w:r>
              <w:rPr>
                <w:rFonts w:ascii="宋体" w:hAnsi="宋体" w:cs="宋体" w:eastAsia="宋体" w:hint="default"/>
                <w:sz w:val="18"/>
                <w:szCs w:val="18"/>
              </w:rPr>
              <w:t>%</w:t>
            </w:r>
          </w:p>
        </w:tc>
        <w:tc>
          <w:tcPr>
            <w:tcW w:w="19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存货跌价准备的计提</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03" w:right="0"/>
              <w:jc w:val="left"/>
              <w:rPr>
                <w:rFonts w:ascii="宋体" w:hAnsi="宋体" w:cs="宋体" w:eastAsia="宋体" w:hint="default"/>
                <w:sz w:val="18"/>
                <w:szCs w:val="18"/>
              </w:rPr>
            </w:pPr>
            <w:r>
              <w:rPr>
                <w:rFonts w:ascii="宋体"/>
                <w:sz w:val="18"/>
              </w:rPr>
              <w:t>43,158,775.17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sz w:val="18"/>
              </w:rPr>
              <w:t>3.23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在途物资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3" w:right="0"/>
              <w:jc w:val="left"/>
              <w:rPr>
                <w:rFonts w:ascii="宋体" w:hAnsi="宋体" w:cs="宋体" w:eastAsia="宋体" w:hint="default"/>
                <w:sz w:val="18"/>
                <w:szCs w:val="18"/>
              </w:rPr>
            </w:pPr>
            <w:r>
              <w:rPr>
                <w:rFonts w:ascii="宋体"/>
                <w:sz w:val="18"/>
              </w:rPr>
              <w:t>12,794.95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sz w:val="18"/>
              </w:rPr>
              <w:t>0.01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9" w:right="0"/>
              <w:jc w:val="left"/>
              <w:rPr>
                <w:rFonts w:ascii="宋体" w:hAnsi="宋体" w:cs="宋体" w:eastAsia="宋体" w:hint="default"/>
                <w:sz w:val="18"/>
                <w:szCs w:val="18"/>
              </w:rPr>
            </w:pPr>
            <w:r>
              <w:rPr>
                <w:rFonts w:ascii="宋体"/>
                <w:sz w:val="18"/>
              </w:rPr>
              <w:t>5,808,984.56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0.43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03" w:right="0"/>
              <w:jc w:val="left"/>
              <w:rPr>
                <w:rFonts w:ascii="宋体" w:hAnsi="宋体" w:cs="宋体" w:eastAsia="宋体" w:hint="default"/>
                <w:sz w:val="18"/>
                <w:szCs w:val="18"/>
              </w:rPr>
            </w:pPr>
            <w:r>
              <w:rPr>
                <w:rFonts w:ascii="宋体"/>
                <w:sz w:val="18"/>
              </w:rPr>
              <w:t>38,235,986.02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sz w:val="18"/>
              </w:rPr>
              <w:t>2.86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委托加工物资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9" w:right="0"/>
              <w:jc w:val="left"/>
              <w:rPr>
                <w:rFonts w:ascii="宋体" w:hAnsi="宋体" w:cs="宋体" w:eastAsia="宋体" w:hint="default"/>
                <w:sz w:val="18"/>
                <w:szCs w:val="18"/>
              </w:rPr>
            </w:pPr>
            <w:r>
              <w:rPr>
                <w:rFonts w:ascii="宋体"/>
                <w:sz w:val="18"/>
              </w:rPr>
              <w:t>4,190,678.56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sz w:val="18"/>
              </w:rPr>
              <w:t>0.31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0</w:t>
            </w:r>
          </w:p>
        </w:tc>
      </w:tr>
      <w:tr>
        <w:trPr>
          <w:trHeight w:val="362"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91,407,219.26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6.84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0</w:t>
            </w:r>
          </w:p>
        </w:tc>
      </w:tr>
    </w:tbl>
    <w:p>
      <w:pPr>
        <w:spacing w:line="240" w:lineRule="auto" w:before="11"/>
        <w:rPr>
          <w:rFonts w:ascii="宋体" w:hAnsi="宋体" w:cs="宋体" w:eastAsia="宋体" w:hint="default"/>
          <w:sz w:val="25"/>
          <w:szCs w:val="25"/>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、主要控股公司及参股公司的经营情况及业绩：</w:t>
      </w:r>
    </w:p>
    <w:p>
      <w:pPr>
        <w:spacing w:before="78"/>
        <w:ind w:left="13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）控股子公司—郑州东港安全印刷有限公司：</w:t>
      </w:r>
    </w:p>
    <w:p>
      <w:pPr>
        <w:spacing w:before="80"/>
        <w:ind w:left="596"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9"/>
          <w:sz w:val="21"/>
          <w:szCs w:val="21"/>
        </w:rPr>
        <w:t> </w:t>
      </w:r>
      <w:r>
        <w:rPr>
          <w:rFonts w:ascii="宋体" w:hAnsi="宋体" w:cs="宋体" w:eastAsia="宋体" w:hint="default"/>
          <w:sz w:val="21"/>
          <w:szCs w:val="21"/>
        </w:rPr>
        <w:t>2003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月成立，注册资本</w:t>
      </w:r>
      <w:r>
        <w:rPr>
          <w:rFonts w:ascii="宋体" w:hAnsi="宋体" w:cs="宋体" w:eastAsia="宋体" w:hint="default"/>
          <w:spacing w:val="-49"/>
          <w:sz w:val="21"/>
          <w:szCs w:val="21"/>
        </w:rPr>
        <w:t> </w:t>
      </w:r>
      <w:r>
        <w:rPr>
          <w:rFonts w:ascii="宋体" w:hAnsi="宋体" w:cs="宋体" w:eastAsia="宋体" w:hint="default"/>
          <w:sz w:val="21"/>
          <w:szCs w:val="21"/>
        </w:rPr>
        <w:t>3,000</w:t>
      </w:r>
      <w:r>
        <w:rPr>
          <w:rFonts w:ascii="宋体" w:hAnsi="宋体" w:cs="宋体" w:eastAsia="宋体" w:hint="default"/>
          <w:spacing w:val="-49"/>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9"/>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。公司法定代</w:t>
      </w:r>
    </w:p>
    <w:p>
      <w:pPr>
        <w:spacing w:line="309" w:lineRule="auto" w:before="78"/>
        <w:ind w:left="138" w:right="1782" w:firstLine="0"/>
        <w:jc w:val="left"/>
        <w:rPr>
          <w:rFonts w:ascii="宋体" w:hAnsi="宋体" w:cs="宋体" w:eastAsia="宋体" w:hint="default"/>
          <w:sz w:val="21"/>
          <w:szCs w:val="21"/>
        </w:rPr>
      </w:pPr>
      <w:r>
        <w:rPr>
          <w:rFonts w:ascii="宋体" w:hAnsi="宋体" w:cs="宋体" w:eastAsia="宋体" w:hint="default"/>
          <w:sz w:val="21"/>
          <w:szCs w:val="21"/>
        </w:rPr>
        <w:t>表人：谷望宁。注册地址：郑州高新区国槐街</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号。经营范围：高档纸（不含新闻纸）及</w:t>
      </w:r>
      <w:r>
        <w:rPr>
          <w:rFonts w:ascii="宋体" w:hAnsi="宋体" w:cs="宋体" w:eastAsia="宋体" w:hint="default"/>
          <w:w w:val="100"/>
          <w:sz w:val="21"/>
          <w:szCs w:val="21"/>
        </w:rPr>
        <w:t> </w:t>
      </w:r>
      <w:r>
        <w:rPr>
          <w:rFonts w:ascii="宋体" w:hAnsi="宋体" w:cs="宋体" w:eastAsia="宋体" w:hint="default"/>
          <w:spacing w:val="-5"/>
          <w:w w:val="100"/>
          <w:sz w:val="21"/>
          <w:szCs w:val="21"/>
        </w:rPr>
        <w:t>纸制品生产加工、印刷（不含期刊、报纸），销售本公司生产的产品。</w:t>
      </w:r>
    </w:p>
    <w:p>
      <w:pPr>
        <w:spacing w:before="17"/>
        <w:ind w:left="596"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781.20</w:t>
      </w:r>
      <w:r>
        <w:rPr>
          <w:rFonts w:ascii="宋体" w:hAnsi="宋体" w:cs="宋体" w:eastAsia="宋体" w:hint="default"/>
          <w:spacing w:val="-55"/>
          <w:sz w:val="21"/>
          <w:szCs w:val="21"/>
        </w:rPr>
        <w:t> </w:t>
      </w:r>
      <w:r>
        <w:rPr>
          <w:rFonts w:ascii="宋体" w:hAnsi="宋体" w:cs="宋体" w:eastAsia="宋体" w:hint="default"/>
          <w:sz w:val="21"/>
          <w:szCs w:val="21"/>
        </w:rPr>
        <w:t>万元，报告本期末资产总额为</w:t>
      </w:r>
      <w:r>
        <w:rPr>
          <w:rFonts w:ascii="宋体" w:hAnsi="宋体" w:cs="宋体" w:eastAsia="宋体" w:hint="default"/>
          <w:spacing w:val="-55"/>
          <w:sz w:val="21"/>
          <w:szCs w:val="21"/>
        </w:rPr>
        <w:t> </w:t>
      </w:r>
      <w:r>
        <w:rPr>
          <w:rFonts w:ascii="宋体" w:hAnsi="宋体" w:cs="宋体" w:eastAsia="宋体" w:hint="default"/>
          <w:sz w:val="21"/>
          <w:szCs w:val="21"/>
        </w:rPr>
        <w:t>5,081.83</w:t>
      </w:r>
      <w:r>
        <w:rPr>
          <w:rFonts w:ascii="宋体" w:hAnsi="宋体" w:cs="宋体" w:eastAsia="宋体" w:hint="default"/>
          <w:spacing w:val="-5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before="80"/>
        <w:ind w:left="13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）控股子公司—北京东港安全印刷有限公司：</w:t>
      </w:r>
    </w:p>
    <w:p>
      <w:pPr>
        <w:spacing w:line="309" w:lineRule="auto" w:before="78"/>
        <w:ind w:left="138" w:right="1788" w:firstLine="45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49"/>
          <w:sz w:val="21"/>
          <w:szCs w:val="21"/>
        </w:rPr>
        <w:t> </w:t>
      </w:r>
      <w:r>
        <w:rPr>
          <w:rFonts w:ascii="宋体" w:hAnsi="宋体" w:cs="宋体" w:eastAsia="宋体" w:hint="default"/>
          <w:spacing w:val="-5"/>
          <w:sz w:val="21"/>
          <w:szCs w:val="21"/>
        </w:rPr>
        <w:t>日成立，注册资本</w:t>
      </w:r>
      <w:r>
        <w:rPr>
          <w:rFonts w:ascii="宋体" w:hAnsi="宋体" w:cs="宋体" w:eastAsia="宋体" w:hint="default"/>
          <w:spacing w:val="-49"/>
          <w:sz w:val="21"/>
          <w:szCs w:val="21"/>
        </w:rPr>
        <w:t> </w:t>
      </w:r>
      <w:r>
        <w:rPr>
          <w:rFonts w:ascii="宋体" w:hAnsi="宋体" w:cs="宋体" w:eastAsia="宋体" w:hint="default"/>
          <w:sz w:val="21"/>
          <w:szCs w:val="21"/>
        </w:rPr>
        <w:t>5,200</w:t>
      </w:r>
      <w:r>
        <w:rPr>
          <w:rFonts w:ascii="宋体" w:hAnsi="宋体" w:cs="宋体" w:eastAsia="宋体" w:hint="default"/>
          <w:spacing w:val="-51"/>
          <w:sz w:val="21"/>
          <w:szCs w:val="21"/>
        </w:rPr>
        <w:t> </w:t>
      </w:r>
      <w:r>
        <w:rPr>
          <w:rFonts w:ascii="宋体" w:hAnsi="宋体" w:cs="宋体" w:eastAsia="宋体" w:hint="default"/>
          <w:spacing w:val="-4"/>
          <w:sz w:val="21"/>
          <w:szCs w:val="21"/>
        </w:rPr>
        <w:t>万元，本公司持股比例为</w:t>
      </w:r>
      <w:r>
        <w:rPr>
          <w:rFonts w:ascii="宋体" w:hAnsi="宋体" w:cs="宋体" w:eastAsia="宋体" w:hint="default"/>
          <w:spacing w:val="-51"/>
          <w:sz w:val="21"/>
          <w:szCs w:val="21"/>
        </w:rPr>
        <w:t> </w:t>
      </w:r>
      <w:r>
        <w:rPr>
          <w:rFonts w:ascii="宋体" w:hAnsi="宋体" w:cs="宋体" w:eastAsia="宋体" w:hint="default"/>
          <w:spacing w:val="-5"/>
          <w:sz w:val="21"/>
          <w:szCs w:val="21"/>
        </w:rPr>
        <w:t>75%</w:t>
      </w:r>
      <w:r>
        <w:rPr>
          <w:rFonts w:ascii="宋体" w:hAnsi="宋体" w:cs="宋体" w:eastAsia="宋体" w:hint="default"/>
          <w:spacing w:val="-5"/>
          <w:sz w:val="21"/>
          <w:szCs w:val="21"/>
        </w:rPr>
        <w:t>。公司法</w:t>
      </w:r>
      <w:r>
        <w:rPr>
          <w:rFonts w:ascii="宋体" w:hAnsi="宋体" w:cs="宋体" w:eastAsia="宋体" w:hint="default"/>
          <w:w w:val="100"/>
          <w:sz w:val="21"/>
          <w:szCs w:val="21"/>
        </w:rPr>
        <w:t> </w:t>
      </w:r>
      <w:r>
        <w:rPr>
          <w:rFonts w:ascii="宋体" w:hAnsi="宋体" w:cs="宋体" w:eastAsia="宋体" w:hint="default"/>
          <w:spacing w:val="-4"/>
          <w:sz w:val="21"/>
          <w:szCs w:val="21"/>
        </w:rPr>
        <w:t>定代表人：史建中。注册地址：北京市通州区光机电一体化产业基地。经营范围：出版物印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刷、包装装潢印刷品印刷，其他印刷品印刷；软件产品的开发生产。</w:t>
      </w:r>
    </w:p>
    <w:p>
      <w:pPr>
        <w:spacing w:before="19"/>
        <w:ind w:left="596"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6"/>
          <w:sz w:val="21"/>
          <w:szCs w:val="21"/>
        </w:rPr>
        <w:t> </w:t>
      </w:r>
      <w:r>
        <w:rPr>
          <w:rFonts w:ascii="宋体" w:hAnsi="宋体" w:cs="宋体" w:eastAsia="宋体" w:hint="default"/>
          <w:sz w:val="21"/>
          <w:szCs w:val="21"/>
        </w:rPr>
        <w:t>1,999.14</w:t>
      </w:r>
      <w:r>
        <w:rPr>
          <w:rFonts w:ascii="宋体" w:hAnsi="宋体" w:cs="宋体" w:eastAsia="宋体" w:hint="default"/>
          <w:spacing w:val="-56"/>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4"/>
          <w:sz w:val="21"/>
          <w:szCs w:val="21"/>
        </w:rPr>
        <w:t> </w:t>
      </w:r>
      <w:r>
        <w:rPr>
          <w:rFonts w:ascii="宋体" w:hAnsi="宋体" w:cs="宋体" w:eastAsia="宋体" w:hint="default"/>
          <w:sz w:val="21"/>
          <w:szCs w:val="21"/>
        </w:rPr>
        <w:t>12,742.35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80"/>
        <w:ind w:left="13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）控股子公司—新疆东港安全印刷有限公司：</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日成立，注册资本</w:t>
      </w:r>
      <w:r>
        <w:rPr>
          <w:rFonts w:ascii="宋体" w:hAnsi="宋体" w:cs="宋体" w:eastAsia="宋体" w:hint="default"/>
          <w:spacing w:val="-47"/>
          <w:sz w:val="21"/>
          <w:szCs w:val="21"/>
        </w:rPr>
        <w:t> </w:t>
      </w:r>
      <w:r>
        <w:rPr>
          <w:rFonts w:ascii="宋体" w:hAnsi="宋体" w:cs="宋体" w:eastAsia="宋体" w:hint="default"/>
          <w:sz w:val="21"/>
          <w:szCs w:val="21"/>
        </w:rPr>
        <w:t>500</w:t>
      </w:r>
      <w:r>
        <w:rPr>
          <w:rFonts w:ascii="宋体" w:hAnsi="宋体" w:cs="宋体" w:eastAsia="宋体" w:hint="default"/>
          <w:spacing w:val="-44"/>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7"/>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。公司法定</w:t>
      </w:r>
    </w:p>
    <w:p>
      <w:pPr>
        <w:spacing w:line="355" w:lineRule="auto" w:before="133"/>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代表人：谷望江。注册地址：乌鲁木齐经济技术开发区厦门二街</w:t>
      </w:r>
      <w:r>
        <w:rPr>
          <w:rFonts w:ascii="宋体" w:hAnsi="宋体" w:cs="宋体" w:eastAsia="宋体" w:hint="default"/>
          <w:spacing w:val="-25"/>
          <w:sz w:val="21"/>
          <w:szCs w:val="21"/>
        </w:rPr>
        <w:t> </w:t>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pacing w:val="-5"/>
          <w:sz w:val="21"/>
          <w:szCs w:val="21"/>
        </w:rPr>
        <w:t>号。经营范围：自治区区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w w:val="100"/>
          <w:sz w:val="21"/>
          <w:szCs w:val="21"/>
        </w:rPr>
        <w:t>域内的其他印刷品印刷（票证）。纸制品的生产、销售；高档纸的防伪处理、销售；数据打</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2"/>
          <w:sz w:val="21"/>
          <w:szCs w:val="21"/>
        </w:rPr>
        <w:t>印系统的开发、生产；科技信息咨询服务；</w:t>
      </w:r>
      <w:r>
        <w:rPr>
          <w:rFonts w:ascii="宋体" w:hAnsi="宋体" w:cs="宋体" w:eastAsia="宋体" w:hint="default"/>
          <w:spacing w:val="-2"/>
          <w:sz w:val="21"/>
          <w:szCs w:val="21"/>
        </w:rPr>
        <w:t>IC</w:t>
      </w:r>
      <w:r>
        <w:rPr>
          <w:rFonts w:ascii="宋体" w:hAnsi="宋体" w:cs="宋体" w:eastAsia="宋体" w:hint="default"/>
          <w:spacing w:val="15"/>
          <w:sz w:val="21"/>
          <w:szCs w:val="21"/>
        </w:rPr>
        <w:t> </w:t>
      </w:r>
      <w:r>
        <w:rPr>
          <w:rFonts w:ascii="宋体" w:hAnsi="宋体" w:cs="宋体" w:eastAsia="宋体" w:hint="default"/>
          <w:spacing w:val="-2"/>
          <w:sz w:val="21"/>
          <w:szCs w:val="21"/>
        </w:rPr>
        <w:t>卡产品、智能标签产品的生产、销售。</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5"/>
          <w:sz w:val="21"/>
          <w:szCs w:val="21"/>
        </w:rPr>
        <w:t> </w:t>
      </w:r>
      <w:r>
        <w:rPr>
          <w:rFonts w:ascii="宋体" w:hAnsi="宋体" w:cs="宋体" w:eastAsia="宋体" w:hint="default"/>
          <w:sz w:val="21"/>
          <w:szCs w:val="21"/>
        </w:rPr>
        <w:t>65.74</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3"/>
          <w:sz w:val="21"/>
          <w:szCs w:val="21"/>
        </w:rPr>
        <w:t> </w:t>
      </w:r>
      <w:r>
        <w:rPr>
          <w:rFonts w:ascii="宋体" w:hAnsi="宋体" w:cs="宋体" w:eastAsia="宋体" w:hint="default"/>
          <w:sz w:val="21"/>
          <w:szCs w:val="21"/>
        </w:rPr>
        <w:t>944.79</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before="17"/>
        <w:ind w:left="218" w:right="0" w:firstLine="0"/>
        <w:jc w:val="both"/>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93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）控股子公司—上海东港安全印刷有限公司：</w:t>
      </w:r>
    </w:p>
    <w:p>
      <w:pPr>
        <w:spacing w:before="136"/>
        <w:ind w:left="638" w:right="1422"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日成立，注册资本</w:t>
      </w:r>
      <w:r>
        <w:rPr>
          <w:rFonts w:ascii="宋体" w:hAnsi="宋体" w:cs="宋体" w:eastAsia="宋体" w:hint="default"/>
          <w:spacing w:val="-47"/>
          <w:sz w:val="21"/>
          <w:szCs w:val="21"/>
        </w:rPr>
        <w:t> </w:t>
      </w:r>
      <w:r>
        <w:rPr>
          <w:rFonts w:ascii="宋体" w:hAnsi="宋体" w:cs="宋体" w:eastAsia="宋体" w:hint="default"/>
          <w:sz w:val="21"/>
          <w:szCs w:val="21"/>
        </w:rPr>
        <w:t>3,000</w:t>
      </w:r>
      <w:r>
        <w:rPr>
          <w:rFonts w:ascii="宋体" w:hAnsi="宋体" w:cs="宋体" w:eastAsia="宋体" w:hint="default"/>
          <w:spacing w:val="-46"/>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4"/>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w:t>
      </w:r>
    </w:p>
    <w:p>
      <w:pPr>
        <w:spacing w:line="355" w:lineRule="auto" w:before="133"/>
        <w:ind w:left="218" w:right="1422" w:firstLine="0"/>
        <w:jc w:val="left"/>
        <w:rPr>
          <w:rFonts w:ascii="宋体" w:hAnsi="宋体" w:cs="宋体" w:eastAsia="宋体" w:hint="default"/>
          <w:sz w:val="21"/>
          <w:szCs w:val="21"/>
        </w:rPr>
      </w:pPr>
      <w:r>
        <w:rPr>
          <w:rFonts w:ascii="宋体" w:hAnsi="宋体" w:cs="宋体" w:eastAsia="宋体" w:hint="default"/>
          <w:spacing w:val="-4"/>
          <w:sz w:val="21"/>
          <w:szCs w:val="21"/>
        </w:rPr>
        <w:t>定代表人：史建中。注册地址：上海市闵行区华锦路</w:t>
      </w:r>
      <w:r>
        <w:rPr>
          <w:rFonts w:ascii="宋体" w:hAnsi="宋体" w:cs="宋体" w:eastAsia="宋体" w:hint="default"/>
          <w:spacing w:val="-26"/>
          <w:sz w:val="21"/>
          <w:szCs w:val="21"/>
        </w:rPr>
        <w:t> </w:t>
      </w:r>
      <w:r>
        <w:rPr>
          <w:rFonts w:ascii="宋体" w:hAnsi="宋体" w:cs="宋体" w:eastAsia="宋体" w:hint="default"/>
          <w:sz w:val="21"/>
          <w:szCs w:val="21"/>
        </w:rPr>
        <w:t>288</w:t>
      </w:r>
      <w:r>
        <w:rPr>
          <w:rFonts w:ascii="宋体" w:hAnsi="宋体" w:cs="宋体" w:eastAsia="宋体" w:hint="default"/>
          <w:spacing w:val="-29"/>
          <w:sz w:val="21"/>
          <w:szCs w:val="21"/>
        </w:rPr>
        <w:t> </w:t>
      </w:r>
      <w:r>
        <w:rPr>
          <w:rFonts w:ascii="宋体" w:hAnsi="宋体" w:cs="宋体" w:eastAsia="宋体" w:hint="default"/>
          <w:spacing w:val="-5"/>
          <w:sz w:val="21"/>
          <w:szCs w:val="21"/>
        </w:rPr>
        <w:t>号。经营范围：包装装潢印刷，零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件印刷，计算机软件开发。</w:t>
      </w:r>
    </w:p>
    <w:p>
      <w:pPr>
        <w:spacing w:before="32"/>
        <w:ind w:left="638" w:right="1422"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573.66</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6,878.53</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5"/>
        <w:ind w:left="21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）控股子公司—北京东港嘉华安全信息技术有限公司：</w:t>
      </w:r>
    </w:p>
    <w:p>
      <w:pPr>
        <w:spacing w:before="133"/>
        <w:ind w:left="638" w:right="1422"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日成立，注册资本</w:t>
      </w:r>
      <w:r>
        <w:rPr>
          <w:rFonts w:ascii="宋体" w:hAnsi="宋体" w:cs="宋体" w:eastAsia="宋体" w:hint="default"/>
          <w:spacing w:val="-48"/>
          <w:sz w:val="21"/>
          <w:szCs w:val="21"/>
        </w:rPr>
        <w:t> </w:t>
      </w:r>
      <w:r>
        <w:rPr>
          <w:rFonts w:ascii="宋体" w:hAnsi="宋体" w:cs="宋体" w:eastAsia="宋体" w:hint="default"/>
          <w:sz w:val="21"/>
          <w:szCs w:val="21"/>
        </w:rPr>
        <w:t>700</w:t>
      </w:r>
      <w:r>
        <w:rPr>
          <w:rFonts w:ascii="宋体" w:hAnsi="宋体" w:cs="宋体" w:eastAsia="宋体" w:hint="default"/>
          <w:spacing w:val="-45"/>
          <w:sz w:val="21"/>
          <w:szCs w:val="21"/>
        </w:rPr>
        <w:t> </w:t>
      </w:r>
      <w:r>
        <w:rPr>
          <w:rFonts w:ascii="宋体" w:hAnsi="宋体" w:cs="宋体" w:eastAsia="宋体" w:hint="default"/>
          <w:sz w:val="21"/>
          <w:szCs w:val="21"/>
        </w:rPr>
        <w:t>万美元，本公司持股比例为</w:t>
      </w:r>
      <w:r>
        <w:rPr>
          <w:rFonts w:ascii="宋体" w:hAnsi="宋体" w:cs="宋体" w:eastAsia="宋体" w:hint="default"/>
          <w:spacing w:val="-45"/>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w:t>
      </w:r>
    </w:p>
    <w:p>
      <w:pPr>
        <w:spacing w:line="355" w:lineRule="auto" w:before="133"/>
        <w:ind w:left="218" w:right="1788" w:firstLine="0"/>
        <w:jc w:val="both"/>
        <w:rPr>
          <w:rFonts w:ascii="宋体" w:hAnsi="宋体" w:cs="宋体" w:eastAsia="宋体" w:hint="default"/>
          <w:sz w:val="21"/>
          <w:szCs w:val="21"/>
        </w:rPr>
      </w:pPr>
      <w:r>
        <w:rPr>
          <w:rFonts w:ascii="宋体" w:hAnsi="宋体" w:cs="宋体" w:eastAsia="宋体" w:hint="default"/>
          <w:spacing w:val="-4"/>
          <w:sz w:val="21"/>
          <w:szCs w:val="21"/>
        </w:rPr>
        <w:t>定代表人：谷望江。注册地址：北京市北京经济技术开发区经海四路</w:t>
      </w:r>
      <w:r>
        <w:rPr>
          <w:rFonts w:ascii="宋体" w:hAnsi="宋体" w:cs="宋体" w:eastAsia="宋体" w:hint="default"/>
          <w:spacing w:val="-24"/>
          <w:sz w:val="21"/>
          <w:szCs w:val="21"/>
        </w:rPr>
        <w:t> </w:t>
      </w:r>
      <w:r>
        <w:rPr>
          <w:rFonts w:ascii="宋体" w:hAnsi="宋体" w:cs="宋体" w:eastAsia="宋体" w:hint="default"/>
          <w:sz w:val="21"/>
          <w:szCs w:val="21"/>
        </w:rPr>
        <w:t>139</w:t>
      </w:r>
      <w:r>
        <w:rPr>
          <w:rFonts w:ascii="宋体" w:hAnsi="宋体" w:cs="宋体" w:eastAsia="宋体" w:hint="default"/>
          <w:spacing w:val="-24"/>
          <w:sz w:val="21"/>
          <w:szCs w:val="21"/>
        </w:rPr>
        <w:t> </w:t>
      </w:r>
      <w:r>
        <w:rPr>
          <w:rFonts w:ascii="宋体" w:hAnsi="宋体" w:cs="宋体" w:eastAsia="宋体" w:hint="default"/>
          <w:spacing w:val="-6"/>
          <w:sz w:val="21"/>
          <w:szCs w:val="21"/>
        </w:rPr>
        <w:t>号。经营范围：开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发、生产喷墨打印设备、智能电子标签及专用计算机软件；销售自产产品；数据处理服务及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自产产品技术咨询、技术服务，其他印刷品印刷。</w:t>
      </w:r>
    </w:p>
    <w:p>
      <w:pPr>
        <w:spacing w:before="35"/>
        <w:ind w:left="638" w:right="1422"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801.52</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13,210.16</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21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）控股子公司—广州东港安全印刷有限公司：</w:t>
      </w:r>
    </w:p>
    <w:p>
      <w:pPr>
        <w:spacing w:before="133"/>
        <w:ind w:left="638" w:right="1422"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3"/>
          <w:sz w:val="21"/>
          <w:szCs w:val="21"/>
        </w:rPr>
        <w:t>日成立，注册资本</w:t>
      </w:r>
      <w:r>
        <w:rPr>
          <w:rFonts w:ascii="宋体" w:hAnsi="宋体" w:cs="宋体" w:eastAsia="宋体" w:hint="default"/>
          <w:spacing w:val="-48"/>
          <w:sz w:val="21"/>
          <w:szCs w:val="21"/>
        </w:rPr>
        <w:t> </w:t>
      </w:r>
      <w:r>
        <w:rPr>
          <w:rFonts w:ascii="宋体" w:hAnsi="宋体" w:cs="宋体" w:eastAsia="宋体" w:hint="default"/>
          <w:sz w:val="21"/>
          <w:szCs w:val="21"/>
        </w:rPr>
        <w:t>4,200</w:t>
      </w:r>
      <w:r>
        <w:rPr>
          <w:rFonts w:ascii="宋体" w:hAnsi="宋体" w:cs="宋体" w:eastAsia="宋体" w:hint="default"/>
          <w:spacing w:val="-47"/>
          <w:sz w:val="21"/>
          <w:szCs w:val="21"/>
        </w:rPr>
        <w:t> </w:t>
      </w:r>
      <w:r>
        <w:rPr>
          <w:rFonts w:ascii="宋体" w:hAnsi="宋体" w:cs="宋体" w:eastAsia="宋体" w:hint="default"/>
          <w:spacing w:val="-3"/>
          <w:sz w:val="21"/>
          <w:szCs w:val="21"/>
        </w:rPr>
        <w:t>万元，本公司持股比例为</w:t>
      </w:r>
      <w:r>
        <w:rPr>
          <w:rFonts w:ascii="宋体" w:hAnsi="宋体" w:cs="宋体" w:eastAsia="宋体" w:hint="default"/>
          <w:spacing w:val="-47"/>
          <w:sz w:val="21"/>
          <w:szCs w:val="21"/>
        </w:rPr>
        <w:t> </w:t>
      </w:r>
      <w:r>
        <w:rPr>
          <w:rFonts w:ascii="宋体" w:hAnsi="宋体" w:cs="宋体" w:eastAsia="宋体" w:hint="default"/>
          <w:spacing w:val="-4"/>
          <w:sz w:val="21"/>
          <w:szCs w:val="21"/>
        </w:rPr>
        <w:t>75%</w:t>
      </w:r>
      <w:r>
        <w:rPr>
          <w:rFonts w:ascii="宋体" w:hAnsi="宋体" w:cs="宋体" w:eastAsia="宋体" w:hint="default"/>
          <w:spacing w:val="-4"/>
          <w:sz w:val="21"/>
          <w:szCs w:val="21"/>
        </w:rPr>
        <w:t>。公司法</w:t>
      </w:r>
    </w:p>
    <w:p>
      <w:pPr>
        <w:spacing w:line="355" w:lineRule="auto" w:before="133"/>
        <w:ind w:left="218" w:right="1422" w:firstLine="0"/>
        <w:jc w:val="left"/>
        <w:rPr>
          <w:rFonts w:ascii="宋体" w:hAnsi="宋体" w:cs="宋体" w:eastAsia="宋体" w:hint="default"/>
          <w:sz w:val="21"/>
          <w:szCs w:val="21"/>
        </w:rPr>
      </w:pPr>
      <w:r>
        <w:rPr>
          <w:rFonts w:ascii="宋体" w:hAnsi="宋体" w:cs="宋体" w:eastAsia="宋体" w:hint="default"/>
          <w:spacing w:val="-6"/>
          <w:sz w:val="21"/>
          <w:szCs w:val="21"/>
        </w:rPr>
        <w:t>定代表人：谷望江。注册地址：广州市高新技术产业开发区科学城南云五路</w:t>
      </w:r>
      <w:r>
        <w:rPr>
          <w:rFonts w:ascii="宋体" w:hAnsi="宋体" w:cs="宋体" w:eastAsia="宋体" w:hint="default"/>
          <w:spacing w:val="-29"/>
          <w:sz w:val="21"/>
          <w:szCs w:val="21"/>
        </w:rPr>
        <w:t> </w:t>
      </w:r>
      <w:r>
        <w:rPr>
          <w:rFonts w:ascii="宋体" w:hAnsi="宋体" w:cs="宋体" w:eastAsia="宋体" w:hint="default"/>
          <w:sz w:val="21"/>
          <w:szCs w:val="21"/>
        </w:rPr>
        <w:t>5</w:t>
      </w:r>
      <w:r>
        <w:rPr>
          <w:rFonts w:ascii="宋体" w:hAnsi="宋体" w:cs="宋体" w:eastAsia="宋体" w:hint="default"/>
          <w:spacing w:val="-32"/>
          <w:sz w:val="21"/>
          <w:szCs w:val="21"/>
        </w:rPr>
        <w:t> </w:t>
      </w:r>
      <w:r>
        <w:rPr>
          <w:rFonts w:ascii="宋体" w:hAnsi="宋体" w:cs="宋体" w:eastAsia="宋体" w:hint="default"/>
          <w:spacing w:val="-8"/>
          <w:sz w:val="21"/>
          <w:szCs w:val="21"/>
        </w:rPr>
        <w:t>号。经营范围：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包装装潢及其他类印刷品印刷，软件的开发及生产。</w:t>
      </w:r>
    </w:p>
    <w:p>
      <w:pPr>
        <w:spacing w:before="34"/>
        <w:ind w:left="638" w:right="1422"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350.22</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9,057.39</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21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）控股子公司—山东东港数据处理有限公司：</w:t>
      </w:r>
    </w:p>
    <w:p>
      <w:pPr>
        <w:spacing w:line="357" w:lineRule="auto" w:before="133"/>
        <w:ind w:left="218" w:right="1422" w:firstLine="419"/>
        <w:jc w:val="left"/>
        <w:rPr>
          <w:rFonts w:ascii="宋体" w:hAnsi="宋体" w:cs="宋体" w:eastAsia="宋体" w:hint="default"/>
          <w:sz w:val="21"/>
          <w:szCs w:val="21"/>
        </w:rPr>
      </w:pPr>
      <w:r>
        <w:rPr>
          <w:rFonts w:ascii="宋体" w:hAnsi="宋体" w:cs="宋体" w:eastAsia="宋体" w:hint="default"/>
          <w:w w:val="100"/>
          <w:sz w:val="21"/>
          <w:szCs w:val="21"/>
        </w:rPr>
        <w:t>公司于</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65"/>
          <w:w w:val="100"/>
          <w:sz w:val="21"/>
          <w:szCs w:val="21"/>
        </w:rPr>
        <w:t> </w:t>
      </w:r>
      <w:r>
        <w:rPr>
          <w:rFonts w:ascii="宋体" w:hAnsi="宋体" w:cs="宋体" w:eastAsia="宋体" w:hint="default"/>
          <w:w w:val="100"/>
          <w:sz w:val="21"/>
          <w:szCs w:val="21"/>
        </w:rPr>
        <w:t>年</w:t>
      </w:r>
      <w:r>
        <w:rPr>
          <w:rFonts w:ascii="宋体" w:hAnsi="宋体" w:cs="宋体" w:eastAsia="宋体" w:hint="default"/>
          <w:spacing w:val="-65"/>
          <w:w w:val="100"/>
          <w:sz w:val="21"/>
          <w:szCs w:val="21"/>
        </w:rPr>
        <w:t> </w:t>
      </w:r>
      <w:r>
        <w:rPr>
          <w:rFonts w:ascii="宋体" w:hAnsi="宋体" w:cs="宋体" w:eastAsia="宋体" w:hint="default"/>
          <w:w w:val="100"/>
          <w:sz w:val="21"/>
          <w:szCs w:val="21"/>
        </w:rPr>
        <w:t>8</w:t>
      </w:r>
      <w:r>
        <w:rPr>
          <w:rFonts w:ascii="宋体" w:hAnsi="宋体" w:cs="宋体" w:eastAsia="宋体" w:hint="default"/>
          <w:spacing w:val="-65"/>
          <w:w w:val="100"/>
          <w:sz w:val="21"/>
          <w:szCs w:val="21"/>
        </w:rPr>
        <w:t> </w:t>
      </w:r>
      <w:r>
        <w:rPr>
          <w:rFonts w:ascii="宋体" w:hAnsi="宋体" w:cs="宋体" w:eastAsia="宋体" w:hint="default"/>
          <w:w w:val="100"/>
          <w:sz w:val="21"/>
          <w:szCs w:val="21"/>
        </w:rPr>
        <w:t>月</w:t>
      </w:r>
      <w:r>
        <w:rPr>
          <w:rFonts w:ascii="宋体" w:hAnsi="宋体" w:cs="宋体" w:eastAsia="宋体" w:hint="default"/>
          <w:spacing w:val="-64"/>
          <w:w w:val="100"/>
          <w:sz w:val="21"/>
          <w:szCs w:val="21"/>
        </w:rPr>
        <w:t> </w:t>
      </w:r>
      <w:r>
        <w:rPr>
          <w:rFonts w:ascii="宋体" w:hAnsi="宋体" w:cs="宋体" w:eastAsia="宋体" w:hint="default"/>
          <w:w w:val="100"/>
          <w:sz w:val="21"/>
          <w:szCs w:val="21"/>
        </w:rPr>
        <w:t>27</w:t>
      </w:r>
      <w:r>
        <w:rPr>
          <w:rFonts w:ascii="宋体" w:hAnsi="宋体" w:cs="宋体" w:eastAsia="宋体" w:hint="default"/>
          <w:spacing w:val="-67"/>
          <w:w w:val="100"/>
          <w:sz w:val="21"/>
          <w:szCs w:val="21"/>
        </w:rPr>
        <w:t> </w:t>
      </w:r>
      <w:r>
        <w:rPr>
          <w:rFonts w:ascii="宋体" w:hAnsi="宋体" w:cs="宋体" w:eastAsia="宋体" w:hint="default"/>
          <w:spacing w:val="-6"/>
          <w:w w:val="100"/>
          <w:sz w:val="21"/>
          <w:szCs w:val="21"/>
        </w:rPr>
        <w:t>日独资设立了山东东港数据处理有限公司，注册资本</w:t>
      </w:r>
      <w:r>
        <w:rPr>
          <w:rFonts w:ascii="宋体" w:hAnsi="宋体" w:cs="宋体" w:eastAsia="宋体" w:hint="default"/>
          <w:spacing w:val="-67"/>
          <w:w w:val="100"/>
          <w:sz w:val="21"/>
          <w:szCs w:val="21"/>
        </w:rPr>
        <w:t> </w:t>
      </w:r>
      <w:r>
        <w:rPr>
          <w:rFonts w:ascii="宋体" w:hAnsi="宋体" w:cs="宋体" w:eastAsia="宋体" w:hint="default"/>
          <w:spacing w:val="-1"/>
          <w:w w:val="100"/>
          <w:sz w:val="21"/>
          <w:szCs w:val="21"/>
        </w:rPr>
        <w:t>3,000</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本公司持股比例为 </w:t>
      </w:r>
      <w:r>
        <w:rPr>
          <w:rFonts w:ascii="宋体" w:hAnsi="宋体" w:cs="宋体" w:eastAsia="宋体" w:hint="default"/>
          <w:spacing w:val="-3"/>
          <w:sz w:val="21"/>
          <w:szCs w:val="21"/>
        </w:rPr>
        <w:t>100%</w:t>
      </w:r>
      <w:r>
        <w:rPr>
          <w:rFonts w:ascii="宋体" w:hAnsi="宋体" w:cs="宋体" w:eastAsia="宋体" w:hint="default"/>
          <w:spacing w:val="-3"/>
          <w:sz w:val="21"/>
          <w:szCs w:val="21"/>
        </w:rPr>
        <w:t>。公司法定代表人：王爱先。注册地址：济南市临港开发区机场路。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经营范围：包装装潢印刷品印刷，其他印刷品印刷；软件开发、生产销售；纸制品加工、销</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6"/>
          <w:w w:val="100"/>
          <w:sz w:val="21"/>
          <w:szCs w:val="21"/>
        </w:rPr>
        <w:t>售；纸张、油墨的销售；信息服务、数据处理业务、。</w:t>
      </w:r>
    </w:p>
    <w:p>
      <w:pPr>
        <w:spacing w:before="30"/>
        <w:ind w:left="638" w:right="1422"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212.48</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3,879.86</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21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）控股子公司—成都东港安全印刷有限公司：</w:t>
      </w:r>
    </w:p>
    <w:p>
      <w:pPr>
        <w:spacing w:line="357" w:lineRule="auto" w:before="133"/>
        <w:ind w:left="218" w:right="1422" w:firstLine="419"/>
        <w:jc w:val="left"/>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12</w:t>
      </w:r>
      <w:r>
        <w:rPr>
          <w:rFonts w:ascii="宋体" w:hAnsi="宋体" w:cs="宋体" w:eastAsia="宋体" w:hint="default"/>
          <w:spacing w:val="-53"/>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27</w:t>
      </w:r>
      <w:r>
        <w:rPr>
          <w:rFonts w:ascii="宋体" w:hAnsi="宋体" w:cs="宋体" w:eastAsia="宋体" w:hint="default"/>
          <w:spacing w:val="-54"/>
          <w:w w:val="100"/>
          <w:sz w:val="21"/>
          <w:szCs w:val="21"/>
        </w:rPr>
        <w:t> </w:t>
      </w:r>
      <w:r>
        <w:rPr>
          <w:rFonts w:ascii="宋体" w:hAnsi="宋体" w:cs="宋体" w:eastAsia="宋体" w:hint="default"/>
          <w:spacing w:val="-6"/>
          <w:w w:val="100"/>
          <w:sz w:val="21"/>
          <w:szCs w:val="21"/>
        </w:rPr>
        <w:t>日独资设立了成都东港安全印刷有限公司，注册资本</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500</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本公司持股比例为 </w:t>
      </w:r>
      <w:r>
        <w:rPr>
          <w:rFonts w:ascii="宋体" w:hAnsi="宋体" w:cs="宋体" w:eastAsia="宋体" w:hint="default"/>
          <w:sz w:val="21"/>
          <w:szCs w:val="21"/>
        </w:rPr>
        <w:t>100%</w:t>
      </w:r>
      <w:r>
        <w:rPr>
          <w:rFonts w:ascii="宋体" w:hAnsi="宋体" w:cs="宋体" w:eastAsia="宋体" w:hint="default"/>
          <w:sz w:val="21"/>
          <w:szCs w:val="21"/>
        </w:rPr>
        <w:t>。公司法定代表人：谷望江。注册地址：成都蛟龙工业港双流园区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清江路</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座。经营范围：其他印刷品印刷；计算机软件的开发、生产；销售电子标签、纸</w:t>
      </w:r>
      <w:r>
        <w:rPr>
          <w:rFonts w:ascii="宋体" w:hAnsi="宋体" w:cs="宋体" w:eastAsia="宋体" w:hint="default"/>
          <w:w w:val="100"/>
          <w:sz w:val="21"/>
          <w:szCs w:val="21"/>
        </w:rPr>
        <w:t> </w:t>
      </w:r>
      <w:r>
        <w:rPr>
          <w:rFonts w:ascii="宋体" w:hAnsi="宋体" w:cs="宋体" w:eastAsia="宋体" w:hint="default"/>
          <w:sz w:val="21"/>
          <w:szCs w:val="21"/>
        </w:rPr>
        <w:t>制品、纸张、印刷器材；印刷技术咨询服务。</w:t>
      </w:r>
    </w:p>
    <w:p>
      <w:pPr>
        <w:spacing w:before="30"/>
        <w:ind w:left="638" w:right="1422"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397.13</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1,095.35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218" w:right="0" w:firstLine="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）对公司合并净利润影响达到</w:t>
      </w:r>
      <w:r>
        <w:rPr>
          <w:rFonts w:ascii="宋体" w:hAnsi="宋体" w:cs="宋体" w:eastAsia="宋体" w:hint="default"/>
          <w:spacing w:val="17"/>
          <w:sz w:val="21"/>
          <w:szCs w:val="21"/>
        </w:rPr>
        <w:t> </w:t>
      </w:r>
      <w:r>
        <w:rPr>
          <w:rFonts w:ascii="宋体" w:hAnsi="宋体" w:cs="宋体" w:eastAsia="宋体" w:hint="default"/>
          <w:spacing w:val="-2"/>
          <w:sz w:val="21"/>
          <w:szCs w:val="21"/>
        </w:rPr>
        <w:t>10%</w:t>
      </w:r>
      <w:r>
        <w:rPr>
          <w:rFonts w:ascii="宋体" w:hAnsi="宋体" w:cs="宋体" w:eastAsia="宋体" w:hint="default"/>
          <w:spacing w:val="-2"/>
          <w:sz w:val="21"/>
          <w:szCs w:val="21"/>
        </w:rPr>
        <w:t>的主要子公司或参股公司的经营情况及业绩情况</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18"/>
        <w:gridCol w:w="1159"/>
        <w:gridCol w:w="1659"/>
        <w:gridCol w:w="1579"/>
        <w:gridCol w:w="1613"/>
      </w:tblGrid>
      <w:tr>
        <w:trPr>
          <w:trHeight w:val="242" w:hRule="exact"/>
        </w:trPr>
        <w:tc>
          <w:tcPr>
            <w:tcW w:w="25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6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5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年净利润</w:t>
            </w:r>
          </w:p>
        </w:tc>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年净利润</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同比变动比例</w:t>
            </w:r>
            <w:r>
              <w:rPr>
                <w:rFonts w:ascii="宋体" w:hAnsi="宋体" w:cs="宋体" w:eastAsia="宋体" w:hint="default"/>
                <w:sz w:val="18"/>
                <w:szCs w:val="18"/>
              </w:rPr>
              <w:t>%</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sz w:val="18"/>
              </w:rPr>
              <w:t>19,991,439.97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sz w:val="18"/>
              </w:rPr>
              <w:t>4,336,868.80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54.08</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北京东港嘉华安全信息技术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75%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0"/>
              <w:jc w:val="left"/>
              <w:rPr>
                <w:rFonts w:ascii="宋体" w:hAnsi="宋体" w:cs="宋体" w:eastAsia="宋体" w:hint="default"/>
                <w:sz w:val="18"/>
                <w:szCs w:val="18"/>
              </w:rPr>
            </w:pPr>
            <w:r>
              <w:rPr>
                <w:rFonts w:ascii="宋体"/>
                <w:sz w:val="18"/>
              </w:rPr>
              <w:t>8,015,196.97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6" w:right="0"/>
              <w:jc w:val="left"/>
              <w:rPr>
                <w:rFonts w:ascii="宋体" w:hAnsi="宋体" w:cs="宋体" w:eastAsia="宋体" w:hint="default"/>
                <w:sz w:val="18"/>
                <w:szCs w:val="18"/>
              </w:rPr>
            </w:pPr>
            <w:r>
              <w:rPr>
                <w:rFonts w:ascii="宋体"/>
                <w:sz w:val="18"/>
              </w:rPr>
              <w:t>13,405,654.27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-40.21</w:t>
            </w:r>
          </w:p>
        </w:tc>
      </w:tr>
    </w:tbl>
    <w:p>
      <w:pPr>
        <w:spacing w:line="241" w:lineRule="exact" w:before="0"/>
        <w:ind w:left="638" w:right="1422" w:firstLine="0"/>
        <w:jc w:val="left"/>
        <w:rPr>
          <w:rFonts w:ascii="宋体" w:hAnsi="宋体" w:cs="宋体" w:eastAsia="宋体" w:hint="default"/>
          <w:sz w:val="21"/>
          <w:szCs w:val="21"/>
        </w:rPr>
      </w:pPr>
      <w:r>
        <w:rPr>
          <w:rFonts w:ascii="宋体" w:hAnsi="宋体" w:cs="宋体" w:eastAsia="宋体" w:hint="default"/>
          <w:sz w:val="21"/>
          <w:szCs w:val="21"/>
        </w:rPr>
        <w:t>北京东港安全印刷有限公司和北京东港嘉华安全信息技术有限公司本年度净利润分别</w:t>
      </w:r>
    </w:p>
    <w:p>
      <w:pPr>
        <w:spacing w:line="355" w:lineRule="auto" w:before="135"/>
        <w:ind w:left="218" w:right="4113" w:firstLine="0"/>
        <w:jc w:val="lef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55"/>
          <w:sz w:val="21"/>
          <w:szCs w:val="21"/>
        </w:rPr>
        <w:t> </w:t>
      </w:r>
      <w:r>
        <w:rPr>
          <w:rFonts w:ascii="宋体" w:hAnsi="宋体" w:cs="宋体" w:eastAsia="宋体" w:hint="default"/>
          <w:sz w:val="21"/>
          <w:szCs w:val="21"/>
        </w:rPr>
        <w:t>54.08%</w:t>
      </w:r>
      <w:r>
        <w:rPr>
          <w:rFonts w:ascii="宋体" w:hAnsi="宋体" w:cs="宋体" w:eastAsia="宋体" w:hint="default"/>
          <w:sz w:val="21"/>
          <w:szCs w:val="21"/>
        </w:rPr>
        <w:t>和减少</w:t>
      </w:r>
      <w:r>
        <w:rPr>
          <w:rFonts w:ascii="宋体" w:hAnsi="宋体" w:cs="宋体" w:eastAsia="宋体" w:hint="default"/>
          <w:spacing w:val="-55"/>
          <w:sz w:val="21"/>
          <w:szCs w:val="21"/>
        </w:rPr>
        <w:t> </w:t>
      </w:r>
      <w:r>
        <w:rPr>
          <w:rFonts w:ascii="宋体" w:hAnsi="宋体" w:cs="宋体" w:eastAsia="宋体" w:hint="default"/>
          <w:sz w:val="21"/>
          <w:szCs w:val="21"/>
        </w:rPr>
        <w:t>40.21%,</w:t>
      </w:r>
      <w:r>
        <w:rPr>
          <w:rFonts w:ascii="宋体" w:hAnsi="宋体" w:cs="宋体" w:eastAsia="宋体" w:hint="default"/>
          <w:sz w:val="21"/>
          <w:szCs w:val="21"/>
        </w:rPr>
        <w:t>主要是</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年两公司订单变化所致。</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、报告期内公司无</w:t>
      </w:r>
      <w:r>
        <w:rPr>
          <w:rFonts w:ascii="宋体" w:hAnsi="宋体" w:cs="宋体" w:eastAsia="宋体" w:hint="default"/>
          <w:spacing w:val="-53"/>
          <w:sz w:val="21"/>
          <w:szCs w:val="21"/>
        </w:rPr>
        <w:t> </w:t>
      </w:r>
      <w:r>
        <w:rPr>
          <w:rFonts w:ascii="宋体" w:hAnsi="宋体" w:cs="宋体" w:eastAsia="宋体" w:hint="default"/>
          <w:sz w:val="21"/>
          <w:szCs w:val="21"/>
        </w:rPr>
        <w:t>PE</w:t>
      </w:r>
      <w:r>
        <w:rPr>
          <w:rFonts w:ascii="宋体" w:hAnsi="宋体" w:cs="宋体" w:eastAsia="宋体" w:hint="default"/>
          <w:spacing w:val="-50"/>
          <w:sz w:val="21"/>
          <w:szCs w:val="21"/>
        </w:rPr>
        <w:t> </w:t>
      </w:r>
      <w:r>
        <w:rPr>
          <w:rFonts w:ascii="宋体" w:hAnsi="宋体" w:cs="宋体" w:eastAsia="宋体" w:hint="default"/>
          <w:sz w:val="21"/>
          <w:szCs w:val="21"/>
        </w:rPr>
        <w:t>投资情况</w:t>
      </w:r>
    </w:p>
    <w:p>
      <w:pPr>
        <w:spacing w:after="0" w:line="355" w:lineRule="auto"/>
        <w:jc w:val="left"/>
        <w:rPr>
          <w:rFonts w:ascii="宋体" w:hAnsi="宋体" w:cs="宋体" w:eastAsia="宋体" w:hint="default"/>
          <w:sz w:val="21"/>
          <w:szCs w:val="21"/>
        </w:rPr>
        <w:sectPr>
          <w:pgSz w:w="11910" w:h="16840"/>
          <w:pgMar w:header="915" w:footer="1100" w:top="1100" w:bottom="1280" w:left="1580" w:right="0"/>
        </w:sectPr>
      </w:pPr>
    </w:p>
    <w:p>
      <w:pPr>
        <w:spacing w:before="17"/>
        <w:ind w:left="13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91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6</w:t>
      </w:r>
      <w:r>
        <w:rPr>
          <w:rFonts w:ascii="宋体" w:hAnsi="宋体" w:cs="宋体" w:eastAsia="宋体" w:hint="default"/>
          <w:sz w:val="21"/>
          <w:szCs w:val="21"/>
        </w:rPr>
        <w:t>、主要债务及偿债能力分析</w:t>
      </w:r>
    </w:p>
    <w:p>
      <w:pPr>
        <w:spacing w:before="136"/>
        <w:ind w:left="34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）主要债权债务单位：万元</w:t>
      </w:r>
    </w:p>
    <w:p>
      <w:pPr>
        <w:spacing w:line="240" w:lineRule="auto" w:before="10"/>
        <w:rPr>
          <w:rFonts w:ascii="宋体" w:hAnsi="宋体" w:cs="宋体" w:eastAsia="宋体" w:hint="default"/>
          <w:sz w:val="12"/>
          <w:szCs w:val="12"/>
        </w:rPr>
      </w:pPr>
    </w:p>
    <w:tbl>
      <w:tblPr>
        <w:tblW w:w="0" w:type="auto"/>
        <w:jc w:val="left"/>
        <w:tblInd w:w="673" w:type="dxa"/>
        <w:tblLayout w:type="fixed"/>
        <w:tblCellMar>
          <w:top w:w="0" w:type="dxa"/>
          <w:left w:w="0" w:type="dxa"/>
          <w:bottom w:w="0" w:type="dxa"/>
          <w:right w:w="0" w:type="dxa"/>
        </w:tblCellMar>
        <w:tblLook w:val="01E0"/>
      </w:tblPr>
      <w:tblGrid>
        <w:gridCol w:w="1183"/>
        <w:gridCol w:w="1289"/>
        <w:gridCol w:w="1289"/>
        <w:gridCol w:w="1289"/>
        <w:gridCol w:w="2182"/>
      </w:tblGrid>
      <w:tr>
        <w:trPr>
          <w:trHeight w:val="242" w:hRule="exact"/>
        </w:trPr>
        <w:tc>
          <w:tcPr>
            <w:tcW w:w="11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2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2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1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本年比上年增减幅度（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360" w:hRule="exact"/>
        </w:trPr>
        <w:tc>
          <w:tcPr>
            <w:tcW w:w="11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w:t>
            </w:r>
          </w:p>
        </w:tc>
      </w:tr>
      <w:tr>
        <w:trPr>
          <w:trHeight w:val="360" w:hRule="exact"/>
        </w:trPr>
        <w:tc>
          <w:tcPr>
            <w:tcW w:w="11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12000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-16.67</w:t>
            </w:r>
          </w:p>
        </w:tc>
      </w:tr>
      <w:tr>
        <w:trPr>
          <w:trHeight w:val="362" w:hRule="exact"/>
        </w:trPr>
        <w:tc>
          <w:tcPr>
            <w:tcW w:w="11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6024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3763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60.09</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报告期内公司应收账款较上年同比增长</w:t>
      </w:r>
      <w:r>
        <w:rPr>
          <w:rFonts w:ascii="宋体" w:hAnsi="宋体" w:cs="宋体" w:eastAsia="宋体" w:hint="default"/>
          <w:spacing w:val="-26"/>
          <w:sz w:val="21"/>
          <w:szCs w:val="21"/>
        </w:rPr>
        <w:t> </w:t>
      </w:r>
      <w:r>
        <w:rPr>
          <w:rFonts w:ascii="宋体" w:hAnsi="宋体" w:cs="宋体" w:eastAsia="宋体" w:hint="default"/>
          <w:spacing w:val="-3"/>
          <w:sz w:val="21"/>
          <w:szCs w:val="21"/>
        </w:rPr>
        <w:t>60.09</w:t>
      </w:r>
      <w:r>
        <w:rPr>
          <w:rFonts w:ascii="宋体" w:hAnsi="宋体" w:cs="宋体" w:eastAsia="宋体" w:hint="default"/>
          <w:spacing w:val="-3"/>
          <w:sz w:val="21"/>
          <w:szCs w:val="21"/>
        </w:rPr>
        <w:t>％，主要是公司四季度销售收入较去年同</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期增长，导致应收账款增加。</w:t>
      </w:r>
    </w:p>
    <w:p>
      <w:pPr>
        <w:spacing w:before="133"/>
        <w:ind w:left="34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）偿债能力分析</w:t>
      </w:r>
    </w:p>
    <w:p>
      <w:pPr>
        <w:spacing w:line="240" w:lineRule="auto" w:before="10"/>
        <w:rPr>
          <w:rFonts w:ascii="宋体" w:hAnsi="宋体" w:cs="宋体" w:eastAsia="宋体" w:hint="default"/>
          <w:sz w:val="12"/>
          <w:szCs w:val="12"/>
        </w:rPr>
      </w:pPr>
    </w:p>
    <w:tbl>
      <w:tblPr>
        <w:tblW w:w="0" w:type="auto"/>
        <w:jc w:val="left"/>
        <w:tblInd w:w="1189" w:type="dxa"/>
        <w:tblLayout w:type="fixed"/>
        <w:tblCellMar>
          <w:top w:w="0" w:type="dxa"/>
          <w:left w:w="0" w:type="dxa"/>
          <w:bottom w:w="0" w:type="dxa"/>
          <w:right w:w="0" w:type="dxa"/>
        </w:tblCellMar>
        <w:tblLook w:val="01E0"/>
      </w:tblPr>
      <w:tblGrid>
        <w:gridCol w:w="1448"/>
        <w:gridCol w:w="1080"/>
        <w:gridCol w:w="1078"/>
        <w:gridCol w:w="1080"/>
        <w:gridCol w:w="1515"/>
      </w:tblGrid>
      <w:tr>
        <w:trPr>
          <w:trHeight w:val="478" w:hRule="exact"/>
        </w:trPr>
        <w:tc>
          <w:tcPr>
            <w:tcW w:w="14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幅度</w:t>
            </w:r>
            <w:r>
              <w:rPr>
                <w:rFonts w:ascii="宋体" w:hAnsi="宋体" w:cs="宋体" w:eastAsia="宋体" w:hint="default"/>
                <w:sz w:val="18"/>
                <w:szCs w:val="18"/>
              </w:rPr>
              <w:t>(%)</w:t>
            </w:r>
          </w:p>
        </w:tc>
      </w:tr>
      <w:tr>
        <w:trPr>
          <w:trHeight w:val="361" w:hRule="exact"/>
        </w:trPr>
        <w:tc>
          <w:tcPr>
            <w:tcW w:w="14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1.76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1.88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85.26</w:t>
            </w:r>
            <w:r>
              <w:rPr>
                <w:rFonts w:ascii="宋体" w:hAnsi="宋体" w:cs="宋体" w:eastAsia="宋体" w:hint="default"/>
                <w:sz w:val="18"/>
                <w:szCs w:val="18"/>
              </w:rPr>
              <w:t>％</w:t>
            </w:r>
          </w:p>
        </w:tc>
      </w:tr>
      <w:tr>
        <w:trPr>
          <w:trHeight w:val="360" w:hRule="exact"/>
        </w:trPr>
        <w:tc>
          <w:tcPr>
            <w:tcW w:w="14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1.39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108.45</w:t>
            </w:r>
            <w:r>
              <w:rPr>
                <w:rFonts w:ascii="宋体" w:hAnsi="宋体" w:cs="宋体" w:eastAsia="宋体" w:hint="default"/>
                <w:sz w:val="18"/>
                <w:szCs w:val="18"/>
              </w:rPr>
              <w:t>％</w:t>
            </w:r>
          </w:p>
        </w:tc>
      </w:tr>
      <w:tr>
        <w:trPr>
          <w:trHeight w:val="360" w:hRule="exact"/>
        </w:trPr>
        <w:tc>
          <w:tcPr>
            <w:tcW w:w="14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24.43%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38.36%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18.54%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-13.93%</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报告期内由于公司完成增发，货币资金增加，导致流动比率和速动比率提高。</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）资产营运能力分析</w:t>
      </w:r>
    </w:p>
    <w:p>
      <w:pPr>
        <w:spacing w:line="240" w:lineRule="auto" w:before="10"/>
        <w:rPr>
          <w:rFonts w:ascii="宋体" w:hAnsi="宋体" w:cs="宋体" w:eastAsia="宋体" w:hint="default"/>
          <w:sz w:val="12"/>
          <w:szCs w:val="12"/>
        </w:rPr>
      </w:pPr>
    </w:p>
    <w:tbl>
      <w:tblPr>
        <w:tblW w:w="0" w:type="auto"/>
        <w:jc w:val="left"/>
        <w:tblInd w:w="980" w:type="dxa"/>
        <w:tblLayout w:type="fixed"/>
        <w:tblCellMar>
          <w:top w:w="0" w:type="dxa"/>
          <w:left w:w="0" w:type="dxa"/>
          <w:bottom w:w="0" w:type="dxa"/>
          <w:right w:w="0" w:type="dxa"/>
        </w:tblCellMar>
        <w:tblLook w:val="01E0"/>
      </w:tblPr>
      <w:tblGrid>
        <w:gridCol w:w="1865"/>
        <w:gridCol w:w="1080"/>
        <w:gridCol w:w="1080"/>
        <w:gridCol w:w="1078"/>
        <w:gridCol w:w="1515"/>
      </w:tblGrid>
      <w:tr>
        <w:trPr>
          <w:trHeight w:val="475" w:hRule="exact"/>
        </w:trPr>
        <w:tc>
          <w:tcPr>
            <w:tcW w:w="18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403" w:hRule="exact"/>
        </w:trPr>
        <w:tc>
          <w:tcPr>
            <w:tcW w:w="18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sz w:val="18"/>
              </w:rPr>
              <w:t>13.82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16.21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11.56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sz w:val="18"/>
              </w:rPr>
              <w:t>-14.74%</w:t>
            </w:r>
          </w:p>
        </w:tc>
      </w:tr>
      <w:tr>
        <w:trPr>
          <w:trHeight w:val="360" w:hRule="exact"/>
        </w:trPr>
        <w:tc>
          <w:tcPr>
            <w:tcW w:w="18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4.46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5.97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sz w:val="18"/>
              </w:rPr>
              <w:t>12.33%</w:t>
            </w:r>
          </w:p>
        </w:tc>
      </w:tr>
      <w:tr>
        <w:trPr>
          <w:trHeight w:val="360" w:hRule="exact"/>
        </w:trPr>
        <w:tc>
          <w:tcPr>
            <w:tcW w:w="18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流动资产周转率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1.83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1.85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36" w:right="0"/>
              <w:jc w:val="left"/>
              <w:rPr>
                <w:rFonts w:ascii="宋体" w:hAnsi="宋体" w:cs="宋体" w:eastAsia="宋体" w:hint="default"/>
                <w:sz w:val="18"/>
                <w:szCs w:val="18"/>
              </w:rPr>
            </w:pPr>
            <w:r>
              <w:rPr>
                <w:rFonts w:ascii="宋体"/>
                <w:sz w:val="18"/>
              </w:rPr>
              <w:t>-16.94%</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、研发情况</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）研发支出情况单位：万元</w:t>
      </w:r>
    </w:p>
    <w:p>
      <w:pPr>
        <w:spacing w:line="240" w:lineRule="auto" w:before="10"/>
        <w:rPr>
          <w:rFonts w:ascii="宋体" w:hAnsi="宋体" w:cs="宋体" w:eastAsia="宋体" w:hint="default"/>
          <w:sz w:val="12"/>
          <w:szCs w:val="12"/>
        </w:rPr>
      </w:pPr>
    </w:p>
    <w:tbl>
      <w:tblPr>
        <w:tblW w:w="0" w:type="auto"/>
        <w:jc w:val="left"/>
        <w:tblInd w:w="980" w:type="dxa"/>
        <w:tblLayout w:type="fixed"/>
        <w:tblCellMar>
          <w:top w:w="0" w:type="dxa"/>
          <w:left w:w="0" w:type="dxa"/>
          <w:bottom w:w="0" w:type="dxa"/>
          <w:right w:w="0" w:type="dxa"/>
        </w:tblCellMar>
        <w:tblLook w:val="01E0"/>
      </w:tblPr>
      <w:tblGrid>
        <w:gridCol w:w="2422"/>
        <w:gridCol w:w="1400"/>
        <w:gridCol w:w="1399"/>
        <w:gridCol w:w="1397"/>
      </w:tblGrid>
      <w:tr>
        <w:trPr>
          <w:trHeight w:val="245" w:hRule="exact"/>
        </w:trPr>
        <w:tc>
          <w:tcPr>
            <w:tcW w:w="24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60" w:hRule="exact"/>
        </w:trPr>
        <w:tc>
          <w:tcPr>
            <w:tcW w:w="24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研发支出金额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sz w:val="18"/>
              </w:rPr>
              <w:t>3,813.77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2,116.92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sz w:val="18"/>
              </w:rPr>
              <w:t>2,491.62</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）专利申请及获得情况</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报告期内公司共获得专利授权</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项，其中实用新型专利</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项，发明专利</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pacing w:val="-3"/>
          <w:sz w:val="21"/>
          <w:szCs w:val="21"/>
        </w:rPr>
        <w:t>项，分别是：</w:t>
      </w:r>
      <w:r>
        <w:rPr>
          <w:rFonts w:ascii="宋体" w:hAnsi="宋体" w:cs="宋体" w:eastAsia="宋体" w:hint="default"/>
          <w:sz w:val="21"/>
          <w:szCs w:val="21"/>
        </w:rPr>
      </w:r>
    </w:p>
    <w:p>
      <w:pPr>
        <w:spacing w:line="240" w:lineRule="auto" w:before="11"/>
        <w:rPr>
          <w:rFonts w:ascii="宋体" w:hAnsi="宋体" w:cs="宋体" w:eastAsia="宋体" w:hint="default"/>
          <w:sz w:val="12"/>
          <w:szCs w:val="12"/>
        </w:rPr>
      </w:pPr>
    </w:p>
    <w:tbl>
      <w:tblPr>
        <w:tblW w:w="0" w:type="auto"/>
        <w:jc w:val="left"/>
        <w:tblInd w:w="538" w:type="dxa"/>
        <w:tblLayout w:type="fixed"/>
        <w:tblCellMar>
          <w:top w:w="0" w:type="dxa"/>
          <w:left w:w="0" w:type="dxa"/>
          <w:bottom w:w="0" w:type="dxa"/>
          <w:right w:w="0" w:type="dxa"/>
        </w:tblCellMar>
        <w:tblLook w:val="01E0"/>
      </w:tblPr>
      <w:tblGrid>
        <w:gridCol w:w="1973"/>
        <w:gridCol w:w="4253"/>
        <w:gridCol w:w="1277"/>
      </w:tblGrid>
      <w:tr>
        <w:trPr>
          <w:trHeight w:val="340" w:hRule="exact"/>
        </w:trPr>
        <w:tc>
          <w:tcPr>
            <w:tcW w:w="19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专利号</w:t>
            </w:r>
          </w:p>
        </w:tc>
        <w:tc>
          <w:tcPr>
            <w:tcW w:w="42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2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z w:val="18"/>
                <w:szCs w:val="18"/>
              </w:rPr>
              <w:t>专利类型</w:t>
            </w:r>
          </w:p>
        </w:tc>
      </w:tr>
      <w:tr>
        <w:trPr>
          <w:trHeight w:val="3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zl200920240880.4</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电子标贴封芯机可调试输送标贴轨道装置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zl200920252669.4</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一种印刷机间隔切线装置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zl200920240886.1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一种存折裱糊机防倒头装置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6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zl200920240881.9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印刷机自动标记装置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ZL201020102899.5</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一种可自动识别的存折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ZL201020102906.1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一种可自动识别的票据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62"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ZL200810016976.2</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一种打码器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6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zl200810017141.9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三联票据打码机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line="240" w:lineRule="auto" w:before="11"/>
        <w:rPr>
          <w:rFonts w:ascii="宋体" w:hAnsi="宋体" w:cs="宋体" w:eastAsia="宋体" w:hint="default"/>
          <w:sz w:val="25"/>
          <w:szCs w:val="25"/>
        </w:rPr>
      </w:pPr>
    </w:p>
    <w:p>
      <w:pPr>
        <w:spacing w:line="355" w:lineRule="auto" w:before="36"/>
        <w:ind w:left="558" w:right="6189" w:hanging="420"/>
        <w:jc w:val="left"/>
        <w:rPr>
          <w:rFonts w:ascii="宋体" w:hAnsi="宋体" w:cs="宋体" w:eastAsia="宋体" w:hint="default"/>
          <w:sz w:val="21"/>
          <w:szCs w:val="21"/>
        </w:rPr>
      </w:pPr>
      <w:r>
        <w:rPr>
          <w:rFonts w:ascii="宋体" w:hAnsi="宋体" w:cs="宋体" w:eastAsia="宋体" w:hint="default"/>
          <w:b/>
          <w:bCs/>
          <w:sz w:val="21"/>
          <w:szCs w:val="21"/>
        </w:rPr>
        <w:t>（二）本公司未来发展的展望</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、外部环境对公司经营的影响</w:t>
      </w:r>
    </w:p>
    <w:p>
      <w:pPr>
        <w:spacing w:after="0" w:line="355" w:lineRule="auto"/>
        <w:jc w:val="left"/>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138" w:right="1788" w:firstLine="419"/>
        <w:jc w:val="both"/>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88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4"/>
          <w:sz w:val="21"/>
          <w:szCs w:val="21"/>
        </w:rPr>
        <w:t>在我国宏观经济整体上处于持续、稳定、快速发展的阶段，商业票据印刷市场需求近年</w:t>
      </w:r>
      <w:r>
        <w:rPr>
          <w:rFonts w:ascii="宋体" w:hAnsi="宋体" w:cs="宋体" w:eastAsia="宋体" w:hint="default"/>
          <w:w w:val="100"/>
          <w:sz w:val="21"/>
          <w:szCs w:val="21"/>
        </w:rPr>
        <w:t> </w:t>
      </w:r>
      <w:r>
        <w:rPr>
          <w:rFonts w:ascii="宋体" w:hAnsi="宋体" w:cs="宋体" w:eastAsia="宋体" w:hint="default"/>
          <w:spacing w:val="-4"/>
          <w:sz w:val="21"/>
          <w:szCs w:val="21"/>
        </w:rPr>
        <w:t>来保持了稳定增长，市场由成长期进入了平稳增长阶段。在部分领域，如智能标签、个性化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彩印、数据产品、特种票据等细分市场处于较快速增长阶段。我国商业票据从上世纪</w:t>
      </w:r>
      <w:r>
        <w:rPr>
          <w:rFonts w:ascii="宋体" w:hAnsi="宋体" w:cs="宋体" w:eastAsia="宋体" w:hint="default"/>
          <w:spacing w:val="-46"/>
          <w:sz w:val="21"/>
          <w:szCs w:val="21"/>
        </w:rPr>
        <w:t> </w:t>
      </w:r>
      <w:r>
        <w:rPr>
          <w:rFonts w:ascii="宋体" w:hAnsi="宋体" w:cs="宋体" w:eastAsia="宋体" w:hint="default"/>
          <w:sz w:val="21"/>
          <w:szCs w:val="21"/>
        </w:rPr>
        <w:t>80</w:t>
      </w:r>
      <w:r>
        <w:rPr>
          <w:rFonts w:ascii="宋体" w:hAnsi="宋体" w:cs="宋体" w:eastAsia="宋体" w:hint="default"/>
          <w:spacing w:val="-49"/>
          <w:sz w:val="21"/>
          <w:szCs w:val="21"/>
        </w:rPr>
        <w:t> </w:t>
      </w:r>
      <w:r>
        <w:rPr>
          <w:rFonts w:ascii="宋体" w:hAnsi="宋体" w:cs="宋体" w:eastAsia="宋体" w:hint="default"/>
          <w:sz w:val="21"/>
          <w:szCs w:val="21"/>
        </w:rPr>
        <w:t>年</w:t>
      </w:r>
    </w:p>
    <w:p>
      <w:pPr>
        <w:spacing w:line="357" w:lineRule="auto"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代初期开始起步，尤其是近</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年来，各大印刷企业大力从国外引进先进的生产设备和生产</w:t>
      </w:r>
      <w:r>
        <w:rPr>
          <w:rFonts w:ascii="宋体" w:hAnsi="宋体" w:cs="宋体" w:eastAsia="宋体" w:hint="default"/>
          <w:w w:val="100"/>
          <w:sz w:val="21"/>
          <w:szCs w:val="21"/>
        </w:rPr>
        <w:t> </w:t>
      </w:r>
      <w:r>
        <w:rPr>
          <w:rFonts w:ascii="宋体" w:hAnsi="宋体" w:cs="宋体" w:eastAsia="宋体" w:hint="default"/>
          <w:spacing w:val="-4"/>
          <w:sz w:val="21"/>
          <w:szCs w:val="21"/>
        </w:rPr>
        <w:t>技术，有利地促进了商业票据印刷业的发展，商业票据印刷也从传统的票据业务延伸到数据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处理服务、包装印刷、直邮、彩印、个性化印刷以及</w:t>
      </w:r>
      <w:r>
        <w:rPr>
          <w:rFonts w:ascii="宋体" w:hAnsi="宋体" w:cs="宋体" w:eastAsia="宋体" w:hint="default"/>
          <w:spacing w:val="-46"/>
          <w:sz w:val="21"/>
          <w:szCs w:val="21"/>
        </w:rPr>
        <w:t> </w:t>
      </w:r>
      <w:r>
        <w:rPr>
          <w:rFonts w:ascii="宋体" w:hAnsi="宋体" w:cs="宋体" w:eastAsia="宋体" w:hint="default"/>
          <w:sz w:val="21"/>
          <w:szCs w:val="21"/>
        </w:rPr>
        <w:t>RFID</w:t>
      </w:r>
      <w:r>
        <w:rPr>
          <w:rFonts w:ascii="宋体" w:hAnsi="宋体" w:cs="宋体" w:eastAsia="宋体" w:hint="default"/>
          <w:spacing w:val="-46"/>
          <w:sz w:val="21"/>
          <w:szCs w:val="21"/>
        </w:rPr>
        <w:t> </w:t>
      </w:r>
      <w:r>
        <w:rPr>
          <w:rFonts w:ascii="宋体" w:hAnsi="宋体" w:cs="宋体" w:eastAsia="宋体" w:hint="default"/>
          <w:sz w:val="21"/>
          <w:szCs w:val="21"/>
        </w:rPr>
        <w:t>智能标签等。票据印制工艺从原</w:t>
      </w:r>
      <w:r>
        <w:rPr>
          <w:rFonts w:ascii="宋体" w:hAnsi="宋体" w:cs="宋体" w:eastAsia="宋体" w:hint="default"/>
          <w:w w:val="100"/>
          <w:sz w:val="21"/>
          <w:szCs w:val="21"/>
        </w:rPr>
        <w:t> </w:t>
      </w:r>
      <w:r>
        <w:rPr>
          <w:rFonts w:ascii="宋体" w:hAnsi="宋体" w:cs="宋体" w:eastAsia="宋体" w:hint="default"/>
          <w:spacing w:val="-4"/>
          <w:sz w:val="21"/>
          <w:szCs w:val="21"/>
        </w:rPr>
        <w:t>来的胶印发展为柔印、凹印、丝网、喷墨数字印刷技术和计算机信息管理软件相结合，逐步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7"/>
          <w:sz w:val="21"/>
          <w:szCs w:val="21"/>
        </w:rPr>
        <w:t>向高新技术领域发展。票据防伪手段由原来的纸张、油墨等原材料防伪，发展成为缩微印刷、</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彩虹印刷、条码喷印等印刷工艺防伪技术以及</w:t>
      </w:r>
      <w:r>
        <w:rPr>
          <w:rFonts w:ascii="宋体" w:hAnsi="宋体" w:cs="宋体" w:eastAsia="宋体" w:hint="default"/>
          <w:spacing w:val="-47"/>
          <w:sz w:val="21"/>
          <w:szCs w:val="21"/>
        </w:rPr>
        <w:t> </w:t>
      </w:r>
      <w:r>
        <w:rPr>
          <w:rFonts w:ascii="宋体" w:hAnsi="宋体" w:cs="宋体" w:eastAsia="宋体" w:hint="default"/>
          <w:sz w:val="21"/>
          <w:szCs w:val="21"/>
        </w:rPr>
        <w:t>RFID</w:t>
      </w:r>
      <w:r>
        <w:rPr>
          <w:rFonts w:ascii="宋体" w:hAnsi="宋体" w:cs="宋体" w:eastAsia="宋体" w:hint="default"/>
          <w:spacing w:val="-49"/>
          <w:sz w:val="21"/>
          <w:szCs w:val="21"/>
        </w:rPr>
        <w:t> </w:t>
      </w:r>
      <w:r>
        <w:rPr>
          <w:rFonts w:ascii="宋体" w:hAnsi="宋体" w:cs="宋体" w:eastAsia="宋体" w:hint="default"/>
          <w:sz w:val="21"/>
          <w:szCs w:val="21"/>
        </w:rPr>
        <w:t>防伪，很多产品的印刷技术已经接近或</w:t>
      </w:r>
      <w:r>
        <w:rPr>
          <w:rFonts w:ascii="宋体" w:hAnsi="宋体" w:cs="宋体" w:eastAsia="宋体" w:hint="default"/>
          <w:w w:val="100"/>
          <w:sz w:val="21"/>
          <w:szCs w:val="21"/>
        </w:rPr>
        <w:t> </w:t>
      </w:r>
      <w:r>
        <w:rPr>
          <w:rFonts w:ascii="宋体" w:hAnsi="宋体" w:cs="宋体" w:eastAsia="宋体" w:hint="default"/>
          <w:sz w:val="21"/>
          <w:szCs w:val="21"/>
        </w:rPr>
        <w:t>达到印刷技术先进国家水平。</w:t>
      </w:r>
    </w:p>
    <w:p>
      <w:pPr>
        <w:spacing w:before="33"/>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、公司所处行业的发展趋势及面临的市场竞争格局</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）行业的发展趋势</w:t>
      </w:r>
    </w:p>
    <w:p>
      <w:pPr>
        <w:spacing w:line="355" w:lineRule="auto" w:before="133"/>
        <w:ind w:left="558"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①印刷业转向服务业，“综合化服务”成为行业发展趋势</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4"/>
          <w:sz w:val="21"/>
          <w:szCs w:val="21"/>
        </w:rPr>
        <w:t>随着商业票据印刷市场的发展，客户提出了更高档次的“一站式”服务需求。在科技与</w:t>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需求的推动下，西方发达国家的印刷企业目前已向“综合服务”或“整体解决方案”提供商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7"/>
          <w:sz w:val="21"/>
          <w:szCs w:val="21"/>
        </w:rPr>
        <w:t>方向转型。数据处理市场伴随表单、信函等需求快速增长，印刷企业开始介入到物流、邮递、</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封装、数据库管理、创意设计各类辅助服务，这种产品的价值或附加值可提高几倍。</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②高端印刷借力信息技术，防伪技术高科技化趋势明显</w:t>
      </w:r>
      <w:r>
        <w:rPr>
          <w:rFonts w:ascii="宋体" w:hAnsi="宋体" w:cs="宋体" w:eastAsia="宋体" w:hint="default"/>
          <w:w w:val="100"/>
          <w:sz w:val="21"/>
          <w:szCs w:val="21"/>
        </w:rPr>
        <w:t> </w:t>
      </w:r>
      <w:r>
        <w:rPr>
          <w:rFonts w:ascii="宋体" w:hAnsi="宋体" w:cs="宋体" w:eastAsia="宋体" w:hint="default"/>
          <w:spacing w:val="-4"/>
          <w:sz w:val="21"/>
          <w:szCs w:val="21"/>
        </w:rPr>
        <w:t>随着客户对保密性要求越来越高，印刷企业使用的防伪技术不断改进，目前防伪技术有</w:t>
      </w:r>
    </w:p>
    <w:p>
      <w:pPr>
        <w:spacing w:line="355" w:lineRule="auto" w:before="35"/>
        <w:ind w:left="138" w:right="1789" w:firstLine="0"/>
        <w:jc w:val="both"/>
        <w:rPr>
          <w:rFonts w:ascii="宋体" w:hAnsi="宋体" w:cs="宋体" w:eastAsia="宋体" w:hint="default"/>
          <w:sz w:val="21"/>
          <w:szCs w:val="21"/>
        </w:rPr>
      </w:pPr>
      <w:r>
        <w:rPr>
          <w:rFonts w:ascii="宋体" w:hAnsi="宋体" w:cs="宋体" w:eastAsia="宋体" w:hint="default"/>
          <w:sz w:val="21"/>
          <w:szCs w:val="21"/>
        </w:rPr>
        <w:t>设计制版防伪技术、印刷防伪技术、全息标识定位烫印防伪技术、印刷材料防伪技术以及</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RFID</w:t>
      </w:r>
      <w:r>
        <w:rPr>
          <w:rFonts w:ascii="宋体" w:hAnsi="宋体" w:cs="宋体" w:eastAsia="宋体" w:hint="default"/>
          <w:spacing w:val="12"/>
          <w:sz w:val="21"/>
          <w:szCs w:val="21"/>
        </w:rPr>
        <w:t> </w:t>
      </w:r>
      <w:r>
        <w:rPr>
          <w:rFonts w:ascii="宋体" w:hAnsi="宋体" w:cs="宋体" w:eastAsia="宋体" w:hint="default"/>
          <w:sz w:val="21"/>
          <w:szCs w:val="21"/>
        </w:rPr>
        <w:t>防伪技术等。随着科技的发展，造假手段也越来越高。在商业票据印刷的各个环节，</w:t>
      </w:r>
      <w:r>
        <w:rPr>
          <w:rFonts w:ascii="宋体" w:hAnsi="宋体" w:cs="宋体" w:eastAsia="宋体" w:hint="default"/>
          <w:w w:val="100"/>
          <w:sz w:val="21"/>
          <w:szCs w:val="21"/>
        </w:rPr>
        <w:t> </w:t>
      </w:r>
      <w:r>
        <w:rPr>
          <w:rFonts w:ascii="宋体" w:hAnsi="宋体" w:cs="宋体" w:eastAsia="宋体" w:hint="default"/>
          <w:spacing w:val="-4"/>
          <w:w w:val="100"/>
          <w:sz w:val="21"/>
          <w:szCs w:val="21"/>
        </w:rPr>
        <w:t>除在纸张和印刷油墨上加强防伪技术的应用，印刷企业还必须不断开发高科技化的防伪手段</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方可满足客户的要求。</w:t>
      </w:r>
    </w:p>
    <w:p>
      <w:pPr>
        <w:spacing w:line="357"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③数据、直邮业务将成为行业发展重点</w:t>
      </w:r>
      <w:r>
        <w:rPr>
          <w:rFonts w:ascii="宋体" w:hAnsi="宋体" w:cs="宋体" w:eastAsia="宋体" w:hint="default"/>
          <w:w w:val="100"/>
          <w:sz w:val="21"/>
          <w:szCs w:val="21"/>
        </w:rPr>
        <w:t> </w:t>
      </w:r>
      <w:r>
        <w:rPr>
          <w:rFonts w:ascii="宋体" w:hAnsi="宋体" w:cs="宋体" w:eastAsia="宋体" w:hint="default"/>
          <w:spacing w:val="-2"/>
          <w:sz w:val="21"/>
          <w:szCs w:val="21"/>
        </w:rPr>
        <w:t>随着信息产业及各种服务业的迅速全球化、网络化发展，以及商业票据服务对象银行、</w:t>
      </w:r>
    </w:p>
    <w:p>
      <w:pPr>
        <w:spacing w:line="355" w:lineRule="auto" w:before="30"/>
        <w:ind w:left="138" w:right="1702" w:firstLine="0"/>
        <w:jc w:val="both"/>
        <w:rPr>
          <w:rFonts w:ascii="宋体" w:hAnsi="宋体" w:cs="宋体" w:eastAsia="宋体" w:hint="default"/>
          <w:sz w:val="21"/>
          <w:szCs w:val="21"/>
        </w:rPr>
      </w:pPr>
      <w:r>
        <w:rPr>
          <w:rFonts w:ascii="宋体" w:hAnsi="宋体" w:cs="宋体" w:eastAsia="宋体" w:hint="default"/>
          <w:spacing w:val="-4"/>
          <w:sz w:val="21"/>
          <w:szCs w:val="21"/>
        </w:rPr>
        <w:t>保险、交通、通信等行业快速发展，账单打印的快速增长促使商业票据印刷逐渐向小批量和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个性化方向发展，该类行业商业票据所印刷的图像或者文字必须按预先设定好的内容及格式</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2"/>
          <w:sz w:val="21"/>
          <w:szCs w:val="21"/>
        </w:rPr>
        <w:t>不断发生变化，每张票据必须针对特定对象设计并印刷，个性化印刷将成为行业发展重点。</w:t>
      </w:r>
    </w:p>
    <w:p>
      <w:pPr>
        <w:spacing w:line="357" w:lineRule="auto" w:before="33"/>
        <w:ind w:left="558" w:right="0" w:firstLine="0"/>
        <w:jc w:val="left"/>
        <w:rPr>
          <w:rFonts w:ascii="宋体" w:hAnsi="宋体" w:cs="宋体" w:eastAsia="宋体" w:hint="default"/>
          <w:sz w:val="21"/>
          <w:szCs w:val="21"/>
        </w:rPr>
      </w:pPr>
      <w:r>
        <w:rPr>
          <w:rFonts w:ascii="宋体" w:hAnsi="宋体" w:cs="宋体" w:eastAsia="宋体" w:hint="default"/>
          <w:sz w:val="21"/>
          <w:szCs w:val="21"/>
        </w:rPr>
        <w:t>④个性化彩色印刷成为行业发展的重要趋势</w:t>
      </w:r>
      <w:r>
        <w:rPr>
          <w:rFonts w:ascii="宋体" w:hAnsi="宋体" w:cs="宋体" w:eastAsia="宋体" w:hint="default"/>
          <w:w w:val="100"/>
          <w:sz w:val="21"/>
          <w:szCs w:val="21"/>
        </w:rPr>
        <w:t> </w:t>
      </w:r>
      <w:r>
        <w:rPr>
          <w:rFonts w:ascii="宋体" w:hAnsi="宋体" w:cs="宋体" w:eastAsia="宋体" w:hint="default"/>
          <w:spacing w:val="-4"/>
          <w:sz w:val="21"/>
          <w:szCs w:val="21"/>
        </w:rPr>
        <w:t>随着客户需求的不断朝向个性化、彩色化的方向发展，商业票据的印刷正由单色向彩色</w:t>
      </w:r>
    </w:p>
    <w:p>
      <w:pPr>
        <w:spacing w:line="357" w:lineRule="auto" w:before="30"/>
        <w:ind w:left="138" w:right="1680" w:firstLine="0"/>
        <w:jc w:val="left"/>
        <w:rPr>
          <w:rFonts w:ascii="宋体" w:hAnsi="宋体" w:cs="宋体" w:eastAsia="宋体" w:hint="default"/>
          <w:sz w:val="21"/>
          <w:szCs w:val="21"/>
        </w:rPr>
      </w:pPr>
      <w:r>
        <w:rPr>
          <w:rFonts w:ascii="宋体" w:hAnsi="宋体" w:cs="宋体" w:eastAsia="宋体" w:hint="default"/>
          <w:spacing w:val="-2"/>
          <w:sz w:val="21"/>
          <w:szCs w:val="21"/>
        </w:rPr>
        <w:t>印刷发展，高质量彩色印刷票据产品将被广泛使用，如金融、电信等行业的彩色打印单据，</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金融企业个性化宣传推广品，广告类印刷品等。色彩丰富的彩色印刷票据可以附加更多的广</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告宣传信息，能够有效提高客户满意度。传统彩色印刷不能够满足个性化印刷的需求，只有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数字印刷才能适应个性化彩色印刷的要求，因此数字印刷将成为未来发展趋势。未来几年内</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该业务将以</w:t>
      </w:r>
      <w:r>
        <w:rPr>
          <w:rFonts w:ascii="宋体" w:hAnsi="宋体" w:cs="宋体" w:eastAsia="宋体" w:hint="default"/>
          <w:spacing w:val="-54"/>
          <w:sz w:val="21"/>
          <w:szCs w:val="21"/>
        </w:rPr>
        <w:t> </w:t>
      </w:r>
      <w:r>
        <w:rPr>
          <w:rFonts w:ascii="宋体" w:hAnsi="宋体" w:cs="宋体" w:eastAsia="宋体" w:hint="default"/>
          <w:sz w:val="21"/>
          <w:szCs w:val="21"/>
        </w:rPr>
        <w:t>15%-20%</w:t>
      </w:r>
      <w:r>
        <w:rPr>
          <w:rFonts w:ascii="宋体" w:hAnsi="宋体" w:cs="宋体" w:eastAsia="宋体" w:hint="default"/>
          <w:sz w:val="21"/>
          <w:szCs w:val="21"/>
        </w:rPr>
        <w:t>的速度增长。</w:t>
      </w:r>
    </w:p>
    <w:p>
      <w:pPr>
        <w:spacing w:after="0" w:line="357" w:lineRule="auto"/>
        <w:jc w:val="left"/>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55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86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⑤智能化特种票据将成为行业另一发展方向</w:t>
      </w:r>
      <w:r>
        <w:rPr>
          <w:rFonts w:ascii="宋体" w:hAnsi="宋体" w:cs="宋体" w:eastAsia="宋体" w:hint="default"/>
          <w:w w:val="100"/>
          <w:sz w:val="21"/>
          <w:szCs w:val="21"/>
        </w:rPr>
        <w:t> </w:t>
      </w:r>
      <w:r>
        <w:rPr>
          <w:rFonts w:ascii="宋体" w:hAnsi="宋体" w:cs="宋体" w:eastAsia="宋体" w:hint="default"/>
          <w:spacing w:val="-4"/>
          <w:sz w:val="21"/>
          <w:szCs w:val="21"/>
        </w:rPr>
        <w:t>商业票据根据信息记录形式的不同，可分为纸票据和磁卡、智能卡等特种票据。如随着</w:t>
      </w:r>
    </w:p>
    <w:p>
      <w:pPr>
        <w:spacing w:line="357" w:lineRule="auto" w:before="30"/>
        <w:ind w:left="138" w:right="1788" w:firstLine="0"/>
        <w:jc w:val="both"/>
        <w:rPr>
          <w:rFonts w:ascii="宋体" w:hAnsi="宋体" w:cs="宋体" w:eastAsia="宋体" w:hint="default"/>
          <w:sz w:val="21"/>
          <w:szCs w:val="21"/>
        </w:rPr>
      </w:pPr>
      <w:r>
        <w:rPr>
          <w:rFonts w:ascii="宋体" w:hAnsi="宋体" w:cs="宋体" w:eastAsia="宋体" w:hint="default"/>
          <w:spacing w:val="-4"/>
          <w:w w:val="100"/>
          <w:sz w:val="21"/>
          <w:szCs w:val="21"/>
        </w:rPr>
        <w:t>银行对银行卡信息安全要求越来越高，银行卡中加入智能化客户信息已经成为行业发展的一</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3"/>
          <w:sz w:val="21"/>
          <w:szCs w:val="21"/>
        </w:rPr>
        <w:t>种趋势，</w:t>
      </w:r>
      <w:r>
        <w:rPr>
          <w:rFonts w:ascii="宋体" w:hAnsi="宋体" w:cs="宋体" w:eastAsia="宋体" w:hint="default"/>
          <w:spacing w:val="-3"/>
          <w:sz w:val="21"/>
          <w:szCs w:val="21"/>
        </w:rPr>
        <w:t>EMV </w:t>
      </w:r>
      <w:r>
        <w:rPr>
          <w:rFonts w:ascii="宋体" w:hAnsi="宋体" w:cs="宋体" w:eastAsia="宋体" w:hint="default"/>
          <w:spacing w:val="-3"/>
          <w:sz w:val="21"/>
          <w:szCs w:val="21"/>
        </w:rPr>
        <w:t>迁移将推动智能卡大规模增长；又如城际列车为提高运营水平，在客运票中加</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w:t>
      </w:r>
      <w:r>
        <w:rPr>
          <w:rFonts w:ascii="宋体" w:hAnsi="宋体" w:cs="宋体" w:eastAsia="宋体" w:hint="default"/>
          <w:spacing w:val="-48"/>
          <w:sz w:val="21"/>
          <w:szCs w:val="21"/>
        </w:rPr>
        <w:t> </w:t>
      </w:r>
      <w:r>
        <w:rPr>
          <w:rFonts w:ascii="宋体" w:hAnsi="宋体" w:cs="宋体" w:eastAsia="宋体" w:hint="default"/>
          <w:sz w:val="21"/>
          <w:szCs w:val="21"/>
        </w:rPr>
        <w:t>RFID</w:t>
      </w:r>
      <w:r>
        <w:rPr>
          <w:rFonts w:ascii="宋体" w:hAnsi="宋体" w:cs="宋体" w:eastAsia="宋体" w:hint="default"/>
          <w:spacing w:val="-47"/>
          <w:sz w:val="21"/>
          <w:szCs w:val="21"/>
        </w:rPr>
        <w:t> </w:t>
      </w:r>
      <w:r>
        <w:rPr>
          <w:rFonts w:ascii="宋体" w:hAnsi="宋体" w:cs="宋体" w:eastAsia="宋体" w:hint="default"/>
          <w:sz w:val="21"/>
          <w:szCs w:val="21"/>
        </w:rPr>
        <w:t>芯片以满足自动检票的要求。行业内优势企业近年来已经充分认识到特种票据印刷</w:t>
      </w:r>
      <w:r>
        <w:rPr>
          <w:rFonts w:ascii="宋体" w:hAnsi="宋体" w:cs="宋体" w:eastAsia="宋体" w:hint="default"/>
          <w:w w:val="100"/>
          <w:sz w:val="21"/>
          <w:szCs w:val="21"/>
        </w:rPr>
        <w:t> </w:t>
      </w:r>
      <w:r>
        <w:rPr>
          <w:rFonts w:ascii="宋体" w:hAnsi="宋体" w:cs="宋体" w:eastAsia="宋体" w:hint="default"/>
          <w:spacing w:val="-4"/>
          <w:sz w:val="21"/>
          <w:szCs w:val="21"/>
        </w:rPr>
        <w:t>行业蕴含的巨大市场空间，纷纷加大了在这一领域的投资。在客户需求的推动下，智能化特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种票据印刷也将成为行业发展的方向。</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⑥行业竞争由区域市场向全国性市场演变，优势企业将获得更大的发展空间</w:t>
      </w:r>
    </w:p>
    <w:p>
      <w:pPr>
        <w:spacing w:line="357" w:lineRule="auto" w:before="133"/>
        <w:ind w:left="138" w:right="1702" w:firstLine="419"/>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
          <w:sz w:val="21"/>
          <w:szCs w:val="21"/>
        </w:rPr>
        <w:t> </w:t>
      </w:r>
      <w:r>
        <w:rPr>
          <w:rFonts w:ascii="宋体" w:hAnsi="宋体" w:cs="宋体" w:eastAsia="宋体" w:hint="default"/>
          <w:sz w:val="21"/>
          <w:szCs w:val="21"/>
        </w:rPr>
        <w:t>年起行业客户普遍开始采用招标方式确定定点印刷供应商，行业的市场化水平逐</w:t>
      </w:r>
      <w:r>
        <w:rPr>
          <w:rFonts w:ascii="宋体" w:hAnsi="宋体" w:cs="宋体" w:eastAsia="宋体" w:hint="default"/>
          <w:w w:val="100"/>
          <w:sz w:val="21"/>
          <w:szCs w:val="21"/>
        </w:rPr>
        <w:t> </w:t>
      </w:r>
      <w:r>
        <w:rPr>
          <w:rFonts w:ascii="宋体" w:hAnsi="宋体" w:cs="宋体" w:eastAsia="宋体" w:hint="default"/>
          <w:spacing w:val="-4"/>
          <w:sz w:val="21"/>
          <w:szCs w:val="21"/>
        </w:rPr>
        <w:t>渐提高，区域性企业的生存空间受到压缩，行业竞争开始突破原有的区域化特征，向全国性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的竞争演进。未来行业优势企业将利用其资本、品牌、销售网络、产品和服务等方面的优势</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加快在区域市场的产能和营销网络布局；同时，行业优势企业将通过并购重组等方式加快行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业整合的步伐。商业票据印刷市场集中度将进一步提升，优势企业将获得更大的发展空间。</w:t>
      </w:r>
    </w:p>
    <w:p>
      <w:pPr>
        <w:spacing w:line="355" w:lineRule="auto" w:before="30"/>
        <w:ind w:left="558" w:right="209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）面临的市场竞争格局</w:t>
      </w:r>
      <w:r>
        <w:rPr>
          <w:rFonts w:ascii="宋体" w:hAnsi="宋体" w:cs="宋体" w:eastAsia="宋体" w:hint="default"/>
          <w:w w:val="100"/>
          <w:sz w:val="21"/>
          <w:szCs w:val="21"/>
        </w:rPr>
        <w:t> </w:t>
      </w:r>
      <w:r>
        <w:rPr>
          <w:rFonts w:ascii="宋体" w:hAnsi="宋体" w:cs="宋体" w:eastAsia="宋体" w:hint="default"/>
          <w:spacing w:val="-2"/>
          <w:sz w:val="21"/>
          <w:szCs w:val="21"/>
        </w:rPr>
        <w:t>商业票据市场需求不断增长。产品供求状况呈现如下特点：</w:t>
      </w:r>
    </w:p>
    <w:p>
      <w:pPr>
        <w:spacing w:line="355" w:lineRule="auto" w:before="34"/>
        <w:ind w:left="138" w:right="1791" w:firstLine="419"/>
        <w:jc w:val="both"/>
        <w:rPr>
          <w:rFonts w:ascii="宋体" w:hAnsi="宋体" w:cs="宋体" w:eastAsia="宋体" w:hint="default"/>
          <w:sz w:val="21"/>
          <w:szCs w:val="21"/>
        </w:rPr>
      </w:pPr>
      <w:r>
        <w:rPr>
          <w:rFonts w:ascii="宋体" w:hAnsi="宋体" w:cs="宋体" w:eastAsia="宋体" w:hint="default"/>
          <w:spacing w:val="-4"/>
          <w:sz w:val="21"/>
          <w:szCs w:val="21"/>
        </w:rPr>
        <w:t>①低技术含量的票据（如存取款凭条、普通发票等）进入门槛低，对设备和技术的要求</w:t>
      </w:r>
      <w:r>
        <w:rPr>
          <w:rFonts w:ascii="宋体" w:hAnsi="宋体" w:cs="宋体" w:eastAsia="宋体" w:hint="default"/>
          <w:w w:val="100"/>
          <w:sz w:val="21"/>
          <w:szCs w:val="21"/>
        </w:rPr>
        <w:t> </w:t>
      </w:r>
      <w:r>
        <w:rPr>
          <w:rFonts w:ascii="宋体" w:hAnsi="宋体" w:cs="宋体" w:eastAsia="宋体" w:hint="default"/>
          <w:spacing w:val="-4"/>
          <w:sz w:val="21"/>
          <w:szCs w:val="21"/>
        </w:rPr>
        <w:t>不高，许多地方性的小型印刷企业逐步进入票据印刷领域，市场趋于饱和，竞争激烈，出现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供大于求的现象。</w:t>
      </w:r>
    </w:p>
    <w:p>
      <w:pPr>
        <w:spacing w:line="357" w:lineRule="auto" w:before="32"/>
        <w:ind w:left="138" w:right="1790" w:firstLine="419"/>
        <w:jc w:val="both"/>
        <w:rPr>
          <w:rFonts w:ascii="宋体" w:hAnsi="宋体" w:cs="宋体" w:eastAsia="宋体" w:hint="default"/>
          <w:sz w:val="21"/>
          <w:szCs w:val="21"/>
        </w:rPr>
      </w:pPr>
      <w:r>
        <w:rPr>
          <w:rFonts w:ascii="宋体" w:hAnsi="宋体" w:cs="宋体" w:eastAsia="宋体" w:hint="default"/>
          <w:spacing w:val="-4"/>
          <w:sz w:val="21"/>
          <w:szCs w:val="21"/>
        </w:rPr>
        <w:t>②高端商业票据工艺较为复杂，防伪技术要求较高，由于受到技术、资金、设备等条件</w:t>
      </w:r>
      <w:r>
        <w:rPr>
          <w:rFonts w:ascii="宋体" w:hAnsi="宋体" w:cs="宋体" w:eastAsia="宋体" w:hint="default"/>
          <w:w w:val="100"/>
          <w:sz w:val="21"/>
          <w:szCs w:val="21"/>
        </w:rPr>
        <w:t> </w:t>
      </w:r>
      <w:r>
        <w:rPr>
          <w:rFonts w:ascii="宋体" w:hAnsi="宋体" w:cs="宋体" w:eastAsia="宋体" w:hint="default"/>
          <w:sz w:val="21"/>
          <w:szCs w:val="21"/>
        </w:rPr>
        <w:t>的限制，小型企业很难进入中高端票据市场。因此，行业供需基本稳定。</w:t>
      </w:r>
    </w:p>
    <w:p>
      <w:pPr>
        <w:spacing w:line="357" w:lineRule="auto" w:before="30"/>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③随着数字印刷技术的进步，信息产业的快速发展以及金融、电信等行业客户需求逐渐</w:t>
      </w:r>
      <w:r>
        <w:rPr>
          <w:rFonts w:ascii="宋体" w:hAnsi="宋体" w:cs="宋体" w:eastAsia="宋体" w:hint="default"/>
          <w:w w:val="100"/>
          <w:sz w:val="21"/>
          <w:szCs w:val="21"/>
        </w:rPr>
        <w:t> </w:t>
      </w:r>
      <w:r>
        <w:rPr>
          <w:rFonts w:ascii="宋体" w:hAnsi="宋体" w:cs="宋体" w:eastAsia="宋体" w:hint="default"/>
          <w:sz w:val="21"/>
          <w:szCs w:val="21"/>
        </w:rPr>
        <w:t>向数字化、个性化、彩色化方向发展，以</w:t>
      </w:r>
      <w:r>
        <w:rPr>
          <w:rFonts w:ascii="宋体" w:hAnsi="宋体" w:cs="宋体" w:eastAsia="宋体" w:hint="default"/>
          <w:spacing w:val="-48"/>
          <w:sz w:val="21"/>
          <w:szCs w:val="21"/>
        </w:rPr>
        <w:t> </w:t>
      </w:r>
      <w:r>
        <w:rPr>
          <w:rFonts w:ascii="宋体" w:hAnsi="宋体" w:cs="宋体" w:eastAsia="宋体" w:hint="default"/>
          <w:sz w:val="21"/>
          <w:szCs w:val="21"/>
        </w:rPr>
        <w:t>RFID</w:t>
      </w:r>
      <w:r>
        <w:rPr>
          <w:rFonts w:ascii="宋体" w:hAnsi="宋体" w:cs="宋体" w:eastAsia="宋体" w:hint="default"/>
          <w:spacing w:val="-49"/>
          <w:sz w:val="21"/>
          <w:szCs w:val="21"/>
        </w:rPr>
        <w:t> </w:t>
      </w:r>
      <w:r>
        <w:rPr>
          <w:rFonts w:ascii="宋体" w:hAnsi="宋体" w:cs="宋体" w:eastAsia="宋体" w:hint="default"/>
          <w:sz w:val="21"/>
          <w:szCs w:val="21"/>
        </w:rPr>
        <w:t>为代表的智能标签、个性化彩印为代表的彩</w:t>
      </w:r>
      <w:r>
        <w:rPr>
          <w:rFonts w:ascii="宋体" w:hAnsi="宋体" w:cs="宋体" w:eastAsia="宋体" w:hint="default"/>
          <w:w w:val="100"/>
          <w:sz w:val="21"/>
          <w:szCs w:val="21"/>
        </w:rPr>
        <w:t> </w:t>
      </w:r>
      <w:r>
        <w:rPr>
          <w:rFonts w:ascii="宋体" w:hAnsi="宋体" w:cs="宋体" w:eastAsia="宋体" w:hint="default"/>
          <w:spacing w:val="-4"/>
          <w:sz w:val="21"/>
          <w:szCs w:val="21"/>
        </w:rPr>
        <w:t>印产品、以账单打印和直邮为代表的数据产品、以智能卡为代表的特种票据等细分行业需求</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快速增长。行业内主要企业近年来均加大了在上述领域的投资，总体上上述细分市场领域均</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处于高速成长初期，表现出需求拉动的特点。</w:t>
      </w:r>
    </w:p>
    <w:p>
      <w:pPr>
        <w:spacing w:line="355" w:lineRule="auto" w:before="30"/>
        <w:ind w:left="618" w:right="1789" w:hanging="6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、公司的发展战略</w:t>
      </w:r>
      <w:r>
        <w:rPr>
          <w:rFonts w:ascii="宋体" w:hAnsi="宋体" w:cs="宋体" w:eastAsia="宋体" w:hint="default"/>
          <w:w w:val="100"/>
          <w:sz w:val="21"/>
          <w:szCs w:val="21"/>
        </w:rPr>
        <w:t> </w:t>
      </w:r>
      <w:r>
        <w:rPr>
          <w:rFonts w:ascii="宋体" w:hAnsi="宋体" w:cs="宋体" w:eastAsia="宋体" w:hint="default"/>
          <w:sz w:val="21"/>
          <w:szCs w:val="21"/>
        </w:rPr>
        <w:t>本公司秉承“市场唯先、用户至上”经营思想，以市场为导向，以管理为后盾，依托</w:t>
      </w:r>
    </w:p>
    <w:p>
      <w:pPr>
        <w:spacing w:line="357" w:lineRule="auto" w:before="32"/>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电子信息产业发展，针对当前票据产品的发展趋势，不断加大科研创新力度，提高产品技术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
          <w:sz w:val="21"/>
          <w:szCs w:val="21"/>
        </w:rPr>
        <w:t>含量</w:t>
      </w:r>
      <w:r>
        <w:rPr>
          <w:rFonts w:ascii="宋体" w:hAnsi="宋体" w:cs="宋体" w:eastAsia="宋体" w:hint="default"/>
          <w:spacing w:val="-1"/>
          <w:sz w:val="21"/>
          <w:szCs w:val="21"/>
        </w:rPr>
        <w:t>,</w:t>
      </w:r>
      <w:r>
        <w:rPr>
          <w:rFonts w:ascii="宋体" w:hAnsi="宋体" w:cs="宋体" w:eastAsia="宋体" w:hint="default"/>
          <w:spacing w:val="-1"/>
          <w:sz w:val="21"/>
          <w:szCs w:val="21"/>
        </w:rPr>
        <w:t>通过开发个性化彩印、智能卡、电子帐单等新产品，提高智能标签、数据处理产品的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市场份额，全面提升公司的竞争能力，保持公司长期可持续发展。</w:t>
      </w:r>
    </w:p>
    <w:p>
      <w:pPr>
        <w:spacing w:line="355" w:lineRule="auto" w:before="30"/>
        <w:ind w:left="138" w:right="1788" w:firstLine="479"/>
        <w:jc w:val="both"/>
        <w:rPr>
          <w:rFonts w:ascii="宋体" w:hAnsi="宋体" w:cs="宋体" w:eastAsia="宋体" w:hint="default"/>
          <w:sz w:val="21"/>
          <w:szCs w:val="21"/>
        </w:rPr>
      </w:pPr>
      <w:r>
        <w:rPr>
          <w:rFonts w:ascii="宋体" w:hAnsi="宋体" w:cs="宋体" w:eastAsia="宋体" w:hint="default"/>
          <w:sz w:val="21"/>
          <w:szCs w:val="21"/>
        </w:rPr>
        <w:t>公司的整体经营目标是进一步巩固公司在国内票据印刷行业内的领先地位，推进新募</w:t>
      </w:r>
      <w:r>
        <w:rPr>
          <w:rFonts w:ascii="宋体" w:hAnsi="宋体" w:cs="宋体" w:eastAsia="宋体" w:hint="default"/>
          <w:w w:val="100"/>
          <w:sz w:val="21"/>
          <w:szCs w:val="21"/>
        </w:rPr>
        <w:t> </w:t>
      </w:r>
      <w:r>
        <w:rPr>
          <w:rFonts w:ascii="宋体" w:hAnsi="宋体" w:cs="宋体" w:eastAsia="宋体" w:hint="default"/>
          <w:spacing w:val="-4"/>
          <w:sz w:val="21"/>
          <w:szCs w:val="21"/>
        </w:rPr>
        <w:t>集资金投资项目的实施，不断开发新产品和新客户，实现由传统的商业票证供应商向综合服</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务商的转型，保持经营业绩的稳步增长。</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年经营计划和主要目标</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0"/>
          <w:sz w:val="21"/>
          <w:szCs w:val="21"/>
        </w:rPr>
        <w:t> </w:t>
      </w:r>
      <w:r>
        <w:rPr>
          <w:rFonts w:ascii="宋体" w:hAnsi="宋体" w:cs="宋体" w:eastAsia="宋体" w:hint="default"/>
          <w:spacing w:val="-3"/>
          <w:sz w:val="21"/>
          <w:szCs w:val="21"/>
        </w:rPr>
        <w:t>年公司将进一步降低生产成本，调整经营思路，在保持商业票据领域领先地位的，</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before="17"/>
        <w:ind w:left="13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84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具体经营计划和目标如下：</w:t>
      </w:r>
    </w:p>
    <w:p>
      <w:pPr>
        <w:spacing w:line="355" w:lineRule="auto" w:before="136"/>
        <w:ind w:left="138" w:right="1789" w:firstLine="419"/>
        <w:jc w:val="left"/>
        <w:rPr>
          <w:rFonts w:ascii="宋体" w:hAnsi="宋体" w:cs="宋体" w:eastAsia="宋体" w:hint="default"/>
          <w:sz w:val="21"/>
          <w:szCs w:val="21"/>
        </w:rPr>
      </w:pP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）、积极推进募集资金项目的进展，按计划完成募集资金项目的厂房建设和设备采购</w:t>
      </w:r>
      <w:r>
        <w:rPr>
          <w:rFonts w:ascii="宋体" w:hAnsi="宋体" w:cs="宋体" w:eastAsia="宋体" w:hint="default"/>
          <w:w w:val="100"/>
          <w:sz w:val="21"/>
          <w:szCs w:val="21"/>
        </w:rPr>
        <w:t> </w:t>
      </w:r>
      <w:r>
        <w:rPr>
          <w:rFonts w:ascii="宋体" w:hAnsi="宋体" w:cs="宋体" w:eastAsia="宋体" w:hint="default"/>
          <w:sz w:val="21"/>
          <w:szCs w:val="21"/>
        </w:rPr>
        <w:t>工作。</w:t>
      </w:r>
    </w:p>
    <w:p>
      <w:pPr>
        <w:spacing w:before="32"/>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开</w:t>
      </w:r>
      <w:r>
        <w:rPr>
          <w:rFonts w:ascii="宋体" w:hAnsi="宋体" w:cs="宋体" w:eastAsia="宋体" w:hint="default"/>
          <w:spacing w:val="-3"/>
          <w:w w:val="100"/>
          <w:sz w:val="21"/>
          <w:szCs w:val="21"/>
        </w:rPr>
        <w:t>拓</w:t>
      </w:r>
      <w:r>
        <w:rPr>
          <w:rFonts w:ascii="宋体" w:hAnsi="宋体" w:cs="宋体" w:eastAsia="宋体" w:hint="default"/>
          <w:w w:val="100"/>
          <w:sz w:val="21"/>
          <w:szCs w:val="21"/>
        </w:rPr>
        <w:t>个</w:t>
      </w:r>
      <w:r>
        <w:rPr>
          <w:rFonts w:ascii="宋体" w:hAnsi="宋体" w:cs="宋体" w:eastAsia="宋体" w:hint="default"/>
          <w:spacing w:val="-3"/>
          <w:w w:val="100"/>
          <w:sz w:val="21"/>
          <w:szCs w:val="21"/>
        </w:rPr>
        <w:t>性</w:t>
      </w:r>
      <w:r>
        <w:rPr>
          <w:rFonts w:ascii="宋体" w:hAnsi="宋体" w:cs="宋体" w:eastAsia="宋体" w:hint="default"/>
          <w:w w:val="100"/>
          <w:sz w:val="21"/>
          <w:szCs w:val="21"/>
        </w:rPr>
        <w:t>化</w:t>
      </w:r>
      <w:r>
        <w:rPr>
          <w:rFonts w:ascii="宋体" w:hAnsi="宋体" w:cs="宋体" w:eastAsia="宋体" w:hint="default"/>
          <w:spacing w:val="-3"/>
          <w:w w:val="100"/>
          <w:sz w:val="21"/>
          <w:szCs w:val="21"/>
        </w:rPr>
        <w:t>彩</w:t>
      </w:r>
      <w:r>
        <w:rPr>
          <w:rFonts w:ascii="宋体" w:hAnsi="宋体" w:cs="宋体" w:eastAsia="宋体" w:hint="default"/>
          <w:w w:val="100"/>
          <w:sz w:val="21"/>
          <w:szCs w:val="21"/>
        </w:rPr>
        <w:t>印</w:t>
      </w:r>
      <w:r>
        <w:rPr>
          <w:rFonts w:ascii="宋体" w:hAnsi="宋体" w:cs="宋体" w:eastAsia="宋体" w:hint="default"/>
          <w:spacing w:val="-3"/>
          <w:w w:val="100"/>
          <w:sz w:val="21"/>
          <w:szCs w:val="21"/>
        </w:rPr>
        <w:t>、</w:t>
      </w:r>
      <w:r>
        <w:rPr>
          <w:rFonts w:ascii="宋体" w:hAnsi="宋体" w:cs="宋体" w:eastAsia="宋体" w:hint="default"/>
          <w:w w:val="100"/>
          <w:sz w:val="21"/>
          <w:szCs w:val="21"/>
        </w:rPr>
        <w:t>智能</w:t>
      </w:r>
      <w:r>
        <w:rPr>
          <w:rFonts w:ascii="宋体" w:hAnsi="宋体" w:cs="宋体" w:eastAsia="宋体" w:hint="default"/>
          <w:spacing w:val="-3"/>
          <w:w w:val="100"/>
          <w:sz w:val="21"/>
          <w:szCs w:val="21"/>
        </w:rPr>
        <w:t>卡</w:t>
      </w:r>
      <w:r>
        <w:rPr>
          <w:rFonts w:ascii="宋体" w:hAnsi="宋体" w:cs="宋体" w:eastAsia="宋体"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服</w:t>
      </w:r>
      <w:r>
        <w:rPr>
          <w:rFonts w:ascii="宋体" w:hAnsi="宋体" w:cs="宋体" w:eastAsia="宋体" w:hint="default"/>
          <w:w w:val="100"/>
          <w:sz w:val="21"/>
          <w:szCs w:val="21"/>
        </w:rPr>
        <w:t>务</w:t>
      </w:r>
      <w:r>
        <w:rPr>
          <w:rFonts w:ascii="宋体" w:hAnsi="宋体" w:cs="宋体" w:eastAsia="宋体" w:hint="default"/>
          <w:spacing w:val="-3"/>
          <w:w w:val="100"/>
          <w:sz w:val="21"/>
          <w:szCs w:val="21"/>
        </w:rPr>
        <w:t>外</w:t>
      </w:r>
      <w:r>
        <w:rPr>
          <w:rFonts w:ascii="宋体" w:hAnsi="宋体" w:cs="宋体" w:eastAsia="宋体" w:hint="default"/>
          <w:w w:val="100"/>
          <w:sz w:val="21"/>
          <w:szCs w:val="21"/>
        </w:rPr>
        <w:t>包</w:t>
      </w:r>
      <w:r>
        <w:rPr>
          <w:rFonts w:ascii="宋体" w:hAnsi="宋体" w:cs="宋体" w:eastAsia="宋体" w:hint="default"/>
          <w:spacing w:val="-2"/>
          <w:w w:val="100"/>
          <w:sz w:val="21"/>
          <w:szCs w:val="21"/>
        </w:rPr>
        <w:t>等</w:t>
      </w:r>
      <w:r>
        <w:rPr>
          <w:rFonts w:ascii="宋体" w:hAnsi="宋体" w:cs="宋体" w:eastAsia="宋体" w:hint="default"/>
          <w:w w:val="100"/>
          <w:sz w:val="21"/>
          <w:szCs w:val="21"/>
        </w:rPr>
        <w:t>新产</w:t>
      </w:r>
      <w:r>
        <w:rPr>
          <w:rFonts w:ascii="宋体" w:hAnsi="宋体" w:cs="宋体" w:eastAsia="宋体" w:hint="default"/>
          <w:spacing w:val="-3"/>
          <w:w w:val="100"/>
          <w:sz w:val="21"/>
          <w:szCs w:val="21"/>
        </w:rPr>
        <w:t>品</w:t>
      </w:r>
      <w:r>
        <w:rPr>
          <w:rFonts w:ascii="宋体" w:hAnsi="宋体" w:cs="宋体" w:eastAsia="宋体" w:hint="default"/>
          <w:w w:val="100"/>
          <w:sz w:val="21"/>
          <w:szCs w:val="21"/>
        </w:rPr>
        <w:t>市</w:t>
      </w:r>
      <w:r>
        <w:rPr>
          <w:rFonts w:ascii="宋体" w:hAnsi="宋体" w:cs="宋体" w:eastAsia="宋体" w:hint="default"/>
          <w:spacing w:val="-3"/>
          <w:w w:val="100"/>
          <w:sz w:val="21"/>
          <w:szCs w:val="21"/>
        </w:rPr>
        <w:t>场</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抢</w:t>
      </w:r>
      <w:r>
        <w:rPr>
          <w:rFonts w:ascii="宋体" w:hAnsi="宋体" w:cs="宋体" w:eastAsia="宋体" w:hint="default"/>
          <w:w w:val="100"/>
          <w:sz w:val="21"/>
          <w:szCs w:val="21"/>
        </w:rPr>
        <w:t>占</w:t>
      </w:r>
      <w:r>
        <w:rPr>
          <w:rFonts w:ascii="宋体" w:hAnsi="宋体" w:cs="宋体" w:eastAsia="宋体" w:hint="default"/>
          <w:spacing w:val="-3"/>
          <w:w w:val="100"/>
          <w:sz w:val="21"/>
          <w:szCs w:val="21"/>
        </w:rPr>
        <w:t>新</w:t>
      </w:r>
      <w:r>
        <w:rPr>
          <w:rFonts w:ascii="宋体" w:hAnsi="宋体" w:cs="宋体" w:eastAsia="宋体" w:hint="default"/>
          <w:w w:val="100"/>
          <w:sz w:val="21"/>
          <w:szCs w:val="21"/>
        </w:rPr>
        <w:t>市</w:t>
      </w:r>
      <w:r>
        <w:rPr>
          <w:rFonts w:ascii="宋体" w:hAnsi="宋体" w:cs="宋体" w:eastAsia="宋体" w:hint="default"/>
          <w:spacing w:val="-3"/>
          <w:w w:val="100"/>
          <w:sz w:val="21"/>
          <w:szCs w:val="21"/>
        </w:rPr>
        <w:t>场</w:t>
      </w:r>
      <w:r>
        <w:rPr>
          <w:rFonts w:ascii="宋体" w:hAnsi="宋体" w:cs="宋体" w:eastAsia="宋体" w:hint="default"/>
          <w:w w:val="100"/>
          <w:sz w:val="21"/>
          <w:szCs w:val="21"/>
        </w:rPr>
        <w:t>份额。</w:t>
      </w:r>
    </w:p>
    <w:p>
      <w:pPr>
        <w:spacing w:line="357" w:lineRule="auto" w:before="133"/>
        <w:ind w:left="138" w:right="0" w:firstLine="419"/>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3</w:t>
      </w:r>
      <w:r>
        <w:rPr>
          <w:rFonts w:ascii="宋体" w:hAnsi="宋体" w:cs="宋体" w:eastAsia="宋体" w:hint="default"/>
          <w:spacing w:val="-5"/>
          <w:w w:val="100"/>
          <w:sz w:val="21"/>
          <w:szCs w:val="21"/>
        </w:rPr>
        <w:t>）、提高子公司的生产能力和各区域市场的竞争能力，巩固票据市场的领先地位。</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、为实现公司发展战略的资金使用安排</w:t>
      </w:r>
    </w:p>
    <w:p>
      <w:pPr>
        <w:spacing w:line="355" w:lineRule="auto" w:before="30"/>
        <w:ind w:left="138" w:right="0" w:firstLine="479"/>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年公司将根据新兴市场的发展情况，推进新募集资金项目的发展，根据项目计划</w:t>
      </w:r>
      <w:r>
        <w:rPr>
          <w:rFonts w:ascii="宋体" w:hAnsi="宋体" w:cs="宋体" w:eastAsia="宋体" w:hint="default"/>
          <w:w w:val="100"/>
          <w:sz w:val="21"/>
          <w:szCs w:val="21"/>
        </w:rPr>
        <w:t> </w:t>
      </w:r>
      <w:r>
        <w:rPr>
          <w:rFonts w:ascii="宋体" w:hAnsi="宋体" w:cs="宋体" w:eastAsia="宋体" w:hint="default"/>
          <w:sz w:val="21"/>
          <w:szCs w:val="21"/>
        </w:rPr>
        <w:t>安排，</w:t>
      </w:r>
      <w:r>
        <w:rPr>
          <w:rFonts w:ascii="宋体" w:hAnsi="宋体" w:cs="宋体" w:eastAsia="宋体" w:hint="default"/>
          <w:sz w:val="21"/>
          <w:szCs w:val="21"/>
        </w:rPr>
        <w:t>2011</w:t>
      </w:r>
      <w:r>
        <w:rPr>
          <w:rFonts w:ascii="宋体" w:hAnsi="宋体" w:cs="宋体" w:eastAsia="宋体" w:hint="default"/>
          <w:sz w:val="21"/>
          <w:szCs w:val="21"/>
        </w:rPr>
        <w:t>年投资计划如下：</w:t>
      </w:r>
    </w:p>
    <w:p>
      <w:pPr>
        <w:spacing w:before="32"/>
        <w:ind w:left="61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个</w:t>
      </w:r>
      <w:r>
        <w:rPr>
          <w:rFonts w:ascii="宋体" w:hAnsi="宋体" w:cs="宋体" w:eastAsia="宋体" w:hint="default"/>
          <w:spacing w:val="-3"/>
          <w:w w:val="100"/>
          <w:sz w:val="21"/>
          <w:szCs w:val="21"/>
        </w:rPr>
        <w:t>性</w:t>
      </w:r>
      <w:r>
        <w:rPr>
          <w:rFonts w:ascii="宋体" w:hAnsi="宋体" w:cs="宋体" w:eastAsia="宋体" w:hint="default"/>
          <w:w w:val="100"/>
          <w:sz w:val="21"/>
          <w:szCs w:val="21"/>
        </w:rPr>
        <w:t>化</w:t>
      </w:r>
      <w:r>
        <w:rPr>
          <w:rFonts w:ascii="宋体" w:hAnsi="宋体" w:cs="宋体" w:eastAsia="宋体" w:hint="default"/>
          <w:spacing w:val="-3"/>
          <w:w w:val="100"/>
          <w:sz w:val="21"/>
          <w:szCs w:val="21"/>
        </w:rPr>
        <w:t>彩</w:t>
      </w:r>
      <w:r>
        <w:rPr>
          <w:rFonts w:ascii="宋体" w:hAnsi="宋体" w:cs="宋体" w:eastAsia="宋体" w:hint="default"/>
          <w:w w:val="100"/>
          <w:sz w:val="21"/>
          <w:szCs w:val="21"/>
        </w:rPr>
        <w:t>印</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w:t>
      </w:r>
      <w:r>
        <w:rPr>
          <w:rFonts w:ascii="宋体" w:hAnsi="宋体" w:cs="宋体" w:eastAsia="宋体" w:hint="default"/>
          <w:w w:val="100"/>
          <w:sz w:val="21"/>
          <w:szCs w:val="21"/>
        </w:rPr>
        <w:t>计划</w:t>
      </w:r>
      <w:r>
        <w:rPr>
          <w:rFonts w:ascii="宋体" w:hAnsi="宋体" w:cs="宋体" w:eastAsia="宋体" w:hint="default"/>
          <w:spacing w:val="-3"/>
          <w:w w:val="100"/>
          <w:sz w:val="21"/>
          <w:szCs w:val="21"/>
        </w:rPr>
        <w:t>投</w:t>
      </w:r>
      <w:r>
        <w:rPr>
          <w:rFonts w:ascii="宋体" w:hAnsi="宋体" w:cs="宋体" w:eastAsia="宋体" w:hint="default"/>
          <w:spacing w:val="-1"/>
          <w:w w:val="100"/>
          <w:sz w:val="21"/>
          <w:szCs w:val="21"/>
        </w:rPr>
        <w:t>资</w:t>
      </w:r>
      <w:r>
        <w:rPr>
          <w:rFonts w:ascii="宋体" w:hAnsi="宋体" w:cs="宋体" w:eastAsia="宋体" w:hint="default"/>
          <w:w w:val="100"/>
          <w:sz w:val="21"/>
          <w:szCs w:val="21"/>
        </w:rPr>
        <w:t>2</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0</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万</w:t>
      </w:r>
      <w:r>
        <w:rPr>
          <w:rFonts w:ascii="宋体" w:hAnsi="宋体" w:cs="宋体" w:eastAsia="宋体" w:hint="default"/>
          <w:spacing w:val="-2"/>
          <w:w w:val="100"/>
          <w:sz w:val="21"/>
          <w:szCs w:val="21"/>
        </w:rPr>
        <w:t>元</w:t>
      </w:r>
      <w:r>
        <w:rPr>
          <w:rFonts w:ascii="宋体" w:hAnsi="宋体" w:cs="宋体" w:eastAsia="宋体" w:hint="default"/>
          <w:w w:val="100"/>
          <w:sz w:val="21"/>
          <w:szCs w:val="21"/>
        </w:rPr>
        <w:t>；</w:t>
      </w:r>
    </w:p>
    <w:p>
      <w:pPr>
        <w:spacing w:before="133"/>
        <w:ind w:left="61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智</w:t>
      </w:r>
      <w:r>
        <w:rPr>
          <w:rFonts w:ascii="宋体" w:hAnsi="宋体" w:cs="宋体" w:eastAsia="宋体" w:hint="default"/>
          <w:spacing w:val="-3"/>
          <w:w w:val="100"/>
          <w:sz w:val="21"/>
          <w:szCs w:val="21"/>
        </w:rPr>
        <w:t>能</w:t>
      </w:r>
      <w:r>
        <w:rPr>
          <w:rFonts w:ascii="宋体" w:hAnsi="宋体" w:cs="宋体" w:eastAsia="宋体" w:hint="default"/>
          <w:w w:val="100"/>
          <w:sz w:val="21"/>
          <w:szCs w:val="21"/>
        </w:rPr>
        <w:t>卡</w:t>
      </w:r>
      <w:r>
        <w:rPr>
          <w:rFonts w:ascii="宋体" w:hAnsi="宋体" w:cs="宋体" w:eastAsia="宋体" w:hint="default"/>
          <w:spacing w:val="-3"/>
          <w:w w:val="100"/>
          <w:sz w:val="21"/>
          <w:szCs w:val="21"/>
        </w:rPr>
        <w:t>制</w:t>
      </w:r>
      <w:r>
        <w:rPr>
          <w:rFonts w:ascii="宋体" w:hAnsi="宋体" w:cs="宋体" w:eastAsia="宋体" w:hint="default"/>
          <w:w w:val="100"/>
          <w:sz w:val="21"/>
          <w:szCs w:val="21"/>
        </w:rPr>
        <w:t>造</w:t>
      </w:r>
      <w:r>
        <w:rPr>
          <w:rFonts w:ascii="宋体" w:hAnsi="宋体" w:cs="宋体" w:eastAsia="宋体" w:hint="default"/>
          <w:spacing w:val="-3"/>
          <w:w w:val="100"/>
          <w:sz w:val="21"/>
          <w:szCs w:val="21"/>
        </w:rPr>
        <w:t>与</w:t>
      </w:r>
      <w:r>
        <w:rPr>
          <w:rFonts w:ascii="宋体" w:hAnsi="宋体" w:cs="宋体" w:eastAsia="宋体" w:hint="default"/>
          <w:w w:val="100"/>
          <w:sz w:val="21"/>
          <w:szCs w:val="21"/>
        </w:rPr>
        <w:t>个</w:t>
      </w:r>
      <w:r>
        <w:rPr>
          <w:rFonts w:ascii="宋体" w:hAnsi="宋体" w:cs="宋体" w:eastAsia="宋体" w:hint="default"/>
          <w:spacing w:val="-3"/>
          <w:w w:val="100"/>
          <w:sz w:val="21"/>
          <w:szCs w:val="21"/>
        </w:rPr>
        <w:t>性</w:t>
      </w:r>
      <w:r>
        <w:rPr>
          <w:rFonts w:ascii="宋体" w:hAnsi="宋体" w:cs="宋体" w:eastAsia="宋体" w:hint="default"/>
          <w:w w:val="100"/>
          <w:sz w:val="21"/>
          <w:szCs w:val="21"/>
        </w:rPr>
        <w:t>化处</w:t>
      </w:r>
      <w:r>
        <w:rPr>
          <w:rFonts w:ascii="宋体" w:hAnsi="宋体" w:cs="宋体" w:eastAsia="宋体" w:hint="default"/>
          <w:spacing w:val="-3"/>
          <w:w w:val="100"/>
          <w:sz w:val="21"/>
          <w:szCs w:val="21"/>
        </w:rPr>
        <w:t>理</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w w:val="100"/>
          <w:sz w:val="21"/>
          <w:szCs w:val="21"/>
        </w:rPr>
        <w:t>3</w:t>
      </w:r>
      <w:r>
        <w:rPr>
          <w:rFonts w:ascii="宋体" w:hAnsi="宋体" w:cs="宋体" w:eastAsia="宋体" w:hint="default"/>
          <w:spacing w:val="-3"/>
          <w:w w:val="100"/>
          <w:sz w:val="21"/>
          <w:szCs w:val="21"/>
        </w:rPr>
        <w:t>,5</w:t>
      </w:r>
      <w:r>
        <w:rPr>
          <w:rFonts w:ascii="宋体" w:hAnsi="宋体" w:cs="宋体" w:eastAsia="宋体" w:hint="default"/>
          <w:w w:val="100"/>
          <w:sz w:val="21"/>
          <w:szCs w:val="21"/>
        </w:rPr>
        <w:t>00</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before="136"/>
        <w:ind w:left="61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服</w:t>
      </w:r>
      <w:r>
        <w:rPr>
          <w:rFonts w:ascii="宋体" w:hAnsi="宋体" w:cs="宋体" w:eastAsia="宋体" w:hint="default"/>
          <w:spacing w:val="-3"/>
          <w:w w:val="100"/>
          <w:sz w:val="21"/>
          <w:szCs w:val="21"/>
        </w:rPr>
        <w:t>务</w:t>
      </w:r>
      <w:r>
        <w:rPr>
          <w:rFonts w:ascii="宋体" w:hAnsi="宋体" w:cs="宋体" w:eastAsia="宋体" w:hint="default"/>
          <w:w w:val="100"/>
          <w:sz w:val="21"/>
          <w:szCs w:val="21"/>
        </w:rPr>
        <w:t>外</w:t>
      </w:r>
      <w:r>
        <w:rPr>
          <w:rFonts w:ascii="宋体" w:hAnsi="宋体" w:cs="宋体" w:eastAsia="宋体" w:hint="default"/>
          <w:spacing w:val="-3"/>
          <w:w w:val="100"/>
          <w:sz w:val="21"/>
          <w:szCs w:val="21"/>
        </w:rPr>
        <w:t>包</w:t>
      </w:r>
      <w:r>
        <w:rPr>
          <w:rFonts w:ascii="宋体" w:hAnsi="宋体" w:cs="宋体" w:eastAsia="宋体" w:hint="default"/>
          <w:w w:val="100"/>
          <w:sz w:val="21"/>
          <w:szCs w:val="21"/>
        </w:rPr>
        <w:t>项目</w:t>
      </w:r>
      <w:r>
        <w:rPr>
          <w:rFonts w:ascii="宋体" w:hAnsi="宋体" w:cs="宋体" w:eastAsia="宋体" w:hint="default"/>
          <w:spacing w:val="-3"/>
          <w:w w:val="100"/>
          <w:sz w:val="21"/>
          <w:szCs w:val="21"/>
        </w:rPr>
        <w:t>，</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1,0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before="133"/>
        <w:ind w:left="61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设</w:t>
      </w:r>
      <w:r>
        <w:rPr>
          <w:rFonts w:ascii="宋体" w:hAnsi="宋体" w:cs="宋体" w:eastAsia="宋体" w:hint="default"/>
          <w:spacing w:val="-3"/>
          <w:w w:val="100"/>
          <w:sz w:val="21"/>
          <w:szCs w:val="21"/>
        </w:rPr>
        <w:t>备</w:t>
      </w:r>
      <w:r>
        <w:rPr>
          <w:rFonts w:ascii="宋体" w:hAnsi="宋体" w:cs="宋体" w:eastAsia="宋体" w:hint="default"/>
          <w:w w:val="100"/>
          <w:sz w:val="21"/>
          <w:szCs w:val="21"/>
        </w:rPr>
        <w:t>更</w:t>
      </w:r>
      <w:r>
        <w:rPr>
          <w:rFonts w:ascii="宋体" w:hAnsi="宋体" w:cs="宋体" w:eastAsia="宋体" w:hint="default"/>
          <w:spacing w:val="-3"/>
          <w:w w:val="100"/>
          <w:sz w:val="21"/>
          <w:szCs w:val="21"/>
        </w:rPr>
        <w:t>新</w:t>
      </w:r>
      <w:r>
        <w:rPr>
          <w:rFonts w:ascii="宋体" w:hAnsi="宋体" w:cs="宋体" w:eastAsia="宋体" w:hint="default"/>
          <w:w w:val="100"/>
          <w:sz w:val="21"/>
          <w:szCs w:val="21"/>
        </w:rPr>
        <w:t>改</w:t>
      </w:r>
      <w:r>
        <w:rPr>
          <w:rFonts w:ascii="宋体" w:hAnsi="宋体" w:cs="宋体" w:eastAsia="宋体" w:hint="default"/>
          <w:spacing w:val="-3"/>
          <w:w w:val="100"/>
          <w:sz w:val="21"/>
          <w:szCs w:val="21"/>
        </w:rPr>
        <w:t>造</w:t>
      </w:r>
      <w:r>
        <w:rPr>
          <w:rFonts w:ascii="宋体" w:hAnsi="宋体" w:cs="宋体" w:eastAsia="宋体" w:hint="default"/>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划投</w:t>
      </w:r>
      <w:r>
        <w:rPr>
          <w:rFonts w:ascii="宋体" w:hAnsi="宋体" w:cs="宋体" w:eastAsia="宋体" w:hint="default"/>
          <w:spacing w:val="-3"/>
          <w:w w:val="100"/>
          <w:sz w:val="21"/>
          <w:szCs w:val="21"/>
        </w:rPr>
        <w:t>资</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before="133"/>
        <w:ind w:left="61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济</w:t>
      </w:r>
      <w:r>
        <w:rPr>
          <w:rFonts w:ascii="宋体" w:hAnsi="宋体" w:cs="宋体" w:eastAsia="宋体" w:hint="default"/>
          <w:spacing w:val="-3"/>
          <w:w w:val="100"/>
          <w:sz w:val="21"/>
          <w:szCs w:val="21"/>
        </w:rPr>
        <w:t>南</w:t>
      </w:r>
      <w:r>
        <w:rPr>
          <w:rFonts w:ascii="宋体" w:hAnsi="宋体" w:cs="宋体" w:eastAsia="宋体" w:hint="default"/>
          <w:w w:val="100"/>
          <w:sz w:val="21"/>
          <w:szCs w:val="21"/>
        </w:rPr>
        <w:t>临</w:t>
      </w:r>
      <w:r>
        <w:rPr>
          <w:rFonts w:ascii="宋体" w:hAnsi="宋体" w:cs="宋体" w:eastAsia="宋体" w:hint="default"/>
          <w:spacing w:val="-3"/>
          <w:w w:val="100"/>
          <w:sz w:val="21"/>
          <w:szCs w:val="21"/>
        </w:rPr>
        <w:t>港</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区</w:t>
      </w:r>
      <w:r>
        <w:rPr>
          <w:rFonts w:ascii="宋体" w:hAnsi="宋体" w:cs="宋体" w:eastAsia="宋体" w:hint="default"/>
          <w:spacing w:val="-3"/>
          <w:w w:val="100"/>
          <w:sz w:val="21"/>
          <w:szCs w:val="21"/>
        </w:rPr>
        <w:t>二</w:t>
      </w:r>
      <w:r>
        <w:rPr>
          <w:rFonts w:ascii="宋体" w:hAnsi="宋体" w:cs="宋体" w:eastAsia="宋体" w:hint="default"/>
          <w:w w:val="100"/>
          <w:sz w:val="21"/>
          <w:szCs w:val="21"/>
        </w:rPr>
        <w:t>期项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w w:val="100"/>
          <w:sz w:val="21"/>
          <w:szCs w:val="21"/>
        </w:rPr>
        <w:t>3</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355" w:lineRule="auto" w:before="133"/>
        <w:ind w:left="618" w:right="0" w:firstLine="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6</w:t>
      </w:r>
      <w:r>
        <w:rPr>
          <w:rFonts w:ascii="宋体" w:hAnsi="宋体" w:cs="宋体" w:eastAsia="宋体" w:hint="default"/>
          <w:spacing w:val="-5"/>
          <w:w w:val="100"/>
          <w:sz w:val="21"/>
          <w:szCs w:val="21"/>
        </w:rPr>
        <w:t>）、上海东港数据处理公司购置土地及前期建设，计划投资</w:t>
      </w:r>
      <w:r>
        <w:rPr>
          <w:rFonts w:ascii="宋体" w:hAnsi="宋体" w:cs="宋体" w:eastAsia="宋体" w:hint="default"/>
          <w:spacing w:val="-5"/>
          <w:w w:val="100"/>
          <w:sz w:val="21"/>
          <w:szCs w:val="21"/>
        </w:rPr>
        <w:t>6,000</w:t>
      </w:r>
      <w:r>
        <w:rPr>
          <w:rFonts w:ascii="宋体" w:hAnsi="宋体" w:cs="宋体" w:eastAsia="宋体" w:hint="default"/>
          <w:spacing w:val="-5"/>
          <w:w w:val="100"/>
          <w:sz w:val="21"/>
          <w:szCs w:val="21"/>
        </w:rPr>
        <w:t>万元</w:t>
      </w:r>
      <w:r>
        <w:rPr>
          <w:rFonts w:ascii="宋体" w:hAnsi="宋体" w:cs="宋体" w:eastAsia="宋体" w:hint="default"/>
          <w:spacing w:val="-5"/>
          <w:w w:val="100"/>
          <w:sz w:val="21"/>
          <w:szCs w:val="21"/>
        </w:rPr>
        <w:t>.</w:t>
      </w:r>
      <w:r>
        <w:rPr>
          <w:rFonts w:ascii="宋体" w:hAnsi="宋体" w:cs="宋体" w:eastAsia="宋体" w:hint="default"/>
          <w:spacing w:val="-75"/>
          <w:w w:val="100"/>
          <w:sz w:val="21"/>
          <w:szCs w:val="21"/>
        </w:rPr>
        <w:t> </w:t>
      </w:r>
      <w:r>
        <w:rPr>
          <w:rFonts w:ascii="宋体" w:hAnsi="宋体" w:cs="宋体" w:eastAsia="宋体" w:hint="default"/>
          <w:sz w:val="21"/>
          <w:szCs w:val="21"/>
        </w:rPr>
        <w:t>2011</w:t>
      </w:r>
      <w:r>
        <w:rPr>
          <w:rFonts w:ascii="宋体" w:hAnsi="宋体" w:cs="宋体" w:eastAsia="宋体" w:hint="default"/>
          <w:sz w:val="21"/>
          <w:szCs w:val="21"/>
        </w:rPr>
        <w:t>年预计投资总额</w:t>
      </w:r>
      <w:r>
        <w:rPr>
          <w:rFonts w:ascii="宋体" w:hAnsi="宋体" w:cs="宋体" w:eastAsia="宋体" w:hint="default"/>
          <w:sz w:val="21"/>
          <w:szCs w:val="21"/>
        </w:rPr>
        <w:t>17,500</w:t>
      </w:r>
      <w:r>
        <w:rPr>
          <w:rFonts w:ascii="宋体" w:hAnsi="宋体" w:cs="宋体" w:eastAsia="宋体" w:hint="default"/>
          <w:sz w:val="21"/>
          <w:szCs w:val="21"/>
        </w:rPr>
        <w:t>万元。</w:t>
      </w:r>
    </w:p>
    <w:p>
      <w:pPr>
        <w:spacing w:before="34"/>
        <w:ind w:left="138"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、公司面临的风险</w:t>
      </w:r>
    </w:p>
    <w:p>
      <w:pPr>
        <w:spacing w:line="355" w:lineRule="auto" w:before="133"/>
        <w:ind w:left="543" w:right="178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票证市场竞争激烈，产品价格逐年下降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应对措施：加强市场开拓力度，开发并满足客户新的需求。</w:t>
      </w:r>
    </w:p>
    <w:p>
      <w:pPr>
        <w:spacing w:line="357"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）原材料成本及人工成本上升，管理费用加大</w:t>
      </w:r>
      <w:r>
        <w:rPr>
          <w:rFonts w:ascii="宋体" w:hAnsi="宋体" w:cs="宋体" w:eastAsia="宋体" w:hint="default"/>
          <w:w w:val="100"/>
          <w:sz w:val="21"/>
          <w:szCs w:val="21"/>
        </w:rPr>
        <w:t> </w:t>
      </w:r>
      <w:r>
        <w:rPr>
          <w:rFonts w:ascii="宋体" w:hAnsi="宋体" w:cs="宋体" w:eastAsia="宋体" w:hint="default"/>
          <w:spacing w:val="-4"/>
          <w:sz w:val="21"/>
          <w:szCs w:val="21"/>
        </w:rPr>
        <w:t>应对措施：控制原材料消耗及各项费用，降低产品成本，提供差异化和综合化服务，优</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化产品结构，稳定产品盈利水平。</w:t>
      </w:r>
    </w:p>
    <w:p>
      <w:pPr>
        <w:spacing w:line="355"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）开拓新产品市场难度大</w:t>
      </w:r>
      <w:r>
        <w:rPr>
          <w:rFonts w:ascii="宋体" w:hAnsi="宋体" w:cs="宋体" w:eastAsia="宋体" w:hint="default"/>
          <w:spacing w:val="-3"/>
          <w:w w:val="100"/>
          <w:sz w:val="21"/>
          <w:szCs w:val="21"/>
        </w:rPr>
        <w:t> </w:t>
      </w:r>
      <w:r>
        <w:rPr>
          <w:rFonts w:ascii="宋体" w:hAnsi="宋体" w:cs="宋体" w:eastAsia="宋体" w:hint="default"/>
          <w:spacing w:val="-4"/>
          <w:sz w:val="21"/>
          <w:szCs w:val="21"/>
        </w:rPr>
        <w:t>应对措施：利用公司的销售和服务优势，组建专业的技术团队，通过提供专业化、综合</w:t>
      </w:r>
    </w:p>
    <w:p>
      <w:pPr>
        <w:spacing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化的产品和服务，抢占新产品市场份额。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二、公司投资情况</w:t>
      </w:r>
      <w:r>
        <w:rPr>
          <w:rFonts w:ascii="宋体" w:hAnsi="宋体" w:cs="宋体" w:eastAsia="宋体" w:hint="default"/>
          <w:sz w:val="21"/>
          <w:szCs w:val="21"/>
        </w:rPr>
      </w:r>
    </w:p>
    <w:p>
      <w:pPr>
        <w:spacing w:line="357" w:lineRule="auto" w:before="133"/>
        <w:ind w:left="558" w:right="6189" w:hanging="420"/>
        <w:jc w:val="left"/>
        <w:rPr>
          <w:rFonts w:ascii="宋体" w:hAnsi="宋体" w:cs="宋体" w:eastAsia="宋体" w:hint="default"/>
          <w:sz w:val="21"/>
          <w:szCs w:val="21"/>
        </w:rPr>
      </w:pPr>
      <w:r>
        <w:rPr>
          <w:rFonts w:ascii="宋体" w:hAnsi="宋体" w:cs="宋体" w:eastAsia="宋体" w:hint="default"/>
          <w:b/>
          <w:bCs/>
          <w:spacing w:val="-6"/>
          <w:w w:val="100"/>
          <w:sz w:val="21"/>
          <w:szCs w:val="21"/>
        </w:rPr>
        <w:t>（一）、报告期内，主要投资项目情况说明</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、募投资金项目</w:t>
      </w:r>
      <w:r>
        <w:rPr>
          <w:rFonts w:ascii="宋体" w:hAnsi="宋体" w:cs="宋体" w:eastAsia="宋体" w:hint="default"/>
          <w:w w:val="100"/>
          <w:sz w:val="21"/>
          <w:szCs w:val="21"/>
        </w:rPr>
        <w:t> </w:t>
      </w:r>
      <w:r>
        <w:rPr>
          <w:rFonts w:ascii="宋体" w:hAnsi="宋体" w:cs="宋体" w:eastAsia="宋体" w:hint="default"/>
          <w:b/>
          <w:bCs/>
          <w:sz w:val="21"/>
          <w:szCs w:val="21"/>
        </w:rPr>
        <w:t>一、募集资金基本情况</w:t>
      </w:r>
      <w:r>
        <w:rPr>
          <w:rFonts w:ascii="宋体" w:hAnsi="宋体" w:cs="宋体" w:eastAsia="宋体" w:hint="default"/>
          <w:sz w:val="21"/>
          <w:szCs w:val="21"/>
        </w:rPr>
      </w:r>
    </w:p>
    <w:p>
      <w:pPr>
        <w:spacing w:before="32"/>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经中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会证</w:t>
      </w:r>
      <w:r>
        <w:rPr>
          <w:rFonts w:ascii="宋体" w:hAnsi="宋体" w:cs="宋体" w:eastAsia="宋体" w:hint="default"/>
          <w:spacing w:val="-3"/>
          <w:w w:val="100"/>
          <w:sz w:val="21"/>
          <w:szCs w:val="21"/>
        </w:rPr>
        <w:t>监</w:t>
      </w:r>
      <w:r>
        <w:rPr>
          <w:rFonts w:ascii="宋体" w:hAnsi="宋体" w:cs="宋体" w:eastAsia="宋体" w:hint="default"/>
          <w:w w:val="100"/>
          <w:sz w:val="21"/>
          <w:szCs w:val="21"/>
        </w:rPr>
        <w:t>许</w:t>
      </w:r>
      <w:r>
        <w:rPr>
          <w:rFonts w:ascii="宋体" w:hAnsi="宋体" w:cs="宋体" w:eastAsia="宋体" w:hint="default"/>
          <w:spacing w:val="-3"/>
          <w:w w:val="100"/>
          <w:sz w:val="21"/>
          <w:szCs w:val="21"/>
        </w:rPr>
        <w:t>可</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0]1</w:t>
      </w:r>
      <w:r>
        <w:rPr>
          <w:rFonts w:ascii="宋体" w:hAnsi="宋体" w:cs="宋体" w:eastAsia="宋体" w:hint="default"/>
          <w:spacing w:val="-3"/>
          <w:w w:val="100"/>
          <w:sz w:val="21"/>
          <w:szCs w:val="21"/>
        </w:rPr>
        <w:t>2</w:t>
      </w:r>
      <w:r>
        <w:rPr>
          <w:rFonts w:ascii="宋体" w:hAnsi="宋体" w:cs="宋体" w:eastAsia="宋体" w:hint="default"/>
          <w:w w:val="100"/>
          <w:sz w:val="21"/>
          <w:szCs w:val="21"/>
        </w:rPr>
        <w:t>10</w:t>
      </w:r>
      <w:r>
        <w:rPr>
          <w:rFonts w:ascii="宋体" w:hAnsi="宋体" w:cs="宋体" w:eastAsia="宋体" w:hint="default"/>
          <w:spacing w:val="-69"/>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文件</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67"/>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宋体" w:hAnsi="宋体" w:cs="宋体" w:eastAsia="宋体" w:hint="default"/>
          <w:w w:val="100"/>
          <w:sz w:val="21"/>
          <w:szCs w:val="21"/>
        </w:rPr>
        <w:t>9</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z w:val="21"/>
          <w:szCs w:val="21"/>
        </w:rPr>
        <w:t> </w:t>
      </w:r>
      <w:r>
        <w:rPr>
          <w:rFonts w:ascii="宋体" w:hAnsi="宋体" w:cs="宋体" w:eastAsia="宋体" w:hint="default"/>
          <w:w w:val="100"/>
          <w:sz w:val="21"/>
          <w:szCs w:val="21"/>
        </w:rPr>
        <w:t>日</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向社会公开增发人民币普通股（</w:t>
      </w:r>
      <w:r>
        <w:rPr>
          <w:rFonts w:ascii="宋体" w:hAnsi="宋体" w:cs="宋体" w:eastAsia="宋体" w:hint="default"/>
          <w:sz w:val="21"/>
          <w:szCs w:val="21"/>
        </w:rPr>
        <w:t>A</w:t>
      </w:r>
      <w:r>
        <w:rPr>
          <w:rFonts w:ascii="宋体" w:hAnsi="宋体" w:cs="宋体" w:eastAsia="宋体" w:hint="default"/>
          <w:spacing w:val="-41"/>
          <w:sz w:val="21"/>
          <w:szCs w:val="21"/>
        </w:rPr>
        <w:t> </w:t>
      </w:r>
      <w:r>
        <w:rPr>
          <w:rFonts w:ascii="宋体" w:hAnsi="宋体" w:cs="宋体" w:eastAsia="宋体" w:hint="default"/>
          <w:sz w:val="21"/>
          <w:szCs w:val="21"/>
        </w:rPr>
        <w:t>股）股票</w:t>
      </w:r>
      <w:r>
        <w:rPr>
          <w:rFonts w:ascii="宋体" w:hAnsi="宋体" w:cs="宋体" w:eastAsia="宋体" w:hint="default"/>
          <w:spacing w:val="-41"/>
          <w:sz w:val="21"/>
          <w:szCs w:val="21"/>
        </w:rPr>
        <w:t> </w:t>
      </w:r>
      <w:r>
        <w:rPr>
          <w:rFonts w:ascii="宋体" w:hAnsi="宋体" w:cs="宋体" w:eastAsia="宋体" w:hint="default"/>
          <w:sz w:val="21"/>
          <w:szCs w:val="21"/>
        </w:rPr>
        <w:t>14,124,172</w:t>
      </w:r>
      <w:r>
        <w:rPr>
          <w:rFonts w:ascii="宋体" w:hAnsi="宋体" w:cs="宋体" w:eastAsia="宋体" w:hint="default"/>
          <w:spacing w:val="-40"/>
          <w:sz w:val="21"/>
          <w:szCs w:val="21"/>
        </w:rPr>
        <w:t> </w:t>
      </w:r>
      <w:r>
        <w:rPr>
          <w:rFonts w:ascii="宋体" w:hAnsi="宋体" w:cs="宋体" w:eastAsia="宋体" w:hint="default"/>
          <w:sz w:val="21"/>
          <w:szCs w:val="21"/>
        </w:rPr>
        <w:t>股，每股面值为人民币</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元，增发</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价格为</w:t>
      </w:r>
      <w:r>
        <w:rPr>
          <w:rFonts w:ascii="宋体" w:hAnsi="宋体" w:cs="宋体" w:eastAsia="宋体" w:hint="default"/>
          <w:spacing w:val="-39"/>
          <w:sz w:val="21"/>
          <w:szCs w:val="21"/>
        </w:rPr>
        <w:t> </w:t>
      </w:r>
      <w:r>
        <w:rPr>
          <w:rFonts w:ascii="宋体" w:hAnsi="宋体" w:cs="宋体" w:eastAsia="宋体" w:hint="default"/>
          <w:sz w:val="21"/>
          <w:szCs w:val="21"/>
        </w:rPr>
        <w:t>25.69</w:t>
      </w:r>
      <w:r>
        <w:rPr>
          <w:rFonts w:ascii="宋体" w:hAnsi="宋体" w:cs="宋体" w:eastAsia="宋体" w:hint="default"/>
          <w:spacing w:val="-4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股，总计募集资金</w:t>
      </w:r>
      <w:r>
        <w:rPr>
          <w:rFonts w:ascii="宋体" w:hAnsi="宋体" w:cs="宋体" w:eastAsia="宋体" w:hint="default"/>
          <w:spacing w:val="-41"/>
          <w:sz w:val="21"/>
          <w:szCs w:val="21"/>
        </w:rPr>
        <w:t> </w:t>
      </w:r>
      <w:r>
        <w:rPr>
          <w:rFonts w:ascii="宋体" w:hAnsi="宋体" w:cs="宋体" w:eastAsia="宋体" w:hint="default"/>
          <w:sz w:val="21"/>
          <w:szCs w:val="21"/>
        </w:rPr>
        <w:t>362,849,978.68</w:t>
      </w:r>
      <w:r>
        <w:rPr>
          <w:rFonts w:ascii="宋体" w:hAnsi="宋体" w:cs="宋体" w:eastAsia="宋体" w:hint="default"/>
          <w:spacing w:val="-3"/>
          <w:sz w:val="21"/>
          <w:szCs w:val="21"/>
        </w:rPr>
        <w:t> </w:t>
      </w:r>
      <w:r>
        <w:rPr>
          <w:rFonts w:ascii="宋体" w:hAnsi="宋体" w:cs="宋体" w:eastAsia="宋体" w:hint="default"/>
          <w:sz w:val="21"/>
          <w:szCs w:val="21"/>
        </w:rPr>
        <w:t>元，扣除发行费用</w:t>
      </w:r>
      <w:r>
        <w:rPr>
          <w:rFonts w:ascii="宋体" w:hAnsi="宋体" w:cs="宋体" w:eastAsia="宋体" w:hint="default"/>
          <w:spacing w:val="-40"/>
          <w:sz w:val="21"/>
          <w:szCs w:val="21"/>
        </w:rPr>
        <w:t> </w:t>
      </w:r>
      <w:r>
        <w:rPr>
          <w:rFonts w:ascii="宋体" w:hAnsi="宋体" w:cs="宋体" w:eastAsia="宋体" w:hint="default"/>
          <w:sz w:val="21"/>
          <w:szCs w:val="21"/>
        </w:rPr>
        <w:t>17,741,364.15</w:t>
      </w:r>
      <w:r>
        <w:rPr>
          <w:rFonts w:ascii="宋体" w:hAnsi="宋体" w:cs="宋体" w:eastAsia="宋体" w:hint="default"/>
          <w:spacing w:val="-41"/>
          <w:sz w:val="21"/>
          <w:szCs w:val="21"/>
        </w:rPr>
        <w:t> </w:t>
      </w:r>
      <w:r>
        <w:rPr>
          <w:rFonts w:ascii="宋体" w:hAnsi="宋体" w:cs="宋体" w:eastAsia="宋体" w:hint="default"/>
          <w:sz w:val="21"/>
          <w:szCs w:val="21"/>
        </w:rPr>
        <w:t>元</w:t>
      </w:r>
    </w:p>
    <w:p>
      <w:pPr>
        <w:spacing w:line="357" w:lineRule="auto" w:before="133"/>
        <w:ind w:left="138" w:right="1680" w:firstLine="0"/>
        <w:jc w:val="left"/>
        <w:rPr>
          <w:rFonts w:ascii="宋体" w:hAnsi="宋体" w:cs="宋体" w:eastAsia="宋体" w:hint="default"/>
          <w:sz w:val="21"/>
          <w:szCs w:val="21"/>
        </w:rPr>
      </w:pPr>
      <w:r>
        <w:rPr>
          <w:rFonts w:ascii="宋体" w:hAnsi="宋体" w:cs="宋体" w:eastAsia="宋体" w:hint="default"/>
          <w:sz w:val="21"/>
          <w:szCs w:val="21"/>
        </w:rPr>
        <w:t>后，募集资金净额为</w:t>
      </w:r>
      <w:r>
        <w:rPr>
          <w:rFonts w:ascii="宋体" w:hAnsi="宋体" w:cs="宋体" w:eastAsia="宋体" w:hint="default"/>
          <w:spacing w:val="-52"/>
          <w:sz w:val="21"/>
          <w:szCs w:val="21"/>
        </w:rPr>
        <w:t> </w:t>
      </w:r>
      <w:r>
        <w:rPr>
          <w:rFonts w:ascii="宋体" w:hAnsi="宋体" w:cs="宋体" w:eastAsia="宋体" w:hint="default"/>
          <w:sz w:val="21"/>
          <w:szCs w:val="21"/>
        </w:rPr>
        <w:t>345,108,614.53</w:t>
      </w:r>
      <w:r>
        <w:rPr>
          <w:rFonts w:ascii="宋体" w:hAnsi="宋体" w:cs="宋体" w:eastAsia="宋体" w:hint="default"/>
          <w:spacing w:val="-51"/>
          <w:sz w:val="21"/>
          <w:szCs w:val="21"/>
        </w:rPr>
        <w:t> </w:t>
      </w:r>
      <w:r>
        <w:rPr>
          <w:rFonts w:ascii="宋体" w:hAnsi="宋体" w:cs="宋体" w:eastAsia="宋体" w:hint="default"/>
          <w:sz w:val="21"/>
          <w:szCs w:val="21"/>
        </w:rPr>
        <w:t>元。募集资金已于</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日划至公司指定账</w:t>
      </w:r>
      <w:r>
        <w:rPr>
          <w:rFonts w:ascii="宋体" w:hAnsi="宋体" w:cs="宋体" w:eastAsia="宋体" w:hint="default"/>
          <w:w w:val="100"/>
          <w:sz w:val="21"/>
          <w:szCs w:val="21"/>
        </w:rPr>
        <w:t> </w:t>
      </w:r>
      <w:r>
        <w:rPr>
          <w:rFonts w:ascii="宋体" w:hAnsi="宋体" w:cs="宋体" w:eastAsia="宋体" w:hint="default"/>
          <w:spacing w:val="-6"/>
          <w:w w:val="100"/>
          <w:sz w:val="21"/>
          <w:szCs w:val="21"/>
        </w:rPr>
        <w:t>户。中瑞岳华会计师事务所有限公司已对上述资金进行了验证，并出具了中瑞岳华验字</w:t>
      </w:r>
      <w:r>
        <w:rPr>
          <w:rFonts w:ascii="宋体" w:hAnsi="宋体" w:cs="宋体" w:eastAsia="宋体" w:hint="default"/>
          <w:spacing w:val="-6"/>
          <w:w w:val="100"/>
          <w:sz w:val="21"/>
          <w:szCs w:val="21"/>
        </w:rPr>
        <w:t>[2010]</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w w:val="100"/>
          <w:sz w:val="21"/>
          <w:szCs w:val="21"/>
        </w:rPr>
        <w:t>第</w:t>
      </w:r>
      <w:r>
        <w:rPr>
          <w:rFonts w:ascii="宋体" w:hAnsi="宋体" w:cs="宋体" w:eastAsia="宋体" w:hint="default"/>
          <w:spacing w:val="-51"/>
          <w:w w:val="100"/>
          <w:sz w:val="21"/>
          <w:szCs w:val="21"/>
        </w:rPr>
        <w:t> </w:t>
      </w:r>
      <w:r>
        <w:rPr>
          <w:rFonts w:ascii="宋体" w:hAnsi="宋体" w:cs="宋体" w:eastAsia="宋体" w:hint="default"/>
          <w:w w:val="100"/>
          <w:sz w:val="21"/>
          <w:szCs w:val="21"/>
        </w:rPr>
        <w:t>243</w:t>
      </w:r>
      <w:r>
        <w:rPr>
          <w:rFonts w:ascii="宋体" w:hAnsi="宋体" w:cs="宋体" w:eastAsia="宋体" w:hint="default"/>
          <w:spacing w:val="-54"/>
          <w:w w:val="100"/>
          <w:sz w:val="21"/>
          <w:szCs w:val="21"/>
        </w:rPr>
        <w:t> </w:t>
      </w:r>
      <w:r>
        <w:rPr>
          <w:rFonts w:ascii="宋体" w:hAnsi="宋体" w:cs="宋体" w:eastAsia="宋体" w:hint="default"/>
          <w:spacing w:val="-15"/>
          <w:w w:val="100"/>
          <w:sz w:val="21"/>
          <w:szCs w:val="21"/>
        </w:rPr>
        <w:t>号《验资报告》。</w:t>
      </w:r>
    </w:p>
    <w:p>
      <w:pPr>
        <w:spacing w:after="0" w:line="357" w:lineRule="auto"/>
        <w:jc w:val="left"/>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1298" w:right="522" w:firstLine="2"/>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81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b/>
          <w:bCs/>
          <w:sz w:val="21"/>
          <w:szCs w:val="21"/>
        </w:rPr>
        <w:t>二、募集资金管理情况</w:t>
      </w:r>
      <w:r>
        <w:rPr>
          <w:rFonts w:ascii="宋体" w:hAnsi="宋体" w:cs="宋体" w:eastAsia="宋体" w:hint="default"/>
          <w:b/>
          <w:bCs/>
          <w:w w:val="100"/>
          <w:sz w:val="21"/>
          <w:szCs w:val="21"/>
        </w:rPr>
        <w:t> </w:t>
      </w:r>
      <w:r>
        <w:rPr>
          <w:rFonts w:ascii="宋体" w:hAnsi="宋体" w:cs="宋体" w:eastAsia="宋体" w:hint="default"/>
          <w:spacing w:val="-12"/>
          <w:w w:val="100"/>
          <w:sz w:val="21"/>
          <w:szCs w:val="21"/>
        </w:rPr>
        <w:t>为规范募集资金的管理和使用，保护投资者利益，根据《深圳证券交易所股票上市规则》、</w:t>
      </w:r>
    </w:p>
    <w:p>
      <w:pPr>
        <w:spacing w:line="355" w:lineRule="auto" w:before="30"/>
        <w:ind w:left="878" w:right="1789" w:firstLine="0"/>
        <w:jc w:val="both"/>
        <w:rPr>
          <w:rFonts w:ascii="宋体" w:hAnsi="宋体" w:cs="宋体" w:eastAsia="宋体" w:hint="default"/>
          <w:sz w:val="21"/>
          <w:szCs w:val="21"/>
        </w:rPr>
      </w:pPr>
      <w:r>
        <w:rPr>
          <w:rFonts w:ascii="宋体" w:hAnsi="宋体" w:cs="宋体" w:eastAsia="宋体" w:hint="default"/>
          <w:spacing w:val="-4"/>
          <w:sz w:val="21"/>
          <w:szCs w:val="21"/>
        </w:rPr>
        <w:t>《中小企业板上市公司募集资金管理细则》及相关法律、法规和规范性文件的规定，结合公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司的实际情况，公司制定了《募集资金管理办法》，于</w:t>
      </w:r>
      <w:r>
        <w:rPr>
          <w:rFonts w:ascii="宋体" w:hAnsi="宋体" w:cs="宋体" w:eastAsia="宋体" w:hint="default"/>
          <w:spacing w:val="-49"/>
          <w:w w:val="100"/>
          <w:sz w:val="21"/>
          <w:szCs w:val="21"/>
        </w:rPr>
        <w:t> </w:t>
      </w:r>
      <w:r>
        <w:rPr>
          <w:rFonts w:ascii="宋体" w:hAnsi="宋体" w:cs="宋体" w:eastAsia="宋体" w:hint="default"/>
          <w:w w:val="100"/>
          <w:sz w:val="21"/>
          <w:szCs w:val="21"/>
        </w:rPr>
        <w:t>2007</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3</w:t>
      </w:r>
      <w:r>
        <w:rPr>
          <w:rFonts w:ascii="宋体" w:hAnsi="宋体" w:cs="宋体" w:eastAsia="宋体" w:hint="default"/>
          <w:spacing w:val="-49"/>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15</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日经公司第二届董事</w:t>
      </w:r>
    </w:p>
    <w:p>
      <w:pPr>
        <w:spacing w:before="32"/>
        <w:ind w:left="878" w:right="0" w:firstLine="0"/>
        <w:jc w:val="both"/>
        <w:rPr>
          <w:rFonts w:ascii="宋体" w:hAnsi="宋体" w:cs="宋体" w:eastAsia="宋体" w:hint="default"/>
          <w:sz w:val="21"/>
          <w:szCs w:val="21"/>
        </w:rPr>
      </w:pPr>
      <w:r>
        <w:rPr>
          <w:rFonts w:ascii="宋体" w:hAnsi="宋体" w:cs="宋体" w:eastAsia="宋体" w:hint="default"/>
          <w:sz w:val="21"/>
          <w:szCs w:val="21"/>
        </w:rPr>
        <w:t>会第五次会议审议通过，并于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日在公司第二届董事会第九次会议和</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spacing w:line="355" w:lineRule="auto" w:before="135"/>
        <w:ind w:left="1298" w:right="522" w:hanging="42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日公司第三届董事会第三次会议上进行了修订和完善。</w:t>
      </w:r>
      <w:r>
        <w:rPr>
          <w:rFonts w:ascii="宋体" w:hAnsi="宋体" w:cs="宋体" w:eastAsia="宋体" w:hint="default"/>
          <w:w w:val="100"/>
          <w:sz w:val="21"/>
          <w:szCs w:val="21"/>
        </w:rPr>
        <w:t> </w:t>
      </w:r>
      <w:r>
        <w:rPr>
          <w:rFonts w:ascii="宋体" w:hAnsi="宋体" w:cs="宋体" w:eastAsia="宋体" w:hint="default"/>
          <w:spacing w:val="-12"/>
          <w:w w:val="100"/>
          <w:sz w:val="21"/>
          <w:szCs w:val="21"/>
        </w:rPr>
        <w:t>公司募集资金到位后，公司和保荐机构东方证券股份有限公司（以下统称为“东方证券”）</w:t>
      </w:r>
    </w:p>
    <w:p>
      <w:pPr>
        <w:spacing w:line="357" w:lineRule="auto" w:before="32"/>
        <w:ind w:left="878" w:right="1789" w:firstLine="0"/>
        <w:jc w:val="both"/>
        <w:rPr>
          <w:rFonts w:ascii="宋体" w:hAnsi="宋体" w:cs="宋体" w:eastAsia="宋体" w:hint="default"/>
          <w:sz w:val="21"/>
          <w:szCs w:val="21"/>
        </w:rPr>
      </w:pPr>
      <w:r>
        <w:rPr>
          <w:rFonts w:ascii="宋体" w:hAnsi="宋体" w:cs="宋体" w:eastAsia="宋体" w:hint="default"/>
          <w:spacing w:val="-14"/>
          <w:w w:val="100"/>
          <w:sz w:val="21"/>
          <w:szCs w:val="21"/>
        </w:rPr>
        <w:t>分别与招商银行济南分行槐荫支行（以下统称为“招商银行”）、工商银行济南市历城支行（以</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9"/>
          <w:w w:val="100"/>
          <w:sz w:val="21"/>
          <w:szCs w:val="21"/>
        </w:rPr>
        <w:t>下统称为“工商银行”）和齐鲁银行济南洪楼支行（以下统称“齐鲁银行”）签订了《募集资</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4"/>
          <w:w w:val="100"/>
          <w:sz w:val="21"/>
          <w:szCs w:val="21"/>
        </w:rPr>
        <w:t>金三方监管协议》。公司在招商银行、工商银行和齐鲁银行开设各项目募集资金的存储和使</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用的专用账户。</w:t>
      </w:r>
    </w:p>
    <w:p>
      <w:pPr>
        <w:spacing w:before="30"/>
        <w:ind w:left="1298" w:right="522" w:firstLine="0"/>
        <w:jc w:val="left"/>
        <w:rPr>
          <w:rFonts w:ascii="宋体" w:hAnsi="宋体" w:cs="宋体" w:eastAsia="宋体" w:hint="default"/>
          <w:sz w:val="21"/>
          <w:szCs w:val="21"/>
        </w:rPr>
      </w:pPr>
      <w:r>
        <w:rPr>
          <w:rFonts w:ascii="宋体" w:hAnsi="宋体" w:cs="宋体" w:eastAsia="宋体" w:hint="default"/>
          <w:spacing w:val="-4"/>
          <w:sz w:val="21"/>
          <w:szCs w:val="21"/>
        </w:rPr>
        <w:t>为提高募集资金使用效率，增加存储收益，公司、东方证券和募集资金存放银行签订了</w:t>
      </w:r>
    </w:p>
    <w:p>
      <w:pPr>
        <w:spacing w:line="355" w:lineRule="auto" w:before="133"/>
        <w:ind w:left="878" w:right="1789" w:firstLine="0"/>
        <w:jc w:val="both"/>
        <w:rPr>
          <w:rFonts w:ascii="宋体" w:hAnsi="宋体" w:cs="宋体" w:eastAsia="宋体" w:hint="default"/>
          <w:sz w:val="21"/>
          <w:szCs w:val="21"/>
        </w:rPr>
      </w:pPr>
      <w:r>
        <w:rPr>
          <w:rFonts w:ascii="宋体" w:hAnsi="宋体" w:cs="宋体" w:eastAsia="宋体" w:hint="default"/>
          <w:spacing w:val="-4"/>
          <w:w w:val="100"/>
          <w:sz w:val="21"/>
          <w:szCs w:val="21"/>
        </w:rPr>
        <w:t>《募集资金管理三方监管之补充协议》，一致同意公司在不影响募集资金使用的前提下，部</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分募集资金以定期存单的方式存放。各银行的具体存放情况如下：</w:t>
      </w:r>
    </w:p>
    <w:p>
      <w:pPr>
        <w:spacing w:line="240" w:lineRule="auto" w:before="2"/>
        <w:rPr>
          <w:rFonts w:ascii="宋体" w:hAnsi="宋体" w:cs="宋体" w:eastAsia="宋体" w:hint="default"/>
          <w:sz w:val="5"/>
          <w:szCs w:val="5"/>
        </w:rPr>
      </w:pPr>
    </w:p>
    <w:tbl>
      <w:tblPr>
        <w:tblW w:w="0" w:type="auto"/>
        <w:jc w:val="left"/>
        <w:tblInd w:w="1269" w:type="dxa"/>
        <w:tblLayout w:type="fixed"/>
        <w:tblCellMar>
          <w:top w:w="0" w:type="dxa"/>
          <w:left w:w="0" w:type="dxa"/>
          <w:bottom w:w="0" w:type="dxa"/>
          <w:right w:w="0" w:type="dxa"/>
        </w:tblCellMar>
        <w:tblLook w:val="01E0"/>
      </w:tblPr>
      <w:tblGrid>
        <w:gridCol w:w="1918"/>
        <w:gridCol w:w="1250"/>
        <w:gridCol w:w="2312"/>
        <w:gridCol w:w="2041"/>
      </w:tblGrid>
      <w:tr>
        <w:trPr>
          <w:trHeight w:val="294" w:hRule="exact"/>
        </w:trPr>
        <w:tc>
          <w:tcPr>
            <w:tcW w:w="19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1" w:lineRule="exact"/>
              <w:ind w:left="256" w:right="0"/>
              <w:jc w:val="left"/>
              <w:rPr>
                <w:rFonts w:ascii="宋体" w:hAnsi="宋体" w:cs="宋体" w:eastAsia="宋体" w:hint="default"/>
                <w:sz w:val="18"/>
                <w:szCs w:val="18"/>
              </w:rPr>
            </w:pPr>
            <w:r>
              <w:rPr>
                <w:rFonts w:ascii="宋体" w:hAnsi="宋体" w:cs="宋体" w:eastAsia="宋体" w:hint="default"/>
                <w:sz w:val="18"/>
                <w:szCs w:val="18"/>
              </w:rPr>
              <w:t>存储银行</w:t>
            </w:r>
          </w:p>
        </w:tc>
        <w:tc>
          <w:tcPr>
            <w:tcW w:w="23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存款类型</w:t>
            </w:r>
          </w:p>
        </w:tc>
        <w:tc>
          <w:tcPr>
            <w:tcW w:w="20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left="564" w:right="0"/>
              <w:jc w:val="left"/>
              <w:rPr>
                <w:rFonts w:ascii="宋体" w:hAnsi="宋体" w:cs="宋体" w:eastAsia="宋体" w:hint="default"/>
                <w:sz w:val="18"/>
                <w:szCs w:val="18"/>
              </w:rPr>
            </w:pPr>
            <w:r>
              <w:rPr>
                <w:rFonts w:ascii="宋体" w:hAnsi="宋体" w:cs="宋体" w:eastAsia="宋体" w:hint="default"/>
                <w:sz w:val="18"/>
                <w:szCs w:val="18"/>
              </w:rPr>
              <w:t>余额（元）</w:t>
            </w:r>
          </w:p>
        </w:tc>
      </w:tr>
      <w:tr>
        <w:trPr>
          <w:trHeight w:val="295"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592" w:right="142" w:hanging="449"/>
              <w:jc w:val="left"/>
              <w:rPr>
                <w:rFonts w:ascii="宋体" w:hAnsi="宋体" w:cs="宋体" w:eastAsia="宋体" w:hint="default"/>
                <w:sz w:val="18"/>
                <w:szCs w:val="18"/>
              </w:rPr>
            </w:pPr>
            <w:r>
              <w:rPr>
                <w:rFonts w:ascii="宋体" w:hAnsi="宋体" w:cs="宋体" w:eastAsia="宋体" w:hint="default"/>
                <w:sz w:val="18"/>
                <w:szCs w:val="18"/>
              </w:rPr>
              <w:t>智能卡制造与个性化 处理项目</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活期存款</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3,825,097.48</w:t>
            </w:r>
          </w:p>
        </w:tc>
      </w:tr>
      <w:tr>
        <w:trPr>
          <w:trHeight w:val="295" w:hRule="exact"/>
        </w:trPr>
        <w:tc>
          <w:tcPr>
            <w:tcW w:w="1918"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个月定期存单</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26,000,000</w:t>
            </w:r>
          </w:p>
        </w:tc>
      </w:tr>
      <w:tr>
        <w:trPr>
          <w:trHeight w:val="295" w:hRule="exact"/>
        </w:trPr>
        <w:tc>
          <w:tcPr>
            <w:tcW w:w="1918"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个月定期存单</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w:t>
            </w:r>
          </w:p>
        </w:tc>
      </w:tr>
      <w:tr>
        <w:trPr>
          <w:trHeight w:val="295" w:hRule="exact"/>
        </w:trPr>
        <w:tc>
          <w:tcPr>
            <w:tcW w:w="1918"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31,825,097.48</w:t>
            </w:r>
          </w:p>
        </w:tc>
      </w:tr>
      <w:tr>
        <w:trPr>
          <w:trHeight w:val="295"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4" w:lineRule="exact"/>
              <w:ind w:left="863" w:right="142" w:hanging="720"/>
              <w:jc w:val="left"/>
              <w:rPr>
                <w:rFonts w:ascii="宋体" w:hAnsi="宋体" w:cs="宋体" w:eastAsia="宋体" w:hint="default"/>
                <w:sz w:val="18"/>
                <w:szCs w:val="18"/>
              </w:rPr>
            </w:pPr>
            <w:r>
              <w:rPr>
                <w:rFonts w:ascii="宋体" w:hAnsi="宋体" w:cs="宋体" w:eastAsia="宋体" w:hint="default"/>
                <w:sz w:val="18"/>
                <w:szCs w:val="18"/>
              </w:rPr>
              <w:t>综合金融服务外包项 目</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活期存款</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3,233,973.03</w:t>
            </w:r>
          </w:p>
        </w:tc>
      </w:tr>
      <w:tr>
        <w:trPr>
          <w:trHeight w:val="296" w:hRule="exact"/>
        </w:trPr>
        <w:tc>
          <w:tcPr>
            <w:tcW w:w="1918"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个月定期存单</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10,000,000.00</w:t>
            </w:r>
          </w:p>
        </w:tc>
      </w:tr>
      <w:tr>
        <w:trPr>
          <w:trHeight w:val="295" w:hRule="exact"/>
        </w:trPr>
        <w:tc>
          <w:tcPr>
            <w:tcW w:w="1918"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天通知存款</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5,000,000.00</w:t>
            </w:r>
          </w:p>
        </w:tc>
      </w:tr>
      <w:tr>
        <w:trPr>
          <w:trHeight w:val="295" w:hRule="exact"/>
        </w:trPr>
        <w:tc>
          <w:tcPr>
            <w:tcW w:w="1918"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18,233,973.03</w:t>
            </w:r>
          </w:p>
        </w:tc>
      </w:tr>
      <w:tr>
        <w:trPr>
          <w:trHeight w:val="295"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个性化彩色印刷项目</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齐鲁银行</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活期存款</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857,531.39</w:t>
            </w:r>
          </w:p>
        </w:tc>
      </w:tr>
      <w:tr>
        <w:trPr>
          <w:trHeight w:val="295" w:hRule="exact"/>
        </w:trPr>
        <w:tc>
          <w:tcPr>
            <w:tcW w:w="1918"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个月定期存单</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20,000,000.00</w:t>
            </w:r>
          </w:p>
        </w:tc>
      </w:tr>
      <w:tr>
        <w:trPr>
          <w:trHeight w:val="293" w:hRule="exact"/>
        </w:trPr>
        <w:tc>
          <w:tcPr>
            <w:tcW w:w="1918"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个月定期存单</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24,000,000.00</w:t>
            </w:r>
          </w:p>
        </w:tc>
      </w:tr>
      <w:tr>
        <w:trPr>
          <w:trHeight w:val="305" w:hRule="exact"/>
        </w:trPr>
        <w:tc>
          <w:tcPr>
            <w:tcW w:w="1918"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44,857,531.39</w:t>
            </w:r>
          </w:p>
        </w:tc>
      </w:tr>
      <w:tr>
        <w:trPr>
          <w:trHeight w:val="262" w:hRule="exact"/>
        </w:trPr>
        <w:tc>
          <w:tcPr>
            <w:tcW w:w="5480"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15" w:lineRule="exact"/>
              <w:ind w:right="101"/>
              <w:jc w:val="right"/>
              <w:rPr>
                <w:rFonts w:ascii="宋体" w:hAnsi="宋体" w:cs="宋体" w:eastAsia="宋体" w:hint="default"/>
                <w:sz w:val="18"/>
                <w:szCs w:val="18"/>
              </w:rPr>
            </w:pPr>
            <w:r>
              <w:rPr>
                <w:rFonts w:ascii="宋体"/>
                <w:spacing w:val="-1"/>
                <w:sz w:val="18"/>
              </w:rPr>
              <w:t>94,916,601.90</w:t>
            </w:r>
          </w:p>
        </w:tc>
      </w:tr>
    </w:tbl>
    <w:p>
      <w:pPr>
        <w:spacing w:line="250" w:lineRule="exact" w:before="0"/>
        <w:ind w:left="1298" w:right="5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）本年度募集资金使用情况</w:t>
      </w:r>
    </w:p>
    <w:p>
      <w:pPr>
        <w:spacing w:before="133"/>
        <w:ind w:left="0" w:right="1805"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33"/>
        <w:gridCol w:w="547"/>
        <w:gridCol w:w="632"/>
        <w:gridCol w:w="968"/>
        <w:gridCol w:w="962"/>
        <w:gridCol w:w="130"/>
        <w:gridCol w:w="494"/>
        <w:gridCol w:w="851"/>
        <w:gridCol w:w="1124"/>
        <w:gridCol w:w="209"/>
        <w:gridCol w:w="577"/>
        <w:gridCol w:w="644"/>
        <w:gridCol w:w="857"/>
      </w:tblGrid>
      <w:tr>
        <w:trPr>
          <w:trHeight w:val="127"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60" w:type="dxa"/>
            <w:gridSpan w:val="3"/>
            <w:vMerge w:val="restart"/>
            <w:tcBorders>
              <w:top w:val="single" w:sz="4" w:space="0" w:color="000000"/>
              <w:left w:val="single" w:sz="13" w:space="0" w:color="DCDCDC"/>
              <w:right w:val="single" w:sz="9" w:space="0" w:color="DCDCDC"/>
            </w:tcBorders>
          </w:tcPr>
          <w:p>
            <w:pPr>
              <w:pStyle w:val="TableParagraph"/>
              <w:spacing w:line="240" w:lineRule="auto" w:before="7"/>
              <w:ind w:left="1292" w:right="0"/>
              <w:jc w:val="left"/>
              <w:rPr>
                <w:rFonts w:ascii="Times New Roman" w:hAnsi="Times New Roman" w:cs="Times New Roman" w:eastAsia="Times New Roman" w:hint="default"/>
                <w:sz w:val="18"/>
                <w:szCs w:val="18"/>
              </w:rPr>
            </w:pPr>
            <w:r>
              <w:rPr>
                <w:rFonts w:ascii="Times New Roman"/>
                <w:sz w:val="18"/>
              </w:rPr>
              <w:t>34,510.86</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79" w:type="dxa"/>
            <w:gridSpan w:val="3"/>
            <w:vMerge w:val="restart"/>
            <w:tcBorders>
              <w:top w:val="single" w:sz="4" w:space="0" w:color="000000"/>
              <w:left w:val="single" w:sz="13" w:space="0" w:color="DCDCDC"/>
              <w:right w:val="single" w:sz="4" w:space="0" w:color="000000"/>
            </w:tcBorders>
          </w:tcPr>
          <w:p>
            <w:pPr>
              <w:pStyle w:val="TableParagraph"/>
              <w:spacing w:line="240" w:lineRule="auto" w:before="129"/>
              <w:ind w:left="1313" w:right="0"/>
              <w:jc w:val="left"/>
              <w:rPr>
                <w:rFonts w:ascii="Times New Roman" w:hAnsi="Times New Roman" w:cs="Times New Roman" w:eastAsia="Times New Roman" w:hint="default"/>
                <w:sz w:val="18"/>
                <w:szCs w:val="18"/>
              </w:rPr>
            </w:pPr>
            <w:r>
              <w:rPr>
                <w:rFonts w:ascii="Times New Roman"/>
                <w:sz w:val="18"/>
              </w:rPr>
              <w:t>15,531.01</w:t>
            </w:r>
          </w:p>
        </w:tc>
      </w:tr>
      <w:tr>
        <w:trPr>
          <w:trHeight w:val="115"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60" w:type="dxa"/>
            <w:gridSpan w:val="3"/>
            <w:vMerge/>
            <w:tcBorders>
              <w:left w:val="single" w:sz="13" w:space="0" w:color="DCDCDC"/>
              <w:bottom w:val="single" w:sz="4" w:space="0" w:color="000000"/>
              <w:right w:val="single" w:sz="9"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79" w:type="dxa"/>
            <w:gridSpan w:val="3"/>
            <w:vMerge/>
            <w:tcBorders>
              <w:left w:val="single" w:sz="13" w:space="0" w:color="DCDCDC"/>
              <w:right w:val="single" w:sz="4" w:space="0" w:color="000000"/>
            </w:tcBorders>
          </w:tcPr>
          <w:p>
            <w:pPr/>
          </w:p>
        </w:tc>
      </w:tr>
      <w:tr>
        <w:trPr>
          <w:trHeight w:val="244" w:hRule="exact"/>
        </w:trPr>
        <w:tc>
          <w:tcPr>
            <w:tcW w:w="301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60"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vMerge/>
            <w:tcBorders>
              <w:left w:val="single" w:sz="4" w:space="0" w:color="000000"/>
              <w:bottom w:val="single" w:sz="4" w:space="0" w:color="000000"/>
              <w:right w:val="single" w:sz="4" w:space="0" w:color="000000"/>
            </w:tcBorders>
            <w:shd w:val="clear" w:color="auto" w:fill="DCDCDC"/>
          </w:tcPr>
          <w:p>
            <w:pPr/>
          </w:p>
        </w:tc>
        <w:tc>
          <w:tcPr>
            <w:tcW w:w="2079" w:type="dxa"/>
            <w:gridSpan w:val="3"/>
            <w:vMerge/>
            <w:tcBorders>
              <w:left w:val="single" w:sz="13" w:space="0" w:color="DCDCDC"/>
              <w:bottom w:val="single" w:sz="4" w:space="0" w:color="000000"/>
              <w:right w:val="single" w:sz="4" w:space="0" w:color="000000"/>
            </w:tcBorders>
          </w:tcPr>
          <w:p>
            <w:pPr/>
          </w:p>
        </w:tc>
      </w:tr>
      <w:tr>
        <w:trPr>
          <w:trHeight w:val="126" w:hRule="exact"/>
        </w:trPr>
        <w:tc>
          <w:tcPr>
            <w:tcW w:w="301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7" w:lineRule="exact"/>
              <w:ind w:left="33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60" w:type="dxa"/>
            <w:gridSpan w:val="3"/>
            <w:vMerge w:val="restart"/>
            <w:tcBorders>
              <w:top w:val="single" w:sz="4" w:space="0" w:color="000000"/>
              <w:left w:val="single" w:sz="13" w:space="0" w:color="DCDCDC"/>
              <w:right w:val="single" w:sz="9" w:space="0" w:color="DCDCDC"/>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79" w:type="dxa"/>
            <w:gridSpan w:val="3"/>
            <w:vMerge w:val="restart"/>
            <w:tcBorders>
              <w:top w:val="single" w:sz="4" w:space="0" w:color="000000"/>
              <w:left w:val="single" w:sz="13" w:space="0" w:color="DCDCDC"/>
              <w:right w:val="single" w:sz="4" w:space="0" w:color="000000"/>
            </w:tcBorders>
          </w:tcPr>
          <w:p>
            <w:pPr>
              <w:pStyle w:val="TableParagraph"/>
              <w:spacing w:line="240" w:lineRule="auto" w:before="131"/>
              <w:ind w:left="1320" w:right="0"/>
              <w:jc w:val="left"/>
              <w:rPr>
                <w:rFonts w:ascii="Times New Roman" w:hAnsi="Times New Roman" w:cs="Times New Roman" w:eastAsia="Times New Roman" w:hint="default"/>
                <w:sz w:val="18"/>
                <w:szCs w:val="18"/>
              </w:rPr>
            </w:pPr>
            <w:r>
              <w:rPr>
                <w:rFonts w:ascii="Times New Roman"/>
                <w:sz w:val="18"/>
              </w:rPr>
              <w:t>17,113.01</w:t>
            </w:r>
          </w:p>
        </w:tc>
      </w:tr>
      <w:tr>
        <w:trPr>
          <w:trHeight w:val="118" w:hRule="exact"/>
        </w:trPr>
        <w:tc>
          <w:tcPr>
            <w:tcW w:w="3012" w:type="dxa"/>
            <w:gridSpan w:val="3"/>
            <w:vMerge/>
            <w:tcBorders>
              <w:left w:val="single" w:sz="4" w:space="0" w:color="000000"/>
              <w:bottom w:val="single" w:sz="4" w:space="0" w:color="000000"/>
              <w:right w:val="single" w:sz="4" w:space="0" w:color="000000"/>
            </w:tcBorders>
            <w:shd w:val="clear" w:color="auto" w:fill="DCDCDC"/>
          </w:tcPr>
          <w:p>
            <w:pPr/>
          </w:p>
        </w:tc>
        <w:tc>
          <w:tcPr>
            <w:tcW w:w="2060" w:type="dxa"/>
            <w:gridSpan w:val="3"/>
            <w:vMerge/>
            <w:tcBorders>
              <w:left w:val="single" w:sz="13" w:space="0" w:color="DCDCDC"/>
              <w:bottom w:val="single" w:sz="4" w:space="0" w:color="000000"/>
              <w:right w:val="single" w:sz="9"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3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79" w:type="dxa"/>
            <w:gridSpan w:val="3"/>
            <w:vMerge/>
            <w:tcBorders>
              <w:left w:val="single" w:sz="13" w:space="0" w:color="DCDCDC"/>
              <w:right w:val="single" w:sz="4" w:space="0" w:color="000000"/>
            </w:tcBorders>
          </w:tcPr>
          <w:p>
            <w:pPr/>
          </w:p>
        </w:tc>
      </w:tr>
      <w:tr>
        <w:trPr>
          <w:trHeight w:val="244" w:hRule="exact"/>
        </w:trPr>
        <w:tc>
          <w:tcPr>
            <w:tcW w:w="301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60"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0.00%</w:t>
            </w:r>
          </w:p>
        </w:tc>
        <w:tc>
          <w:tcPr>
            <w:tcW w:w="2679" w:type="dxa"/>
            <w:gridSpan w:val="4"/>
            <w:vMerge/>
            <w:tcBorders>
              <w:left w:val="single" w:sz="4" w:space="0" w:color="000000"/>
              <w:bottom w:val="single" w:sz="4" w:space="0" w:color="000000"/>
              <w:right w:val="single" w:sz="4" w:space="0" w:color="000000"/>
            </w:tcBorders>
            <w:shd w:val="clear" w:color="auto" w:fill="DCDCDC"/>
          </w:tcPr>
          <w:p>
            <w:pPr/>
          </w:p>
        </w:tc>
        <w:tc>
          <w:tcPr>
            <w:tcW w:w="2079" w:type="dxa"/>
            <w:gridSpan w:val="3"/>
            <w:vMerge/>
            <w:tcBorders>
              <w:left w:val="single" w:sz="13" w:space="0" w:color="DCDCDC"/>
              <w:bottom w:val="single" w:sz="4" w:space="0" w:color="000000"/>
              <w:right w:val="single" w:sz="4" w:space="0" w:color="000000"/>
            </w:tcBorders>
          </w:tcPr>
          <w:p>
            <w:pPr/>
          </w:p>
        </w:tc>
      </w:tr>
      <w:tr>
        <w:trPr>
          <w:trHeight w:val="245" w:hRule="exact"/>
        </w:trPr>
        <w:tc>
          <w:tcPr>
            <w:tcW w:w="1833"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82"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5" w:lineRule="auto" w:before="3"/>
              <w:ind w:left="51" w:right="6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968" w:type="dxa"/>
            <w:vMerge w:val="restart"/>
            <w:tcBorders>
              <w:top w:val="single" w:sz="4" w:space="0" w:color="000000"/>
              <w:left w:val="single" w:sz="4" w:space="0" w:color="000000"/>
              <w:right w:val="single" w:sz="4" w:space="0" w:color="000000"/>
            </w:tcBorders>
            <w:shd w:val="clear" w:color="auto" w:fill="DCDCDC"/>
          </w:tcPr>
          <w:p>
            <w:pPr/>
          </w:p>
        </w:tc>
        <w:tc>
          <w:tcPr>
            <w:tcW w:w="962"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4" w:type="dxa"/>
            <w:vMerge w:val="restart"/>
            <w:tcBorders>
              <w:top w:val="single" w:sz="4" w:space="0" w:color="000000"/>
              <w:left w:val="single" w:sz="4" w:space="0" w:color="000000"/>
              <w:right w:val="single" w:sz="4" w:space="0" w:color="000000"/>
            </w:tcBorders>
            <w:shd w:val="clear" w:color="auto" w:fill="DCDCDC"/>
          </w:tcPr>
          <w:p>
            <w:pPr/>
          </w:p>
        </w:tc>
        <w:tc>
          <w:tcPr>
            <w:tcW w:w="786" w:type="dxa"/>
            <w:gridSpan w:val="2"/>
            <w:vMerge w:val="restart"/>
            <w:tcBorders>
              <w:top w:val="single" w:sz="4" w:space="0" w:color="000000"/>
              <w:left w:val="single" w:sz="4" w:space="0" w:color="000000"/>
              <w:right w:val="single" w:sz="4" w:space="0" w:color="000000"/>
            </w:tcBorders>
            <w:shd w:val="clear" w:color="auto" w:fill="DCDCDC"/>
          </w:tcPr>
          <w:p>
            <w:pPr/>
          </w:p>
        </w:tc>
        <w:tc>
          <w:tcPr>
            <w:tcW w:w="644" w:type="dxa"/>
            <w:vMerge w:val="restart"/>
            <w:tcBorders>
              <w:top w:val="single" w:sz="4" w:space="0" w:color="000000"/>
              <w:left w:val="single" w:sz="4" w:space="0" w:color="000000"/>
              <w:right w:val="single" w:sz="4" w:space="0" w:color="000000"/>
            </w:tcBorders>
            <w:shd w:val="clear" w:color="auto" w:fill="DCDCDC"/>
          </w:tcPr>
          <w:p>
            <w:pPr/>
          </w:p>
        </w:tc>
        <w:tc>
          <w:tcPr>
            <w:tcW w:w="85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1833"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2"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left="2" w:right="0"/>
              <w:jc w:val="center"/>
              <w:rPr>
                <w:rFonts w:ascii="宋体" w:hAnsi="宋体" w:cs="宋体" w:eastAsia="宋体" w:hint="default"/>
                <w:sz w:val="18"/>
                <w:szCs w:val="18"/>
              </w:rPr>
            </w:pPr>
            <w:r>
              <w:rPr>
                <w:rFonts w:ascii="宋体" w:hAnsi="宋体" w:cs="宋体" w:eastAsia="宋体" w:hint="default"/>
                <w:sz w:val="18"/>
                <w:szCs w:val="18"/>
              </w:rPr>
              <w:t>募集资</w:t>
            </w:r>
          </w:p>
          <w:p>
            <w:pPr>
              <w:pStyle w:val="TableParagraph"/>
              <w:spacing w:line="237" w:lineRule="auto"/>
              <w:ind w:left="42" w:right="38"/>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968" w:type="dxa"/>
            <w:vMerge/>
            <w:tcBorders>
              <w:left w:val="single" w:sz="4" w:space="0" w:color="000000"/>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62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01" w:lineRule="exact"/>
              <w:ind w:left="36" w:right="0"/>
              <w:jc w:val="both"/>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7" w:lineRule="auto"/>
              <w:ind w:left="36"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末累计 投入金 额</w:t>
            </w:r>
            <w:r>
              <w:rPr>
                <w:rFonts w:ascii="Times New Roman" w:hAnsi="Times New Roman" w:cs="Times New Roman" w:eastAsia="Times New Roman" w:hint="default"/>
                <w:sz w:val="18"/>
                <w:szCs w:val="18"/>
              </w:rPr>
              <w:t>(2)</w:t>
            </w:r>
          </w:p>
        </w:tc>
        <w:tc>
          <w:tcPr>
            <w:tcW w:w="851"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left="62" w:right="56"/>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25" w:lineRule="exact"/>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9"/>
              <w:ind w:left="6" w:right="0"/>
              <w:jc w:val="center"/>
              <w:rPr>
                <w:rFonts w:ascii="Times New Roman" w:hAnsi="Times New Roman" w:cs="Times New Roman" w:eastAsia="Times New Roman" w:hint="default"/>
                <w:sz w:val="18"/>
                <w:szCs w:val="18"/>
              </w:rPr>
            </w:pPr>
            <w:r>
              <w:rPr>
                <w:rFonts w:ascii="Times New Roman"/>
                <w:sz w:val="18"/>
              </w:rPr>
              <w:t>(2)/(1)</w:t>
            </w:r>
          </w:p>
        </w:tc>
        <w:tc>
          <w:tcPr>
            <w:tcW w:w="1124" w:type="dxa"/>
            <w:vMerge/>
            <w:tcBorders>
              <w:left w:val="single" w:sz="4" w:space="0" w:color="000000"/>
              <w:bottom w:val="nil" w:sz="6" w:space="0" w:color="auto"/>
              <w:right w:val="single" w:sz="4" w:space="0" w:color="000000"/>
            </w:tcBorders>
            <w:shd w:val="clear" w:color="auto" w:fill="DCDCDC"/>
          </w:tcPr>
          <w:p>
            <w:pPr/>
          </w:p>
        </w:tc>
        <w:tc>
          <w:tcPr>
            <w:tcW w:w="786" w:type="dxa"/>
            <w:gridSpan w:val="2"/>
            <w:vMerge/>
            <w:tcBorders>
              <w:left w:val="single" w:sz="4" w:space="0" w:color="000000"/>
              <w:right w:val="single" w:sz="4" w:space="0" w:color="000000"/>
            </w:tcBorders>
            <w:shd w:val="clear" w:color="auto" w:fill="DCDCDC"/>
          </w:tcPr>
          <w:p>
            <w:pPr/>
          </w:p>
        </w:tc>
        <w:tc>
          <w:tcPr>
            <w:tcW w:w="644" w:type="dxa"/>
            <w:vMerge/>
            <w:tcBorders>
              <w:left w:val="single" w:sz="4" w:space="0" w:color="000000"/>
              <w:bottom w:val="nil" w:sz="6" w:space="0" w:color="auto"/>
              <w:right w:val="single" w:sz="4" w:space="0" w:color="000000"/>
            </w:tcBorders>
            <w:shd w:val="clear" w:color="auto" w:fill="DCDCDC"/>
          </w:tcPr>
          <w:p>
            <w:pPr/>
          </w:p>
        </w:tc>
        <w:tc>
          <w:tcPr>
            <w:tcW w:w="857" w:type="dxa"/>
            <w:vMerge w:val="restart"/>
            <w:tcBorders>
              <w:top w:val="nil" w:sz="6" w:space="0" w:color="auto"/>
              <w:left w:val="single" w:sz="4" w:space="0" w:color="000000"/>
              <w:right w:val="single" w:sz="4" w:space="0" w:color="000000"/>
            </w:tcBorders>
            <w:shd w:val="clear" w:color="auto" w:fill="DCDCDC"/>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项目可行</w:t>
            </w:r>
          </w:p>
          <w:p>
            <w:pPr>
              <w:pStyle w:val="TableParagraph"/>
              <w:spacing w:line="237" w:lineRule="auto"/>
              <w:ind w:left="62" w:right="62"/>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118" w:hRule="exact"/>
        </w:trPr>
        <w:tc>
          <w:tcPr>
            <w:tcW w:w="1833"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8" w:type="dxa"/>
            <w:vMerge/>
            <w:tcBorders>
              <w:left w:val="single" w:sz="4" w:space="0" w:color="000000"/>
              <w:bottom w:val="nil" w:sz="6" w:space="0" w:color="auto"/>
              <w:right w:val="single" w:sz="4" w:space="0" w:color="000000"/>
            </w:tcBorders>
            <w:shd w:val="clear" w:color="auto" w:fill="DCDCDC"/>
          </w:tcPr>
          <w:p>
            <w:pPr/>
          </w:p>
        </w:tc>
        <w:tc>
          <w:tcPr>
            <w:tcW w:w="962"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112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项目达到预</w:t>
            </w:r>
          </w:p>
          <w:p>
            <w:pPr>
              <w:pStyle w:val="TableParagraph"/>
              <w:spacing w:line="232" w:lineRule="exact" w:before="24"/>
              <w:ind w:left="289" w:right="103" w:hanging="180"/>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786" w:type="dxa"/>
            <w:gridSpan w:val="2"/>
            <w:vMerge/>
            <w:tcBorders>
              <w:left w:val="single" w:sz="4" w:space="0" w:color="000000"/>
              <w:bottom w:val="nil" w:sz="6" w:space="0" w:color="auto"/>
              <w:right w:val="single" w:sz="4" w:space="0" w:color="000000"/>
            </w:tcBorders>
            <w:shd w:val="clear" w:color="auto" w:fill="DCDCDC"/>
          </w:tcPr>
          <w:p>
            <w:pPr/>
          </w:p>
        </w:tc>
        <w:tc>
          <w:tcPr>
            <w:tcW w:w="64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42" w:right="0"/>
              <w:jc w:val="left"/>
              <w:rPr>
                <w:rFonts w:ascii="宋体" w:hAnsi="宋体" w:cs="宋体" w:eastAsia="宋体" w:hint="default"/>
                <w:sz w:val="18"/>
                <w:szCs w:val="18"/>
              </w:rPr>
            </w:pPr>
            <w:r>
              <w:rPr>
                <w:rFonts w:ascii="宋体" w:hAnsi="宋体" w:cs="宋体" w:eastAsia="宋体" w:hint="default"/>
                <w:sz w:val="18"/>
                <w:szCs w:val="18"/>
              </w:rPr>
              <w:t>是否达</w:t>
            </w:r>
          </w:p>
          <w:p>
            <w:pPr>
              <w:pStyle w:val="TableParagraph"/>
              <w:spacing w:line="232" w:lineRule="exact" w:before="24"/>
              <w:ind w:left="131" w:right="50" w:hanging="89"/>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857" w:type="dxa"/>
            <w:vMerge/>
            <w:tcBorders>
              <w:left w:val="single" w:sz="4" w:space="0" w:color="000000"/>
              <w:right w:val="single" w:sz="4" w:space="0" w:color="000000"/>
            </w:tcBorders>
            <w:shd w:val="clear" w:color="auto" w:fill="DCDCDC"/>
          </w:tcPr>
          <w:p>
            <w:pPr/>
          </w:p>
        </w:tc>
      </w:tr>
      <w:tr>
        <w:trPr>
          <w:trHeight w:val="468" w:hRule="exact"/>
        </w:trPr>
        <w:tc>
          <w:tcPr>
            <w:tcW w:w="183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right="9"/>
              <w:jc w:val="center"/>
              <w:rPr>
                <w:rFonts w:ascii="宋体" w:hAnsi="宋体" w:cs="宋体" w:eastAsia="宋体" w:hint="default"/>
                <w:sz w:val="18"/>
                <w:szCs w:val="18"/>
              </w:rPr>
            </w:pPr>
            <w:r>
              <w:rPr>
                <w:rFonts w:ascii="宋体" w:hAnsi="宋体" w:cs="宋体" w:eastAsia="宋体" w:hint="default"/>
                <w:sz w:val="18"/>
                <w:szCs w:val="18"/>
              </w:rPr>
              <w:t>承诺投资项目和超募</w:t>
            </w:r>
          </w:p>
          <w:p>
            <w:pPr>
              <w:pStyle w:val="TableParagraph"/>
              <w:spacing w:line="234" w:lineRule="exact"/>
              <w:ind w:right="10"/>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547"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调整后投资</w:t>
            </w:r>
          </w:p>
          <w:p>
            <w:pPr>
              <w:pStyle w:val="TableParagraph"/>
              <w:spacing w:line="248" w:lineRule="exact"/>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本年度投入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24" w:type="dxa"/>
            <w:gridSpan w:val="2"/>
            <w:vMerge/>
            <w:tcBorders>
              <w:left w:val="single" w:sz="4" w:space="0" w:color="000000"/>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1124" w:type="dxa"/>
            <w:vMerge/>
            <w:tcBorders>
              <w:left w:val="single" w:sz="4" w:space="0" w:color="000000"/>
              <w:right w:val="single" w:sz="4" w:space="0" w:color="000000"/>
            </w:tcBorders>
            <w:shd w:val="clear" w:color="auto" w:fill="DCDCDC"/>
          </w:tcPr>
          <w:p>
            <w:pPr/>
          </w:p>
        </w:tc>
        <w:tc>
          <w:tcPr>
            <w:tcW w:w="78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644" w:type="dxa"/>
            <w:vMerge/>
            <w:tcBorders>
              <w:left w:val="single" w:sz="4" w:space="0" w:color="000000"/>
              <w:right w:val="single" w:sz="4" w:space="0" w:color="000000"/>
            </w:tcBorders>
            <w:shd w:val="clear" w:color="auto" w:fill="DCDCDC"/>
          </w:tcPr>
          <w:p>
            <w:pPr/>
          </w:p>
        </w:tc>
        <w:tc>
          <w:tcPr>
            <w:tcW w:w="857" w:type="dxa"/>
            <w:vMerge/>
            <w:tcBorders>
              <w:left w:val="single" w:sz="4" w:space="0" w:color="000000"/>
              <w:right w:val="single" w:sz="4" w:space="0" w:color="000000"/>
            </w:tcBorders>
            <w:shd w:val="clear" w:color="auto" w:fill="DCDCDC"/>
          </w:tcPr>
          <w:p>
            <w:pPr/>
          </w:p>
        </w:tc>
      </w:tr>
      <w:tr>
        <w:trPr>
          <w:trHeight w:val="115" w:hRule="exact"/>
        </w:trPr>
        <w:tc>
          <w:tcPr>
            <w:tcW w:w="1833"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8" w:type="dxa"/>
            <w:vMerge w:val="restart"/>
            <w:tcBorders>
              <w:top w:val="nil" w:sz="6" w:space="0" w:color="auto"/>
              <w:left w:val="single" w:sz="4" w:space="0" w:color="000000"/>
              <w:right w:val="single" w:sz="4" w:space="0" w:color="000000"/>
            </w:tcBorders>
            <w:shd w:val="clear" w:color="auto" w:fill="DCDCDC"/>
          </w:tcPr>
          <w:p>
            <w:pPr/>
          </w:p>
        </w:tc>
        <w:tc>
          <w:tcPr>
            <w:tcW w:w="962"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1124" w:type="dxa"/>
            <w:vMerge/>
            <w:tcBorders>
              <w:left w:val="single" w:sz="4" w:space="0" w:color="000000"/>
              <w:bottom w:val="nil" w:sz="6" w:space="0" w:color="auto"/>
              <w:right w:val="single" w:sz="4" w:space="0" w:color="000000"/>
            </w:tcBorders>
            <w:shd w:val="clear" w:color="auto" w:fill="DCDCDC"/>
          </w:tcPr>
          <w:p>
            <w:pPr/>
          </w:p>
        </w:tc>
        <w:tc>
          <w:tcPr>
            <w:tcW w:w="786" w:type="dxa"/>
            <w:gridSpan w:val="2"/>
            <w:vMerge w:val="restart"/>
            <w:tcBorders>
              <w:top w:val="nil" w:sz="6" w:space="0" w:color="auto"/>
              <w:left w:val="single" w:sz="4" w:space="0" w:color="000000"/>
              <w:right w:val="single" w:sz="4" w:space="0" w:color="000000"/>
            </w:tcBorders>
            <w:shd w:val="clear" w:color="auto" w:fill="DCDCDC"/>
          </w:tcPr>
          <w:p>
            <w:pPr/>
          </w:p>
        </w:tc>
        <w:tc>
          <w:tcPr>
            <w:tcW w:w="644" w:type="dxa"/>
            <w:vMerge/>
            <w:tcBorders>
              <w:left w:val="single" w:sz="4" w:space="0" w:color="000000"/>
              <w:bottom w:val="nil" w:sz="6" w:space="0" w:color="auto"/>
              <w:right w:val="single" w:sz="4" w:space="0" w:color="000000"/>
            </w:tcBorders>
            <w:shd w:val="clear" w:color="auto" w:fill="DCDCDC"/>
          </w:tcPr>
          <w:p>
            <w:pPr/>
          </w:p>
        </w:tc>
        <w:tc>
          <w:tcPr>
            <w:tcW w:w="857" w:type="dxa"/>
            <w:vMerge/>
            <w:tcBorders>
              <w:left w:val="single" w:sz="4" w:space="0" w:color="000000"/>
              <w:right w:val="single" w:sz="4" w:space="0" w:color="000000"/>
            </w:tcBorders>
            <w:shd w:val="clear" w:color="auto" w:fill="DCDCDC"/>
          </w:tcPr>
          <w:p>
            <w:pPr/>
          </w:p>
        </w:tc>
      </w:tr>
      <w:tr>
        <w:trPr>
          <w:trHeight w:val="110" w:hRule="exact"/>
        </w:trPr>
        <w:tc>
          <w:tcPr>
            <w:tcW w:w="1833"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2" w:type="dxa"/>
            <w:vMerge/>
            <w:tcBorders>
              <w:left w:val="single" w:sz="4" w:space="0" w:color="000000"/>
              <w:bottom w:val="nil" w:sz="6" w:space="0" w:color="auto"/>
              <w:right w:val="single" w:sz="4" w:space="0" w:color="000000"/>
            </w:tcBorders>
            <w:shd w:val="clear" w:color="auto" w:fill="DCDCDC"/>
          </w:tcPr>
          <w:p>
            <w:pPr/>
          </w:p>
        </w:tc>
        <w:tc>
          <w:tcPr>
            <w:tcW w:w="968" w:type="dxa"/>
            <w:vMerge/>
            <w:tcBorders>
              <w:left w:val="single" w:sz="4" w:space="0" w:color="000000"/>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bottom w:val="nil" w:sz="6" w:space="0" w:color="auto"/>
              <w:right w:val="single" w:sz="4" w:space="0" w:color="000000"/>
            </w:tcBorders>
            <w:shd w:val="clear" w:color="auto" w:fill="DCDCDC"/>
          </w:tcPr>
          <w:p>
            <w:pPr/>
          </w:p>
        </w:tc>
        <w:tc>
          <w:tcPr>
            <w:tcW w:w="851" w:type="dxa"/>
            <w:vMerge/>
            <w:tcBorders>
              <w:left w:val="single" w:sz="4" w:space="0" w:color="000000"/>
              <w:bottom w:val="nil" w:sz="6" w:space="0" w:color="auto"/>
              <w:right w:val="single" w:sz="4" w:space="0" w:color="000000"/>
            </w:tcBorders>
            <w:shd w:val="clear" w:color="auto" w:fill="DCDCDC"/>
          </w:tcPr>
          <w:p>
            <w:pPr/>
          </w:p>
        </w:tc>
        <w:tc>
          <w:tcPr>
            <w:tcW w:w="1124" w:type="dxa"/>
            <w:vMerge w:val="restart"/>
            <w:tcBorders>
              <w:top w:val="nil" w:sz="6" w:space="0" w:color="auto"/>
              <w:left w:val="single" w:sz="4" w:space="0" w:color="000000"/>
              <w:right w:val="single" w:sz="4" w:space="0" w:color="000000"/>
            </w:tcBorders>
            <w:shd w:val="clear" w:color="auto" w:fill="DCDCDC"/>
          </w:tcPr>
          <w:p>
            <w:pPr/>
          </w:p>
        </w:tc>
        <w:tc>
          <w:tcPr>
            <w:tcW w:w="786" w:type="dxa"/>
            <w:gridSpan w:val="2"/>
            <w:vMerge/>
            <w:tcBorders>
              <w:left w:val="single" w:sz="4" w:space="0" w:color="000000"/>
              <w:right w:val="single" w:sz="4" w:space="0" w:color="000000"/>
            </w:tcBorders>
            <w:shd w:val="clear" w:color="auto" w:fill="DCDCDC"/>
          </w:tcPr>
          <w:p>
            <w:pPr/>
          </w:p>
        </w:tc>
        <w:tc>
          <w:tcPr>
            <w:tcW w:w="644" w:type="dxa"/>
            <w:vMerge w:val="restart"/>
            <w:tcBorders>
              <w:top w:val="nil" w:sz="6" w:space="0" w:color="auto"/>
              <w:left w:val="single" w:sz="4" w:space="0" w:color="000000"/>
              <w:right w:val="single" w:sz="4" w:space="0" w:color="000000"/>
            </w:tcBorders>
            <w:shd w:val="clear" w:color="auto" w:fill="DCDCDC"/>
          </w:tcPr>
          <w:p>
            <w:pPr/>
          </w:p>
        </w:tc>
        <w:tc>
          <w:tcPr>
            <w:tcW w:w="857" w:type="dxa"/>
            <w:vMerge/>
            <w:tcBorders>
              <w:left w:val="single" w:sz="4" w:space="0" w:color="000000"/>
              <w:bottom w:val="nil" w:sz="6" w:space="0" w:color="auto"/>
              <w:right w:val="single" w:sz="4" w:space="0" w:color="000000"/>
            </w:tcBorders>
            <w:shd w:val="clear" w:color="auto" w:fill="DCDCDC"/>
          </w:tcPr>
          <w:p>
            <w:pPr/>
          </w:p>
        </w:tc>
      </w:tr>
      <w:tr>
        <w:trPr>
          <w:trHeight w:val="241" w:hRule="exact"/>
        </w:trPr>
        <w:tc>
          <w:tcPr>
            <w:tcW w:w="1833" w:type="dxa"/>
            <w:vMerge/>
            <w:tcBorders>
              <w:left w:val="single" w:sz="4" w:space="0" w:color="000000"/>
              <w:bottom w:val="single" w:sz="4" w:space="0" w:color="000000"/>
              <w:right w:val="single" w:sz="4" w:space="0" w:color="000000"/>
            </w:tcBorders>
            <w:shd w:val="clear" w:color="auto" w:fill="DCDCDC"/>
          </w:tcPr>
          <w:p>
            <w:pPr/>
          </w:p>
        </w:tc>
        <w:tc>
          <w:tcPr>
            <w:tcW w:w="547" w:type="dxa"/>
            <w:vMerge/>
            <w:tcBorders>
              <w:left w:val="single" w:sz="4" w:space="0" w:color="000000"/>
              <w:bottom w:val="single" w:sz="4" w:space="0" w:color="000000"/>
              <w:right w:val="single" w:sz="4" w:space="0" w:color="000000"/>
            </w:tcBorders>
            <w:shd w:val="clear" w:color="auto" w:fill="DCDCDC"/>
          </w:tcPr>
          <w:p>
            <w:pPr/>
          </w:p>
        </w:tc>
        <w:tc>
          <w:tcPr>
            <w:tcW w:w="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968" w:type="dxa"/>
            <w:vMerge/>
            <w:tcBorders>
              <w:left w:val="single" w:sz="4" w:space="0" w:color="000000"/>
              <w:bottom w:val="single" w:sz="4" w:space="0" w:color="000000"/>
              <w:right w:val="single" w:sz="4" w:space="0" w:color="000000"/>
            </w:tcBorders>
            <w:shd w:val="clear" w:color="auto" w:fill="DCDCDC"/>
          </w:tcPr>
          <w:p>
            <w:pPr/>
          </w:p>
        </w:tc>
        <w:tc>
          <w:tcPr>
            <w:tcW w:w="962" w:type="dxa"/>
            <w:vMerge/>
            <w:tcBorders>
              <w:left w:val="single" w:sz="4" w:space="0" w:color="000000"/>
              <w:bottom w:val="single" w:sz="4" w:space="0" w:color="000000"/>
              <w:right w:val="single" w:sz="4" w:space="0" w:color="000000"/>
            </w:tcBorders>
            <w:shd w:val="clear" w:color="auto" w:fill="DCDCDC"/>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4" w:type="dxa"/>
            <w:vMerge/>
            <w:tcBorders>
              <w:left w:val="single" w:sz="4" w:space="0" w:color="000000"/>
              <w:bottom w:val="single" w:sz="4" w:space="0" w:color="000000"/>
              <w:right w:val="single" w:sz="4" w:space="0" w:color="000000"/>
            </w:tcBorders>
            <w:shd w:val="clear" w:color="auto" w:fill="DCDCDC"/>
          </w:tcPr>
          <w:p>
            <w:pPr/>
          </w:p>
        </w:tc>
        <w:tc>
          <w:tcPr>
            <w:tcW w:w="786" w:type="dxa"/>
            <w:gridSpan w:val="2"/>
            <w:vMerge/>
            <w:tcBorders>
              <w:left w:val="single" w:sz="4" w:space="0" w:color="000000"/>
              <w:bottom w:val="single" w:sz="4" w:space="0" w:color="000000"/>
              <w:right w:val="single" w:sz="4" w:space="0" w:color="000000"/>
            </w:tcBorders>
            <w:shd w:val="clear" w:color="auto" w:fill="DCDCDC"/>
          </w:tcPr>
          <w:p>
            <w:pPr/>
          </w:p>
        </w:tc>
        <w:tc>
          <w:tcPr>
            <w:tcW w:w="644" w:type="dxa"/>
            <w:vMerge/>
            <w:tcBorders>
              <w:left w:val="single" w:sz="4" w:space="0" w:color="000000"/>
              <w:bottom w:val="single" w:sz="4" w:space="0" w:color="000000"/>
              <w:right w:val="single" w:sz="4" w:space="0" w:color="000000"/>
            </w:tcBorders>
            <w:shd w:val="clear" w:color="auto" w:fill="DCDCDC"/>
          </w:tcPr>
          <w:p>
            <w:pPr/>
          </w:p>
        </w:tc>
        <w:tc>
          <w:tcPr>
            <w:tcW w:w="85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5" w:hRule="exact"/>
        </w:trPr>
        <w:tc>
          <w:tcPr>
            <w:tcW w:w="1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6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997" w:type="dxa"/>
            <w:gridSpan w:val="12"/>
            <w:tcBorders>
              <w:top w:val="single" w:sz="4" w:space="0" w:color="000000"/>
              <w:left w:val="single" w:sz="13" w:space="0" w:color="DCDCDC"/>
              <w:bottom w:val="single" w:sz="4" w:space="0" w:color="000000"/>
              <w:right w:val="single" w:sz="4" w:space="0" w:color="000000"/>
            </w:tcBorders>
          </w:tcPr>
          <w:p>
            <w:pPr/>
          </w:p>
        </w:tc>
      </w:tr>
      <w:tr>
        <w:trPr>
          <w:trHeight w:val="475"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个性化彩色印刷项目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5"/>
              <w:jc w:val="right"/>
              <w:rPr>
                <w:rFonts w:ascii="Times New Roman" w:hAnsi="Times New Roman" w:cs="Times New Roman" w:eastAsia="Times New Roman" w:hint="default"/>
                <w:sz w:val="18"/>
                <w:szCs w:val="18"/>
              </w:rPr>
            </w:pPr>
            <w:r>
              <w:rPr>
                <w:rFonts w:ascii="Times New Roman"/>
                <w:sz w:val="18"/>
              </w:rPr>
              <w:t>15,796.</w:t>
            </w:r>
          </w:p>
          <w:p>
            <w:pPr>
              <w:pStyle w:val="TableParagraph"/>
              <w:spacing w:line="207" w:lineRule="exact"/>
              <w:ind w:right="13"/>
              <w:jc w:val="right"/>
              <w:rPr>
                <w:rFonts w:ascii="Times New Roman" w:hAnsi="Times New Roman" w:cs="Times New Roman" w:eastAsia="Times New Roman" w:hint="default"/>
                <w:sz w:val="18"/>
                <w:szCs w:val="18"/>
              </w:rPr>
            </w:pPr>
            <w:r>
              <w:rPr>
                <w:rFonts w:ascii="Times New Roman"/>
                <w:sz w:val="18"/>
              </w:rPr>
              <w:t>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15,796.00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10,248.66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0"/>
              <w:jc w:val="right"/>
              <w:rPr>
                <w:rFonts w:ascii="Times New Roman" w:hAnsi="Times New Roman" w:cs="Times New Roman" w:eastAsia="Times New Roman" w:hint="default"/>
                <w:sz w:val="18"/>
                <w:szCs w:val="18"/>
              </w:rPr>
            </w:pPr>
            <w:r>
              <w:rPr>
                <w:rFonts w:ascii="Times New Roman"/>
                <w:spacing w:val="-1"/>
                <w:w w:val="95"/>
                <w:sz w:val="18"/>
              </w:rPr>
              <w:t>11,346.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
              <w:jc w:val="right"/>
              <w:rPr>
                <w:rFonts w:ascii="Times New Roman" w:hAnsi="Times New Roman" w:cs="Times New Roman" w:eastAsia="Times New Roman" w:hint="default"/>
                <w:sz w:val="18"/>
                <w:szCs w:val="18"/>
              </w:rPr>
            </w:pPr>
            <w:r>
              <w:rPr>
                <w:rFonts w:ascii="Times New Roman"/>
                <w:sz w:val="18"/>
              </w:rPr>
              <w:t>71.83%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1" w:right="0"/>
              <w:jc w:val="left"/>
              <w:rPr>
                <w:rFonts w:ascii="Times New Roman" w:hAnsi="Times New Roman" w:cs="Times New Roman" w:eastAsia="Times New Roman" w:hint="default"/>
                <w:sz w:val="18"/>
                <w:szCs w:val="18"/>
              </w:rPr>
            </w:pPr>
            <w:r>
              <w:rPr>
                <w:rFonts w:ascii="Times New Roman"/>
                <w:sz w:val="18"/>
              </w:rPr>
              <w:t>-46.74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智能卡制造和个性化</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5"/>
              <w:jc w:val="right"/>
              <w:rPr>
                <w:rFonts w:ascii="Times New Roman" w:hAnsi="Times New Roman" w:cs="Times New Roman" w:eastAsia="Times New Roman" w:hint="default"/>
                <w:sz w:val="18"/>
                <w:szCs w:val="18"/>
              </w:rPr>
            </w:pPr>
            <w:r>
              <w:rPr>
                <w:rFonts w:ascii="Times New Roman"/>
                <w:sz w:val="18"/>
              </w:rPr>
              <w:t>13,272.</w:t>
            </w:r>
          </w:p>
          <w:p>
            <w:pPr>
              <w:pStyle w:val="TableParagraph"/>
              <w:spacing w:line="240" w:lineRule="auto" w:before="2"/>
              <w:ind w:right="13"/>
              <w:jc w:val="right"/>
              <w:rPr>
                <w:rFonts w:ascii="Times New Roman" w:hAnsi="Times New Roman" w:cs="Times New Roman" w:eastAsia="Times New Roman" w:hint="default"/>
                <w:sz w:val="18"/>
                <w:szCs w:val="18"/>
              </w:rPr>
            </w:pPr>
            <w:r>
              <w:rPr>
                <w:rFonts w:ascii="Times New Roman"/>
                <w:sz w:val="18"/>
              </w:rPr>
              <w:t>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13,272.00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4,437.93</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4,664.0</w:t>
            </w:r>
          </w:p>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z w:val="18"/>
              </w:rPr>
              <w:t>35.14%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0"/>
              <w:jc w:val="left"/>
              <w:rPr>
                <w:rFonts w:ascii="Times New Roman" w:hAnsi="Times New Roman" w:cs="Times New Roman" w:eastAsia="Times New Roman" w:hint="default"/>
                <w:sz w:val="18"/>
                <w:szCs w:val="18"/>
              </w:rPr>
            </w:pPr>
            <w:r>
              <w:rPr>
                <w:rFonts w:ascii="Times New Roman"/>
                <w:sz w:val="18"/>
              </w:rPr>
              <w:t>-105.45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5" w:footer="1100" w:top="1100" w:bottom="1280" w:left="920" w:right="0"/>
        </w:sectPr>
      </w:pPr>
    </w:p>
    <w:p>
      <w:pPr>
        <w:spacing w:line="240" w:lineRule="auto" w:before="6"/>
        <w:rPr>
          <w:rFonts w:ascii="宋体" w:hAnsi="宋体" w:cs="宋体" w:eastAsia="宋体" w:hint="default"/>
          <w:sz w:val="2"/>
          <w:szCs w:val="2"/>
        </w:rPr>
      </w:pPr>
      <w:r>
        <w:rPr/>
        <w:pict>
          <v:shape style="position:absolute;margin-left:90.150002pt;margin-top:41.999985pt;width:18pt;height:15.75pt;mso-position-horizontal-relative:page;mso-position-vertical-relative:page;z-index:-745792" type="#_x0000_t75" stroked="false">
            <v:imagedata r:id="rId7" o:title=""/>
          </v:shape>
        </w:pict>
      </w:r>
    </w:p>
    <w:tbl>
      <w:tblPr>
        <w:tblW w:w="0" w:type="auto"/>
        <w:jc w:val="left"/>
        <w:tblInd w:w="114" w:type="dxa"/>
        <w:tblLayout w:type="fixed"/>
        <w:tblCellMar>
          <w:top w:w="0" w:type="dxa"/>
          <w:left w:w="0" w:type="dxa"/>
          <w:bottom w:w="0" w:type="dxa"/>
          <w:right w:w="0" w:type="dxa"/>
        </w:tblCellMar>
        <w:tblLook w:val="01E0"/>
      </w:tblPr>
      <w:tblGrid>
        <w:gridCol w:w="1821"/>
        <w:gridCol w:w="558"/>
        <w:gridCol w:w="639"/>
        <w:gridCol w:w="962"/>
        <w:gridCol w:w="962"/>
        <w:gridCol w:w="624"/>
        <w:gridCol w:w="857"/>
        <w:gridCol w:w="1118"/>
        <w:gridCol w:w="781"/>
        <w:gridCol w:w="650"/>
        <w:gridCol w:w="857"/>
      </w:tblGrid>
      <w:tr>
        <w:trPr>
          <w:trHeight w:val="257" w:hRule="exact"/>
        </w:trPr>
        <w:tc>
          <w:tcPr>
            <w:tcW w:w="1821" w:type="dxa"/>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处理项目</w:t>
            </w:r>
          </w:p>
        </w:tc>
        <w:tc>
          <w:tcPr>
            <w:tcW w:w="558" w:type="dxa"/>
            <w:tcBorders>
              <w:top w:val="single" w:sz="10" w:space="0" w:color="000000"/>
              <w:left w:val="single" w:sz="4" w:space="0" w:color="000000"/>
              <w:bottom w:val="single" w:sz="4" w:space="0" w:color="000000"/>
              <w:right w:val="single" w:sz="4" w:space="0" w:color="000000"/>
            </w:tcBorders>
          </w:tcPr>
          <w:p>
            <w:pPr/>
          </w:p>
        </w:tc>
        <w:tc>
          <w:tcPr>
            <w:tcW w:w="639" w:type="dxa"/>
            <w:tcBorders>
              <w:top w:val="single" w:sz="10" w:space="0" w:color="000000"/>
              <w:left w:val="single" w:sz="4" w:space="0" w:color="000000"/>
              <w:bottom w:val="single" w:sz="4" w:space="0" w:color="000000"/>
              <w:right w:val="single" w:sz="4" w:space="0" w:color="000000"/>
            </w:tcBorders>
          </w:tcPr>
          <w:p>
            <w:pPr/>
          </w:p>
        </w:tc>
        <w:tc>
          <w:tcPr>
            <w:tcW w:w="962" w:type="dxa"/>
            <w:tcBorders>
              <w:top w:val="single" w:sz="10" w:space="0" w:color="000000"/>
              <w:left w:val="single" w:sz="4" w:space="0" w:color="000000"/>
              <w:bottom w:val="single" w:sz="4" w:space="0" w:color="000000"/>
              <w:right w:val="single" w:sz="4" w:space="0" w:color="000000"/>
            </w:tcBorders>
          </w:tcPr>
          <w:p>
            <w:pPr/>
          </w:p>
        </w:tc>
        <w:tc>
          <w:tcPr>
            <w:tcW w:w="962" w:type="dxa"/>
            <w:tcBorders>
              <w:top w:val="single" w:sz="10" w:space="0" w:color="000000"/>
              <w:left w:val="single" w:sz="4" w:space="0" w:color="000000"/>
              <w:bottom w:val="single" w:sz="4" w:space="0" w:color="000000"/>
              <w:right w:val="single" w:sz="4" w:space="0" w:color="000000"/>
            </w:tcBorders>
          </w:tcPr>
          <w:p>
            <w:pPr/>
          </w:p>
        </w:tc>
        <w:tc>
          <w:tcPr>
            <w:tcW w:w="624" w:type="dxa"/>
            <w:tcBorders>
              <w:top w:val="single" w:sz="10" w:space="0" w:color="000000"/>
              <w:left w:val="single" w:sz="4" w:space="0" w:color="000000"/>
              <w:bottom w:val="single" w:sz="4" w:space="0" w:color="000000"/>
              <w:right w:val="single" w:sz="4" w:space="0" w:color="000000"/>
            </w:tcBorders>
          </w:tcPr>
          <w:p>
            <w:pPr/>
          </w:p>
        </w:tc>
        <w:tc>
          <w:tcPr>
            <w:tcW w:w="857"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Style w:val="TableParagraph"/>
              <w:spacing w:line="226"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10" w:space="0" w:color="000000"/>
              <w:left w:val="single" w:sz="4" w:space="0" w:color="000000"/>
              <w:bottom w:val="single" w:sz="4" w:space="0" w:color="000000"/>
              <w:right w:val="single" w:sz="4" w:space="0" w:color="000000"/>
            </w:tcBorders>
          </w:tcPr>
          <w:p>
            <w:pPr/>
          </w:p>
        </w:tc>
        <w:tc>
          <w:tcPr>
            <w:tcW w:w="650" w:type="dxa"/>
            <w:tcBorders>
              <w:top w:val="single" w:sz="10" w:space="0" w:color="000000"/>
              <w:left w:val="single" w:sz="4" w:space="0" w:color="000000"/>
              <w:bottom w:val="single" w:sz="4" w:space="0" w:color="000000"/>
              <w:right w:val="single" w:sz="4" w:space="0" w:color="000000"/>
            </w:tcBorders>
          </w:tcPr>
          <w:p>
            <w:pPr/>
          </w:p>
        </w:tc>
        <w:tc>
          <w:tcPr>
            <w:tcW w:w="857" w:type="dxa"/>
            <w:tcBorders>
              <w:top w:val="single" w:sz="6" w:space="0" w:color="000000"/>
              <w:left w:val="single" w:sz="4" w:space="0" w:color="000000"/>
              <w:bottom w:val="single" w:sz="4" w:space="0" w:color="000000"/>
              <w:right w:val="single" w:sz="4" w:space="0" w:color="000000"/>
            </w:tcBorders>
          </w:tcPr>
          <w:p>
            <w:pPr/>
          </w:p>
        </w:tc>
      </w:tr>
      <w:tr>
        <w:trPr>
          <w:trHeight w:val="478" w:hRule="exact"/>
        </w:trPr>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综合金融服务外包业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务项目</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5,417.0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5,417.00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844.42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1,101.9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8" w:right="0"/>
              <w:jc w:val="left"/>
              <w:rPr>
                <w:rFonts w:ascii="Times New Roman" w:hAnsi="Times New Roman" w:cs="Times New Roman" w:eastAsia="Times New Roman" w:hint="default"/>
                <w:sz w:val="18"/>
                <w:szCs w:val="18"/>
              </w:rPr>
            </w:pPr>
            <w:r>
              <w:rPr>
                <w:rFonts w:ascii="Times New Roman"/>
                <w:sz w:val="18"/>
              </w:rPr>
              <w:t>20.34%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-22.95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2"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34,485.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34,485.00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15,531.01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w w:val="95"/>
                <w:sz w:val="18"/>
              </w:rPr>
              <w:t>17,113.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-175.14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6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4" w:right="-13"/>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4" w:right="-13"/>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90" w:right="0"/>
              <w:jc w:val="lef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5" w:right="0"/>
              <w:jc w:val="left"/>
              <w:rPr>
                <w:rFonts w:ascii="Times New Roman" w:hAnsi="Times New Roman" w:cs="Times New Roman" w:eastAsia="Times New Roman" w:hint="default"/>
                <w:sz w:val="18"/>
                <w:szCs w:val="18"/>
              </w:rPr>
            </w:pPr>
            <w:r>
              <w:rPr>
                <w:rFonts w:ascii="Times New Roman"/>
                <w:sz w:val="18"/>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34,485.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34,485.00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15,531.01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w w:val="95"/>
                <w:sz w:val="18"/>
              </w:rPr>
              <w:t>17,113.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-175.14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0"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未达到计划进度或预</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变化的情况说明</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公司无项目可行性发生重大变化的情况</w:t>
            </w:r>
          </w:p>
        </w:tc>
      </w:tr>
      <w:tr>
        <w:trPr>
          <w:trHeight w:val="478"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超募资金的金额、用途</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及使用进展情况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施地点变更情况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施方式调整情况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6"/>
              <w:ind w:left="184" w:right="93"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75"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根据三届董事会第十一次会议决议，公司以募集资金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12,744.71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万元置换预先已投入募集资金项目的自</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筹资金。</w:t>
            </w:r>
          </w:p>
        </w:tc>
      </w:tr>
      <w:tr>
        <w:trPr>
          <w:trHeight w:val="245" w:hRule="exact"/>
        </w:trPr>
        <w:tc>
          <w:tcPr>
            <w:tcW w:w="18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84" w:right="93"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0" w:hRule="exact"/>
        </w:trPr>
        <w:tc>
          <w:tcPr>
            <w:tcW w:w="1821" w:type="dxa"/>
            <w:vMerge/>
            <w:tcBorders>
              <w:left w:val="single" w:sz="4" w:space="0" w:color="000000"/>
              <w:bottom w:val="single" w:sz="4" w:space="0" w:color="000000"/>
              <w:right w:val="single" w:sz="4" w:space="0" w:color="000000"/>
            </w:tcBorders>
            <w:shd w:val="clear" w:color="auto" w:fill="DCDCDC"/>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根据公司第三届董事会第十三次会议决议，并经</w:t>
            </w:r>
            <w:r>
              <w:rPr>
                <w:rFonts w:ascii="宋体" w:hAnsi="宋体" w:cs="宋体" w:eastAsia="宋体" w:hint="default"/>
                <w:sz w:val="18"/>
                <w:szCs w:val="18"/>
              </w:rPr>
              <w:t> </w:t>
            </w:r>
            <w:r>
              <w:rPr>
                <w:rFonts w:ascii="宋体" w:hAnsi="宋体" w:cs="宋体" w:eastAsia="宋体" w:hint="default"/>
                <w:spacing w:val="-1"/>
                <w:sz w:val="18"/>
                <w:szCs w:val="18"/>
              </w:rPr>
              <w:t>2010</w:t>
            </w:r>
            <w:r>
              <w:rPr>
                <w:rFonts w:ascii="宋体" w:hAnsi="宋体" w:cs="宋体" w:eastAsia="宋体" w:hint="default"/>
                <w:spacing w:val="-63"/>
                <w:sz w:val="18"/>
                <w:szCs w:val="18"/>
              </w:rPr>
              <w:t> </w:t>
            </w:r>
            <w:r>
              <w:rPr>
                <w:rFonts w:ascii="宋体" w:hAnsi="宋体" w:cs="宋体" w:eastAsia="宋体" w:hint="default"/>
                <w:spacing w:val="-2"/>
                <w:sz w:val="18"/>
                <w:szCs w:val="18"/>
              </w:rPr>
              <w:t>年第三次临时股东大会批准，公司使用闲置募集</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宋体" w:hAnsi="宋体" w:cs="宋体" w:eastAsia="宋体" w:hint="default"/>
                <w:sz w:val="18"/>
                <w:szCs w:val="18"/>
              </w:rPr>
              <w:t>8,000</w:t>
            </w:r>
            <w:r>
              <w:rPr>
                <w:rFonts w:ascii="宋体" w:hAnsi="宋体" w:cs="宋体" w:eastAsia="宋体" w:hint="default"/>
                <w:spacing w:val="-44"/>
                <w:sz w:val="18"/>
                <w:szCs w:val="18"/>
              </w:rPr>
              <w:t> </w:t>
            </w:r>
            <w:r>
              <w:rPr>
                <w:rFonts w:ascii="宋体" w:hAnsi="宋体" w:cs="宋体" w:eastAsia="宋体" w:hint="default"/>
                <w:sz w:val="18"/>
                <w:szCs w:val="18"/>
              </w:rPr>
              <w:t>万元暂时补充流动资金，期限自</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日起到</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日止。截止</w:t>
            </w:r>
            <w:r>
              <w:rPr>
                <w:rFonts w:ascii="宋体" w:hAnsi="宋体" w:cs="宋体" w:eastAsia="宋体" w:hint="default"/>
                <w:spacing w:val="-46"/>
                <w:sz w:val="18"/>
                <w:szCs w:val="18"/>
              </w:rPr>
              <w:t> </w:t>
            </w:r>
            <w:r>
              <w:rPr>
                <w:rFonts w:ascii="宋体" w:hAnsi="宋体" w:cs="宋体" w:eastAsia="宋体" w:hint="default"/>
                <w:sz w:val="18"/>
                <w:szCs w:val="18"/>
              </w:rPr>
              <w:t>2010</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日，公司实际使用闲置募集资金暂时补充流动资金</w:t>
            </w:r>
            <w:r>
              <w:rPr>
                <w:rFonts w:ascii="宋体" w:hAnsi="宋体" w:cs="宋体" w:eastAsia="宋体" w:hint="default"/>
                <w:spacing w:val="-46"/>
                <w:sz w:val="18"/>
                <w:szCs w:val="18"/>
              </w:rPr>
              <w:t> </w:t>
            </w:r>
            <w:r>
              <w:rPr>
                <w:rFonts w:ascii="宋体" w:hAnsi="宋体" w:cs="宋体" w:eastAsia="宋体" w:hint="default"/>
                <w:sz w:val="18"/>
                <w:szCs w:val="18"/>
              </w:rPr>
              <w:t>7,950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78"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6"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尚未使用的募集资金</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用途及去向</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公司尚未使用的资金除</w:t>
            </w:r>
            <w:r>
              <w:rPr>
                <w:rFonts w:ascii="宋体" w:hAnsi="宋体" w:cs="宋体" w:eastAsia="宋体" w:hint="default"/>
                <w:spacing w:val="-40"/>
                <w:sz w:val="18"/>
                <w:szCs w:val="18"/>
              </w:rPr>
              <w:t> </w:t>
            </w:r>
            <w:r>
              <w:rPr>
                <w:rFonts w:ascii="宋体" w:hAnsi="宋体" w:cs="宋体" w:eastAsia="宋体" w:hint="default"/>
                <w:sz w:val="18"/>
                <w:szCs w:val="18"/>
              </w:rPr>
              <w:t>7,950</w:t>
            </w:r>
            <w:r>
              <w:rPr>
                <w:rFonts w:ascii="宋体" w:hAnsi="宋体" w:cs="宋体" w:eastAsia="宋体" w:hint="default"/>
                <w:spacing w:val="-41"/>
                <w:sz w:val="18"/>
                <w:szCs w:val="18"/>
              </w:rPr>
              <w:t> </w:t>
            </w:r>
            <w:r>
              <w:rPr>
                <w:rFonts w:ascii="宋体" w:hAnsi="宋体" w:cs="宋体" w:eastAsia="宋体" w:hint="default"/>
                <w:spacing w:val="-3"/>
                <w:sz w:val="18"/>
                <w:szCs w:val="18"/>
              </w:rPr>
              <w:t>万元暂时补充流动资金外，全部存放于募集资金专用账户。截止</w:t>
            </w:r>
            <w:r>
              <w:rPr>
                <w:rFonts w:ascii="宋体" w:hAnsi="宋体" w:cs="宋体" w:eastAsia="宋体" w:hint="default"/>
                <w:spacing w:val="-38"/>
                <w:sz w:val="18"/>
                <w:szCs w:val="18"/>
              </w:rPr>
              <w:t> </w:t>
            </w:r>
            <w:r>
              <w:rPr>
                <w:rFonts w:ascii="宋体" w:hAnsi="宋体" w:cs="宋体" w:eastAsia="宋体" w:hint="default"/>
                <w:sz w:val="18"/>
                <w:szCs w:val="18"/>
              </w:rPr>
              <w:t>2010</w:t>
            </w:r>
            <w:r>
              <w:rPr>
                <w:rFonts w:ascii="宋体" w:hAnsi="宋体" w:cs="宋体" w:eastAsia="宋体" w:hint="default"/>
                <w:spacing w:val="-37"/>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日，募集资金专用账户余额为</w:t>
            </w:r>
            <w:r>
              <w:rPr>
                <w:rFonts w:ascii="宋体" w:hAnsi="宋体" w:cs="宋体" w:eastAsia="宋体" w:hint="default"/>
                <w:spacing w:val="-46"/>
                <w:sz w:val="18"/>
                <w:szCs w:val="18"/>
              </w:rPr>
              <w:t> </w:t>
            </w:r>
            <w:r>
              <w:rPr>
                <w:rFonts w:ascii="宋体" w:hAnsi="宋体" w:cs="宋体" w:eastAsia="宋体" w:hint="default"/>
                <w:sz w:val="18"/>
                <w:szCs w:val="18"/>
              </w:rPr>
              <w:t>9,491.66</w:t>
            </w:r>
            <w:r>
              <w:rPr>
                <w:rFonts w:ascii="宋体" w:hAnsi="宋体" w:cs="宋体" w:eastAsia="宋体" w:hint="default"/>
                <w:spacing w:val="-45"/>
                <w:sz w:val="18"/>
                <w:szCs w:val="18"/>
              </w:rPr>
              <w:t> </w:t>
            </w:r>
            <w:r>
              <w:rPr>
                <w:rFonts w:ascii="宋体" w:hAnsi="宋体" w:cs="宋体" w:eastAsia="宋体" w:hint="default"/>
                <w:sz w:val="18"/>
                <w:szCs w:val="18"/>
              </w:rPr>
              <w:t>万元，其中利息</w:t>
            </w:r>
            <w:r>
              <w:rPr>
                <w:rFonts w:ascii="宋体" w:hAnsi="宋体" w:cs="宋体" w:eastAsia="宋体" w:hint="default"/>
                <w:spacing w:val="-47"/>
                <w:sz w:val="18"/>
                <w:szCs w:val="18"/>
              </w:rPr>
              <w:t> </w:t>
            </w:r>
            <w:r>
              <w:rPr>
                <w:rFonts w:ascii="宋体" w:hAnsi="宋体" w:cs="宋体" w:eastAsia="宋体" w:hint="default"/>
                <w:sz w:val="18"/>
                <w:szCs w:val="18"/>
              </w:rPr>
              <w:t>43.8</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710"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32" w:lineRule="exact" w:before="24"/>
              <w:ind w:left="725" w:right="93" w:hanging="63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sz w:val="11"/>
          <w:szCs w:val="11"/>
        </w:rPr>
      </w:pPr>
    </w:p>
    <w:p>
      <w:pPr>
        <w:spacing w:before="36"/>
        <w:ind w:left="983" w:right="522"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公司不存在未及时、真实、准确、完整披露募集资金使用的情况。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55" w:lineRule="auto" w:before="0"/>
        <w:ind w:left="1298" w:right="522" w:hanging="420"/>
        <w:jc w:val="left"/>
        <w:rPr>
          <w:rFonts w:ascii="宋体" w:hAnsi="宋体" w:cs="宋体" w:eastAsia="宋体" w:hint="default"/>
          <w:sz w:val="21"/>
          <w:szCs w:val="21"/>
        </w:rPr>
      </w:pPr>
      <w:r>
        <w:rPr>
          <w:rFonts w:ascii="宋体" w:hAnsi="宋体" w:cs="宋体" w:eastAsia="宋体" w:hint="default"/>
          <w:b/>
          <w:bCs/>
          <w:sz w:val="21"/>
          <w:szCs w:val="21"/>
        </w:rPr>
        <w:t>（二）募集资金专户存储制度的执行情况</w:t>
      </w:r>
      <w:r>
        <w:rPr>
          <w:rFonts w:ascii="宋体" w:hAnsi="宋体" w:cs="宋体" w:eastAsia="宋体" w:hint="default"/>
          <w:b/>
          <w:bCs/>
          <w:w w:val="100"/>
          <w:sz w:val="21"/>
          <w:szCs w:val="21"/>
        </w:rPr>
        <w:t> </w:t>
      </w:r>
      <w:r>
        <w:rPr>
          <w:rFonts w:ascii="宋体" w:hAnsi="宋体" w:cs="宋体" w:eastAsia="宋体" w:hint="default"/>
          <w:spacing w:val="-12"/>
          <w:w w:val="100"/>
          <w:sz w:val="21"/>
          <w:szCs w:val="21"/>
        </w:rPr>
        <w:t>为规范募集资金的管理和使用，保护投资者利益，根据《深圳证券交易所股票上市规则》、</w:t>
      </w:r>
    </w:p>
    <w:p>
      <w:pPr>
        <w:spacing w:line="355" w:lineRule="auto" w:before="32"/>
        <w:ind w:left="878" w:right="1785" w:firstLine="0"/>
        <w:jc w:val="left"/>
        <w:rPr>
          <w:rFonts w:ascii="宋体" w:hAnsi="宋体" w:cs="宋体" w:eastAsia="宋体" w:hint="default"/>
          <w:sz w:val="21"/>
          <w:szCs w:val="21"/>
        </w:rPr>
      </w:pPr>
      <w:r>
        <w:rPr>
          <w:rFonts w:ascii="宋体" w:hAnsi="宋体" w:cs="宋体" w:eastAsia="宋体" w:hint="default"/>
          <w:spacing w:val="-4"/>
          <w:sz w:val="21"/>
          <w:szCs w:val="21"/>
        </w:rPr>
        <w:t>《中小企业板上市公司募集资金管理细则》及相关法律、法规和规范性文件的规定，结合公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司的实际情况，公司制定了《募集资金管理办法》，于</w:t>
      </w:r>
      <w:r>
        <w:rPr>
          <w:rFonts w:ascii="宋体" w:hAnsi="宋体" w:cs="宋体" w:eastAsia="宋体" w:hint="default"/>
          <w:spacing w:val="-49"/>
          <w:w w:val="100"/>
          <w:sz w:val="21"/>
          <w:szCs w:val="21"/>
        </w:rPr>
        <w:t> </w:t>
      </w:r>
      <w:r>
        <w:rPr>
          <w:rFonts w:ascii="宋体" w:hAnsi="宋体" w:cs="宋体" w:eastAsia="宋体" w:hint="default"/>
          <w:w w:val="100"/>
          <w:sz w:val="21"/>
          <w:szCs w:val="21"/>
        </w:rPr>
        <w:t>2007</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3</w:t>
      </w:r>
      <w:r>
        <w:rPr>
          <w:rFonts w:ascii="宋体" w:hAnsi="宋体" w:cs="宋体" w:eastAsia="宋体" w:hint="default"/>
          <w:spacing w:val="-49"/>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15</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日经公司第二届董事</w:t>
      </w:r>
    </w:p>
    <w:p>
      <w:pPr>
        <w:spacing w:before="32"/>
        <w:ind w:left="878" w:right="522" w:firstLine="0"/>
        <w:jc w:val="left"/>
        <w:rPr>
          <w:rFonts w:ascii="宋体" w:hAnsi="宋体" w:cs="宋体" w:eastAsia="宋体" w:hint="default"/>
          <w:sz w:val="21"/>
          <w:szCs w:val="21"/>
        </w:rPr>
      </w:pPr>
      <w:r>
        <w:rPr>
          <w:rFonts w:ascii="宋体" w:hAnsi="宋体" w:cs="宋体" w:eastAsia="宋体" w:hint="default"/>
          <w:sz w:val="21"/>
          <w:szCs w:val="21"/>
        </w:rPr>
        <w:t>会第五次会议审议通过，并于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日在公司第二届董事会第九次会议和</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spacing w:line="355" w:lineRule="auto" w:before="136"/>
        <w:ind w:left="1298" w:right="522" w:hanging="42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日公司第三届董事会第三次会议上进行了修订和完善。</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公司募集资金到位后，公司和保荐机构东方证券股份有限公司分别与招商银行济南分行</w:t>
      </w:r>
    </w:p>
    <w:p>
      <w:pPr>
        <w:spacing w:line="355" w:lineRule="auto" w:before="32"/>
        <w:ind w:left="878" w:right="522" w:firstLine="0"/>
        <w:jc w:val="left"/>
        <w:rPr>
          <w:rFonts w:ascii="宋体" w:hAnsi="宋体" w:cs="宋体" w:eastAsia="宋体" w:hint="default"/>
          <w:sz w:val="21"/>
          <w:szCs w:val="21"/>
        </w:rPr>
      </w:pPr>
      <w:r>
        <w:rPr>
          <w:rFonts w:ascii="宋体" w:hAnsi="宋体" w:cs="宋体" w:eastAsia="宋体" w:hint="default"/>
          <w:spacing w:val="-4"/>
          <w:sz w:val="21"/>
          <w:szCs w:val="21"/>
        </w:rPr>
        <w:t>槐荫支行、工商银行济南市历城支行、齐鲁银行济南洪楼支行分别签订了《募集资金三方监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6"/>
          <w:w w:val="100"/>
          <w:sz w:val="21"/>
          <w:szCs w:val="21"/>
        </w:rPr>
        <w:t>管协议》，截止</w:t>
      </w:r>
      <w:r>
        <w:rPr>
          <w:rFonts w:ascii="宋体" w:hAnsi="宋体" w:cs="宋体" w:eastAsia="宋体" w:hint="default"/>
          <w:spacing w:val="-55"/>
          <w:w w:val="100"/>
          <w:sz w:val="21"/>
          <w:szCs w:val="21"/>
        </w:rPr>
        <w:t> </w:t>
      </w:r>
      <w:r>
        <w:rPr>
          <w:rFonts w:ascii="宋体" w:hAnsi="宋体" w:cs="宋体" w:eastAsia="宋体" w:hint="default"/>
          <w:w w:val="100"/>
          <w:sz w:val="21"/>
          <w:szCs w:val="21"/>
        </w:rPr>
        <w:t>2010</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31</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日，募集资金专项账户余额为</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9491.66</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878" w:right="522" w:firstLine="0"/>
        <w:jc w:val="left"/>
        <w:rPr>
          <w:rFonts w:ascii="宋体" w:hAnsi="宋体" w:cs="宋体" w:eastAsia="宋体" w:hint="default"/>
          <w:sz w:val="21"/>
          <w:szCs w:val="21"/>
        </w:rPr>
      </w:pPr>
      <w:r>
        <w:rPr>
          <w:rFonts w:ascii="宋体" w:hAnsi="宋体" w:cs="宋体" w:eastAsia="宋体" w:hint="default"/>
          <w:b/>
          <w:bCs/>
          <w:sz w:val="21"/>
          <w:szCs w:val="21"/>
        </w:rPr>
        <w:t>三、公司董事会日常工作情况</w:t>
      </w:r>
      <w:r>
        <w:rPr>
          <w:rFonts w:ascii="宋体" w:hAnsi="宋体" w:cs="宋体" w:eastAsia="宋体" w:hint="default"/>
          <w:sz w:val="21"/>
          <w:szCs w:val="21"/>
        </w:rPr>
      </w:r>
    </w:p>
    <w:p>
      <w:pPr>
        <w:spacing w:before="133"/>
        <w:ind w:left="878" w:right="522" w:firstLine="0"/>
        <w:jc w:val="left"/>
        <w:rPr>
          <w:rFonts w:ascii="宋体" w:hAnsi="宋体" w:cs="宋体" w:eastAsia="宋体" w:hint="default"/>
          <w:sz w:val="21"/>
          <w:szCs w:val="21"/>
        </w:rPr>
      </w:pPr>
      <w:r>
        <w:rPr>
          <w:rFonts w:ascii="宋体" w:hAnsi="宋体" w:cs="宋体" w:eastAsia="宋体" w:hint="default"/>
          <w:b/>
          <w:bCs/>
          <w:sz w:val="21"/>
          <w:szCs w:val="21"/>
        </w:rPr>
        <w:t>（一）董事会会议情况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5" w:footer="1100" w:top="1100" w:bottom="1280" w:left="920" w:right="0"/>
        </w:sectPr>
      </w:pPr>
    </w:p>
    <w:p>
      <w:pPr>
        <w:spacing w:before="17"/>
        <w:ind w:left="452"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76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报告期内公司董事会共召开</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次会议，会议情况如下：</w:t>
      </w:r>
    </w:p>
    <w:p>
      <w:pPr>
        <w:spacing w:before="136"/>
        <w:ind w:left="452" w:right="0" w:firstLine="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次会议，该次会议的决议公告刊登在</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45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26</w:t>
      </w:r>
      <w:r>
        <w:rPr>
          <w:rFonts w:ascii="宋体" w:hAnsi="宋体" w:cs="宋体" w:eastAsia="宋体" w:hint="default"/>
          <w:spacing w:val="-40"/>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2010</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5"/>
        <w:ind w:left="45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23</w:t>
      </w:r>
      <w:r>
        <w:rPr>
          <w:rFonts w:ascii="宋体" w:hAnsi="宋体" w:cs="宋体" w:eastAsia="宋体" w:hint="default"/>
          <w:spacing w:val="-40"/>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2010</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452"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2010</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452" w:right="0" w:firstLine="0"/>
        <w:jc w:val="left"/>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w:t>
      </w:r>
      <w:r>
        <w:rPr>
          <w:rFonts w:ascii="宋体" w:hAnsi="宋体" w:cs="宋体" w:eastAsia="宋体" w:hint="default"/>
          <w:spacing w:val="-4"/>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次会议，该次会议的决议公告刊登在</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p>
    <w:p>
      <w:pPr>
        <w:spacing w:before="136"/>
        <w:ind w:left="138"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5" w:lineRule="auto" w:before="133"/>
        <w:ind w:left="138" w:right="1789" w:firstLine="314"/>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次会议，该次会议审议通过了《</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pacing w:val="-3"/>
          <w:sz w:val="21"/>
          <w:szCs w:val="21"/>
        </w:rPr>
        <w:t>年半</w:t>
      </w:r>
      <w:r>
        <w:rPr>
          <w:rFonts w:ascii="宋体" w:hAnsi="宋体" w:cs="宋体" w:eastAsia="宋体" w:hint="default"/>
          <w:spacing w:val="-3"/>
          <w:w w:val="100"/>
          <w:sz w:val="21"/>
          <w:szCs w:val="21"/>
        </w:rPr>
        <w:t> </w:t>
      </w:r>
      <w:r>
        <w:rPr>
          <w:rFonts w:ascii="宋体" w:hAnsi="宋体" w:cs="宋体" w:eastAsia="宋体" w:hint="default"/>
          <w:spacing w:val="-19"/>
          <w:w w:val="100"/>
          <w:sz w:val="21"/>
          <w:szCs w:val="21"/>
        </w:rPr>
        <w:t>年度报告》。</w:t>
      </w:r>
    </w:p>
    <w:p>
      <w:pPr>
        <w:spacing w:before="32"/>
        <w:ind w:left="452"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1"/>
          <w:sz w:val="21"/>
          <w:szCs w:val="21"/>
        </w:rPr>
        <w:t> </w:t>
      </w:r>
      <w:r>
        <w:rPr>
          <w:rFonts w:ascii="宋体" w:hAnsi="宋体" w:cs="宋体" w:eastAsia="宋体" w:hint="default"/>
          <w:sz w:val="21"/>
          <w:szCs w:val="21"/>
        </w:rPr>
        <w:t>2010</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5" w:lineRule="auto" w:before="135"/>
        <w:ind w:left="138" w:right="1789" w:firstLine="314"/>
        <w:jc w:val="left"/>
        <w:rPr>
          <w:rFonts w:ascii="宋体" w:hAnsi="宋体" w:cs="宋体" w:eastAsia="宋体" w:hint="default"/>
          <w:sz w:val="21"/>
          <w:szCs w:val="21"/>
        </w:rPr>
      </w:pPr>
      <w:r>
        <w:rPr>
          <w:rFonts w:ascii="宋体" w:hAnsi="宋体" w:cs="宋体" w:eastAsia="宋体" w:hint="default"/>
          <w:spacing w:val="-6"/>
          <w:sz w:val="21"/>
          <w:szCs w:val="21"/>
        </w:rPr>
        <w:t>8</w:t>
      </w:r>
      <w:r>
        <w:rPr>
          <w:rFonts w:ascii="宋体" w:hAnsi="宋体" w:cs="宋体" w:eastAsia="宋体" w:hint="default"/>
          <w:spacing w:val="-6"/>
          <w:sz w:val="21"/>
          <w:szCs w:val="21"/>
        </w:rPr>
        <w:t>、</w:t>
      </w:r>
      <w:r>
        <w:rPr>
          <w:rFonts w:ascii="宋体" w:hAnsi="宋体" w:cs="宋体" w:eastAsia="宋体" w:hint="default"/>
          <w:spacing w:val="-6"/>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22</w:t>
      </w:r>
      <w:r>
        <w:rPr>
          <w:rFonts w:ascii="宋体" w:hAnsi="宋体" w:cs="宋体" w:eastAsia="宋体" w:hint="default"/>
          <w:spacing w:val="-48"/>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5"/>
          <w:sz w:val="21"/>
          <w:szCs w:val="21"/>
        </w:rPr>
        <w:t>次会议，该次会议审议通过了《</w:t>
      </w:r>
      <w:r>
        <w:rPr>
          <w:rFonts w:ascii="宋体" w:hAnsi="宋体" w:cs="宋体" w:eastAsia="宋体" w:hint="default"/>
          <w:spacing w:val="-5"/>
          <w:sz w:val="21"/>
          <w:szCs w:val="21"/>
        </w:rPr>
        <w:t>2010</w:t>
      </w:r>
      <w:r>
        <w:rPr>
          <w:rFonts w:ascii="宋体" w:hAnsi="宋体" w:cs="宋体" w:eastAsia="宋体" w:hint="default"/>
          <w:spacing w:val="-49"/>
          <w:sz w:val="21"/>
          <w:szCs w:val="21"/>
        </w:rPr>
        <w:t> </w:t>
      </w:r>
      <w:r>
        <w:rPr>
          <w:rFonts w:ascii="宋体" w:hAnsi="宋体" w:cs="宋体" w:eastAsia="宋体" w:hint="default"/>
          <w:spacing w:val="-3"/>
          <w:sz w:val="21"/>
          <w:szCs w:val="21"/>
        </w:rPr>
        <w:t>年三</w:t>
      </w:r>
      <w:r>
        <w:rPr>
          <w:rFonts w:ascii="宋体" w:hAnsi="宋体" w:cs="宋体" w:eastAsia="宋体" w:hint="default"/>
          <w:spacing w:val="-3"/>
          <w:w w:val="100"/>
          <w:sz w:val="21"/>
          <w:szCs w:val="21"/>
        </w:rPr>
        <w:t> </w:t>
      </w:r>
      <w:r>
        <w:rPr>
          <w:rFonts w:ascii="宋体" w:hAnsi="宋体" w:cs="宋体" w:eastAsia="宋体" w:hint="default"/>
          <w:spacing w:val="-19"/>
          <w:w w:val="100"/>
          <w:sz w:val="21"/>
          <w:szCs w:val="21"/>
        </w:rPr>
        <w:t>季度季报》。</w:t>
      </w:r>
    </w:p>
    <w:p>
      <w:pPr>
        <w:spacing w:before="32"/>
        <w:ind w:left="452"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日召开第三届董事会第</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0"/>
          <w:sz w:val="21"/>
          <w:szCs w:val="21"/>
        </w:rPr>
        <w:t> </w:t>
      </w:r>
      <w:r>
        <w:rPr>
          <w:rFonts w:ascii="宋体" w:hAnsi="宋体" w:cs="宋体" w:eastAsia="宋体" w:hint="default"/>
          <w:sz w:val="21"/>
          <w:szCs w:val="21"/>
        </w:rPr>
        <w:t>2010</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日的《证券时报》和巨潮资讯网（</w:t>
      </w:r>
      <w:hyperlink r:id="rId15">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（二）董事会对股东大会决议的执行情况</w:t>
      </w:r>
      <w:r>
        <w:rPr>
          <w:rFonts w:ascii="宋体" w:hAnsi="宋体" w:cs="宋体" w:eastAsia="宋体" w:hint="default"/>
          <w:sz w:val="21"/>
          <w:szCs w:val="21"/>
        </w:rPr>
      </w:r>
    </w:p>
    <w:p>
      <w:pPr>
        <w:spacing w:line="355" w:lineRule="auto" w:before="133"/>
        <w:ind w:left="138" w:right="1789" w:firstLine="419"/>
        <w:jc w:val="both"/>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、根据</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26</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pacing w:val="-4"/>
          <w:sz w:val="21"/>
          <w:szCs w:val="21"/>
        </w:rPr>
        <w:t>年度股东大会的通过的利润分配决议，分配股利</w:t>
      </w:r>
      <w:r>
        <w:rPr>
          <w:rFonts w:ascii="宋体" w:hAnsi="宋体" w:cs="宋体" w:eastAsia="宋体" w:hint="default"/>
          <w:w w:val="100"/>
          <w:sz w:val="21"/>
          <w:szCs w:val="21"/>
        </w:rPr>
        <w:t> </w:t>
      </w:r>
      <w:r>
        <w:rPr>
          <w:rFonts w:ascii="宋体" w:hAnsi="宋体" w:cs="宋体" w:eastAsia="宋体" w:hint="default"/>
          <w:spacing w:val="-1"/>
          <w:w w:val="100"/>
          <w:sz w:val="21"/>
          <w:szCs w:val="21"/>
        </w:rPr>
        <w:t>以公司总股本</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11</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000</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万股为基数，按每</w:t>
      </w:r>
      <w:r>
        <w:rPr>
          <w:rFonts w:ascii="宋体" w:hAnsi="宋体" w:cs="宋体" w:eastAsia="宋体" w:hint="default"/>
          <w:spacing w:val="-52"/>
          <w:w w:val="100"/>
          <w:sz w:val="21"/>
          <w:szCs w:val="21"/>
        </w:rPr>
        <w:t> </w:t>
      </w:r>
      <w:r>
        <w:rPr>
          <w:rFonts w:ascii="宋体" w:hAnsi="宋体" w:cs="宋体" w:eastAsia="宋体" w:hint="default"/>
          <w:w w:val="100"/>
          <w:sz w:val="21"/>
          <w:szCs w:val="21"/>
        </w:rPr>
        <w:t>10</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股派发现金红利</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3.00</w:t>
      </w:r>
      <w:r>
        <w:rPr>
          <w:rFonts w:ascii="宋体" w:hAnsi="宋体" w:cs="宋体" w:eastAsia="宋体" w:hint="default"/>
          <w:spacing w:val="-49"/>
          <w:w w:val="100"/>
          <w:sz w:val="21"/>
          <w:szCs w:val="21"/>
        </w:rPr>
        <w:t> </w:t>
      </w:r>
      <w:r>
        <w:rPr>
          <w:rFonts w:ascii="宋体" w:hAnsi="宋体" w:cs="宋体" w:eastAsia="宋体" w:hint="default"/>
          <w:spacing w:val="-11"/>
          <w:w w:val="100"/>
          <w:sz w:val="21"/>
          <w:szCs w:val="21"/>
        </w:rPr>
        <w:t>元（含税），向新老股东</w:t>
      </w:r>
      <w:r>
        <w:rPr>
          <w:rFonts w:ascii="宋体" w:hAnsi="宋体" w:cs="宋体" w:eastAsia="宋体" w:hint="default"/>
          <w:w w:val="100"/>
          <w:sz w:val="21"/>
          <w:szCs w:val="21"/>
        </w:rPr>
        <w:t> </w:t>
      </w:r>
      <w:r>
        <w:rPr>
          <w:rFonts w:ascii="宋体" w:hAnsi="宋体" w:cs="宋体" w:eastAsia="宋体" w:hint="default"/>
          <w:sz w:val="21"/>
          <w:szCs w:val="21"/>
        </w:rPr>
        <w:t>派现人民币</w:t>
      </w:r>
      <w:r>
        <w:rPr>
          <w:rFonts w:ascii="宋体" w:hAnsi="宋体" w:cs="宋体" w:eastAsia="宋体" w:hint="default"/>
          <w:spacing w:val="-55"/>
          <w:sz w:val="21"/>
          <w:szCs w:val="21"/>
        </w:rPr>
        <w:t> </w:t>
      </w:r>
      <w:r>
        <w:rPr>
          <w:rFonts w:ascii="宋体" w:hAnsi="宋体" w:cs="宋体" w:eastAsia="宋体" w:hint="default"/>
          <w:sz w:val="21"/>
          <w:szCs w:val="21"/>
        </w:rPr>
        <w:t>3,300</w:t>
      </w:r>
      <w:r>
        <w:rPr>
          <w:rFonts w:ascii="宋体" w:hAnsi="宋体" w:cs="宋体" w:eastAsia="宋体" w:hint="default"/>
          <w:spacing w:val="-55"/>
          <w:sz w:val="21"/>
          <w:szCs w:val="21"/>
        </w:rPr>
        <w:t> </w:t>
      </w:r>
      <w:r>
        <w:rPr>
          <w:rFonts w:ascii="宋体" w:hAnsi="宋体" w:cs="宋体" w:eastAsia="宋体" w:hint="default"/>
          <w:sz w:val="21"/>
          <w:szCs w:val="21"/>
        </w:rPr>
        <w:t>万元，股东按持股比例分配。报告期内上述股利已全部分配完毕。</w:t>
      </w:r>
    </w:p>
    <w:p>
      <w:pPr>
        <w:spacing w:line="350" w:lineRule="auto" w:before="32"/>
        <w:ind w:left="138" w:right="1788" w:firstLine="419"/>
        <w:jc w:val="both"/>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、根据</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26</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pacing w:val="-4"/>
          <w:sz w:val="21"/>
          <w:szCs w:val="21"/>
        </w:rPr>
        <w:t>年度股东大会审议通过的《关于办理银行授信业</w:t>
      </w:r>
      <w:r>
        <w:rPr>
          <w:rFonts w:ascii="宋体" w:hAnsi="宋体" w:cs="宋体" w:eastAsia="宋体" w:hint="default"/>
          <w:w w:val="100"/>
          <w:sz w:val="21"/>
          <w:szCs w:val="21"/>
        </w:rPr>
        <w:t> </w:t>
      </w:r>
      <w:r>
        <w:rPr>
          <w:rFonts w:ascii="宋体" w:hAnsi="宋体" w:cs="宋体" w:eastAsia="宋体" w:hint="default"/>
          <w:spacing w:val="-4"/>
          <w:w w:val="100"/>
          <w:sz w:val="21"/>
          <w:szCs w:val="21"/>
        </w:rPr>
        <w:t>务的议案》，公司向齐鲁银行、深圳发展银行、中国光大银行、中国建设银行、中国民生银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行、中国银行、中国工商银行七家商业银行申请</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78,000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万元的综合授信额度</w:t>
      </w:r>
      <w:r>
        <w:rPr>
          <w:rFonts w:ascii="Times New Roman" w:hAnsi="Times New Roman" w:cs="Times New Roman" w:eastAsia="Times New Roman" w:hint="default"/>
          <w:sz w:val="21"/>
          <w:szCs w:val="21"/>
        </w:rPr>
        <w:t>,</w:t>
      </w:r>
      <w:r>
        <w:rPr>
          <w:rFonts w:ascii="宋体" w:hAnsi="宋体" w:cs="宋体" w:eastAsia="宋体" w:hint="default"/>
          <w:sz w:val="21"/>
          <w:szCs w:val="21"/>
        </w:rPr>
        <w:t>用于公司办理</w:t>
      </w:r>
      <w:r>
        <w:rPr>
          <w:rFonts w:ascii="宋体" w:hAnsi="宋体" w:cs="宋体" w:eastAsia="宋体" w:hint="default"/>
          <w:w w:val="100"/>
          <w:sz w:val="21"/>
          <w:szCs w:val="21"/>
        </w:rPr>
        <w:t> </w:t>
      </w:r>
      <w:r>
        <w:rPr>
          <w:rFonts w:ascii="宋体" w:hAnsi="宋体" w:cs="宋体" w:eastAsia="宋体" w:hint="default"/>
          <w:sz w:val="21"/>
          <w:szCs w:val="21"/>
        </w:rPr>
        <w:t>银行承兑汇票、国际信用证、商业票据贴现、银行保函、流动资金贷款等业务。</w:t>
      </w:r>
    </w:p>
    <w:p>
      <w:pPr>
        <w:spacing w:line="343" w:lineRule="auto" w:before="36"/>
        <w:ind w:left="138" w:right="1789" w:firstLine="419"/>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、根据</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日召开的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年年度股东大会审议通过的《关于增加公司经营</w:t>
      </w:r>
      <w:r>
        <w:rPr>
          <w:rFonts w:ascii="宋体" w:hAnsi="宋体" w:cs="宋体" w:eastAsia="宋体" w:hint="default"/>
          <w:w w:val="100"/>
          <w:sz w:val="21"/>
          <w:szCs w:val="21"/>
        </w:rPr>
        <w:t> </w:t>
      </w:r>
      <w:r>
        <w:rPr>
          <w:rFonts w:ascii="宋体" w:hAnsi="宋体" w:cs="宋体" w:eastAsia="宋体" w:hint="default"/>
          <w:spacing w:val="-5"/>
          <w:w w:val="100"/>
          <w:sz w:val="21"/>
          <w:szCs w:val="21"/>
        </w:rPr>
        <w:t>范围并修改公司</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章程</w:t>
      </w:r>
      <w:r>
        <w:rPr>
          <w:rFonts w:ascii="Times New Roman" w:hAnsi="Times New Roman" w:cs="Times New Roman" w:eastAsia="Times New Roman" w:hint="default"/>
          <w:spacing w:val="-5"/>
          <w:w w:val="100"/>
          <w:sz w:val="21"/>
          <w:szCs w:val="21"/>
        </w:rPr>
        <w:t>&gt;</w:t>
      </w:r>
      <w:r>
        <w:rPr>
          <w:rFonts w:ascii="宋体" w:hAnsi="宋体" w:cs="宋体" w:eastAsia="宋体" w:hint="default"/>
          <w:spacing w:val="-5"/>
          <w:w w:val="100"/>
          <w:sz w:val="21"/>
          <w:szCs w:val="21"/>
        </w:rPr>
        <w:t>的议案》，公司拟增加“电信增值服务”的经营范围。但经相关业务</w:t>
      </w:r>
      <w:r>
        <w:rPr>
          <w:rFonts w:ascii="宋体" w:hAnsi="宋体" w:cs="宋体" w:eastAsia="宋体" w:hint="default"/>
          <w:spacing w:val="-71"/>
          <w:w w:val="100"/>
          <w:sz w:val="21"/>
          <w:szCs w:val="21"/>
        </w:rPr>
        <w:t> </w:t>
      </w:r>
      <w:r>
        <w:rPr>
          <w:rFonts w:ascii="宋体" w:hAnsi="宋体" w:cs="宋体" w:eastAsia="宋体" w:hint="default"/>
          <w:spacing w:val="-71"/>
          <w:w w:val="100"/>
          <w:sz w:val="21"/>
          <w:szCs w:val="21"/>
        </w:rPr>
      </w:r>
      <w:r>
        <w:rPr>
          <w:rFonts w:ascii="宋体" w:hAnsi="宋体" w:cs="宋体" w:eastAsia="宋体" w:hint="default"/>
          <w:spacing w:val="-4"/>
          <w:sz w:val="21"/>
          <w:szCs w:val="21"/>
        </w:rPr>
        <w:t>主管部门初步审核，公司目前尚不具备申请“电信增值服务”的部分条件，因此，公司暂停</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办理增加“电信增值服务”经营范围的工作。</w:t>
      </w:r>
    </w:p>
    <w:p>
      <w:pPr>
        <w:spacing w:before="43"/>
        <w:ind w:left="0" w:right="1233"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、根据</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日召开的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年第三次临时股东大会审议通过的《关于使用</w:t>
      </w:r>
    </w:p>
    <w:p>
      <w:pPr>
        <w:spacing w:before="117"/>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部分</w:t>
      </w:r>
      <w:r>
        <w:rPr>
          <w:rFonts w:ascii="宋体" w:hAnsi="宋体" w:cs="宋体" w:eastAsia="宋体" w:hint="default"/>
          <w:spacing w:val="-3"/>
          <w:w w:val="100"/>
          <w:sz w:val="21"/>
          <w:szCs w:val="21"/>
        </w:rPr>
        <w:t>闲</w:t>
      </w:r>
      <w:r>
        <w:rPr>
          <w:rFonts w:ascii="宋体" w:hAnsi="宋体" w:cs="宋体" w:eastAsia="宋体" w:hint="default"/>
          <w:w w:val="100"/>
          <w:sz w:val="21"/>
          <w:szCs w:val="21"/>
        </w:rPr>
        <w:t>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暂</w:t>
      </w:r>
      <w:r>
        <w:rPr>
          <w:rFonts w:ascii="宋体" w:hAnsi="宋体" w:cs="宋体" w:eastAsia="宋体" w:hint="default"/>
          <w:w w:val="100"/>
          <w:sz w:val="21"/>
          <w:szCs w:val="21"/>
        </w:rPr>
        <w:t>时</w:t>
      </w:r>
      <w:r>
        <w:rPr>
          <w:rFonts w:ascii="宋体" w:hAnsi="宋体" w:cs="宋体" w:eastAsia="宋体" w:hint="default"/>
          <w:spacing w:val="-3"/>
          <w:w w:val="100"/>
          <w:sz w:val="21"/>
          <w:szCs w:val="21"/>
        </w:rPr>
        <w:t>补</w:t>
      </w:r>
      <w:r>
        <w:rPr>
          <w:rFonts w:ascii="宋体" w:hAnsi="宋体" w:cs="宋体" w:eastAsia="宋体" w:hint="default"/>
          <w:w w:val="100"/>
          <w:sz w:val="21"/>
          <w:szCs w:val="21"/>
        </w:rPr>
        <w:t>充流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使用</w:t>
      </w:r>
      <w:r>
        <w:rPr>
          <w:rFonts w:ascii="宋体" w:hAnsi="宋体" w:cs="宋体" w:eastAsia="宋体" w:hint="default"/>
          <w:spacing w:val="-3"/>
          <w:w w:val="100"/>
          <w:sz w:val="21"/>
          <w:szCs w:val="21"/>
        </w:rPr>
        <w:t>闲</w:t>
      </w:r>
      <w:r>
        <w:rPr>
          <w:rFonts w:ascii="宋体" w:hAnsi="宋体" w:cs="宋体" w:eastAsia="宋体" w:hint="default"/>
          <w:w w:val="100"/>
          <w:sz w:val="21"/>
          <w:szCs w:val="21"/>
        </w:rPr>
        <w:t>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19"/>
          <w:sz w:val="21"/>
          <w:szCs w:val="21"/>
        </w:rPr>
        <w:t> </w:t>
      </w:r>
      <w:r>
        <w:rPr>
          <w:rFonts w:ascii="Times New Roman" w:hAnsi="Times New Roman" w:cs="Times New Roman" w:eastAsia="Times New Roman" w:hint="default"/>
          <w:w w:val="100"/>
          <w:sz w:val="21"/>
          <w:szCs w:val="21"/>
        </w:rPr>
        <w:t>8,000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1"/>
          <w:sz w:val="21"/>
          <w:szCs w:val="21"/>
        </w:rPr>
        <w:t> </w:t>
      </w:r>
      <w:r>
        <w:rPr>
          <w:rFonts w:ascii="宋体" w:hAnsi="宋体" w:cs="宋体" w:eastAsia="宋体" w:hint="default"/>
          <w:w w:val="100"/>
          <w:sz w:val="21"/>
          <w:szCs w:val="21"/>
        </w:rPr>
        <w:t>万元</w:t>
      </w:r>
      <w:r>
        <w:rPr>
          <w:rFonts w:ascii="宋体" w:hAnsi="宋体" w:cs="宋体" w:eastAsia="宋体" w:hint="default"/>
          <w:spacing w:val="-3"/>
          <w:w w:val="100"/>
          <w:sz w:val="21"/>
          <w:szCs w:val="21"/>
        </w:rPr>
        <w:t>用</w:t>
      </w:r>
      <w:r>
        <w:rPr>
          <w:rFonts w:ascii="宋体" w:hAnsi="宋体" w:cs="宋体" w:eastAsia="宋体" w:hint="default"/>
          <w:w w:val="100"/>
          <w:sz w:val="21"/>
          <w:szCs w:val="21"/>
        </w:rPr>
        <w:t>于</w:t>
      </w:r>
      <w:r>
        <w:rPr>
          <w:rFonts w:ascii="宋体" w:hAnsi="宋体" w:cs="宋体" w:eastAsia="宋体" w:hint="default"/>
          <w:spacing w:val="-3"/>
          <w:w w:val="100"/>
          <w:sz w:val="21"/>
          <w:szCs w:val="21"/>
        </w:rPr>
        <w:t>补</w:t>
      </w:r>
      <w:r>
        <w:rPr>
          <w:rFonts w:ascii="宋体" w:hAnsi="宋体" w:cs="宋体" w:eastAsia="宋体" w:hint="default"/>
          <w:w w:val="100"/>
          <w:sz w:val="21"/>
          <w:szCs w:val="21"/>
        </w:rPr>
        <w:t>充</w:t>
      </w:r>
    </w:p>
    <w:p>
      <w:pPr>
        <w:spacing w:before="119"/>
        <w:ind w:left="138" w:right="0" w:firstLine="0"/>
        <w:jc w:val="left"/>
        <w:rPr>
          <w:rFonts w:ascii="宋体" w:hAnsi="宋体" w:cs="宋体" w:eastAsia="宋体" w:hint="default"/>
          <w:sz w:val="21"/>
          <w:szCs w:val="21"/>
        </w:rPr>
      </w:pPr>
      <w:r>
        <w:rPr>
          <w:rFonts w:ascii="宋体" w:hAnsi="宋体" w:cs="宋体" w:eastAsia="宋体" w:hint="default"/>
          <w:sz w:val="21"/>
          <w:szCs w:val="21"/>
        </w:rPr>
        <w:t>流动资金，期限不超过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个月，期满后将归还募集资金账户。</w:t>
      </w:r>
    </w:p>
    <w:p>
      <w:pPr>
        <w:spacing w:before="11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（三）董事会审计委员会履职情况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0"/>
          <w:pgSz w:w="11910" w:h="16840"/>
          <w:pgMar w:footer="1100" w:header="915" w:top="1100" w:bottom="1280" w:left="1660" w:right="0"/>
          <w:pgNumType w:start="34"/>
        </w:sectPr>
      </w:pPr>
    </w:p>
    <w:p>
      <w:pPr>
        <w:spacing w:line="357" w:lineRule="auto" w:before="17"/>
        <w:ind w:left="138" w:right="1788" w:firstLine="419"/>
        <w:jc w:val="both"/>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74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1</w:t>
      </w:r>
      <w:r>
        <w:rPr>
          <w:rFonts w:ascii="宋体" w:hAnsi="宋体" w:cs="宋体" w:eastAsia="宋体" w:hint="default"/>
          <w:sz w:val="21"/>
          <w:szCs w:val="21"/>
        </w:rPr>
        <w:t>、审计委员会认真审议了公司编制的</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年半年度财务报表和</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年度财务报表，</w:t>
      </w:r>
      <w:r>
        <w:rPr>
          <w:rFonts w:ascii="宋体" w:hAnsi="宋体" w:cs="宋体" w:eastAsia="宋体" w:hint="default"/>
          <w:w w:val="100"/>
          <w:sz w:val="21"/>
          <w:szCs w:val="21"/>
        </w:rPr>
        <w:t> </w:t>
      </w:r>
      <w:r>
        <w:rPr>
          <w:rFonts w:ascii="宋体" w:hAnsi="宋体" w:cs="宋体" w:eastAsia="宋体" w:hint="default"/>
          <w:spacing w:val="-4"/>
          <w:sz w:val="21"/>
          <w:szCs w:val="21"/>
        </w:rPr>
        <w:t>审议认为公司的财务报表符合新会计准则和《企业会计制度》的相关规定，能够如实反映企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业的生产经营状况，财务数据准确无误，不存在重大遗漏或篡改财务数据的情况。</w:t>
      </w:r>
    </w:p>
    <w:p>
      <w:pPr>
        <w:spacing w:before="30"/>
        <w:ind w:left="558" w:right="0" w:firstLine="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、在中瑞岳华会计师事务所对公司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pacing w:val="-4"/>
          <w:sz w:val="21"/>
          <w:szCs w:val="21"/>
        </w:rPr>
        <w:t>年度财务状况的审计过程中，审计委员会按照</w:t>
      </w:r>
    </w:p>
    <w:p>
      <w:pPr>
        <w:spacing w:line="357" w:lineRule="auto" w:before="133"/>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《审计委员会年度财务报告审议工作规则》的要求，在审计前审阅了公司编制的财务报表，</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sz w:val="21"/>
          <w:szCs w:val="21"/>
        </w:rPr>
        <w:t>并出具了“公司编制的财务报表，符合会计准则的相关规定，反映了公司的财务状况，不存</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在重大偏差或重大遗漏”的审阅意见。</w:t>
      </w:r>
    </w:p>
    <w:p>
      <w:pPr>
        <w:spacing w:line="357" w:lineRule="auto" w:before="30"/>
        <w:ind w:left="138" w:right="0"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、审计委员与会计师事务所的审计人员就审计计划和工作安排进行了沟通，确定了审</w:t>
      </w:r>
      <w:r>
        <w:rPr>
          <w:rFonts w:ascii="宋体" w:hAnsi="宋体" w:cs="宋体" w:eastAsia="宋体" w:hint="default"/>
          <w:w w:val="100"/>
          <w:sz w:val="21"/>
          <w:szCs w:val="21"/>
        </w:rPr>
        <w:t> </w:t>
      </w:r>
      <w:r>
        <w:rPr>
          <w:rFonts w:ascii="宋体" w:hAnsi="宋体" w:cs="宋体" w:eastAsia="宋体" w:hint="default"/>
          <w:spacing w:val="-4"/>
          <w:sz w:val="21"/>
          <w:szCs w:val="21"/>
        </w:rPr>
        <w:t>计报告的出具日期。在审计过程中，审计委员会根据审计计划，督促会计师事务所在约定的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时间内提交审计报告，并在审计会计师出具初步审计意见后和董事会审议年报前，与注册会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计师沟通，了解到在审计过程中未发现重大问题。通过审阅经会计师审计的公司财务报表，</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w w:val="100"/>
          <w:sz w:val="21"/>
          <w:szCs w:val="21"/>
        </w:rPr>
        <w:t>审计委员会认为公司在审计前编制的财务报表与审计后的财务报表没有重大出入，经审计的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财务报表如实反映了公司的财务状况。</w:t>
      </w:r>
    </w:p>
    <w:p>
      <w:pPr>
        <w:spacing w:line="357" w:lineRule="auto" w:before="30"/>
        <w:ind w:left="138" w:right="0" w:firstLine="419"/>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、审计委员会开会表决认为，经审计的财务报表和公司财务报告符合会计准则和《企</w:t>
      </w:r>
      <w:r>
        <w:rPr>
          <w:rFonts w:ascii="宋体" w:hAnsi="宋体" w:cs="宋体" w:eastAsia="宋体" w:hint="default"/>
          <w:w w:val="100"/>
          <w:sz w:val="21"/>
          <w:szCs w:val="21"/>
        </w:rPr>
        <w:t> </w:t>
      </w:r>
      <w:r>
        <w:rPr>
          <w:rFonts w:ascii="宋体" w:hAnsi="宋体" w:cs="宋体" w:eastAsia="宋体" w:hint="default"/>
          <w:spacing w:val="-4"/>
          <w:sz w:val="21"/>
          <w:szCs w:val="21"/>
        </w:rPr>
        <w:t>业会计制度》的相关规定，能够如实反映企业的生产经营状况，财务数据准确无误，不存在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重大遗漏，同意提交董事会审议。审计委员会就审计师事务所的审计工作出具了总结报告，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认为审计人员认真、尽责的完成了年度审计工作，并向董事会提议，在</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年度续聘中瑞</w:t>
      </w:r>
      <w:r>
        <w:rPr>
          <w:rFonts w:ascii="宋体" w:hAnsi="宋体" w:cs="宋体" w:eastAsia="宋体" w:hint="default"/>
          <w:w w:val="100"/>
          <w:sz w:val="21"/>
          <w:szCs w:val="21"/>
        </w:rPr>
        <w:t> </w:t>
      </w:r>
      <w:r>
        <w:rPr>
          <w:rFonts w:ascii="宋体" w:hAnsi="宋体" w:cs="宋体" w:eastAsia="宋体" w:hint="default"/>
          <w:sz w:val="21"/>
          <w:szCs w:val="21"/>
        </w:rPr>
        <w:t>岳华会计师事务所作为我公司的审计机构。</w:t>
      </w:r>
    </w:p>
    <w:p>
      <w:pPr>
        <w:spacing w:line="357" w:lineRule="auto" w:before="3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（四）董事会薪酬与考核委员会履职情况</w:t>
      </w:r>
      <w:r>
        <w:rPr>
          <w:rFonts w:ascii="宋体" w:hAnsi="宋体" w:cs="宋体" w:eastAsia="宋体" w:hint="default"/>
          <w:b/>
          <w:bCs/>
          <w:w w:val="100"/>
          <w:sz w:val="21"/>
          <w:szCs w:val="21"/>
        </w:rPr>
        <w:t> </w:t>
      </w:r>
      <w:r>
        <w:rPr>
          <w:rFonts w:ascii="宋体" w:hAnsi="宋体" w:cs="宋体" w:eastAsia="宋体" w:hint="default"/>
          <w:spacing w:val="-4"/>
          <w:sz w:val="21"/>
          <w:szCs w:val="21"/>
        </w:rPr>
        <w:t>本年度薪酬委员会对公司董事、监事和高级管理人员所披露的薪酬情况进行了审核，经</w:t>
      </w:r>
    </w:p>
    <w:p>
      <w:pPr>
        <w:spacing w:line="355" w:lineRule="auto" w:before="30"/>
        <w:ind w:left="138" w:right="1789" w:firstLine="0"/>
        <w:jc w:val="left"/>
        <w:rPr>
          <w:rFonts w:ascii="宋体" w:hAnsi="宋体" w:cs="宋体" w:eastAsia="宋体" w:hint="default"/>
          <w:sz w:val="21"/>
          <w:szCs w:val="21"/>
        </w:rPr>
      </w:pPr>
      <w:r>
        <w:rPr>
          <w:rFonts w:ascii="宋体" w:hAnsi="宋体" w:cs="宋体" w:eastAsia="宋体" w:hint="default"/>
          <w:spacing w:val="-1"/>
          <w:sz w:val="21"/>
          <w:szCs w:val="21"/>
        </w:rPr>
        <w:t>审核认为，所披露的薪酬数据真实，公司为董事、独立董事、监事所发放的津贴</w:t>
      </w:r>
      <w:r>
        <w:rPr>
          <w:rFonts w:ascii="宋体" w:hAnsi="宋体" w:cs="宋体" w:eastAsia="宋体" w:hint="default"/>
          <w:spacing w:val="-1"/>
          <w:sz w:val="21"/>
          <w:szCs w:val="21"/>
        </w:rPr>
        <w:t>,</w:t>
      </w:r>
      <w:r>
        <w:rPr>
          <w:rFonts w:ascii="宋体" w:hAnsi="宋体" w:cs="宋体" w:eastAsia="宋体" w:hint="default"/>
          <w:spacing w:val="-1"/>
          <w:sz w:val="21"/>
          <w:szCs w:val="21"/>
        </w:rPr>
        <w:t>为高级管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理人员所发放的年薪，符合董事会和股东大会的决议内容。</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董事会战略与发展委员会履职情况</w:t>
      </w:r>
      <w:r>
        <w:rPr>
          <w:rFonts w:ascii="宋体" w:hAnsi="宋体" w:cs="宋体" w:eastAsia="宋体" w:hint="default"/>
          <w:sz w:val="21"/>
          <w:szCs w:val="21"/>
        </w:rPr>
      </w:r>
    </w:p>
    <w:p>
      <w:pPr>
        <w:spacing w:line="357" w:lineRule="auto" w:before="32"/>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本年度董事会战略与发展委员会对于上海东港数据处理有限公司增资计划、增加综合金</w:t>
      </w:r>
      <w:r>
        <w:rPr>
          <w:rFonts w:ascii="宋体" w:hAnsi="宋体" w:cs="宋体" w:eastAsia="宋体" w:hint="default"/>
          <w:w w:val="100"/>
          <w:sz w:val="21"/>
          <w:szCs w:val="21"/>
        </w:rPr>
        <w:t> </w:t>
      </w:r>
      <w:r>
        <w:rPr>
          <w:rFonts w:ascii="宋体" w:hAnsi="宋体" w:cs="宋体" w:eastAsia="宋体" w:hint="default"/>
          <w:spacing w:val="-2"/>
          <w:sz w:val="21"/>
          <w:szCs w:val="21"/>
        </w:rPr>
        <w:t>融服务外包项目实施地点等议案进行了审议，经审议认为上述议案符合公司长远发展规划，</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有助于公司业绩的稳步提升，同意相关议案。</w:t>
      </w:r>
    </w:p>
    <w:p>
      <w:pPr>
        <w:spacing w:before="3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（六）内幕知情人管理制度建立和执行情况</w:t>
      </w:r>
      <w:r>
        <w:rPr>
          <w:rFonts w:ascii="宋体" w:hAnsi="宋体" w:cs="宋体" w:eastAsia="宋体" w:hint="default"/>
          <w:sz w:val="21"/>
          <w:szCs w:val="21"/>
        </w:rPr>
      </w:r>
    </w:p>
    <w:p>
      <w:pPr>
        <w:spacing w:line="357" w:lineRule="auto" w:before="133"/>
        <w:ind w:left="138" w:right="1788" w:firstLine="419"/>
        <w:jc w:val="both"/>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3</w:t>
      </w:r>
      <w:r>
        <w:rPr>
          <w:rFonts w:ascii="宋体" w:hAnsi="宋体" w:cs="宋体" w:eastAsia="宋体" w:hint="default"/>
          <w:spacing w:val="-51"/>
          <w:w w:val="100"/>
          <w:sz w:val="21"/>
          <w:szCs w:val="21"/>
        </w:rPr>
        <w:t> </w:t>
      </w:r>
      <w:r>
        <w:rPr>
          <w:rFonts w:ascii="宋体" w:hAnsi="宋体" w:cs="宋体" w:eastAsia="宋体" w:hint="default"/>
          <w:spacing w:val="-8"/>
          <w:w w:val="100"/>
          <w:sz w:val="21"/>
          <w:szCs w:val="21"/>
        </w:rPr>
        <w:t>月制定了《内幕信息知情人管理制度》，界定了内幕信息的范围、内幕</w:t>
      </w:r>
      <w:r>
        <w:rPr>
          <w:rFonts w:ascii="宋体" w:hAnsi="宋体" w:cs="宋体" w:eastAsia="宋体" w:hint="default"/>
          <w:w w:val="100"/>
          <w:sz w:val="21"/>
          <w:szCs w:val="21"/>
        </w:rPr>
        <w:t> </w:t>
      </w:r>
      <w:r>
        <w:rPr>
          <w:rFonts w:ascii="宋体" w:hAnsi="宋体" w:cs="宋体" w:eastAsia="宋体" w:hint="default"/>
          <w:spacing w:val="-4"/>
          <w:sz w:val="21"/>
          <w:szCs w:val="21"/>
        </w:rPr>
        <w:t>信息知情人的范围和相关管理制度，并将内幕知情人名单向山东证监局备案。报告期内，公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司未发生内幕信息知情人在影响公司股价的重大敏感信息披露前利用内幕信息买卖公司股</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份的情况，也不存在监管部门的查处和整改情况。</w:t>
      </w:r>
    </w:p>
    <w:p>
      <w:pPr>
        <w:spacing w:line="355" w:lineRule="auto" w:before="3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（七）董事会对内部控制责任的声明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公司董事会对公司内部控制的建立健全和有效运行负全面责任。公司将按照《企业内部</w:t>
      </w:r>
    </w:p>
    <w:p>
      <w:pPr>
        <w:spacing w:line="355" w:lineRule="auto" w:before="34"/>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控制基本规范》和《企业内部控制配套指引》的相关要求逐步建立健全内部控制体系，提高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公司风险防范能力和规范运作水平，保证企业经营管理合法合规、资产安全、财务报告及相</w:t>
      </w:r>
    </w:p>
    <w:p>
      <w:pPr>
        <w:spacing w:after="0" w:line="355" w:lineRule="auto"/>
        <w:jc w:val="left"/>
        <w:rPr>
          <w:rFonts w:ascii="宋体" w:hAnsi="宋体" w:cs="宋体" w:eastAsia="宋体" w:hint="default"/>
          <w:sz w:val="21"/>
          <w:szCs w:val="21"/>
        </w:rPr>
        <w:sectPr>
          <w:pgSz w:w="11910" w:h="16840"/>
          <w:pgMar w:header="915" w:footer="1100" w:top="1100" w:bottom="1280" w:left="1660" w:right="0"/>
        </w:sectPr>
      </w:pPr>
    </w:p>
    <w:p>
      <w:pPr>
        <w:spacing w:before="17"/>
        <w:ind w:left="25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72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关信息真实完整，提高经营效率和效益，推进公司发展战略的实现。</w:t>
      </w:r>
    </w:p>
    <w:p>
      <w:pPr>
        <w:spacing w:line="240" w:lineRule="auto" w:before="0"/>
        <w:rPr>
          <w:rFonts w:ascii="宋体" w:hAnsi="宋体" w:cs="宋体" w:eastAsia="宋体" w:hint="default"/>
          <w:sz w:val="20"/>
          <w:szCs w:val="20"/>
        </w:rPr>
      </w:pPr>
    </w:p>
    <w:p>
      <w:pPr>
        <w:spacing w:before="145"/>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四、利润分配</w:t>
      </w:r>
      <w:r>
        <w:rPr>
          <w:rFonts w:ascii="宋体" w:hAnsi="宋体" w:cs="宋体" w:eastAsia="宋体" w:hint="default"/>
          <w:sz w:val="21"/>
          <w:szCs w:val="21"/>
        </w:rPr>
      </w:r>
    </w:p>
    <w:p>
      <w:pPr>
        <w:spacing w:before="133"/>
        <w:ind w:left="258" w:right="0" w:firstLine="0"/>
        <w:jc w:val="left"/>
        <w:rPr>
          <w:rFonts w:ascii="宋体" w:hAnsi="宋体" w:cs="宋体" w:eastAsia="宋体" w:hint="default"/>
          <w:sz w:val="21"/>
          <w:szCs w:val="21"/>
        </w:rPr>
      </w:pPr>
      <w:r>
        <w:rPr>
          <w:rFonts w:ascii="宋体" w:hAnsi="宋体" w:cs="宋体" w:eastAsia="宋体" w:hint="default"/>
          <w:sz w:val="21"/>
          <w:szCs w:val="21"/>
        </w:rPr>
        <w:t>（一）本年度利润分配预案</w:t>
      </w:r>
    </w:p>
    <w:p>
      <w:pPr>
        <w:spacing w:line="355" w:lineRule="auto" w:before="135"/>
        <w:ind w:left="258" w:right="1788" w:firstLine="419"/>
        <w:jc w:val="both"/>
        <w:rPr>
          <w:rFonts w:ascii="宋体" w:hAnsi="宋体" w:cs="宋体" w:eastAsia="宋体" w:hint="default"/>
          <w:sz w:val="21"/>
          <w:szCs w:val="21"/>
        </w:rPr>
      </w:pPr>
      <w:r>
        <w:rPr>
          <w:rFonts w:ascii="宋体" w:hAnsi="宋体" w:cs="宋体" w:eastAsia="宋体" w:hint="default"/>
          <w:sz w:val="21"/>
          <w:szCs w:val="21"/>
        </w:rPr>
        <w:t>根据北京中瑞岳华会计师事务所出具的审计报告，</w:t>
      </w:r>
      <w:r>
        <w:rPr>
          <w:rFonts w:ascii="宋体" w:hAnsi="宋体" w:cs="宋体" w:eastAsia="宋体" w:hint="default"/>
          <w:sz w:val="21"/>
          <w:szCs w:val="21"/>
        </w:rPr>
        <w:t>2010 </w:t>
      </w:r>
      <w:r>
        <w:rPr>
          <w:rFonts w:ascii="宋体" w:hAnsi="宋体" w:cs="宋体" w:eastAsia="宋体" w:hint="default"/>
          <w:sz w:val="21"/>
          <w:szCs w:val="21"/>
        </w:rPr>
        <w:t>年度母公司实现净利润</w:t>
      </w:r>
      <w:r>
        <w:rPr>
          <w:rFonts w:ascii="宋体" w:hAnsi="宋体" w:cs="宋体" w:eastAsia="宋体" w:hint="default"/>
          <w:spacing w:val="12"/>
          <w:sz w:val="21"/>
          <w:szCs w:val="21"/>
        </w:rPr>
        <w:t> </w:t>
      </w:r>
      <w:r>
        <w:rPr>
          <w:rFonts w:ascii="宋体" w:hAnsi="宋体" w:cs="宋体" w:eastAsia="宋体" w:hint="default"/>
          <w:sz w:val="21"/>
          <w:szCs w:val="21"/>
        </w:rPr>
        <w:t>5,828</w:t>
      </w:r>
      <w:r>
        <w:rPr>
          <w:rFonts w:ascii="宋体" w:hAnsi="宋体" w:cs="宋体" w:eastAsia="宋体" w:hint="default"/>
          <w:w w:val="100"/>
          <w:sz w:val="21"/>
          <w:szCs w:val="21"/>
        </w:rPr>
        <w:t> </w:t>
      </w:r>
      <w:r>
        <w:rPr>
          <w:rFonts w:ascii="宋体" w:hAnsi="宋体" w:cs="宋体" w:eastAsia="宋体" w:hint="default"/>
          <w:spacing w:val="-4"/>
          <w:sz w:val="21"/>
          <w:szCs w:val="21"/>
        </w:rPr>
        <w:t>万元，按</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提取法定盈余公积后，当年可供股东分配的利润为</w:t>
      </w:r>
      <w:r>
        <w:rPr>
          <w:rFonts w:ascii="宋体" w:hAnsi="宋体" w:cs="宋体" w:eastAsia="宋体" w:hint="default"/>
          <w:spacing w:val="-53"/>
          <w:sz w:val="21"/>
          <w:szCs w:val="21"/>
        </w:rPr>
        <w:t> </w:t>
      </w:r>
      <w:r>
        <w:rPr>
          <w:rFonts w:ascii="宋体" w:hAnsi="宋体" w:cs="宋体" w:eastAsia="宋体" w:hint="default"/>
          <w:sz w:val="21"/>
          <w:szCs w:val="21"/>
        </w:rPr>
        <w:t>5,245</w:t>
      </w:r>
      <w:r>
        <w:rPr>
          <w:rFonts w:ascii="宋体" w:hAnsi="宋体" w:cs="宋体" w:eastAsia="宋体" w:hint="default"/>
          <w:spacing w:val="-54"/>
          <w:sz w:val="21"/>
          <w:szCs w:val="21"/>
        </w:rPr>
        <w:t> </w:t>
      </w:r>
      <w:r>
        <w:rPr>
          <w:rFonts w:ascii="宋体" w:hAnsi="宋体" w:cs="宋体" w:eastAsia="宋体" w:hint="default"/>
          <w:spacing w:val="-3"/>
          <w:sz w:val="21"/>
          <w:szCs w:val="21"/>
        </w:rPr>
        <w:t>万元，以前年度滚存</w:t>
      </w:r>
      <w:r>
        <w:rPr>
          <w:rFonts w:ascii="宋体" w:hAnsi="宋体" w:cs="宋体" w:eastAsia="宋体" w:hint="default"/>
          <w:w w:val="100"/>
          <w:sz w:val="21"/>
          <w:szCs w:val="21"/>
        </w:rPr>
        <w:t> </w:t>
      </w:r>
      <w:r>
        <w:rPr>
          <w:rFonts w:ascii="宋体" w:hAnsi="宋体" w:cs="宋体" w:eastAsia="宋体" w:hint="default"/>
          <w:sz w:val="21"/>
          <w:szCs w:val="21"/>
        </w:rPr>
        <w:t>的可供股东分配的利润为</w:t>
      </w:r>
      <w:r>
        <w:rPr>
          <w:rFonts w:ascii="宋体" w:hAnsi="宋体" w:cs="宋体" w:eastAsia="宋体" w:hint="default"/>
          <w:spacing w:val="-56"/>
          <w:sz w:val="21"/>
          <w:szCs w:val="21"/>
        </w:rPr>
        <w:t> </w:t>
      </w:r>
      <w:r>
        <w:rPr>
          <w:rFonts w:ascii="宋体" w:hAnsi="宋体" w:cs="宋体" w:eastAsia="宋体" w:hint="default"/>
          <w:sz w:val="21"/>
          <w:szCs w:val="21"/>
        </w:rPr>
        <w:t>8,386</w:t>
      </w:r>
      <w:r>
        <w:rPr>
          <w:rFonts w:ascii="宋体" w:hAnsi="宋体" w:cs="宋体" w:eastAsia="宋体" w:hint="default"/>
          <w:spacing w:val="-56"/>
          <w:sz w:val="21"/>
          <w:szCs w:val="21"/>
        </w:rPr>
        <w:t> </w:t>
      </w:r>
      <w:r>
        <w:rPr>
          <w:rFonts w:ascii="宋体" w:hAnsi="宋体" w:cs="宋体" w:eastAsia="宋体" w:hint="default"/>
          <w:sz w:val="21"/>
          <w:szCs w:val="21"/>
        </w:rPr>
        <w:t>万元，公司目前可供股东分配的利润为</w:t>
      </w:r>
      <w:r>
        <w:rPr>
          <w:rFonts w:ascii="宋体" w:hAnsi="宋体" w:cs="宋体" w:eastAsia="宋体" w:hint="default"/>
          <w:spacing w:val="-54"/>
          <w:sz w:val="21"/>
          <w:szCs w:val="21"/>
        </w:rPr>
        <w:t> </w:t>
      </w:r>
      <w:r>
        <w:rPr>
          <w:rFonts w:ascii="宋体" w:hAnsi="宋体" w:cs="宋体" w:eastAsia="宋体" w:hint="default"/>
          <w:sz w:val="21"/>
          <w:szCs w:val="21"/>
        </w:rPr>
        <w:t>13,631</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355" w:lineRule="auto" w:before="32"/>
        <w:ind w:left="678" w:right="3898" w:firstLine="0"/>
        <w:jc w:val="left"/>
        <w:rPr>
          <w:rFonts w:ascii="宋体" w:hAnsi="宋体" w:cs="宋体" w:eastAsia="宋体" w:hint="default"/>
          <w:sz w:val="21"/>
          <w:szCs w:val="21"/>
        </w:rPr>
      </w:pPr>
      <w:r>
        <w:rPr>
          <w:rFonts w:ascii="宋体" w:hAnsi="宋体" w:cs="宋体" w:eastAsia="宋体" w:hint="default"/>
          <w:sz w:val="21"/>
          <w:szCs w:val="21"/>
        </w:rPr>
        <w:t>根据公司生产经营的需要，建议</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年度利润分配预案如下：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、按净利润的</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％提取任意盈余公积</w:t>
      </w:r>
      <w:r>
        <w:rPr>
          <w:rFonts w:ascii="宋体" w:hAnsi="宋体" w:cs="宋体" w:eastAsia="宋体" w:hint="default"/>
          <w:spacing w:val="-52"/>
          <w:sz w:val="21"/>
          <w:szCs w:val="21"/>
        </w:rPr>
        <w:t> </w:t>
      </w:r>
      <w:r>
        <w:rPr>
          <w:rFonts w:ascii="宋体" w:hAnsi="宋体" w:cs="宋体" w:eastAsia="宋体" w:hint="default"/>
          <w:sz w:val="21"/>
          <w:szCs w:val="21"/>
        </w:rPr>
        <w:t>291</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34"/>
        <w:ind w:left="678"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2</w:t>
      </w:r>
      <w:r>
        <w:rPr>
          <w:rFonts w:ascii="宋体" w:hAnsi="宋体" w:cs="宋体" w:eastAsia="宋体" w:hint="default"/>
          <w:w w:val="100"/>
          <w:sz w:val="21"/>
          <w:szCs w:val="21"/>
        </w:rPr>
        <w:t>4,1</w:t>
      </w:r>
      <w:r>
        <w:rPr>
          <w:rFonts w:ascii="宋体" w:hAnsi="宋体" w:cs="宋体" w:eastAsia="宋体" w:hint="default"/>
          <w:spacing w:val="-3"/>
          <w:w w:val="100"/>
          <w:sz w:val="21"/>
          <w:szCs w:val="21"/>
        </w:rPr>
        <w:t>2</w:t>
      </w:r>
      <w:r>
        <w:rPr>
          <w:rFonts w:ascii="宋体" w:hAnsi="宋体" w:cs="宋体" w:eastAsia="宋体" w:hint="default"/>
          <w:w w:val="100"/>
          <w:sz w:val="21"/>
          <w:szCs w:val="21"/>
        </w:rPr>
        <w:t>4</w:t>
      </w:r>
      <w:r>
        <w:rPr>
          <w:rFonts w:ascii="宋体" w:hAnsi="宋体" w:cs="宋体" w:eastAsia="宋体" w:hint="default"/>
          <w:spacing w:val="-3"/>
          <w:w w:val="100"/>
          <w:sz w:val="21"/>
          <w:szCs w:val="21"/>
        </w:rPr>
        <w:t>,</w:t>
      </w:r>
      <w:r>
        <w:rPr>
          <w:rFonts w:ascii="宋体" w:hAnsi="宋体" w:cs="宋体" w:eastAsia="宋体" w:hint="default"/>
          <w:w w:val="100"/>
          <w:sz w:val="21"/>
          <w:szCs w:val="21"/>
        </w:rPr>
        <w:t>172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w:t>
      </w:r>
      <w:r>
        <w:rPr>
          <w:rFonts w:ascii="宋体" w:hAnsi="宋体" w:cs="宋体" w:eastAsia="宋体" w:hint="default"/>
          <w:spacing w:val="-55"/>
          <w:sz w:val="21"/>
          <w:szCs w:val="21"/>
        </w:rPr>
        <w:t> </w:t>
      </w:r>
      <w:r>
        <w:rPr>
          <w:rFonts w:ascii="宋体" w:hAnsi="宋体" w:cs="宋体" w:eastAsia="宋体" w:hint="default"/>
          <w:spacing w:val="-22"/>
          <w:w w:val="100"/>
          <w:sz w:val="21"/>
          <w:szCs w:val="21"/>
        </w:rPr>
        <w:t>元</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25"/>
          <w:w w:val="100"/>
          <w:sz w:val="21"/>
          <w:szCs w:val="21"/>
        </w:rPr>
        <w:t>，</w:t>
      </w:r>
      <w:r>
        <w:rPr>
          <w:rFonts w:ascii="宋体" w:hAnsi="宋体" w:cs="宋体" w:eastAsia="宋体" w:hint="default"/>
          <w:w w:val="100"/>
          <w:sz w:val="21"/>
          <w:szCs w:val="21"/>
        </w:rPr>
        <w:t>向</w:t>
      </w:r>
    </w:p>
    <w:p>
      <w:pPr>
        <w:spacing w:before="133"/>
        <w:ind w:left="258" w:right="0" w:firstLine="0"/>
        <w:jc w:val="left"/>
        <w:rPr>
          <w:rFonts w:ascii="宋体" w:hAnsi="宋体" w:cs="宋体" w:eastAsia="宋体" w:hint="default"/>
          <w:sz w:val="21"/>
          <w:szCs w:val="21"/>
        </w:rPr>
      </w:pPr>
      <w:r>
        <w:rPr>
          <w:rFonts w:ascii="宋体" w:hAnsi="宋体" w:cs="宋体" w:eastAsia="宋体" w:hint="default"/>
          <w:sz w:val="21"/>
          <w:szCs w:val="21"/>
        </w:rPr>
        <w:t>股东派现人民币</w:t>
      </w:r>
      <w:r>
        <w:rPr>
          <w:rFonts w:ascii="宋体" w:hAnsi="宋体" w:cs="宋体" w:eastAsia="宋体" w:hint="default"/>
          <w:spacing w:val="-56"/>
          <w:sz w:val="21"/>
          <w:szCs w:val="21"/>
        </w:rPr>
        <w:t> </w:t>
      </w:r>
      <w:r>
        <w:rPr>
          <w:rFonts w:ascii="宋体" w:hAnsi="宋体" w:cs="宋体" w:eastAsia="宋体" w:hint="default"/>
          <w:sz w:val="21"/>
          <w:szCs w:val="21"/>
        </w:rPr>
        <w:t>24,824,834.40</w:t>
      </w:r>
      <w:r>
        <w:rPr>
          <w:rFonts w:ascii="宋体" w:hAnsi="宋体" w:cs="宋体" w:eastAsia="宋体" w:hint="default"/>
          <w:spacing w:val="-57"/>
          <w:sz w:val="21"/>
          <w:szCs w:val="21"/>
        </w:rPr>
        <w:t> </w:t>
      </w:r>
      <w:r>
        <w:rPr>
          <w:rFonts w:ascii="宋体" w:hAnsi="宋体" w:cs="宋体" w:eastAsia="宋体" w:hint="default"/>
          <w:sz w:val="21"/>
          <w:szCs w:val="21"/>
        </w:rPr>
        <w:t>元，剩余未分配利润结转以后年度分配。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6"/>
        <w:ind w:left="258" w:right="0" w:firstLine="0"/>
        <w:jc w:val="left"/>
        <w:rPr>
          <w:rFonts w:ascii="宋体" w:hAnsi="宋体" w:cs="宋体" w:eastAsia="宋体" w:hint="default"/>
          <w:sz w:val="21"/>
          <w:szCs w:val="21"/>
        </w:rPr>
      </w:pPr>
      <w:r>
        <w:rPr>
          <w:rFonts w:ascii="宋体" w:hAnsi="宋体" w:cs="宋体" w:eastAsia="宋体" w:hint="default"/>
          <w:sz w:val="21"/>
          <w:szCs w:val="21"/>
        </w:rPr>
        <w:t>（二）公司前三年现金分红情况</w:t>
      </w:r>
    </w:p>
    <w:p>
      <w:pPr>
        <w:spacing w:before="133"/>
        <w:ind w:left="6784" w:right="0" w:firstLine="0"/>
        <w:jc w:val="lef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19"/>
        <w:gridCol w:w="2336"/>
        <w:gridCol w:w="2470"/>
        <w:gridCol w:w="2861"/>
      </w:tblGrid>
      <w:tr>
        <w:trPr>
          <w:trHeight w:val="122" w:hRule="exact"/>
        </w:trPr>
        <w:tc>
          <w:tcPr>
            <w:tcW w:w="919" w:type="dxa"/>
            <w:tcBorders>
              <w:top w:val="single" w:sz="4" w:space="0" w:color="000000"/>
              <w:left w:val="single" w:sz="4" w:space="0" w:color="000000"/>
              <w:bottom w:val="nil" w:sz="6" w:space="0" w:color="auto"/>
              <w:right w:val="single" w:sz="4" w:space="0" w:color="000000"/>
            </w:tcBorders>
            <w:shd w:val="clear" w:color="auto" w:fill="DCDCDC"/>
          </w:tcPr>
          <w:p>
            <w:pPr/>
          </w:p>
        </w:tc>
        <w:tc>
          <w:tcPr>
            <w:tcW w:w="2336" w:type="dxa"/>
            <w:tcBorders>
              <w:top w:val="single" w:sz="4" w:space="0" w:color="000000"/>
              <w:left w:val="single" w:sz="4" w:space="0" w:color="000000"/>
              <w:bottom w:val="nil" w:sz="6" w:space="0" w:color="auto"/>
              <w:right w:val="single" w:sz="4" w:space="0" w:color="000000"/>
            </w:tcBorders>
            <w:shd w:val="clear" w:color="auto" w:fill="DCDCDC"/>
          </w:tcPr>
          <w:p>
            <w:pPr/>
          </w:p>
        </w:tc>
        <w:tc>
          <w:tcPr>
            <w:tcW w:w="247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合并报表中归属于母公司所有</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者的净利润</w:t>
            </w:r>
          </w:p>
        </w:tc>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占合并报表中归属于母公司所有者</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的净利润的比率</w:t>
            </w:r>
          </w:p>
        </w:tc>
      </w:tr>
      <w:tr>
        <w:trPr>
          <w:trHeight w:val="355" w:hRule="exact"/>
        </w:trPr>
        <w:tc>
          <w:tcPr>
            <w:tcW w:w="919" w:type="dxa"/>
            <w:tcBorders>
              <w:top w:val="nil" w:sz="6" w:space="0" w:color="auto"/>
              <w:left w:val="single" w:sz="4" w:space="0" w:color="000000"/>
              <w:bottom w:val="single" w:sz="4" w:space="0" w:color="000000"/>
              <w:right w:val="single" w:sz="4" w:space="0" w:color="000000"/>
            </w:tcBorders>
            <w:shd w:val="clear" w:color="auto" w:fill="DCDCDC"/>
          </w:tcPr>
          <w:p>
            <w:pPr/>
          </w:p>
        </w:tc>
        <w:tc>
          <w:tcPr>
            <w:tcW w:w="233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70" w:type="dxa"/>
            <w:vMerge/>
            <w:tcBorders>
              <w:left w:val="single" w:sz="4" w:space="0" w:color="000000"/>
              <w:bottom w:val="single" w:sz="4" w:space="0" w:color="000000"/>
              <w:right w:val="single" w:sz="4" w:space="0" w:color="000000"/>
            </w:tcBorders>
            <w:shd w:val="clear" w:color="auto" w:fill="DCDCDC"/>
          </w:tcPr>
          <w:p>
            <w:pPr/>
          </w:p>
        </w:tc>
        <w:tc>
          <w:tcPr>
            <w:tcW w:w="2861" w:type="dxa"/>
            <w:vMerge/>
            <w:tcBorders>
              <w:left w:val="single" w:sz="4" w:space="0" w:color="000000"/>
              <w:bottom w:val="single" w:sz="4" w:space="0" w:color="000000"/>
              <w:right w:val="single" w:sz="4" w:space="0" w:color="000000"/>
            </w:tcBorders>
            <w:shd w:val="clear" w:color="auto" w:fill="DCDCDC"/>
          </w:tcPr>
          <w:p>
            <w:pPr/>
          </w:p>
        </w:tc>
      </w:tr>
      <w:tr>
        <w:trPr>
          <w:trHeight w:val="242" w:hRule="exact"/>
        </w:trPr>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6" w:type="dxa"/>
            <w:tcBorders>
              <w:top w:val="single" w:sz="51" w:space="0" w:color="DCDCDC"/>
              <w:left w:val="single" w:sz="13" w:space="0" w:color="DCDCDC"/>
              <w:bottom w:val="single" w:sz="4" w:space="0" w:color="000000"/>
              <w:right w:val="single" w:sz="4" w:space="0" w:color="000000"/>
            </w:tcBorders>
          </w:tcPr>
          <w:p>
            <w:pPr>
              <w:pStyle w:val="TableParagraph"/>
              <w:spacing w:line="155" w:lineRule="exact"/>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74,026,819.95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44.58%</w:t>
            </w:r>
          </w:p>
        </w:tc>
      </w:tr>
      <w:tr>
        <w:trPr>
          <w:trHeight w:val="245" w:hRule="exact"/>
        </w:trPr>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29,700,000.00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59,164,447.56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50.20%</w:t>
            </w:r>
          </w:p>
        </w:tc>
      </w:tr>
      <w:tr>
        <w:trPr>
          <w:trHeight w:val="242" w:hRule="exact"/>
        </w:trPr>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29,700,000.00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56,067,614.27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52.97%</w:t>
            </w:r>
          </w:p>
        </w:tc>
      </w:tr>
    </w:tbl>
    <w:p>
      <w:pPr>
        <w:spacing w:line="240" w:lineRule="auto" w:before="11"/>
        <w:rPr>
          <w:rFonts w:ascii="宋体" w:hAnsi="宋体" w:cs="宋体" w:eastAsia="宋体" w:hint="default"/>
          <w:sz w:val="25"/>
          <w:szCs w:val="25"/>
        </w:rPr>
      </w:pPr>
    </w:p>
    <w:p>
      <w:pPr>
        <w:spacing w:line="357" w:lineRule="auto" w:before="36"/>
        <w:ind w:left="678" w:right="5626" w:hanging="420"/>
        <w:jc w:val="left"/>
        <w:rPr>
          <w:rFonts w:ascii="宋体" w:hAnsi="宋体" w:cs="宋体" w:eastAsia="宋体" w:hint="default"/>
          <w:sz w:val="21"/>
          <w:szCs w:val="21"/>
        </w:rPr>
      </w:pPr>
      <w:r>
        <w:rPr>
          <w:rFonts w:ascii="宋体" w:hAnsi="宋体" w:cs="宋体" w:eastAsia="宋体" w:hint="default"/>
          <w:b/>
          <w:bCs/>
          <w:sz w:val="21"/>
          <w:szCs w:val="21"/>
        </w:rPr>
        <w:t>五、其它需要披露的事项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、公司投资者关系管理</w:t>
      </w:r>
    </w:p>
    <w:p>
      <w:pPr>
        <w:spacing w:line="333" w:lineRule="auto" w:before="30"/>
        <w:ind w:left="2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公司董事会秘书齐利国先生为投资者关系管理负责人，公司证券事务办公室负责投资者</w:t>
      </w:r>
      <w:r>
        <w:rPr>
          <w:rFonts w:ascii="宋体" w:hAnsi="宋体" w:cs="宋体" w:eastAsia="宋体" w:hint="default"/>
          <w:w w:val="100"/>
          <w:sz w:val="21"/>
          <w:szCs w:val="21"/>
        </w:rPr>
        <w:t> </w:t>
      </w:r>
      <w:r>
        <w:rPr>
          <w:rFonts w:ascii="宋体" w:hAnsi="宋体" w:cs="宋体" w:eastAsia="宋体" w:hint="default"/>
          <w:sz w:val="21"/>
          <w:szCs w:val="21"/>
        </w:rPr>
        <w:t>关系管理的日常事务。</w:t>
      </w:r>
    </w:p>
    <w:p>
      <w:pPr>
        <w:spacing w:line="331" w:lineRule="auto" w:before="25"/>
        <w:ind w:left="258" w:right="0" w:firstLine="479"/>
        <w:jc w:val="left"/>
        <w:rPr>
          <w:rFonts w:ascii="宋体" w:hAnsi="宋体" w:cs="宋体" w:eastAsia="宋体" w:hint="default"/>
          <w:sz w:val="21"/>
          <w:szCs w:val="21"/>
        </w:rPr>
      </w:pPr>
      <w:r>
        <w:rPr>
          <w:rFonts w:ascii="宋体" w:hAnsi="宋体" w:cs="宋体" w:eastAsia="宋体" w:hint="default"/>
          <w:sz w:val="21"/>
          <w:szCs w:val="21"/>
        </w:rPr>
        <w:t>公司重视投资者关系管理，积极接待投资者、新闻媒体的咨询和来访，加强同投资者</w:t>
      </w:r>
      <w:r>
        <w:rPr>
          <w:rFonts w:ascii="宋体" w:hAnsi="宋体" w:cs="宋体" w:eastAsia="宋体" w:hint="default"/>
          <w:w w:val="100"/>
          <w:sz w:val="21"/>
          <w:szCs w:val="21"/>
        </w:rPr>
        <w:t> </w:t>
      </w:r>
      <w:r>
        <w:rPr>
          <w:rFonts w:ascii="宋体" w:hAnsi="宋体" w:cs="宋体" w:eastAsia="宋体" w:hint="default"/>
          <w:sz w:val="21"/>
          <w:szCs w:val="21"/>
        </w:rPr>
        <w:t>和新闻媒体的交流和沟通，及时准确完整披露应该披露的信息。</w:t>
      </w:r>
    </w:p>
    <w:p>
      <w:pPr>
        <w:spacing w:line="338" w:lineRule="auto" w:before="20"/>
        <w:ind w:left="258" w:right="0" w:firstLine="47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、公司指定《证券时报》和巨潮网（</w:t>
      </w:r>
      <w:r>
        <w:rPr>
          <w:rFonts w:ascii="宋体" w:hAnsi="宋体" w:cs="宋体" w:eastAsia="宋体" w:hint="default"/>
          <w:color w:val="0000FF"/>
          <w:sz w:val="24"/>
          <w:szCs w:val="24"/>
        </w:rPr>
      </w:r>
      <w:hyperlink r:id="rId15">
        <w:r>
          <w:rPr>
            <w:rFonts w:ascii="宋体" w:hAnsi="宋体" w:cs="宋体" w:eastAsia="宋体" w:hint="default"/>
            <w:color w:val="0000FF"/>
            <w:sz w:val="24"/>
            <w:szCs w:val="24"/>
            <w:u w:val="single" w:color="0000FF"/>
          </w:rPr>
          <w:t>http://www.cninfo.com.cn</w:t>
        </w:r>
        <w:r>
          <w:rPr>
            <w:rFonts w:ascii="宋体" w:hAnsi="宋体" w:cs="宋体" w:eastAsia="宋体" w:hint="default"/>
            <w:color w:val="0000FF"/>
            <w:sz w:val="24"/>
            <w:szCs w:val="24"/>
          </w:rPr>
        </w:r>
      </w:hyperlink>
      <w:r>
        <w:rPr>
          <w:rFonts w:ascii="宋体" w:hAnsi="宋体" w:cs="宋体" w:eastAsia="宋体" w:hint="default"/>
          <w:sz w:val="21"/>
          <w:szCs w:val="21"/>
        </w:rPr>
        <w:t>）为刊登公司公</w:t>
      </w:r>
      <w:r>
        <w:rPr>
          <w:rFonts w:ascii="宋体" w:hAnsi="宋体" w:cs="宋体" w:eastAsia="宋体" w:hint="default"/>
          <w:w w:val="100"/>
          <w:sz w:val="21"/>
          <w:szCs w:val="21"/>
        </w:rPr>
        <w:t> </w:t>
      </w:r>
      <w:r>
        <w:rPr>
          <w:rFonts w:ascii="宋体" w:hAnsi="宋体" w:cs="宋体" w:eastAsia="宋体" w:hint="default"/>
          <w:sz w:val="21"/>
          <w:szCs w:val="21"/>
        </w:rPr>
        <w:t>告和其他需要披露信息的媒体。</w:t>
      </w:r>
    </w:p>
    <w:p>
      <w:pPr>
        <w:spacing w:after="0" w:line="338" w:lineRule="auto"/>
        <w:jc w:val="left"/>
        <w:rPr>
          <w:rFonts w:ascii="宋体" w:hAnsi="宋体" w:cs="宋体" w:eastAsia="宋体" w:hint="default"/>
          <w:sz w:val="21"/>
          <w:szCs w:val="21"/>
        </w:rPr>
        <w:sectPr>
          <w:pgSz w:w="11910" w:h="16840"/>
          <w:pgMar w:header="915" w:footer="1100" w:top="1100" w:bottom="1280" w:left="1540" w:right="0"/>
        </w:sectPr>
      </w:pPr>
    </w:p>
    <w:p>
      <w:pPr>
        <w:pStyle w:val="Heading1"/>
        <w:spacing w:line="391" w:lineRule="exact" w:before="0"/>
        <w:ind w:right="1179"/>
        <w:jc w:val="center"/>
        <w:rPr>
          <w:b w:val="0"/>
          <w:bCs w:val="0"/>
        </w:rPr>
      </w:pPr>
      <w:r>
        <w:rPr/>
        <w:pict>
          <v:group style="position:absolute;margin-left:88.103996pt;margin-top:41.999985pt;width:419.25pt;height:16.3500pt;mso-position-horizontal-relative:page;mso-position-vertical-relative:page;z-index:-74569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bookmarkStart w:name="_TOC_250003" w:id="8"/>
      <w:r>
        <w:rPr/>
        <w:t>第八节监事会报告</w:t>
      </w:r>
      <w:bookmarkEnd w:id="8"/>
      <w:r>
        <w:rPr>
          <w:b w:val="0"/>
          <w:bCs w:val="0"/>
        </w:rPr>
      </w:r>
    </w:p>
    <w:p>
      <w:pPr>
        <w:spacing w:line="240" w:lineRule="auto" w:before="6"/>
        <w:rPr>
          <w:rFonts w:ascii="宋体" w:hAnsi="宋体" w:cs="宋体" w:eastAsia="宋体" w:hint="default"/>
          <w:b/>
          <w:bCs/>
          <w:sz w:val="44"/>
          <w:szCs w:val="44"/>
        </w:rPr>
      </w:pPr>
    </w:p>
    <w:p>
      <w:pPr>
        <w:spacing w:line="355" w:lineRule="auto" w:before="0"/>
        <w:ind w:left="618" w:right="1680" w:hanging="480"/>
        <w:jc w:val="left"/>
        <w:rPr>
          <w:rFonts w:ascii="宋体" w:hAnsi="宋体" w:cs="宋体" w:eastAsia="宋体" w:hint="default"/>
          <w:sz w:val="21"/>
          <w:szCs w:val="21"/>
        </w:rPr>
      </w:pPr>
      <w:r>
        <w:rPr>
          <w:rFonts w:ascii="宋体" w:hAnsi="宋体" w:cs="宋体" w:eastAsia="宋体" w:hint="default"/>
          <w:b/>
          <w:bCs/>
          <w:sz w:val="21"/>
          <w:szCs w:val="21"/>
        </w:rPr>
        <w:t>一、监事会工作情况</w:t>
      </w:r>
      <w:r>
        <w:rPr>
          <w:rFonts w:ascii="宋体" w:hAnsi="宋体" w:cs="宋体" w:eastAsia="宋体" w:hint="default"/>
          <w:b/>
          <w:bCs/>
          <w:spacing w:val="-103"/>
          <w:sz w:val="21"/>
          <w:szCs w:val="21"/>
        </w:rPr>
        <w:t> </w:t>
      </w:r>
      <w:r>
        <w:rPr>
          <w:rFonts w:ascii="宋体" w:hAnsi="宋体" w:cs="宋体" w:eastAsia="宋体" w:hint="default"/>
          <w:spacing w:val="-13"/>
          <w:w w:val="100"/>
          <w:sz w:val="21"/>
          <w:szCs w:val="21"/>
        </w:rPr>
        <w:t>报告期内，监事会严格按照《公司法》、《公司章程》、《监事会议事规则》和有关法律、</w:t>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spacing w:val="-7"/>
          <w:sz w:val="21"/>
          <w:szCs w:val="21"/>
        </w:rPr>
        <w:t>法规的要求，遵守诚信原则，从切实维护公司利益和全体股东权益出发，认真履行监督职责，</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通过列席和出席董事会、股东大会、经理办公会，了解和掌握公司的经营决策、投资方案、</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生产经营情况，对公司董事、总经理和其他高级管理人员的尽职尽责情况进行了监督，维护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了公司利益和全体股东的合法权益。报告期内，监事会运行情况如下：</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、报告期内，监事会成员列席了现场召开的董事会会议。</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、报告期内，各次股东大会均有监事出席，并作为监票人进行了监票。</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、报告期内，公司监事会共召开了</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次会议，各次会议情况如下：</w:t>
      </w:r>
    </w:p>
    <w:p>
      <w:pPr>
        <w:spacing w:before="135"/>
        <w:ind w:left="0" w:right="1355" w:firstLine="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第三届监事会第三次会议于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日以现场会议方式召开，形成如下决议：</w:t>
      </w:r>
    </w:p>
    <w:p>
      <w:pPr>
        <w:spacing w:before="133"/>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a</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事会</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009</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5" w:lineRule="auto" w:before="133"/>
        <w:ind w:left="558" w:right="5314" w:firstLine="0"/>
        <w:jc w:val="left"/>
        <w:rPr>
          <w:rFonts w:ascii="宋体" w:hAnsi="宋体" w:cs="宋体" w:eastAsia="宋体" w:hint="default"/>
          <w:sz w:val="21"/>
          <w:szCs w:val="21"/>
        </w:rPr>
      </w:pPr>
      <w:r>
        <w:rPr>
          <w:rFonts w:ascii="宋体" w:hAnsi="宋体" w:cs="宋体" w:eastAsia="宋体" w:hint="default"/>
          <w:spacing w:val="-2"/>
          <w:w w:val="100"/>
          <w:sz w:val="21"/>
          <w:szCs w:val="21"/>
        </w:rPr>
        <w:t>b</w:t>
      </w:r>
      <w:r>
        <w:rPr>
          <w:rFonts w:ascii="宋体" w:hAnsi="宋体" w:cs="宋体" w:eastAsia="宋体" w:hint="default"/>
          <w:spacing w:val="-2"/>
          <w:w w:val="100"/>
          <w:sz w:val="21"/>
          <w:szCs w:val="21"/>
        </w:rPr>
        <w:t>、审议通过了《董事会</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2009</w:t>
      </w:r>
      <w:r>
        <w:rPr>
          <w:rFonts w:ascii="宋体" w:hAnsi="宋体" w:cs="宋体" w:eastAsia="宋体" w:hint="default"/>
          <w:spacing w:val="-50"/>
          <w:w w:val="100"/>
          <w:sz w:val="21"/>
          <w:szCs w:val="21"/>
        </w:rPr>
        <w:t> </w:t>
      </w:r>
      <w:r>
        <w:rPr>
          <w:rFonts w:ascii="宋体" w:hAnsi="宋体" w:cs="宋体" w:eastAsia="宋体" w:hint="default"/>
          <w:spacing w:val="-15"/>
          <w:w w:val="100"/>
          <w:sz w:val="21"/>
          <w:szCs w:val="21"/>
        </w:rPr>
        <w:t>年度工作报告》；</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c</w:t>
      </w:r>
      <w:r>
        <w:rPr>
          <w:rFonts w:ascii="宋体" w:hAnsi="宋体" w:cs="宋体" w:eastAsia="宋体" w:hint="default"/>
          <w:sz w:val="21"/>
          <w:szCs w:val="21"/>
        </w:rPr>
        <w:t>、审议通过了《</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年年度报告》及其摘要；</w:t>
      </w:r>
    </w:p>
    <w:p>
      <w:pPr>
        <w:spacing w:line="357" w:lineRule="auto" w:before="32"/>
        <w:ind w:left="138" w:right="1789" w:firstLine="419"/>
        <w:jc w:val="left"/>
        <w:rPr>
          <w:rFonts w:ascii="宋体" w:hAnsi="宋体" w:cs="宋体" w:eastAsia="宋体" w:hint="default"/>
          <w:sz w:val="21"/>
          <w:szCs w:val="21"/>
        </w:rPr>
      </w:pPr>
      <w:r>
        <w:rPr>
          <w:rFonts w:ascii="宋体" w:hAnsi="宋体" w:cs="宋体" w:eastAsia="宋体" w:hint="default"/>
          <w:spacing w:val="-1"/>
          <w:sz w:val="21"/>
          <w:szCs w:val="21"/>
        </w:rPr>
        <w:t>d</w:t>
      </w:r>
      <w:r>
        <w:rPr>
          <w:rFonts w:ascii="宋体" w:hAnsi="宋体" w:cs="宋体" w:eastAsia="宋体" w:hint="default"/>
          <w:spacing w:val="-1"/>
          <w:sz w:val="21"/>
          <w:szCs w:val="21"/>
        </w:rPr>
        <w:t>、审议通过了《关于募集资金年度使用情况的专项报告》和《关于前次募集资金使用</w:t>
      </w:r>
      <w:r>
        <w:rPr>
          <w:rFonts w:ascii="宋体" w:hAnsi="宋体" w:cs="宋体" w:eastAsia="宋体" w:hint="default"/>
          <w:w w:val="100"/>
          <w:sz w:val="21"/>
          <w:szCs w:val="21"/>
        </w:rPr>
        <w:t> </w:t>
      </w:r>
      <w:r>
        <w:rPr>
          <w:rFonts w:ascii="宋体" w:hAnsi="宋体" w:cs="宋体" w:eastAsia="宋体" w:hint="default"/>
          <w:spacing w:val="-16"/>
          <w:w w:val="100"/>
          <w:sz w:val="21"/>
          <w:szCs w:val="21"/>
        </w:rPr>
        <w:t>情况的报告》；</w:t>
      </w:r>
    </w:p>
    <w:p>
      <w:pPr>
        <w:spacing w:line="357" w:lineRule="auto" w:before="30"/>
        <w:ind w:left="558" w:right="1789" w:firstLine="0"/>
        <w:jc w:val="left"/>
        <w:rPr>
          <w:rFonts w:ascii="宋体" w:hAnsi="宋体" w:cs="宋体" w:eastAsia="宋体" w:hint="default"/>
          <w:sz w:val="21"/>
          <w:szCs w:val="21"/>
        </w:rPr>
      </w:pPr>
      <w:r>
        <w:rPr>
          <w:rFonts w:ascii="宋体" w:hAnsi="宋体" w:cs="宋体" w:eastAsia="宋体" w:hint="default"/>
          <w:spacing w:val="-2"/>
          <w:w w:val="100"/>
          <w:sz w:val="21"/>
          <w:szCs w:val="21"/>
        </w:rPr>
        <w:t>e</w:t>
      </w:r>
      <w:r>
        <w:rPr>
          <w:rFonts w:ascii="宋体" w:hAnsi="宋体" w:cs="宋体" w:eastAsia="宋体" w:hint="default"/>
          <w:spacing w:val="-2"/>
          <w:w w:val="100"/>
          <w:sz w:val="21"/>
          <w:szCs w:val="21"/>
        </w:rPr>
        <w:t>、审议通过了《</w:t>
      </w:r>
      <w:r>
        <w:rPr>
          <w:rFonts w:ascii="宋体" w:hAnsi="宋体" w:cs="宋体" w:eastAsia="宋体" w:hint="default"/>
          <w:spacing w:val="-2"/>
          <w:w w:val="100"/>
          <w:sz w:val="21"/>
          <w:szCs w:val="21"/>
        </w:rPr>
        <w:t>2009</w:t>
      </w:r>
      <w:r>
        <w:rPr>
          <w:rFonts w:ascii="宋体" w:hAnsi="宋体" w:cs="宋体" w:eastAsia="宋体" w:hint="default"/>
          <w:spacing w:val="-53"/>
          <w:w w:val="100"/>
          <w:sz w:val="21"/>
          <w:szCs w:val="21"/>
        </w:rPr>
        <w:t> </w:t>
      </w:r>
      <w:r>
        <w:rPr>
          <w:rFonts w:ascii="宋体" w:hAnsi="宋体" w:cs="宋体" w:eastAsia="宋体" w:hint="default"/>
          <w:spacing w:val="-18"/>
          <w:w w:val="100"/>
          <w:sz w:val="21"/>
          <w:szCs w:val="21"/>
        </w:rPr>
        <w:t>年内部控制自我评价报告》；</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6"/>
          <w:w w:val="100"/>
          <w:sz w:val="21"/>
          <w:szCs w:val="21"/>
        </w:rPr>
        <w:t>f</w:t>
      </w:r>
      <w:r>
        <w:rPr>
          <w:rFonts w:ascii="宋体" w:hAnsi="宋体" w:cs="宋体" w:eastAsia="宋体" w:hint="default"/>
          <w:spacing w:val="-6"/>
          <w:w w:val="100"/>
          <w:sz w:val="21"/>
          <w:szCs w:val="21"/>
        </w:rPr>
        <w:t>、审议通过了《关于向控股子公司提供财务资助的议案》；</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g</w:t>
      </w:r>
      <w:r>
        <w:rPr>
          <w:rFonts w:ascii="宋体" w:hAnsi="宋体" w:cs="宋体" w:eastAsia="宋体" w:hint="default"/>
          <w:sz w:val="21"/>
          <w:szCs w:val="21"/>
        </w:rPr>
        <w:t>、审议通过了《关于办理银行授信业务的议案》</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7"/>
          <w:w w:val="100"/>
          <w:sz w:val="21"/>
          <w:szCs w:val="21"/>
        </w:rPr>
        <w:t>h</w:t>
      </w:r>
      <w:r>
        <w:rPr>
          <w:rFonts w:ascii="宋体" w:hAnsi="宋体" w:cs="宋体" w:eastAsia="宋体" w:hint="default"/>
          <w:spacing w:val="-7"/>
          <w:w w:val="100"/>
          <w:sz w:val="21"/>
          <w:szCs w:val="21"/>
        </w:rPr>
        <w:t>、审议并通过了《独立董事述职报告》。</w:t>
      </w:r>
    </w:p>
    <w:p>
      <w:pPr>
        <w:spacing w:line="355" w:lineRule="auto" w:before="32"/>
        <w:ind w:left="138" w:right="178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第三届监事会第四次会议于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日以通讯表决的方式召开，审议并通过</w:t>
      </w:r>
      <w:r>
        <w:rPr>
          <w:rFonts w:ascii="宋体" w:hAnsi="宋体" w:cs="宋体" w:eastAsia="宋体" w:hint="default"/>
          <w:w w:val="100"/>
          <w:sz w:val="21"/>
          <w:szCs w:val="21"/>
        </w:rPr>
        <w:t> </w:t>
      </w:r>
      <w:r>
        <w:rPr>
          <w:rFonts w:ascii="宋体" w:hAnsi="宋体" w:cs="宋体" w:eastAsia="宋体" w:hint="default"/>
          <w:spacing w:val="-1"/>
          <w:w w:val="100"/>
          <w:sz w:val="21"/>
          <w:szCs w:val="21"/>
        </w:rPr>
        <w:t>了《</w:t>
      </w:r>
      <w:r>
        <w:rPr>
          <w:rFonts w:ascii="宋体" w:hAnsi="宋体" w:cs="宋体" w:eastAsia="宋体" w:hint="default"/>
          <w:spacing w:val="-1"/>
          <w:w w:val="100"/>
          <w:sz w:val="21"/>
          <w:szCs w:val="21"/>
        </w:rPr>
        <w:t>2010</w:t>
      </w:r>
      <w:r>
        <w:rPr>
          <w:rFonts w:ascii="宋体" w:hAnsi="宋体" w:cs="宋体" w:eastAsia="宋体" w:hint="default"/>
          <w:spacing w:val="-48"/>
          <w:w w:val="100"/>
          <w:sz w:val="21"/>
          <w:szCs w:val="21"/>
        </w:rPr>
        <w:t> </w:t>
      </w:r>
      <w:r>
        <w:rPr>
          <w:rFonts w:ascii="宋体" w:hAnsi="宋体" w:cs="宋体" w:eastAsia="宋体" w:hint="default"/>
          <w:spacing w:val="-15"/>
          <w:w w:val="100"/>
          <w:sz w:val="21"/>
          <w:szCs w:val="21"/>
        </w:rPr>
        <w:t>年一季度报告》。</w:t>
      </w:r>
    </w:p>
    <w:p>
      <w:pPr>
        <w:spacing w:line="355" w:lineRule="auto" w:before="32"/>
        <w:ind w:left="138" w:right="1784"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第三届监事会第五次会议于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日以通讯表决的方式召开，审议并通过</w:t>
      </w:r>
      <w:r>
        <w:rPr>
          <w:rFonts w:ascii="宋体" w:hAnsi="宋体" w:cs="宋体" w:eastAsia="宋体" w:hint="default"/>
          <w:w w:val="100"/>
          <w:sz w:val="21"/>
          <w:szCs w:val="21"/>
        </w:rPr>
        <w:t> </w:t>
      </w:r>
      <w:r>
        <w:rPr>
          <w:rFonts w:ascii="宋体" w:hAnsi="宋体" w:cs="宋体" w:eastAsia="宋体" w:hint="default"/>
          <w:sz w:val="21"/>
          <w:szCs w:val="21"/>
        </w:rPr>
        <w:t>了《</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年半年度报告》及其摘要。</w:t>
      </w:r>
    </w:p>
    <w:p>
      <w:pPr>
        <w:spacing w:line="355" w:lineRule="auto" w:before="34"/>
        <w:ind w:left="138" w:right="1784" w:firstLine="419"/>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第三届监事会第六次会议于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日以通讯表决的方式召开，审议并通过</w:t>
      </w:r>
      <w:r>
        <w:rPr>
          <w:rFonts w:ascii="宋体" w:hAnsi="宋体" w:cs="宋体" w:eastAsia="宋体" w:hint="default"/>
          <w:w w:val="100"/>
          <w:sz w:val="21"/>
          <w:szCs w:val="21"/>
        </w:rPr>
        <w:t> </w:t>
      </w:r>
      <w:r>
        <w:rPr>
          <w:rFonts w:ascii="宋体" w:hAnsi="宋体" w:cs="宋体" w:eastAsia="宋体" w:hint="default"/>
          <w:spacing w:val="-5"/>
          <w:w w:val="100"/>
          <w:sz w:val="21"/>
          <w:szCs w:val="21"/>
        </w:rPr>
        <w:t>了《关于以募集资金置换已投入募集资金项目的自筹资金的议案》。</w:t>
      </w:r>
    </w:p>
    <w:p>
      <w:pPr>
        <w:spacing w:line="355" w:lineRule="auto" w:before="33"/>
        <w:ind w:left="138" w:right="1787" w:firstLine="419"/>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届</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2"/>
          <w:w w:val="100"/>
          <w:sz w:val="21"/>
          <w:szCs w:val="21"/>
        </w:rPr>
        <w:t>第</w:t>
      </w:r>
      <w:r>
        <w:rPr>
          <w:rFonts w:ascii="宋体" w:hAnsi="宋体" w:cs="宋体" w:eastAsia="宋体" w:hint="default"/>
          <w:w w:val="100"/>
          <w:sz w:val="21"/>
          <w:szCs w:val="21"/>
        </w:rPr>
        <w:t>七</w:t>
      </w:r>
      <w:r>
        <w:rPr>
          <w:rFonts w:ascii="宋体" w:hAnsi="宋体" w:cs="宋体" w:eastAsia="宋体" w:hint="default"/>
          <w:spacing w:val="-3"/>
          <w:w w:val="100"/>
          <w:sz w:val="21"/>
          <w:szCs w:val="21"/>
        </w:rPr>
        <w:t>次会</w:t>
      </w:r>
      <w:r>
        <w:rPr>
          <w:rFonts w:ascii="宋体" w:hAnsi="宋体" w:cs="宋体" w:eastAsia="宋体" w:hint="default"/>
          <w:w w:val="100"/>
          <w:sz w:val="21"/>
          <w:szCs w:val="21"/>
        </w:rPr>
        <w:t>议于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日以</w:t>
      </w:r>
      <w:r>
        <w:rPr>
          <w:rFonts w:ascii="宋体" w:hAnsi="宋体" w:cs="宋体" w:eastAsia="宋体" w:hint="default"/>
          <w:w w:val="100"/>
          <w:sz w:val="21"/>
          <w:szCs w:val="21"/>
        </w:rPr>
        <w:t>通讯</w:t>
      </w:r>
      <w:r>
        <w:rPr>
          <w:rFonts w:ascii="宋体" w:hAnsi="宋体" w:cs="宋体" w:eastAsia="宋体" w:hint="default"/>
          <w:spacing w:val="-3"/>
          <w:w w:val="100"/>
          <w:sz w:val="21"/>
          <w:szCs w:val="21"/>
        </w:rPr>
        <w:t>表</w:t>
      </w:r>
      <w:r>
        <w:rPr>
          <w:rFonts w:ascii="宋体" w:hAnsi="宋体" w:cs="宋体" w:eastAsia="宋体" w:hint="default"/>
          <w:w w:val="100"/>
          <w:sz w:val="21"/>
          <w:szCs w:val="21"/>
        </w:rPr>
        <w:t>决</w:t>
      </w:r>
      <w:r>
        <w:rPr>
          <w:rFonts w:ascii="宋体" w:hAnsi="宋体" w:cs="宋体" w:eastAsia="宋体" w:hint="default"/>
          <w:spacing w:val="-3"/>
          <w:w w:val="100"/>
          <w:sz w:val="21"/>
          <w:szCs w:val="21"/>
        </w:rPr>
        <w:t>的</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审议</w:t>
      </w:r>
      <w:r>
        <w:rPr>
          <w:rFonts w:ascii="宋体" w:hAnsi="宋体" w:cs="宋体" w:eastAsia="宋体" w:hint="default"/>
          <w:w w:val="100"/>
          <w:sz w:val="21"/>
          <w:szCs w:val="21"/>
        </w:rPr>
        <w:t>并通过</w:t>
      </w:r>
      <w:r>
        <w:rPr>
          <w:rFonts w:ascii="宋体" w:hAnsi="宋体" w:cs="宋体" w:eastAsia="宋体" w:hint="default"/>
          <w:w w:val="100"/>
          <w:sz w:val="21"/>
          <w:szCs w:val="21"/>
        </w:rPr>
        <w:t> 了</w:t>
      </w:r>
      <w:r>
        <w:rPr>
          <w:rFonts w:ascii="宋体" w:hAnsi="宋体" w:cs="宋体" w:eastAsia="宋体" w:hint="default"/>
          <w:spacing w:val="-1"/>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三</w:t>
      </w:r>
      <w:r>
        <w:rPr>
          <w:rFonts w:ascii="宋体" w:hAnsi="宋体" w:cs="宋体" w:eastAsia="宋体" w:hint="default"/>
          <w:w w:val="100"/>
          <w:sz w:val="21"/>
          <w:szCs w:val="21"/>
        </w:rPr>
        <w:t>季</w:t>
      </w:r>
      <w:r>
        <w:rPr>
          <w:rFonts w:ascii="宋体" w:hAnsi="宋体" w:cs="宋体" w:eastAsia="宋体" w:hint="default"/>
          <w:spacing w:val="-3"/>
          <w:w w:val="100"/>
          <w:sz w:val="21"/>
          <w:szCs w:val="21"/>
        </w:rPr>
        <w:t>度</w:t>
      </w: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7" w:lineRule="auto" w:before="32"/>
        <w:ind w:left="138" w:right="1785" w:firstLine="419"/>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第三届监事会第八次会议于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日以通讯表决的方式召开，审议并通过</w:t>
      </w:r>
      <w:r>
        <w:rPr>
          <w:rFonts w:ascii="宋体" w:hAnsi="宋体" w:cs="宋体" w:eastAsia="宋体" w:hint="default"/>
          <w:w w:val="100"/>
          <w:sz w:val="21"/>
          <w:szCs w:val="21"/>
        </w:rPr>
        <w:t> </w:t>
      </w:r>
      <w:r>
        <w:rPr>
          <w:rFonts w:ascii="宋体" w:hAnsi="宋体" w:cs="宋体" w:eastAsia="宋体" w:hint="default"/>
          <w:spacing w:val="-6"/>
          <w:w w:val="100"/>
          <w:sz w:val="21"/>
          <w:szCs w:val="21"/>
        </w:rPr>
        <w:t>了《关于使用部分闲置募集资金暂时补充流动资金的议案》。</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、报告期内，监事会对</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年公司的生产经营活动及财务会计进行了有效的监督。</w:t>
      </w:r>
    </w:p>
    <w:p>
      <w:pPr>
        <w:spacing w:after="0"/>
        <w:jc w:val="left"/>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558" w:right="5975" w:hanging="42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67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b/>
          <w:bCs/>
          <w:sz w:val="21"/>
          <w:szCs w:val="21"/>
        </w:rPr>
        <w:t>二、监事会对</w:t>
      </w:r>
      <w:r>
        <w:rPr>
          <w:rFonts w:ascii="宋体" w:hAnsi="宋体" w:cs="宋体" w:eastAsia="宋体" w:hint="default"/>
          <w:b/>
          <w:bCs/>
          <w:spacing w:val="-53"/>
          <w:sz w:val="21"/>
          <w:szCs w:val="21"/>
        </w:rPr>
        <w:t> </w:t>
      </w: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年度有关事项的独立意见</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、公司依法运作情况</w:t>
      </w:r>
    </w:p>
    <w:p>
      <w:pPr>
        <w:spacing w:line="357" w:lineRule="auto" w:before="30"/>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报告期内，公司依照国家有关法律法规、公司章程的规定以及股东大会、董事会的决议</w:t>
      </w:r>
      <w:r>
        <w:rPr>
          <w:rFonts w:ascii="宋体" w:hAnsi="宋体" w:cs="宋体" w:eastAsia="宋体" w:hint="default"/>
          <w:w w:val="100"/>
          <w:sz w:val="21"/>
          <w:szCs w:val="21"/>
        </w:rPr>
        <w:t> </w:t>
      </w:r>
      <w:r>
        <w:rPr>
          <w:rFonts w:ascii="宋体" w:hAnsi="宋体" w:cs="宋体" w:eastAsia="宋体" w:hint="default"/>
          <w:spacing w:val="-4"/>
          <w:sz w:val="21"/>
          <w:szCs w:val="21"/>
        </w:rPr>
        <w:t>和授权运作，法人治理结构和内部控制制度比较合理规范；公司重大决策科学合理，决策程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序合法；公司董事、高级管理人员执行职务时能够勤勉尽责，没有发现违反法律法规、公司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章程或损害公司利益和股东合法权益的行为。对此，监事会表示肯定，并希望董事及高级管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理人员在今后的重大决策、经营管理过程中，进一步规范运作，防止出现损害公司利益和股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东利益的行为。</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、检查公司财务情况</w:t>
      </w:r>
      <w:r>
        <w:rPr>
          <w:rFonts w:ascii="宋体" w:hAnsi="宋体" w:cs="宋体" w:eastAsia="宋体" w:hint="default"/>
          <w:w w:val="100"/>
          <w:sz w:val="21"/>
          <w:szCs w:val="21"/>
        </w:rPr>
        <w:t> </w:t>
      </w:r>
      <w:r>
        <w:rPr>
          <w:rFonts w:ascii="宋体" w:hAnsi="宋体" w:cs="宋体" w:eastAsia="宋体" w:hint="default"/>
          <w:spacing w:val="-2"/>
          <w:sz w:val="21"/>
          <w:szCs w:val="21"/>
        </w:rPr>
        <w:t>报告期内，监事会对公司财务制度及财务状况进行了检查和审核，认为公司财务管理、</w:t>
      </w:r>
    </w:p>
    <w:p>
      <w:pPr>
        <w:spacing w:line="355" w:lineRule="auto" w:before="35"/>
        <w:ind w:left="138" w:right="1680" w:firstLine="0"/>
        <w:jc w:val="left"/>
        <w:rPr>
          <w:rFonts w:ascii="宋体" w:hAnsi="宋体" w:cs="宋体" w:eastAsia="宋体" w:hint="default"/>
          <w:sz w:val="21"/>
          <w:szCs w:val="21"/>
        </w:rPr>
      </w:pPr>
      <w:r>
        <w:rPr>
          <w:rFonts w:ascii="宋体" w:hAnsi="宋体" w:cs="宋体" w:eastAsia="宋体" w:hint="default"/>
          <w:spacing w:val="-7"/>
          <w:sz w:val="21"/>
          <w:szCs w:val="21"/>
        </w:rPr>
        <w:t>内控制度健全，会计无重大遗漏和虚假记载，公司财务状况、经营成果良好。财务报告真实、</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客观地反映了公司</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年度的财务状况和经营成果。</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、募投资金使用情况</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4"/>
          <w:sz w:val="21"/>
          <w:szCs w:val="21"/>
        </w:rPr>
        <w:t> </w:t>
      </w:r>
      <w:r>
        <w:rPr>
          <w:rFonts w:ascii="宋体" w:hAnsi="宋体" w:cs="宋体" w:eastAsia="宋体" w:hint="default"/>
          <w:sz w:val="21"/>
          <w:szCs w:val="21"/>
        </w:rPr>
        <w:t>年公司增发股票后，开立了募集资金专户，将募集资金专户存贮，并与保荐机构</w:t>
      </w:r>
    </w:p>
    <w:p>
      <w:pPr>
        <w:spacing w:before="133"/>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和银行</w:t>
      </w:r>
      <w:r>
        <w:rPr>
          <w:rFonts w:ascii="宋体" w:hAnsi="宋体" w:cs="宋体" w:eastAsia="宋体" w:hint="default"/>
          <w:spacing w:val="-3"/>
          <w:w w:val="100"/>
          <w:sz w:val="21"/>
          <w:szCs w:val="21"/>
        </w:rPr>
        <w:t>签</w:t>
      </w:r>
      <w:r>
        <w:rPr>
          <w:rFonts w:ascii="宋体" w:hAnsi="宋体" w:cs="宋体" w:eastAsia="宋体" w:hint="default"/>
          <w:w w:val="100"/>
          <w:sz w:val="21"/>
          <w:szCs w:val="21"/>
        </w:rPr>
        <w:t>订了《</w:t>
      </w:r>
      <w:r>
        <w:rPr>
          <w:rFonts w:ascii="宋体" w:hAnsi="宋体" w:cs="宋体" w:eastAsia="宋体" w:hint="default"/>
          <w:spacing w:val="-3"/>
          <w:w w:val="100"/>
          <w:sz w:val="21"/>
          <w:szCs w:val="21"/>
        </w:rPr>
        <w:t>三</w:t>
      </w:r>
      <w:r>
        <w:rPr>
          <w:rFonts w:ascii="宋体" w:hAnsi="宋体" w:cs="宋体" w:eastAsia="宋体" w:hint="default"/>
          <w:w w:val="100"/>
          <w:sz w:val="21"/>
          <w:szCs w:val="21"/>
        </w:rPr>
        <w:t>方监</w:t>
      </w:r>
      <w:r>
        <w:rPr>
          <w:rFonts w:ascii="宋体" w:hAnsi="宋体" w:cs="宋体" w:eastAsia="宋体" w:hint="default"/>
          <w:spacing w:val="-3"/>
          <w:w w:val="100"/>
          <w:sz w:val="21"/>
          <w:szCs w:val="21"/>
        </w:rPr>
        <w:t>管</w:t>
      </w:r>
      <w:r>
        <w:rPr>
          <w:rFonts w:ascii="宋体" w:hAnsi="宋体" w:cs="宋体" w:eastAsia="宋体" w:hint="default"/>
          <w:w w:val="100"/>
          <w:sz w:val="21"/>
          <w:szCs w:val="21"/>
        </w:rPr>
        <w:t>协议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董事会</w:t>
      </w:r>
      <w:r>
        <w:rPr>
          <w:rFonts w:ascii="宋体" w:hAnsi="宋体" w:cs="宋体" w:eastAsia="宋体" w:hint="default"/>
          <w:spacing w:val="-3"/>
          <w:w w:val="100"/>
          <w:sz w:val="21"/>
          <w:szCs w:val="21"/>
        </w:rPr>
        <w:t>和</w:t>
      </w:r>
      <w:r>
        <w:rPr>
          <w:rFonts w:ascii="宋体" w:hAnsi="宋体" w:cs="宋体" w:eastAsia="宋体" w:hint="default"/>
          <w:w w:val="100"/>
          <w:sz w:val="21"/>
          <w:szCs w:val="21"/>
        </w:rPr>
        <w:t>股东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会审议</w:t>
      </w:r>
      <w:r>
        <w:rPr>
          <w:rFonts w:ascii="宋体" w:hAnsi="宋体" w:cs="宋体" w:eastAsia="宋体" w:hint="default"/>
          <w:spacing w:val="-3"/>
          <w:w w:val="100"/>
          <w:sz w:val="21"/>
          <w:szCs w:val="21"/>
        </w:rPr>
        <w:t>，</w:t>
      </w:r>
      <w:r>
        <w:rPr>
          <w:rFonts w:ascii="宋体" w:hAnsi="宋体" w:cs="宋体" w:eastAsia="宋体" w:hint="default"/>
          <w:w w:val="100"/>
          <w:sz w:val="21"/>
          <w:szCs w:val="21"/>
        </w:rPr>
        <w:t>公司利</w:t>
      </w:r>
      <w:r>
        <w:rPr>
          <w:rFonts w:ascii="宋体" w:hAnsi="宋体" w:cs="宋体" w:eastAsia="宋体" w:hint="default"/>
          <w:spacing w:val="-3"/>
          <w:w w:val="100"/>
          <w:sz w:val="21"/>
          <w:szCs w:val="21"/>
        </w:rPr>
        <w:t>用</w:t>
      </w:r>
      <w:r>
        <w:rPr>
          <w:rFonts w:ascii="宋体" w:hAnsi="宋体" w:cs="宋体" w:eastAsia="宋体" w:hint="default"/>
          <w:w w:val="100"/>
          <w:sz w:val="21"/>
          <w:szCs w:val="21"/>
        </w:rPr>
        <w:t>闲置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集资金</w:t>
      </w:r>
      <w:r>
        <w:rPr>
          <w:rFonts w:ascii="宋体" w:hAnsi="宋体" w:cs="宋体" w:eastAsia="宋体" w:hint="default"/>
          <w:spacing w:val="1"/>
          <w:sz w:val="21"/>
          <w:szCs w:val="21"/>
        </w:rPr>
        <w:t> </w:t>
      </w:r>
      <w:r>
        <w:rPr>
          <w:rFonts w:ascii="宋体" w:hAnsi="宋体" w:cs="宋体" w:eastAsia="宋体" w:hint="default"/>
          <w:spacing w:val="-3"/>
          <w:w w:val="100"/>
          <w:sz w:val="21"/>
          <w:szCs w:val="21"/>
        </w:rPr>
        <w:t>8</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p>
      <w:pPr>
        <w:spacing w:line="355" w:lineRule="auto" w:before="135"/>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万元暂时补充流动资金，期限不超过</w:t>
      </w:r>
      <w:r>
        <w:rPr>
          <w:rFonts w:ascii="宋体" w:hAnsi="宋体" w:cs="宋体" w:eastAsia="宋体" w:hint="default"/>
          <w:spacing w:val="-33"/>
          <w:sz w:val="21"/>
          <w:szCs w:val="21"/>
        </w:rPr>
        <w:t> </w:t>
      </w:r>
      <w:r>
        <w:rPr>
          <w:rFonts w:ascii="宋体" w:hAnsi="宋体" w:cs="宋体" w:eastAsia="宋体" w:hint="default"/>
          <w:sz w:val="21"/>
          <w:szCs w:val="21"/>
        </w:rPr>
        <w:t>6</w:t>
      </w:r>
      <w:r>
        <w:rPr>
          <w:rFonts w:ascii="宋体" w:hAnsi="宋体" w:cs="宋体" w:eastAsia="宋体" w:hint="default"/>
          <w:spacing w:val="-34"/>
          <w:sz w:val="21"/>
          <w:szCs w:val="21"/>
        </w:rPr>
        <w:t> </w:t>
      </w:r>
      <w:r>
        <w:rPr>
          <w:rFonts w:ascii="宋体" w:hAnsi="宋体" w:cs="宋体" w:eastAsia="宋体" w:hint="default"/>
          <w:spacing w:val="-5"/>
          <w:sz w:val="21"/>
          <w:szCs w:val="21"/>
        </w:rPr>
        <w:t>个月，到期后将归还募集资金专户。监事会认为公司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在募集资金使用方面符合《募集资金管理办法》的规定，未发现违规使用募集资金的情况。</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、公司收购、出售资产的情况</w:t>
      </w:r>
    </w:p>
    <w:p>
      <w:pPr>
        <w:spacing w:line="357" w:lineRule="auto" w:before="133"/>
        <w:ind w:left="138" w:right="1789" w:firstLine="419"/>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2"/>
          <w:sz w:val="21"/>
          <w:szCs w:val="21"/>
        </w:rPr>
        <w:t> </w:t>
      </w:r>
      <w:r>
        <w:rPr>
          <w:rFonts w:ascii="宋体" w:hAnsi="宋体" w:cs="宋体" w:eastAsia="宋体" w:hint="default"/>
          <w:sz w:val="21"/>
          <w:szCs w:val="21"/>
        </w:rPr>
        <w:t>年度公司未发生重大收购、出售资产的情况，因此不存在内幕交易、公司资产流</w:t>
      </w:r>
      <w:r>
        <w:rPr>
          <w:rFonts w:ascii="宋体" w:hAnsi="宋体" w:cs="宋体" w:eastAsia="宋体" w:hint="default"/>
          <w:w w:val="100"/>
          <w:sz w:val="21"/>
          <w:szCs w:val="21"/>
        </w:rPr>
        <w:t> </w:t>
      </w:r>
      <w:r>
        <w:rPr>
          <w:rFonts w:ascii="宋体" w:hAnsi="宋体" w:cs="宋体" w:eastAsia="宋体" w:hint="default"/>
          <w:sz w:val="21"/>
          <w:szCs w:val="21"/>
        </w:rPr>
        <w:t>失等损害公司股东权益情况的发生。</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、关联交易情况</w:t>
      </w:r>
    </w:p>
    <w:p>
      <w:pPr>
        <w:spacing w:line="355" w:lineRule="auto" w:before="133"/>
        <w:ind w:left="138" w:right="1789" w:firstLine="419"/>
        <w:jc w:val="both"/>
        <w:rPr>
          <w:rFonts w:ascii="宋体" w:hAnsi="宋体" w:cs="宋体" w:eastAsia="宋体" w:hint="default"/>
          <w:sz w:val="21"/>
          <w:szCs w:val="21"/>
        </w:rPr>
      </w:pPr>
      <w:r>
        <w:rPr>
          <w:rFonts w:ascii="宋体" w:hAnsi="宋体" w:cs="宋体" w:eastAsia="宋体" w:hint="default"/>
          <w:sz w:val="21"/>
          <w:szCs w:val="21"/>
        </w:rPr>
        <w:t>监事会对公司</w:t>
      </w:r>
      <w:r>
        <w:rPr>
          <w:rFonts w:ascii="宋体" w:hAnsi="宋体" w:cs="宋体" w:eastAsia="宋体" w:hint="default"/>
          <w:spacing w:val="-38"/>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pacing w:val="-3"/>
          <w:sz w:val="21"/>
          <w:szCs w:val="21"/>
        </w:rPr>
        <w:t>年度发生的关联交易进行了监督，</w:t>
      </w:r>
      <w:r>
        <w:rPr>
          <w:rFonts w:ascii="宋体" w:hAnsi="宋体" w:cs="宋体" w:eastAsia="宋体" w:hint="default"/>
          <w:spacing w:val="-3"/>
          <w:sz w:val="21"/>
          <w:szCs w:val="21"/>
        </w:rPr>
        <w:t>2010</w:t>
      </w:r>
      <w:r>
        <w:rPr>
          <w:rFonts w:ascii="宋体" w:hAnsi="宋体" w:cs="宋体" w:eastAsia="宋体" w:hint="default"/>
          <w:spacing w:val="-38"/>
          <w:sz w:val="21"/>
          <w:szCs w:val="21"/>
        </w:rPr>
        <w:t> </w:t>
      </w:r>
      <w:r>
        <w:rPr>
          <w:rFonts w:ascii="宋体" w:hAnsi="宋体" w:cs="宋体" w:eastAsia="宋体" w:hint="default"/>
          <w:spacing w:val="-3"/>
          <w:sz w:val="21"/>
          <w:szCs w:val="21"/>
        </w:rPr>
        <w:t>年度，公司与控股股东及其</w:t>
      </w:r>
      <w:r>
        <w:rPr>
          <w:rFonts w:ascii="宋体" w:hAnsi="宋体" w:cs="宋体" w:eastAsia="宋体" w:hint="default"/>
          <w:w w:val="100"/>
          <w:sz w:val="21"/>
          <w:szCs w:val="21"/>
        </w:rPr>
        <w:t> </w:t>
      </w:r>
      <w:r>
        <w:rPr>
          <w:rFonts w:ascii="宋体" w:hAnsi="宋体" w:cs="宋体" w:eastAsia="宋体" w:hint="default"/>
          <w:spacing w:val="-4"/>
          <w:sz w:val="21"/>
          <w:szCs w:val="21"/>
        </w:rPr>
        <w:t>关联方未发生经常性关联交易，发生偶发性关联交易</w:t>
      </w:r>
      <w:r>
        <w:rPr>
          <w:rFonts w:ascii="宋体" w:hAnsi="宋体" w:cs="宋体" w:eastAsia="宋体" w:hint="default"/>
          <w:spacing w:val="-25"/>
          <w:sz w:val="21"/>
          <w:szCs w:val="21"/>
        </w:rPr>
        <w:t> </w:t>
      </w:r>
      <w:r>
        <w:rPr>
          <w:rFonts w:ascii="宋体" w:hAnsi="宋体" w:cs="宋体" w:eastAsia="宋体" w:hint="default"/>
          <w:sz w:val="21"/>
          <w:szCs w:val="21"/>
        </w:rPr>
        <w:t>17.32</w:t>
      </w:r>
      <w:r>
        <w:rPr>
          <w:rFonts w:ascii="宋体" w:hAnsi="宋体" w:cs="宋体" w:eastAsia="宋体" w:hint="default"/>
          <w:spacing w:val="-27"/>
          <w:sz w:val="21"/>
          <w:szCs w:val="21"/>
        </w:rPr>
        <w:t> </w:t>
      </w:r>
      <w:r>
        <w:rPr>
          <w:rFonts w:ascii="宋体" w:hAnsi="宋体" w:cs="宋体" w:eastAsia="宋体" w:hint="default"/>
          <w:spacing w:val="-5"/>
          <w:sz w:val="21"/>
          <w:szCs w:val="21"/>
        </w:rPr>
        <w:t>万元，我们认为公司关联金额较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小，交易价格合理，不存在损害公司和其他股东利益的情形。</w:t>
      </w:r>
    </w:p>
    <w:p>
      <w:pPr>
        <w:spacing w:line="355" w:lineRule="auto" w:before="34"/>
        <w:ind w:left="558" w:right="1789"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、对外担保情况</w:t>
      </w:r>
      <w:r>
        <w:rPr>
          <w:rFonts w:ascii="宋体" w:hAnsi="宋体" w:cs="宋体" w:eastAsia="宋体" w:hint="default"/>
          <w:w w:val="100"/>
          <w:sz w:val="21"/>
          <w:szCs w:val="21"/>
        </w:rPr>
        <w:t> </w:t>
      </w:r>
      <w:r>
        <w:rPr>
          <w:rFonts w:ascii="宋体" w:hAnsi="宋体" w:cs="宋体" w:eastAsia="宋体" w:hint="default"/>
          <w:spacing w:val="-4"/>
          <w:sz w:val="21"/>
          <w:szCs w:val="21"/>
        </w:rPr>
        <w:t>为促进控股子公司的发展，满足控股子公司对生产经营资金的需求，经公司第三届董事</w:t>
      </w:r>
    </w:p>
    <w:p>
      <w:pPr>
        <w:spacing w:line="352" w:lineRule="auto"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会第四次会议和</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年度第二次临时股东大会审议，公司为招商银行向北京东港安全印刷</w:t>
      </w:r>
      <w:r>
        <w:rPr>
          <w:rFonts w:ascii="宋体" w:hAnsi="宋体" w:cs="宋体" w:eastAsia="宋体" w:hint="default"/>
          <w:w w:val="100"/>
          <w:sz w:val="21"/>
          <w:szCs w:val="21"/>
        </w:rPr>
        <w:t> </w:t>
      </w:r>
      <w:r>
        <w:rPr>
          <w:rFonts w:ascii="宋体" w:hAnsi="宋体" w:cs="宋体" w:eastAsia="宋体" w:hint="default"/>
          <w:spacing w:val="-4"/>
          <w:sz w:val="21"/>
          <w:szCs w:val="21"/>
        </w:rPr>
        <w:t>有限公司、北京东港嘉华安全信息技术有限公司、广州东港安全印刷有限公司、上海东港安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w w:val="100"/>
          <w:sz w:val="21"/>
          <w:szCs w:val="21"/>
        </w:rPr>
        <w:t>全印刷有限公司提供的总额为</w:t>
      </w:r>
      <w:r>
        <w:rPr>
          <w:rFonts w:ascii="宋体" w:hAnsi="宋体" w:cs="宋体" w:eastAsia="宋体" w:hint="default"/>
          <w:spacing w:val="-39"/>
          <w:w w:val="100"/>
          <w:sz w:val="21"/>
          <w:szCs w:val="21"/>
        </w:rPr>
        <w:t> </w:t>
      </w:r>
      <w:r>
        <w:rPr>
          <w:rFonts w:ascii="Times New Roman" w:hAnsi="Times New Roman" w:cs="Times New Roman" w:eastAsia="Times New Roman" w:hint="default"/>
          <w:spacing w:val="-1"/>
          <w:w w:val="100"/>
          <w:sz w:val="21"/>
          <w:szCs w:val="21"/>
        </w:rPr>
        <w:t>10000</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10"/>
          <w:w w:val="100"/>
          <w:sz w:val="21"/>
          <w:szCs w:val="21"/>
        </w:rPr>
        <w:t>万元的授信额度，提供连带保证责任，担保期限为两年。</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4"/>
          <w:sz w:val="21"/>
          <w:szCs w:val="21"/>
        </w:rPr>
        <w:t>监事会认为上述担保事项，履行了合法程序，体现了诚信、公平、公正的原则，不存在损害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公司和股东、特别是中小股东利益的行为。</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、内部控制情况</w:t>
      </w:r>
    </w:p>
    <w:p>
      <w:pPr>
        <w:spacing w:line="357" w:lineRule="auto" w:before="133"/>
        <w:ind w:left="138" w:right="1789" w:firstLine="419"/>
        <w:jc w:val="both"/>
        <w:rPr>
          <w:rFonts w:ascii="宋体" w:hAnsi="宋体" w:cs="宋体" w:eastAsia="宋体" w:hint="default"/>
          <w:sz w:val="21"/>
          <w:szCs w:val="21"/>
        </w:rPr>
      </w:pPr>
      <w:r>
        <w:rPr>
          <w:rFonts w:ascii="宋体" w:hAnsi="宋体" w:cs="宋体" w:eastAsia="宋体" w:hint="default"/>
          <w:sz w:val="21"/>
          <w:szCs w:val="21"/>
        </w:rPr>
        <w:t>监事会审议了董事会编制的《</w:t>
      </w:r>
      <w:r>
        <w:rPr>
          <w:rFonts w:ascii="宋体" w:hAnsi="宋体" w:cs="宋体" w:eastAsia="宋体" w:hint="default"/>
          <w:sz w:val="21"/>
          <w:szCs w:val="21"/>
        </w:rPr>
        <w:t>2010</w:t>
      </w:r>
      <w:r>
        <w:rPr>
          <w:rFonts w:ascii="宋体" w:hAnsi="宋体" w:cs="宋体" w:eastAsia="宋体" w:hint="default"/>
          <w:spacing w:val="11"/>
          <w:sz w:val="21"/>
          <w:szCs w:val="21"/>
        </w:rPr>
        <w:t> </w:t>
      </w:r>
      <w:r>
        <w:rPr>
          <w:rFonts w:ascii="宋体" w:hAnsi="宋体" w:cs="宋体" w:eastAsia="宋体" w:hint="default"/>
          <w:sz w:val="21"/>
          <w:szCs w:val="21"/>
        </w:rPr>
        <w:t>年内部控制自我评价报告》认为：公司建立了较为</w:t>
      </w:r>
      <w:r>
        <w:rPr>
          <w:rFonts w:ascii="宋体" w:hAnsi="宋体" w:cs="宋体" w:eastAsia="宋体" w:hint="default"/>
          <w:w w:val="100"/>
          <w:sz w:val="21"/>
          <w:szCs w:val="21"/>
        </w:rPr>
        <w:t> </w:t>
      </w:r>
      <w:r>
        <w:rPr>
          <w:rFonts w:ascii="宋体" w:hAnsi="宋体" w:cs="宋体" w:eastAsia="宋体" w:hint="default"/>
          <w:spacing w:val="-4"/>
          <w:sz w:val="21"/>
          <w:szCs w:val="21"/>
        </w:rPr>
        <w:t>完善的内部控制制度体系并能得到有效的执行。公司内部控制的自我评价报告真实、客观地</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反映了公司内部控制制度的建设及运行情况。</w:t>
      </w:r>
    </w:p>
    <w:p>
      <w:pPr>
        <w:spacing w:after="0" w:line="357" w:lineRule="auto"/>
        <w:jc w:val="both"/>
        <w:rPr>
          <w:rFonts w:ascii="宋体" w:hAnsi="宋体" w:cs="宋体" w:eastAsia="宋体" w:hint="default"/>
          <w:sz w:val="21"/>
          <w:szCs w:val="21"/>
        </w:rPr>
        <w:sectPr>
          <w:pgSz w:w="11910" w:h="16840"/>
          <w:pgMar w:header="915" w:footer="1100" w:top="1100" w:bottom="1280" w:left="1660" w:right="0"/>
        </w:sectPr>
      </w:pPr>
    </w:p>
    <w:p>
      <w:pPr>
        <w:pStyle w:val="Heading1"/>
        <w:spacing w:line="240" w:lineRule="auto" w:before="1"/>
        <w:ind w:right="1054"/>
        <w:jc w:val="center"/>
        <w:rPr>
          <w:b w:val="0"/>
          <w:bCs w:val="0"/>
        </w:rPr>
      </w:pPr>
      <w:r>
        <w:rPr/>
        <w:pict>
          <v:group style="position:absolute;margin-left:88.103996pt;margin-top:41.999985pt;width:419.25pt;height:16.3500pt;mso-position-horizontal-relative:page;mso-position-vertical-relative:page;z-index:-74564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bookmarkStart w:name="_TOC_250002" w:id="9"/>
      <w:r>
        <w:rPr/>
        <w:t>第九节重要事项</w:t>
      </w:r>
      <w:bookmarkEnd w:id="9"/>
      <w:r>
        <w:rPr>
          <w:b w:val="0"/>
          <w:bCs w:val="0"/>
        </w:rPr>
      </w:r>
    </w:p>
    <w:p>
      <w:pPr>
        <w:spacing w:line="240" w:lineRule="auto" w:before="0"/>
        <w:rPr>
          <w:rFonts w:ascii="宋体" w:hAnsi="宋体" w:cs="宋体" w:eastAsia="宋体" w:hint="default"/>
          <w:b/>
          <w:bCs/>
          <w:sz w:val="30"/>
          <w:szCs w:val="30"/>
        </w:rPr>
      </w:pPr>
    </w:p>
    <w:p>
      <w:pPr>
        <w:spacing w:before="225"/>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一、报告期内公司重大诉讼、仲裁事项</w:t>
      </w:r>
      <w:r>
        <w:rPr>
          <w:rFonts w:ascii="宋体" w:hAnsi="宋体" w:cs="宋体" w:eastAsia="宋体" w:hint="default"/>
          <w:sz w:val="21"/>
          <w:szCs w:val="21"/>
        </w:rPr>
      </w:r>
    </w:p>
    <w:p>
      <w:pPr>
        <w:spacing w:line="357" w:lineRule="auto" w:before="133"/>
        <w:ind w:left="138" w:right="1789" w:firstLine="479"/>
        <w:jc w:val="both"/>
        <w:rPr>
          <w:rFonts w:ascii="宋体" w:hAnsi="宋体" w:cs="宋体" w:eastAsia="宋体" w:hint="default"/>
          <w:sz w:val="21"/>
          <w:szCs w:val="21"/>
        </w:rPr>
      </w:pPr>
      <w:r>
        <w:rPr>
          <w:rFonts w:ascii="宋体" w:hAnsi="宋体" w:cs="宋体" w:eastAsia="宋体" w:hint="default"/>
          <w:w w:val="100"/>
          <w:sz w:val="21"/>
          <w:szCs w:val="21"/>
        </w:rPr>
        <w:t>2005</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14</w:t>
      </w:r>
      <w:r>
        <w:rPr>
          <w:rFonts w:ascii="宋体" w:hAnsi="宋体" w:cs="宋体" w:eastAsia="宋体" w:hint="default"/>
          <w:spacing w:val="-53"/>
          <w:w w:val="100"/>
          <w:sz w:val="21"/>
          <w:szCs w:val="21"/>
        </w:rPr>
        <w:t> </w:t>
      </w:r>
      <w:r>
        <w:rPr>
          <w:rFonts w:ascii="宋体" w:hAnsi="宋体" w:cs="宋体" w:eastAsia="宋体" w:hint="default"/>
          <w:spacing w:val="-5"/>
          <w:w w:val="100"/>
          <w:sz w:val="21"/>
          <w:szCs w:val="21"/>
        </w:rPr>
        <w:t>日，本公司与烟台顿汉布什工业有限公司（以下简称“烟台公司”）委</w:t>
      </w:r>
      <w:r>
        <w:rPr>
          <w:rFonts w:ascii="宋体" w:hAnsi="宋体" w:cs="宋体" w:eastAsia="宋体" w:hint="default"/>
          <w:w w:val="100"/>
          <w:sz w:val="21"/>
          <w:szCs w:val="21"/>
        </w:rPr>
        <w:t> </w:t>
      </w:r>
      <w:r>
        <w:rPr>
          <w:rFonts w:ascii="宋体" w:hAnsi="宋体" w:cs="宋体" w:eastAsia="宋体" w:hint="default"/>
          <w:spacing w:val="-4"/>
          <w:w w:val="100"/>
          <w:sz w:val="21"/>
          <w:szCs w:val="21"/>
        </w:rPr>
        <w:t>托的大连跃达制冷空调工程有限公司济南分公司（以下简称“大连公司”）签署了一份《制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w w:val="100"/>
          <w:sz w:val="21"/>
          <w:szCs w:val="21"/>
        </w:rPr>
        <w:t>冷主机买卖合同》，合同约定受托人大连公司作为卖方向公司销售螺杆冷水机组两台，每台</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单价人民币</w:t>
      </w:r>
      <w:r>
        <w:rPr>
          <w:rFonts w:ascii="宋体" w:hAnsi="宋体" w:cs="宋体" w:eastAsia="宋体" w:hint="default"/>
          <w:spacing w:val="-40"/>
          <w:sz w:val="21"/>
          <w:szCs w:val="21"/>
        </w:rPr>
        <w:t> </w:t>
      </w:r>
      <w:r>
        <w:rPr>
          <w:rFonts w:ascii="宋体" w:hAnsi="宋体" w:cs="宋体" w:eastAsia="宋体" w:hint="default"/>
          <w:sz w:val="21"/>
          <w:szCs w:val="21"/>
        </w:rPr>
        <w:t>810,000</w:t>
      </w:r>
      <w:r>
        <w:rPr>
          <w:rFonts w:ascii="宋体" w:hAnsi="宋体" w:cs="宋体" w:eastAsia="宋体" w:hint="default"/>
          <w:spacing w:val="-43"/>
          <w:sz w:val="21"/>
          <w:szCs w:val="21"/>
        </w:rPr>
        <w:t> </w:t>
      </w:r>
      <w:r>
        <w:rPr>
          <w:rFonts w:ascii="宋体" w:hAnsi="宋体" w:cs="宋体" w:eastAsia="宋体" w:hint="default"/>
          <w:spacing w:val="-5"/>
          <w:sz w:val="21"/>
          <w:szCs w:val="21"/>
        </w:rPr>
        <w:t>元，共计货款总额人民币</w:t>
      </w:r>
      <w:r>
        <w:rPr>
          <w:rFonts w:ascii="宋体" w:hAnsi="宋体" w:cs="宋体" w:eastAsia="宋体" w:hint="default"/>
          <w:spacing w:val="-40"/>
          <w:sz w:val="21"/>
          <w:szCs w:val="21"/>
        </w:rPr>
        <w:t> </w:t>
      </w:r>
      <w:r>
        <w:rPr>
          <w:rFonts w:ascii="宋体" w:hAnsi="宋体" w:cs="宋体" w:eastAsia="宋体" w:hint="default"/>
          <w:sz w:val="21"/>
          <w:szCs w:val="21"/>
        </w:rPr>
        <w:t>1,620,000</w:t>
      </w:r>
      <w:r>
        <w:rPr>
          <w:rFonts w:ascii="宋体" w:hAnsi="宋体" w:cs="宋体" w:eastAsia="宋体" w:hint="default"/>
          <w:spacing w:val="-43"/>
          <w:sz w:val="21"/>
          <w:szCs w:val="21"/>
        </w:rPr>
        <w:t> </w:t>
      </w:r>
      <w:r>
        <w:rPr>
          <w:rFonts w:ascii="宋体" w:hAnsi="宋体" w:cs="宋体" w:eastAsia="宋体" w:hint="default"/>
          <w:spacing w:val="-6"/>
          <w:sz w:val="21"/>
          <w:szCs w:val="21"/>
        </w:rPr>
        <w:t>元。合同签署后，公司根据合同支</w:t>
      </w:r>
    </w:p>
    <w:p>
      <w:pPr>
        <w:spacing w:line="355" w:lineRule="auto"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付货款人民币</w:t>
      </w:r>
      <w:r>
        <w:rPr>
          <w:rFonts w:ascii="宋体" w:hAnsi="宋体" w:cs="宋体" w:eastAsia="宋体" w:hint="default"/>
          <w:spacing w:val="-31"/>
          <w:sz w:val="21"/>
          <w:szCs w:val="21"/>
        </w:rPr>
        <w:t> </w:t>
      </w:r>
      <w:r>
        <w:rPr>
          <w:rFonts w:ascii="宋体" w:hAnsi="宋体" w:cs="宋体" w:eastAsia="宋体" w:hint="default"/>
          <w:sz w:val="21"/>
          <w:szCs w:val="21"/>
        </w:rPr>
        <w:t>1,296,000</w:t>
      </w:r>
      <w:r>
        <w:rPr>
          <w:rFonts w:ascii="宋体" w:hAnsi="宋体" w:cs="宋体" w:eastAsia="宋体" w:hint="default"/>
          <w:spacing w:val="-34"/>
          <w:sz w:val="21"/>
          <w:szCs w:val="21"/>
        </w:rPr>
        <w:t> </w:t>
      </w:r>
      <w:r>
        <w:rPr>
          <w:rFonts w:ascii="宋体" w:hAnsi="宋体" w:cs="宋体" w:eastAsia="宋体" w:hint="default"/>
          <w:spacing w:val="-5"/>
          <w:sz w:val="21"/>
          <w:szCs w:val="21"/>
        </w:rPr>
        <w:t>元，但在交货过程中买卖双方对合同的履行发生争议，经公司多次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与对方交涉，卖方始终拒绝向公司交货。</w:t>
      </w:r>
    </w:p>
    <w:p>
      <w:pPr>
        <w:spacing w:line="357" w:lineRule="auto" w:before="32"/>
        <w:ind w:left="138" w:right="0" w:firstLine="479"/>
        <w:jc w:val="left"/>
        <w:rPr>
          <w:rFonts w:ascii="宋体" w:hAnsi="宋体" w:cs="宋体" w:eastAsia="宋体" w:hint="default"/>
          <w:sz w:val="21"/>
          <w:szCs w:val="21"/>
        </w:rPr>
      </w:pPr>
      <w:r>
        <w:rPr>
          <w:rFonts w:ascii="宋体" w:hAnsi="宋体" w:cs="宋体" w:eastAsia="宋体" w:hint="default"/>
          <w:sz w:val="21"/>
          <w:szCs w:val="21"/>
        </w:rPr>
        <w:t>为保护自身合法利益，本公司向济南市历城区人民法院提起诉讼，追究烟台公司和大</w:t>
      </w:r>
      <w:r>
        <w:rPr>
          <w:rFonts w:ascii="宋体" w:hAnsi="宋体" w:cs="宋体" w:eastAsia="宋体" w:hint="default"/>
          <w:w w:val="100"/>
          <w:sz w:val="21"/>
          <w:szCs w:val="21"/>
        </w:rPr>
        <w:t> </w:t>
      </w:r>
      <w:r>
        <w:rPr>
          <w:rFonts w:ascii="宋体" w:hAnsi="宋体" w:cs="宋体" w:eastAsia="宋体" w:hint="default"/>
          <w:spacing w:val="-7"/>
          <w:w w:val="100"/>
          <w:sz w:val="21"/>
          <w:szCs w:val="21"/>
        </w:rPr>
        <w:t>连公司的法律责任，经济南市历城区人民法院审理，判定烟台公司和大连公司承担连带责任，</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4"/>
          <w:sz w:val="21"/>
          <w:szCs w:val="21"/>
        </w:rPr>
        <w:t>并判定大连公司归还公司已支付的货款，但烟台公司和大连公司不服该判决，向济南市中级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人民法院提起上诉，</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21</w:t>
      </w:r>
      <w:r>
        <w:rPr>
          <w:rFonts w:ascii="宋体" w:hAnsi="宋体" w:cs="宋体" w:eastAsia="宋体" w:hint="default"/>
          <w:spacing w:val="-48"/>
          <w:sz w:val="21"/>
          <w:szCs w:val="21"/>
        </w:rPr>
        <w:t> </w:t>
      </w:r>
      <w:r>
        <w:rPr>
          <w:rFonts w:ascii="宋体" w:hAnsi="宋体" w:cs="宋体" w:eastAsia="宋体" w:hint="default"/>
          <w:spacing w:val="-3"/>
          <w:sz w:val="21"/>
          <w:szCs w:val="21"/>
        </w:rPr>
        <w:t>日，济南市中级人民法院做出终审判决，判定大连公司</w:t>
      </w:r>
    </w:p>
    <w:p>
      <w:pPr>
        <w:spacing w:before="30"/>
        <w:ind w:left="138" w:right="0" w:firstLine="0"/>
        <w:jc w:val="both"/>
        <w:rPr>
          <w:rFonts w:ascii="宋体" w:hAnsi="宋体" w:cs="宋体" w:eastAsia="宋体" w:hint="default"/>
          <w:sz w:val="21"/>
          <w:szCs w:val="21"/>
        </w:rPr>
      </w:pPr>
      <w:r>
        <w:rPr>
          <w:rFonts w:ascii="宋体" w:hAnsi="宋体" w:cs="宋体" w:eastAsia="宋体" w:hint="default"/>
          <w:sz w:val="21"/>
          <w:szCs w:val="21"/>
        </w:rPr>
        <w:t>归还公司已支付的货款，并由烟台公司承担连带清偿责任。</w:t>
      </w:r>
      <w:r>
        <w:rPr>
          <w:rFonts w:ascii="宋体" w:hAnsi="宋体" w:cs="宋体" w:eastAsia="宋体" w:hint="default"/>
          <w:sz w:val="21"/>
          <w:szCs w:val="21"/>
        </w:rPr>
        <w:t>2009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日，本公司收到</w:t>
      </w:r>
    </w:p>
    <w:p>
      <w:pPr>
        <w:spacing w:line="357" w:lineRule="auto" w:before="133"/>
        <w:ind w:left="618" w:right="0" w:hanging="480"/>
        <w:jc w:val="left"/>
        <w:rPr>
          <w:rFonts w:ascii="宋体" w:hAnsi="宋体" w:cs="宋体" w:eastAsia="宋体" w:hint="default"/>
          <w:sz w:val="21"/>
          <w:szCs w:val="21"/>
        </w:rPr>
      </w:pPr>
      <w:r>
        <w:rPr>
          <w:rFonts w:ascii="宋体" w:hAnsi="宋体" w:cs="宋体" w:eastAsia="宋体" w:hint="default"/>
          <w:sz w:val="21"/>
          <w:szCs w:val="21"/>
        </w:rPr>
        <w:t>济南市历城区人民法院执行款的</w:t>
      </w:r>
      <w:r>
        <w:rPr>
          <w:rFonts w:ascii="宋体" w:hAnsi="宋体" w:cs="宋体" w:eastAsia="宋体" w:hint="default"/>
          <w:spacing w:val="-53"/>
          <w:sz w:val="21"/>
          <w:szCs w:val="21"/>
        </w:rPr>
        <w:t> </w:t>
      </w:r>
      <w:r>
        <w:rPr>
          <w:rFonts w:ascii="宋体" w:hAnsi="宋体" w:cs="宋体" w:eastAsia="宋体" w:hint="default"/>
          <w:sz w:val="21"/>
          <w:szCs w:val="21"/>
        </w:rPr>
        <w:t>168.254</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烟台公司对济南市中级人民法院所做出的判决不服，向山东省高级人民法院提出再审</w:t>
      </w:r>
    </w:p>
    <w:p>
      <w:pPr>
        <w:spacing w:line="357" w:lineRule="auto" w:before="30"/>
        <w:ind w:left="138" w:right="1788" w:firstLine="0"/>
        <w:jc w:val="both"/>
        <w:rPr>
          <w:rFonts w:ascii="宋体" w:hAnsi="宋体" w:cs="宋体" w:eastAsia="宋体" w:hint="default"/>
          <w:sz w:val="21"/>
          <w:szCs w:val="21"/>
        </w:rPr>
      </w:pPr>
      <w:r>
        <w:rPr>
          <w:rFonts w:ascii="宋体" w:hAnsi="宋体" w:cs="宋体" w:eastAsia="宋体" w:hint="default"/>
          <w:spacing w:val="-3"/>
          <w:sz w:val="21"/>
          <w:szCs w:val="21"/>
        </w:rPr>
        <w:t>申请，</w:t>
      </w:r>
      <w:r>
        <w:rPr>
          <w:rFonts w:ascii="宋体" w:hAnsi="宋体" w:cs="宋体" w:eastAsia="宋体" w:hint="default"/>
          <w:spacing w:val="-3"/>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pacing w:val="-3"/>
          <w:sz w:val="21"/>
          <w:szCs w:val="21"/>
        </w:rPr>
        <w:t>日，山东省高级人民法院下达再审判决，该判决维持了二审法院关于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w w:val="100"/>
          <w:sz w:val="21"/>
          <w:szCs w:val="21"/>
        </w:rPr>
        <w:t>解除本公司与大连公司的买卖合同，大连公司归还本公司已支付的货款并双倍返还定金的判</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决，但撤销了烟台公司承担连带责任的判决。由于公司已追偿回来的货款及定金为烟台公司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所支付，因此，公司已向烟台公司退还前期执行款，并已向人民法院申请对大连公司进行强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制执行，目前本案正处于执行之中。</w:t>
      </w:r>
    </w:p>
    <w:p>
      <w:pPr>
        <w:spacing w:line="355" w:lineRule="auto" w:before="30"/>
        <w:ind w:left="138" w:right="0" w:firstLine="419"/>
        <w:jc w:val="left"/>
        <w:rPr>
          <w:rFonts w:ascii="宋体" w:hAnsi="宋体" w:cs="宋体" w:eastAsia="宋体" w:hint="default"/>
          <w:sz w:val="21"/>
          <w:szCs w:val="21"/>
        </w:rPr>
      </w:pPr>
      <w:r>
        <w:rPr>
          <w:rFonts w:ascii="宋体" w:hAnsi="宋体" w:cs="宋体" w:eastAsia="宋体" w:hint="default"/>
          <w:sz w:val="21"/>
          <w:szCs w:val="21"/>
        </w:rPr>
        <w:t>上述诉讼案件涉及的标的金额为 </w:t>
      </w:r>
      <w:r>
        <w:rPr>
          <w:rFonts w:ascii="宋体" w:hAnsi="宋体" w:cs="宋体" w:eastAsia="宋体" w:hint="default"/>
          <w:sz w:val="21"/>
          <w:szCs w:val="21"/>
        </w:rPr>
        <w:t>168.254</w:t>
      </w:r>
      <w:r>
        <w:rPr>
          <w:rFonts w:ascii="宋体" w:hAnsi="宋体" w:cs="宋体" w:eastAsia="宋体" w:hint="default"/>
          <w:spacing w:val="-85"/>
          <w:sz w:val="21"/>
          <w:szCs w:val="21"/>
        </w:rPr>
        <w:t> </w:t>
      </w:r>
      <w:r>
        <w:rPr>
          <w:rFonts w:ascii="宋体" w:hAnsi="宋体" w:cs="宋体" w:eastAsia="宋体" w:hint="default"/>
          <w:spacing w:val="-6"/>
          <w:sz w:val="21"/>
          <w:szCs w:val="21"/>
        </w:rPr>
        <w:t>万元，金额较小，不会对本公司正常的生产经</w:t>
      </w:r>
      <w:r>
        <w:rPr>
          <w:rFonts w:ascii="宋体" w:hAnsi="宋体" w:cs="宋体" w:eastAsia="宋体" w:hint="default"/>
          <w:w w:val="100"/>
          <w:sz w:val="21"/>
          <w:szCs w:val="21"/>
        </w:rPr>
        <w:t> </w:t>
      </w:r>
      <w:r>
        <w:rPr>
          <w:rFonts w:ascii="宋体" w:hAnsi="宋体" w:cs="宋体" w:eastAsia="宋体" w:hint="default"/>
          <w:sz w:val="21"/>
          <w:szCs w:val="21"/>
        </w:rPr>
        <w:t>营和财务结果产生重大影响。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二、报告期内公司无重大收购及出售资产、吸收合并事项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357" w:lineRule="auto" w:before="0"/>
        <w:ind w:left="138" w:right="1789" w:firstLine="0"/>
        <w:jc w:val="left"/>
        <w:rPr>
          <w:rFonts w:ascii="宋体" w:hAnsi="宋体" w:cs="宋体" w:eastAsia="宋体" w:hint="default"/>
          <w:sz w:val="21"/>
          <w:szCs w:val="21"/>
        </w:rPr>
      </w:pPr>
      <w:r>
        <w:rPr>
          <w:rFonts w:ascii="宋体" w:hAnsi="宋体" w:cs="宋体" w:eastAsia="宋体" w:hint="default"/>
          <w:b/>
          <w:bCs/>
          <w:sz w:val="21"/>
          <w:szCs w:val="21"/>
        </w:rPr>
        <w:t>三、报告期内公司重大关联交易事项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、与日常经营相关的关联交易，向关联方采购原材料和销售货物</w:t>
      </w:r>
    </w:p>
    <w:p>
      <w:pPr>
        <w:spacing w:before="34"/>
        <w:ind w:left="0" w:right="218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511"/>
        <w:gridCol w:w="1253"/>
        <w:gridCol w:w="1136"/>
        <w:gridCol w:w="1274"/>
        <w:gridCol w:w="1985"/>
      </w:tblGrid>
      <w:tr>
        <w:trPr>
          <w:trHeight w:val="376" w:hRule="exact"/>
        </w:trPr>
        <w:tc>
          <w:tcPr>
            <w:tcW w:w="25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3260" w:type="dxa"/>
            <w:gridSpan w:val="2"/>
            <w:tcBorders>
              <w:top w:val="single" w:sz="4" w:space="0" w:color="000000"/>
              <w:left w:val="single" w:sz="4" w:space="0" w:color="000000"/>
              <w:bottom w:val="single" w:sz="26" w:space="0" w:color="FFFFFF"/>
              <w:right w:val="single" w:sz="4" w:space="0" w:color="000000"/>
            </w:tcBorders>
            <w:shd w:val="clear" w:color="auto" w:fill="D9D9D9"/>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2511" w:type="dxa"/>
            <w:vMerge/>
            <w:tcBorders>
              <w:left w:val="single" w:sz="4" w:space="0" w:color="000000"/>
              <w:bottom w:val="single" w:sz="4" w:space="0" w:color="000000"/>
              <w:right w:val="single" w:sz="4" w:space="0" w:color="000000"/>
            </w:tcBorders>
            <w:shd w:val="clear" w:color="auto" w:fill="D9D9D9"/>
          </w:tcPr>
          <w:p>
            <w:pPr/>
          </w:p>
        </w:tc>
        <w:tc>
          <w:tcPr>
            <w:tcW w:w="1253" w:type="dxa"/>
            <w:vMerge/>
            <w:tcBorders>
              <w:left w:val="single" w:sz="4" w:space="0" w:color="000000"/>
              <w:bottom w:val="single" w:sz="4" w:space="0" w:color="000000"/>
              <w:right w:val="single" w:sz="4" w:space="0" w:color="000000"/>
            </w:tcBorders>
            <w:shd w:val="clear" w:color="auto" w:fill="D9D9D9"/>
          </w:tcPr>
          <w:p>
            <w:pPr/>
          </w:p>
        </w:tc>
        <w:tc>
          <w:tcPr>
            <w:tcW w:w="1136" w:type="dxa"/>
            <w:vMerge/>
            <w:tcBorders>
              <w:left w:val="single" w:sz="4" w:space="0" w:color="000000"/>
              <w:bottom w:val="single" w:sz="4" w:space="0" w:color="000000"/>
              <w:right w:val="single" w:sz="4" w:space="0" w:color="000000"/>
            </w:tcBorders>
            <w:shd w:val="clear" w:color="auto" w:fill="D9D9D9"/>
          </w:tcPr>
          <w:p>
            <w:pPr/>
          </w:p>
        </w:tc>
        <w:tc>
          <w:tcPr>
            <w:tcW w:w="1274" w:type="dxa"/>
            <w:tcBorders>
              <w:top w:val="single" w:sz="26" w:space="0" w:color="FFFFFF"/>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26"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占同类交易比例（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50"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日照大地依索新建材有限公司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9"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0" w:right="0"/>
              <w:jc w:val="left"/>
              <w:rPr>
                <w:rFonts w:ascii="宋体" w:hAnsi="宋体" w:cs="宋体" w:eastAsia="宋体" w:hint="default"/>
                <w:sz w:val="18"/>
                <w:szCs w:val="18"/>
              </w:rPr>
            </w:pPr>
            <w:r>
              <w:rPr>
                <w:rFonts w:ascii="宋体"/>
                <w:sz w:val="18"/>
              </w:rPr>
              <w:t>173,190.00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0.1</w:t>
            </w:r>
          </w:p>
        </w:tc>
      </w:tr>
    </w:tbl>
    <w:p>
      <w:pPr>
        <w:spacing w:line="240" w:lineRule="auto" w:before="13"/>
        <w:rPr>
          <w:rFonts w:ascii="宋体" w:hAnsi="宋体" w:cs="宋体" w:eastAsia="宋体" w:hint="default"/>
          <w:sz w:val="25"/>
          <w:szCs w:val="25"/>
        </w:rPr>
      </w:pPr>
    </w:p>
    <w:p>
      <w:pPr>
        <w:spacing w:line="350" w:lineRule="auto" w:before="36"/>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日照大地依索新建材有限公司，谷望江女士间接持有该公司的全部股权，由于谷望江女</w:t>
      </w:r>
      <w:r>
        <w:rPr>
          <w:rFonts w:ascii="宋体" w:hAnsi="宋体" w:cs="宋体" w:eastAsia="宋体" w:hint="default"/>
          <w:w w:val="100"/>
          <w:sz w:val="21"/>
          <w:szCs w:val="21"/>
        </w:rPr>
        <w:t> </w:t>
      </w:r>
      <w:r>
        <w:rPr>
          <w:rFonts w:ascii="宋体" w:hAnsi="宋体" w:cs="宋体" w:eastAsia="宋体" w:hint="default"/>
          <w:spacing w:val="-5"/>
          <w:sz w:val="21"/>
          <w:szCs w:val="21"/>
        </w:rPr>
        <w:t>士为我公司的实际控制人，因此日照大地依索新建材有限公司与我公司形成了关联关系</w:t>
      </w:r>
      <w:r>
        <w:rPr>
          <w:rFonts w:ascii="黑体" w:hAnsi="黑体" w:cs="黑体" w:eastAsia="黑体" w:hint="default"/>
          <w:spacing w:val="-5"/>
          <w:sz w:val="24"/>
          <w:szCs w:val="24"/>
        </w:rPr>
        <w:t>。</w:t>
      </w:r>
      <w:r>
        <w:rPr>
          <w:rFonts w:ascii="宋体" w:hAnsi="宋体" w:cs="宋体" w:eastAsia="宋体" w:hint="default"/>
          <w:spacing w:val="-5"/>
          <w:sz w:val="21"/>
          <w:szCs w:val="21"/>
        </w:rPr>
        <w:t>我</w:t>
      </w:r>
    </w:p>
    <w:p>
      <w:pPr>
        <w:spacing w:after="0" w:line="350" w:lineRule="auto"/>
        <w:jc w:val="left"/>
        <w:rPr>
          <w:rFonts w:ascii="宋体" w:hAnsi="宋体" w:cs="宋体" w:eastAsia="宋体" w:hint="default"/>
          <w:sz w:val="21"/>
          <w:szCs w:val="21"/>
        </w:rPr>
        <w:sectPr>
          <w:pgSz w:w="11910" w:h="16840"/>
          <w:pgMar w:header="915" w:footer="1100" w:top="1100" w:bottom="1280" w:left="1660" w:right="0"/>
        </w:sectPr>
      </w:pPr>
    </w:p>
    <w:p>
      <w:pPr>
        <w:spacing w:line="357" w:lineRule="auto" w:before="17"/>
        <w:ind w:left="13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62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4"/>
          <w:w w:val="100"/>
          <w:sz w:val="21"/>
          <w:szCs w:val="21"/>
        </w:rPr>
        <w:t>公司之控股子公司北京东港嘉华安全信息技术有限公司，因建设需要采购了少量建筑用夹芯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板，采购价格为市场价。</w:t>
      </w:r>
    </w:p>
    <w:p>
      <w:pPr>
        <w:spacing w:line="240" w:lineRule="auto" w:before="0"/>
        <w:rPr>
          <w:rFonts w:ascii="宋体" w:hAnsi="宋体" w:cs="宋体" w:eastAsia="宋体" w:hint="default"/>
          <w:sz w:val="20"/>
          <w:szCs w:val="20"/>
        </w:rPr>
      </w:pPr>
    </w:p>
    <w:p>
      <w:pPr>
        <w:spacing w:before="17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四、报告期内重大合同及其履行情况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line="355" w:lineRule="auto" w:before="0"/>
        <w:ind w:left="138" w:right="1789" w:firstLine="0"/>
        <w:jc w:val="left"/>
        <w:rPr>
          <w:rFonts w:ascii="宋体" w:hAnsi="宋体" w:cs="宋体" w:eastAsia="宋体" w:hint="default"/>
          <w:sz w:val="21"/>
          <w:szCs w:val="21"/>
        </w:rPr>
      </w:pPr>
      <w:r>
        <w:rPr>
          <w:rFonts w:ascii="宋体" w:hAnsi="宋体" w:cs="宋体" w:eastAsia="宋体" w:hint="default"/>
          <w:spacing w:val="-4"/>
          <w:sz w:val="21"/>
          <w:szCs w:val="21"/>
        </w:rPr>
        <w:t>（一）报告期内公司无托管、承包、租赁其他公司资产或其他公司托管、承包、租赁本公司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资产的事项。</w:t>
      </w:r>
    </w:p>
    <w:p>
      <w:pPr>
        <w:spacing w:line="240" w:lineRule="auto" w:before="0"/>
        <w:rPr>
          <w:rFonts w:ascii="宋体" w:hAnsi="宋体" w:cs="宋体" w:eastAsia="宋体" w:hint="default"/>
          <w:sz w:val="20"/>
          <w:szCs w:val="20"/>
        </w:rPr>
      </w:pPr>
    </w:p>
    <w:p>
      <w:pPr>
        <w:spacing w:line="355" w:lineRule="auto" w:before="178"/>
        <w:ind w:left="663" w:right="0" w:hanging="526"/>
        <w:jc w:val="left"/>
        <w:rPr>
          <w:rFonts w:ascii="宋体" w:hAnsi="宋体" w:cs="宋体" w:eastAsia="宋体" w:hint="default"/>
          <w:sz w:val="21"/>
          <w:szCs w:val="21"/>
        </w:rPr>
      </w:pPr>
      <w:r>
        <w:rPr>
          <w:rFonts w:ascii="宋体" w:hAnsi="宋体" w:cs="宋体" w:eastAsia="宋体" w:hint="default"/>
          <w:sz w:val="21"/>
          <w:szCs w:val="21"/>
        </w:rPr>
        <w:t>（二）报告期内公司对外担保情况。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为促进控股子公司的发展，满足控股子公司对生产经营资金的需求，经公司第三届董</w:t>
      </w:r>
    </w:p>
    <w:p>
      <w:pPr>
        <w:spacing w:line="355" w:lineRule="auto" w:before="35"/>
        <w:ind w:left="138" w:right="1789" w:firstLine="0"/>
        <w:jc w:val="both"/>
        <w:rPr>
          <w:rFonts w:ascii="宋体" w:hAnsi="宋体" w:cs="宋体" w:eastAsia="宋体" w:hint="default"/>
          <w:sz w:val="21"/>
          <w:szCs w:val="21"/>
        </w:rPr>
      </w:pPr>
      <w:r>
        <w:rPr>
          <w:rFonts w:ascii="宋体" w:hAnsi="宋体" w:cs="宋体" w:eastAsia="宋体" w:hint="default"/>
          <w:sz w:val="21"/>
          <w:szCs w:val="21"/>
        </w:rPr>
        <w:t>事会第四次会议和</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年度第二次临时股东大会审议，公司为招商银行向北京东港安全印</w:t>
      </w:r>
      <w:r>
        <w:rPr>
          <w:rFonts w:ascii="宋体" w:hAnsi="宋体" w:cs="宋体" w:eastAsia="宋体" w:hint="default"/>
          <w:w w:val="100"/>
          <w:sz w:val="21"/>
          <w:szCs w:val="21"/>
        </w:rPr>
        <w:t> </w:t>
      </w:r>
      <w:r>
        <w:rPr>
          <w:rFonts w:ascii="宋体" w:hAnsi="宋体" w:cs="宋体" w:eastAsia="宋体" w:hint="default"/>
          <w:spacing w:val="-4"/>
          <w:sz w:val="21"/>
          <w:szCs w:val="21"/>
        </w:rPr>
        <w:t>刷有限公司、北京东港嘉华安全信息技术有限公司、广州东港安全印刷有限公司、上海东港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安全印刷有限公司提供的总额为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万元的授信额度提供连带保证责任，其中：</w:t>
      </w:r>
    </w:p>
    <w:p>
      <w:pPr>
        <w:spacing w:before="5"/>
        <w:ind w:left="0" w:right="1089" w:firstLine="0"/>
        <w:jc w:val="center"/>
        <w:rPr>
          <w:rFonts w:ascii="宋体" w:hAnsi="宋体" w:cs="宋体" w:eastAsia="宋体" w:hint="default"/>
          <w:sz w:val="21"/>
          <w:szCs w:val="21"/>
        </w:rPr>
      </w:pPr>
      <w:r>
        <w:rPr>
          <w:rFonts w:ascii="宋体" w:hAnsi="宋体" w:cs="宋体" w:eastAsia="宋体" w:hint="default"/>
          <w:sz w:val="21"/>
          <w:szCs w:val="21"/>
        </w:rPr>
        <w:t>北京东港安全印刷有限公司授信额度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万元，担保期限自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日起，</w:t>
      </w:r>
    </w:p>
    <w:p>
      <w:pPr>
        <w:spacing w:before="117"/>
        <w:ind w:left="138" w:right="0" w:firstLine="0"/>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w:t>
      </w:r>
    </w:p>
    <w:p>
      <w:pPr>
        <w:spacing w:before="119"/>
        <w:ind w:left="0" w:right="1125" w:firstLine="0"/>
        <w:jc w:val="center"/>
        <w:rPr>
          <w:rFonts w:ascii="宋体" w:hAnsi="宋体" w:cs="宋体" w:eastAsia="宋体" w:hint="default"/>
          <w:sz w:val="21"/>
          <w:szCs w:val="21"/>
        </w:rPr>
      </w:pPr>
      <w:r>
        <w:rPr>
          <w:rFonts w:ascii="宋体" w:hAnsi="宋体" w:cs="宋体" w:eastAsia="宋体" w:hint="default"/>
          <w:sz w:val="21"/>
          <w:szCs w:val="21"/>
        </w:rPr>
        <w:t>北京东港嘉华安全信息技术有限公司授信额度</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万元，担保期限自</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p>
    <w:p>
      <w:pPr>
        <w:spacing w:before="11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before="117"/>
        <w:ind w:left="0" w:right="1089" w:firstLine="0"/>
        <w:jc w:val="center"/>
        <w:rPr>
          <w:rFonts w:ascii="宋体" w:hAnsi="宋体" w:cs="宋体" w:eastAsia="宋体" w:hint="default"/>
          <w:sz w:val="21"/>
          <w:szCs w:val="21"/>
        </w:rPr>
      </w:pPr>
      <w:r>
        <w:rPr>
          <w:rFonts w:ascii="宋体" w:hAnsi="宋体" w:cs="宋体" w:eastAsia="宋体" w:hint="default"/>
          <w:sz w:val="21"/>
          <w:szCs w:val="21"/>
        </w:rPr>
        <w:t>广州东港安全印刷有限公司授信额度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万元，担保期限自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日起，</w:t>
      </w:r>
    </w:p>
    <w:p>
      <w:pPr>
        <w:spacing w:before="117"/>
        <w:ind w:left="138" w:right="0" w:firstLine="0"/>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w:t>
      </w:r>
    </w:p>
    <w:p>
      <w:pPr>
        <w:spacing w:before="120"/>
        <w:ind w:left="0" w:right="1089" w:firstLine="0"/>
        <w:jc w:val="center"/>
        <w:rPr>
          <w:rFonts w:ascii="宋体" w:hAnsi="宋体" w:cs="宋体" w:eastAsia="宋体" w:hint="default"/>
          <w:sz w:val="21"/>
          <w:szCs w:val="21"/>
        </w:rPr>
      </w:pPr>
      <w:r>
        <w:rPr>
          <w:rFonts w:ascii="宋体" w:hAnsi="宋体" w:cs="宋体" w:eastAsia="宋体" w:hint="default"/>
          <w:sz w:val="21"/>
          <w:szCs w:val="21"/>
        </w:rPr>
        <w:t>上海东港安全印刷有限公司授信额度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万元，担保期限自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日起，</w:t>
      </w:r>
    </w:p>
    <w:p>
      <w:pPr>
        <w:spacing w:before="117"/>
        <w:ind w:left="138" w:right="0" w:firstLine="0"/>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w:t>
      </w:r>
    </w:p>
    <w:p>
      <w:pPr>
        <w:spacing w:before="117"/>
        <w:ind w:left="0" w:right="1038" w:firstLine="0"/>
        <w:jc w:val="center"/>
        <w:rPr>
          <w:rFonts w:ascii="宋体" w:hAnsi="宋体" w:cs="宋体" w:eastAsia="宋体" w:hint="default"/>
          <w:sz w:val="21"/>
          <w:szCs w:val="21"/>
        </w:rPr>
      </w:pPr>
      <w:r>
        <w:rPr>
          <w:rFonts w:ascii="宋体" w:hAnsi="宋体" w:cs="宋体" w:eastAsia="宋体" w:hint="default"/>
          <w:sz w:val="21"/>
          <w:szCs w:val="21"/>
        </w:rPr>
        <w:t>该项担保已经公司第三届董事会第四次会议和</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年第二次临时股东大会审议通过。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138" w:right="1789" w:firstLine="0"/>
        <w:jc w:val="left"/>
        <w:rPr>
          <w:rFonts w:ascii="宋体" w:hAnsi="宋体" w:cs="宋体" w:eastAsia="宋体" w:hint="default"/>
          <w:sz w:val="21"/>
          <w:szCs w:val="21"/>
        </w:rPr>
      </w:pPr>
      <w:r>
        <w:rPr>
          <w:rFonts w:ascii="宋体" w:hAnsi="宋体" w:cs="宋体" w:eastAsia="宋体" w:hint="default"/>
          <w:spacing w:val="-4"/>
          <w:w w:val="100"/>
          <w:sz w:val="21"/>
          <w:szCs w:val="21"/>
        </w:rPr>
        <w:t>（三）报告期内公司未发生也无以前期间发生但延续到本报告期的委托他人进行现金资产管</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理事项。</w:t>
      </w:r>
    </w:p>
    <w:p>
      <w:pPr>
        <w:spacing w:line="240" w:lineRule="auto" w:before="0"/>
        <w:rPr>
          <w:rFonts w:ascii="宋体" w:hAnsi="宋体" w:cs="宋体" w:eastAsia="宋体" w:hint="default"/>
          <w:sz w:val="20"/>
          <w:szCs w:val="20"/>
        </w:rPr>
      </w:pPr>
    </w:p>
    <w:p>
      <w:pPr>
        <w:spacing w:before="176"/>
        <w:ind w:left="138" w:right="0" w:firstLine="0"/>
        <w:jc w:val="both"/>
        <w:rPr>
          <w:rFonts w:ascii="宋体" w:hAnsi="宋体" w:cs="宋体" w:eastAsia="宋体" w:hint="default"/>
          <w:sz w:val="21"/>
          <w:szCs w:val="21"/>
        </w:rPr>
      </w:pPr>
      <w:r>
        <w:rPr>
          <w:rFonts w:ascii="宋体" w:hAnsi="宋体" w:cs="宋体" w:eastAsia="宋体" w:hint="default"/>
          <w:sz w:val="21"/>
          <w:szCs w:val="21"/>
        </w:rPr>
        <w:t>（四）报告期内，公司重大借款、贷款事项</w:t>
      </w:r>
    </w:p>
    <w:p>
      <w:pPr>
        <w:spacing w:line="357" w:lineRule="auto" w:before="133"/>
        <w:ind w:left="138" w:right="1789" w:firstLine="419"/>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5"/>
          <w:sz w:val="21"/>
          <w:szCs w:val="21"/>
        </w:rPr>
        <w:t>日，向齐鲁银行济南洪楼支行贷款</w:t>
      </w:r>
      <w:r>
        <w:rPr>
          <w:rFonts w:ascii="宋体" w:hAnsi="宋体" w:cs="宋体" w:eastAsia="宋体" w:hint="default"/>
          <w:spacing w:val="-50"/>
          <w:sz w:val="21"/>
          <w:szCs w:val="21"/>
        </w:rPr>
        <w:t> </w:t>
      </w:r>
      <w:r>
        <w:rPr>
          <w:rFonts w:ascii="宋体" w:hAnsi="宋体" w:cs="宋体" w:eastAsia="宋体" w:hint="default"/>
          <w:sz w:val="21"/>
          <w:szCs w:val="21"/>
        </w:rPr>
        <w:t>5,000</w:t>
      </w:r>
      <w:r>
        <w:rPr>
          <w:rFonts w:ascii="宋体" w:hAnsi="宋体" w:cs="宋体" w:eastAsia="宋体" w:hint="default"/>
          <w:spacing w:val="-50"/>
          <w:sz w:val="21"/>
          <w:szCs w:val="21"/>
        </w:rPr>
        <w:t> </w:t>
      </w:r>
      <w:r>
        <w:rPr>
          <w:rFonts w:ascii="宋体" w:hAnsi="宋体" w:cs="宋体" w:eastAsia="宋体" w:hint="default"/>
          <w:spacing w:val="-8"/>
          <w:sz w:val="21"/>
          <w:szCs w:val="21"/>
        </w:rPr>
        <w:t>万元，</w:t>
      </w:r>
      <w:r>
        <w:rPr>
          <w:rFonts w:ascii="宋体" w:hAnsi="宋体" w:cs="宋体" w:eastAsia="宋体" w:hint="default"/>
          <w:spacing w:val="-8"/>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日归还。</w:t>
      </w:r>
    </w:p>
    <w:p>
      <w:pPr>
        <w:spacing w:before="32"/>
        <w:ind w:left="0" w:right="1230" w:firstLine="0"/>
        <w:jc w:val="center"/>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日，向齐鲁银行济南洪楼支行贷款</w:t>
      </w:r>
      <w:r>
        <w:rPr>
          <w:rFonts w:ascii="宋体" w:hAnsi="宋体" w:cs="宋体" w:eastAsia="宋体" w:hint="default"/>
          <w:spacing w:val="-50"/>
          <w:sz w:val="21"/>
          <w:szCs w:val="21"/>
        </w:rPr>
        <w:t> </w:t>
      </w:r>
      <w:r>
        <w:rPr>
          <w:rFonts w:ascii="宋体" w:hAnsi="宋体" w:cs="宋体" w:eastAsia="宋体" w:hint="default"/>
          <w:sz w:val="21"/>
          <w:szCs w:val="21"/>
        </w:rPr>
        <w:t>1,920</w:t>
      </w:r>
      <w:r>
        <w:rPr>
          <w:rFonts w:ascii="宋体" w:hAnsi="宋体" w:cs="宋体" w:eastAsia="宋体" w:hint="default"/>
          <w:spacing w:val="-52"/>
          <w:sz w:val="21"/>
          <w:szCs w:val="21"/>
        </w:rPr>
        <w:t> </w:t>
      </w:r>
      <w:r>
        <w:rPr>
          <w:rFonts w:ascii="宋体" w:hAnsi="宋体" w:cs="宋体" w:eastAsia="宋体" w:hint="default"/>
          <w:spacing w:val="-4"/>
          <w:sz w:val="21"/>
          <w:szCs w:val="21"/>
        </w:rPr>
        <w:t>万元，</w:t>
      </w:r>
      <w:r>
        <w:rPr>
          <w:rFonts w:ascii="宋体" w:hAnsi="宋体" w:cs="宋体" w:eastAsia="宋体" w:hint="default"/>
          <w:spacing w:val="-4"/>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p>
    <w:p>
      <w:pPr>
        <w:spacing w:before="133"/>
        <w:ind w:left="138" w:right="0" w:firstLine="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日归还。</w:t>
      </w:r>
    </w:p>
    <w:p>
      <w:pPr>
        <w:spacing w:line="355" w:lineRule="auto" w:before="133"/>
        <w:ind w:left="138" w:right="1762" w:firstLine="419"/>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5"/>
          <w:sz w:val="21"/>
          <w:szCs w:val="21"/>
        </w:rPr>
        <w:t> </w:t>
      </w:r>
      <w:r>
        <w:rPr>
          <w:rFonts w:ascii="宋体" w:hAnsi="宋体" w:cs="宋体" w:eastAsia="宋体" w:hint="default"/>
          <w:sz w:val="21"/>
          <w:szCs w:val="21"/>
        </w:rPr>
        <w:t>日，向民生银行济南支行贷款</w:t>
      </w:r>
      <w:r>
        <w:rPr>
          <w:rFonts w:ascii="宋体" w:hAnsi="宋体" w:cs="宋体" w:eastAsia="宋体" w:hint="default"/>
          <w:spacing w:val="-43"/>
          <w:sz w:val="21"/>
          <w:szCs w:val="21"/>
        </w:rPr>
        <w:t> </w:t>
      </w:r>
      <w:r>
        <w:rPr>
          <w:rFonts w:ascii="宋体" w:hAnsi="宋体" w:cs="宋体" w:eastAsia="宋体" w:hint="default"/>
          <w:sz w:val="21"/>
          <w:szCs w:val="21"/>
        </w:rPr>
        <w:t>3,000</w:t>
      </w:r>
      <w:r>
        <w:rPr>
          <w:rFonts w:ascii="宋体" w:hAnsi="宋体" w:cs="宋体" w:eastAsia="宋体" w:hint="default"/>
          <w:spacing w:val="-43"/>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日归还。</w:t>
      </w:r>
    </w:p>
    <w:p>
      <w:pPr>
        <w:spacing w:before="34"/>
        <w:ind w:left="0" w:right="1230" w:firstLine="0"/>
        <w:jc w:val="center"/>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30</w:t>
      </w:r>
      <w:r>
        <w:rPr>
          <w:rFonts w:ascii="宋体" w:hAnsi="宋体" w:cs="宋体" w:eastAsia="宋体" w:hint="default"/>
          <w:spacing w:val="-48"/>
          <w:sz w:val="21"/>
          <w:szCs w:val="21"/>
        </w:rPr>
        <w:t> </w:t>
      </w:r>
      <w:r>
        <w:rPr>
          <w:rFonts w:ascii="宋体" w:hAnsi="宋体" w:cs="宋体" w:eastAsia="宋体" w:hint="default"/>
          <w:sz w:val="21"/>
          <w:szCs w:val="21"/>
        </w:rPr>
        <w:t>日，向招商银行济南槐荫支行贷款</w:t>
      </w:r>
      <w:r>
        <w:rPr>
          <w:rFonts w:ascii="宋体" w:hAnsi="宋体" w:cs="宋体" w:eastAsia="宋体" w:hint="default"/>
          <w:spacing w:val="-48"/>
          <w:sz w:val="21"/>
          <w:szCs w:val="21"/>
        </w:rPr>
        <w:t> </w:t>
      </w:r>
      <w:r>
        <w:rPr>
          <w:rFonts w:ascii="宋体" w:hAnsi="宋体" w:cs="宋体" w:eastAsia="宋体" w:hint="default"/>
          <w:sz w:val="21"/>
          <w:szCs w:val="21"/>
        </w:rPr>
        <w:t>3,000</w:t>
      </w:r>
      <w:r>
        <w:rPr>
          <w:rFonts w:ascii="宋体" w:hAnsi="宋体" w:cs="宋体" w:eastAsia="宋体" w:hint="default"/>
          <w:spacing w:val="-48"/>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p>
    <w:p>
      <w:pPr>
        <w:spacing w:before="133"/>
        <w:ind w:left="138" w:right="0" w:firstLine="0"/>
        <w:jc w:val="both"/>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日归还。</w:t>
      </w:r>
    </w:p>
    <w:p>
      <w:pPr>
        <w:spacing w:after="0"/>
        <w:jc w:val="both"/>
        <w:rPr>
          <w:rFonts w:ascii="宋体" w:hAnsi="宋体" w:cs="宋体" w:eastAsia="宋体" w:hint="default"/>
          <w:sz w:val="21"/>
          <w:szCs w:val="21"/>
        </w:rPr>
        <w:sectPr>
          <w:pgSz w:w="11910" w:h="16840"/>
          <w:pgMar w:header="915" w:footer="1100" w:top="1100" w:bottom="1280" w:left="1660" w:right="0"/>
        </w:sectPr>
      </w:pPr>
    </w:p>
    <w:p>
      <w:pPr>
        <w:spacing w:before="17"/>
        <w:ind w:left="1098" w:right="1781"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60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z w:val="21"/>
          <w:szCs w:val="21"/>
        </w:rPr>
        <w:t>北京东港嘉华于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日，向招商银行济南槐荫支行贷款</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6"/>
        <w:ind w:left="1098" w:right="1781" w:firstLine="0"/>
        <w:jc w:val="left"/>
        <w:rPr>
          <w:rFonts w:ascii="宋体" w:hAnsi="宋体" w:cs="宋体" w:eastAsia="宋体" w:hint="default"/>
          <w:sz w:val="21"/>
          <w:szCs w:val="21"/>
        </w:rPr>
      </w:pPr>
      <w:r>
        <w:rPr>
          <w:rFonts w:ascii="宋体" w:hAnsi="宋体" w:cs="宋体" w:eastAsia="宋体" w:hint="default"/>
          <w:sz w:val="21"/>
          <w:szCs w:val="21"/>
        </w:rPr>
        <w:t>广州东港于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日，向招商银行济南槐荫支行贷款</w:t>
      </w:r>
      <w:r>
        <w:rPr>
          <w:rFonts w:ascii="宋体" w:hAnsi="宋体" w:cs="宋体" w:eastAsia="宋体" w:hint="default"/>
          <w:spacing w:val="-54"/>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3"/>
        <w:ind w:left="1098" w:right="1781" w:firstLine="0"/>
        <w:jc w:val="left"/>
        <w:rPr>
          <w:rFonts w:ascii="宋体" w:hAnsi="宋体" w:cs="宋体" w:eastAsia="宋体" w:hint="default"/>
          <w:sz w:val="21"/>
          <w:szCs w:val="21"/>
        </w:rPr>
      </w:pPr>
      <w:r>
        <w:rPr>
          <w:rFonts w:ascii="宋体" w:hAnsi="宋体" w:cs="宋体" w:eastAsia="宋体" w:hint="default"/>
          <w:sz w:val="21"/>
          <w:szCs w:val="21"/>
        </w:rPr>
        <w:t>上海东港于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日，向招商银行济南槐荫支行贷款</w:t>
      </w:r>
      <w:r>
        <w:rPr>
          <w:rFonts w:ascii="宋体" w:hAnsi="宋体" w:cs="宋体" w:eastAsia="宋体" w:hint="default"/>
          <w:spacing w:val="-54"/>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3"/>
        <w:ind w:left="1098" w:right="1781" w:firstLine="0"/>
        <w:jc w:val="left"/>
        <w:rPr>
          <w:rFonts w:ascii="宋体" w:hAnsi="宋体" w:cs="宋体" w:eastAsia="宋体" w:hint="default"/>
          <w:sz w:val="21"/>
          <w:szCs w:val="21"/>
        </w:rPr>
      </w:pPr>
      <w:r>
        <w:rPr>
          <w:rFonts w:ascii="宋体" w:hAnsi="宋体" w:cs="宋体" w:eastAsia="宋体" w:hint="default"/>
          <w:sz w:val="21"/>
          <w:szCs w:val="21"/>
        </w:rPr>
        <w:t>北京东港于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日，向招商银行济南槐荫支行贷款</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1098" w:right="1781" w:firstLine="0"/>
        <w:jc w:val="left"/>
        <w:rPr>
          <w:rFonts w:ascii="宋体" w:hAnsi="宋体" w:cs="宋体" w:eastAsia="宋体" w:hint="default"/>
          <w:sz w:val="21"/>
          <w:szCs w:val="21"/>
        </w:rPr>
      </w:pPr>
      <w:r>
        <w:rPr>
          <w:rFonts w:ascii="宋体" w:hAnsi="宋体" w:cs="宋体" w:eastAsia="宋体" w:hint="default"/>
          <w:sz w:val="21"/>
          <w:szCs w:val="21"/>
        </w:rPr>
        <w:t>截止本报告期末，公司及控股子公司短期借款金额为</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678" w:right="1781" w:firstLine="0"/>
        <w:jc w:val="left"/>
        <w:rPr>
          <w:rFonts w:ascii="宋体" w:hAnsi="宋体" w:cs="宋体" w:eastAsia="宋体" w:hint="default"/>
          <w:sz w:val="21"/>
          <w:szCs w:val="21"/>
        </w:rPr>
      </w:pPr>
      <w:r>
        <w:rPr>
          <w:rFonts w:ascii="宋体" w:hAnsi="宋体" w:cs="宋体" w:eastAsia="宋体" w:hint="default"/>
          <w:b/>
          <w:bCs/>
          <w:sz w:val="21"/>
          <w:szCs w:val="21"/>
        </w:rPr>
        <w:t>五、公司或持股</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355" w:lineRule="auto" w:before="133"/>
        <w:ind w:left="678" w:right="1781" w:firstLine="419"/>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1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以上股东所作出的避免同业竞争的承诺，目前正在履行中，报告期内未发</w:t>
      </w:r>
      <w:r>
        <w:rPr>
          <w:rFonts w:ascii="宋体" w:hAnsi="宋体" w:cs="宋体" w:eastAsia="宋体" w:hint="default"/>
          <w:w w:val="100"/>
          <w:sz w:val="21"/>
          <w:szCs w:val="21"/>
        </w:rPr>
        <w:t> </w:t>
      </w:r>
      <w:r>
        <w:rPr>
          <w:rFonts w:ascii="宋体" w:hAnsi="宋体" w:cs="宋体" w:eastAsia="宋体" w:hint="default"/>
          <w:sz w:val="21"/>
          <w:szCs w:val="21"/>
        </w:rPr>
        <w:t>生同业竞争的情形。</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678" w:right="1781" w:firstLine="0"/>
        <w:jc w:val="left"/>
        <w:rPr>
          <w:rFonts w:ascii="宋体" w:hAnsi="宋体" w:cs="宋体" w:eastAsia="宋体" w:hint="default"/>
          <w:sz w:val="21"/>
          <w:szCs w:val="21"/>
        </w:rPr>
      </w:pPr>
      <w:r>
        <w:rPr>
          <w:rFonts w:ascii="宋体" w:hAnsi="宋体" w:cs="宋体" w:eastAsia="宋体" w:hint="default"/>
          <w:b/>
          <w:bCs/>
          <w:sz w:val="21"/>
          <w:szCs w:val="21"/>
        </w:rPr>
        <w:t>六、公司控股股东及其他关联方占用公司资金的情况</w:t>
      </w:r>
      <w:r>
        <w:rPr>
          <w:rFonts w:ascii="宋体" w:hAnsi="宋体" w:cs="宋体" w:eastAsia="宋体" w:hint="default"/>
          <w:sz w:val="21"/>
          <w:szCs w:val="21"/>
        </w:rPr>
      </w:r>
    </w:p>
    <w:p>
      <w:pPr>
        <w:spacing w:line="355" w:lineRule="auto" w:before="133"/>
        <w:ind w:left="678" w:right="0" w:firstLine="419"/>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
          <w:sz w:val="21"/>
          <w:szCs w:val="21"/>
        </w:rPr>
        <w:t> </w:t>
      </w:r>
      <w:r>
        <w:rPr>
          <w:rFonts w:ascii="宋体" w:hAnsi="宋体" w:cs="宋体" w:eastAsia="宋体" w:hint="default"/>
          <w:sz w:val="21"/>
          <w:szCs w:val="21"/>
        </w:rPr>
        <w:t>年度公司控股股东及其他关联方不存在违规占用公司资金情况，也不存在通过借</w:t>
      </w:r>
      <w:r>
        <w:rPr>
          <w:rFonts w:ascii="宋体" w:hAnsi="宋体" w:cs="宋体" w:eastAsia="宋体" w:hint="default"/>
          <w:w w:val="100"/>
          <w:sz w:val="21"/>
          <w:szCs w:val="21"/>
        </w:rPr>
        <w:t> </w:t>
      </w:r>
      <w:r>
        <w:rPr>
          <w:rFonts w:ascii="宋体" w:hAnsi="宋体" w:cs="宋体" w:eastAsia="宋体" w:hint="default"/>
          <w:spacing w:val="-4"/>
          <w:sz w:val="21"/>
          <w:szCs w:val="21"/>
        </w:rPr>
        <w:t>款、违规担保、要求公司为其支付或垫付工资、福利、保险、广告等费用或其他支出等方式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7"/>
          <w:sz w:val="21"/>
          <w:szCs w:val="21"/>
        </w:rPr>
        <w:t>占用公司资金的情况，也没有发生过高价置入公司资产、关联交易非关联化、假投资真占用、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假采购真占用等方式变相或隐性占用公司资金的情形。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1098" w:right="1781" w:hanging="420"/>
        <w:jc w:val="left"/>
        <w:rPr>
          <w:rFonts w:ascii="宋体" w:hAnsi="宋体" w:cs="宋体" w:eastAsia="宋体" w:hint="default"/>
          <w:sz w:val="21"/>
          <w:szCs w:val="21"/>
        </w:rPr>
      </w:pPr>
      <w:r>
        <w:rPr>
          <w:rFonts w:ascii="宋体" w:hAnsi="宋体" w:cs="宋体" w:eastAsia="宋体" w:hint="default"/>
          <w:b/>
          <w:bCs/>
          <w:sz w:val="21"/>
          <w:szCs w:val="21"/>
        </w:rPr>
        <w:t>七、公司聘任会计师务所情况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报告期内，公司未改聘会计师事务所，公司目前聘任的审计机构为中瑞岳华会计师事务</w:t>
      </w:r>
    </w:p>
    <w:p>
      <w:pPr>
        <w:spacing w:before="32"/>
        <w:ind w:left="678" w:right="1781" w:firstLine="0"/>
        <w:jc w:val="left"/>
        <w:rPr>
          <w:rFonts w:ascii="宋体" w:hAnsi="宋体" w:cs="宋体" w:eastAsia="宋体" w:hint="default"/>
          <w:sz w:val="21"/>
          <w:szCs w:val="21"/>
        </w:rPr>
      </w:pPr>
      <w:r>
        <w:rPr>
          <w:rFonts w:ascii="宋体" w:hAnsi="宋体" w:cs="宋体" w:eastAsia="宋体" w:hint="default"/>
          <w:sz w:val="21"/>
          <w:szCs w:val="21"/>
        </w:rPr>
        <w:t>所有限公司，本年度公司应支付的年报审计费用为</w:t>
      </w:r>
      <w:r>
        <w:rPr>
          <w:rFonts w:ascii="宋体" w:hAnsi="宋体" w:cs="宋体" w:eastAsia="宋体" w:hint="default"/>
          <w:spacing w:val="-56"/>
          <w:sz w:val="21"/>
          <w:szCs w:val="21"/>
        </w:rPr>
        <w:t> </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55" w:lineRule="auto" w:before="0"/>
        <w:ind w:left="1098" w:right="1781" w:hanging="420"/>
        <w:jc w:val="left"/>
        <w:rPr>
          <w:rFonts w:ascii="宋体" w:hAnsi="宋体" w:cs="宋体" w:eastAsia="宋体" w:hint="default"/>
          <w:sz w:val="21"/>
          <w:szCs w:val="21"/>
        </w:rPr>
      </w:pPr>
      <w:r>
        <w:rPr>
          <w:rFonts w:ascii="宋体" w:hAnsi="宋体" w:cs="宋体" w:eastAsia="宋体" w:hint="default"/>
          <w:b/>
          <w:bCs/>
          <w:sz w:val="21"/>
          <w:szCs w:val="21"/>
        </w:rPr>
        <w:t>八、公司、董事会、董事受处罚及整改情况</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报告期内，公司、公司董事会及董事均未受到中国证监会的稽查、行政处罚、通报批评</w:t>
      </w:r>
    </w:p>
    <w:p>
      <w:pPr>
        <w:spacing w:line="715" w:lineRule="auto" w:before="32"/>
        <w:ind w:left="678" w:right="2782" w:firstLine="0"/>
        <w:jc w:val="left"/>
        <w:rPr>
          <w:rFonts w:ascii="宋体" w:hAnsi="宋体" w:cs="宋体" w:eastAsia="宋体" w:hint="default"/>
          <w:sz w:val="21"/>
          <w:szCs w:val="21"/>
        </w:rPr>
      </w:pPr>
      <w:r>
        <w:rPr/>
        <w:pict>
          <v:shape style="position:absolute;margin-left:61.439999pt;margin-top:64.623703pt;width:472.8pt;height:198.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6"/>
                    <w:gridCol w:w="1277"/>
                    <w:gridCol w:w="4112"/>
                    <w:gridCol w:w="2977"/>
                  </w:tblGrid>
                  <w:tr>
                    <w:trPr>
                      <w:trHeight w:val="374"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宋体" w:hAnsi="宋体" w:cs="宋体" w:eastAsia="宋体" w:hint="default"/>
                            <w:sz w:val="18"/>
                            <w:szCs w:val="18"/>
                          </w:rPr>
                        </w:pPr>
                        <w:r>
                          <w:rPr>
                            <w:rFonts w:ascii="宋体" w:hAnsi="宋体" w:cs="宋体" w:eastAsia="宋体" w:hint="default"/>
                            <w:b/>
                            <w:bCs/>
                            <w:w w:val="95"/>
                            <w:sz w:val="18"/>
                            <w:szCs w:val="18"/>
                          </w:rPr>
                          <w:t>公告编号</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b/>
                            <w:bCs/>
                            <w:sz w:val="18"/>
                            <w:szCs w:val="18"/>
                          </w:rPr>
                          <w:t>信息披露报纸及网站</w:t>
                        </w:r>
                        <w:r>
                          <w:rPr>
                            <w:rFonts w:ascii="宋体" w:hAnsi="宋体" w:cs="宋体" w:eastAsia="宋体" w:hint="default"/>
                            <w:sz w:val="18"/>
                            <w:szCs w:val="18"/>
                          </w:rPr>
                        </w:r>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7"/>
                          <w:jc w:val="right"/>
                          <w:rPr>
                            <w:rFonts w:ascii="宋体" w:hAnsi="宋体" w:cs="宋体" w:eastAsia="宋体" w:hint="default"/>
                            <w:sz w:val="18"/>
                            <w:szCs w:val="18"/>
                          </w:rPr>
                        </w:pPr>
                        <w:r>
                          <w:rPr>
                            <w:rFonts w:ascii="宋体"/>
                            <w:b/>
                            <w:w w:val="95"/>
                            <w:sz w:val="18"/>
                          </w:rPr>
                          <w:t>2010-001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2010-01-30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关于更换保荐代表人的公告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7"/>
                          <w:jc w:val="right"/>
                          <w:rPr>
                            <w:rFonts w:ascii="宋体" w:hAnsi="宋体" w:cs="宋体" w:eastAsia="宋体" w:hint="default"/>
                            <w:sz w:val="18"/>
                            <w:szCs w:val="18"/>
                          </w:rPr>
                        </w:pPr>
                        <w:r>
                          <w:rPr>
                            <w:rFonts w:ascii="宋体"/>
                            <w:b/>
                            <w:w w:val="95"/>
                            <w:sz w:val="18"/>
                          </w:rPr>
                          <w:t>2010-002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第三届董事会第五次会议公告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2010-003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募集资金年度使用情况的专项报告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2010-004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关于前次募集资金使用情况的专项报告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2010-005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年度内部控制的自我评价报告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2010-006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关于为控股子公司提供财务资助的公告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2010-007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年年度报告摘要</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3"/>
                            <w:sz w:val="18"/>
                            <w:szCs w:val="18"/>
                          </w:rPr>
                          <w:t> </w:t>
                        </w:r>
                        <w:r>
                          <w:rPr>
                            <w:rFonts w:ascii="宋体" w:hAnsi="宋体" w:cs="宋体" w:eastAsia="宋体" w:hint="default"/>
                            <w:color w:val="0000FF"/>
                            <w:spacing w:val="-53"/>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242"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7"/>
                          <w:jc w:val="right"/>
                          <w:rPr>
                            <w:rFonts w:ascii="宋体" w:hAnsi="宋体" w:cs="宋体" w:eastAsia="宋体" w:hint="default"/>
                            <w:sz w:val="18"/>
                            <w:szCs w:val="18"/>
                          </w:rPr>
                        </w:pPr>
                        <w:r>
                          <w:rPr>
                            <w:rFonts w:ascii="宋体"/>
                            <w:b/>
                            <w:w w:val="95"/>
                            <w:sz w:val="18"/>
                          </w:rPr>
                          <w:t>2010-008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年度股东大会的公告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21"/>
          <w:szCs w:val="21"/>
        </w:rPr>
        <w:t>及证券交易所公开谴责的情形。</w:t>
      </w:r>
      <w:r>
        <w:rPr>
          <w:rFonts w:ascii="宋体" w:hAnsi="宋体" w:cs="宋体" w:eastAsia="宋体" w:hint="default"/>
          <w:w w:val="100"/>
          <w:sz w:val="21"/>
          <w:szCs w:val="21"/>
        </w:rPr>
        <w:t> </w:t>
      </w:r>
      <w:r>
        <w:rPr>
          <w:rFonts w:ascii="宋体" w:hAnsi="宋体" w:cs="宋体" w:eastAsia="宋体" w:hint="default"/>
          <w:b/>
          <w:bCs/>
          <w:spacing w:val="-1"/>
          <w:sz w:val="21"/>
          <w:szCs w:val="21"/>
        </w:rPr>
        <w:t>九、报告期内公司公开披露的重大事项信息索引</w:t>
      </w:r>
      <w:r>
        <w:rPr>
          <w:rFonts w:ascii="宋体" w:hAnsi="宋体" w:cs="宋体" w:eastAsia="宋体" w:hint="default"/>
          <w:sz w:val="21"/>
          <w:szCs w:val="21"/>
        </w:rPr>
      </w:r>
    </w:p>
    <w:p>
      <w:pPr>
        <w:spacing w:after="0" w:line="715" w:lineRule="auto"/>
        <w:jc w:val="left"/>
        <w:rPr>
          <w:rFonts w:ascii="宋体" w:hAnsi="宋体" w:cs="宋体" w:eastAsia="宋体" w:hint="default"/>
          <w:sz w:val="21"/>
          <w:szCs w:val="21"/>
        </w:rPr>
        <w:sectPr>
          <w:pgSz w:w="11910" w:h="16840"/>
          <w:pgMar w:header="915" w:footer="1100" w:top="1100" w:bottom="1280" w:left="1120" w:right="0"/>
        </w:sectPr>
      </w:pPr>
    </w:p>
    <w:p>
      <w:pPr>
        <w:spacing w:line="240" w:lineRule="auto" w:before="9"/>
        <w:rPr>
          <w:rFonts w:ascii="Times New Roman" w:hAnsi="Times New Roman" w:cs="Times New Roman" w:eastAsia="Times New Roman" w:hint="default"/>
          <w:sz w:val="2"/>
          <w:szCs w:val="2"/>
        </w:rPr>
      </w:pPr>
      <w:r>
        <w:rPr/>
        <w:pict>
          <v:shape style="position:absolute;margin-left:90.150002pt;margin-top:41.999985pt;width:18pt;height:15.75pt;mso-position-horizontal-relative:page;mso-position-vertical-relative:page;z-index:-745552"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1076"/>
        <w:gridCol w:w="1277"/>
        <w:gridCol w:w="4112"/>
        <w:gridCol w:w="2977"/>
      </w:tblGrid>
      <w:tr>
        <w:trPr>
          <w:trHeight w:val="257" w:hRule="exact"/>
        </w:trPr>
        <w:tc>
          <w:tcPr>
            <w:tcW w:w="1076"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4112" w:type="dxa"/>
            <w:tcBorders>
              <w:top w:val="single" w:sz="10" w:space="0" w:color="000000"/>
              <w:left w:val="single" w:sz="4" w:space="0" w:color="000000"/>
              <w:bottom w:val="single" w:sz="4" w:space="0" w:color="000000"/>
              <w:right w:val="single" w:sz="4" w:space="0" w:color="000000"/>
            </w:tcBorders>
          </w:tcPr>
          <w:p>
            <w:pPr/>
          </w:p>
        </w:tc>
        <w:tc>
          <w:tcPr>
            <w:tcW w:w="2977" w:type="dxa"/>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2010-009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第三届监事会第三次会议决议公告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7"/>
              <w:jc w:val="right"/>
              <w:rPr>
                <w:rFonts w:ascii="宋体" w:hAnsi="宋体" w:cs="宋体" w:eastAsia="宋体" w:hint="default"/>
                <w:sz w:val="18"/>
                <w:szCs w:val="18"/>
              </w:rPr>
            </w:pPr>
            <w:r>
              <w:rPr>
                <w:rFonts w:ascii="宋体"/>
                <w:b/>
                <w:w w:val="95"/>
                <w:sz w:val="18"/>
              </w:rPr>
              <w:t>2010-010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b/>
                <w:sz w:val="18"/>
              </w:rPr>
              <w:t>2010-02-05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关于举行</w:t>
            </w:r>
            <w:r>
              <w:rPr>
                <w:rFonts w:ascii="宋体" w:hAnsi="宋体" w:cs="宋体" w:eastAsia="宋体" w:hint="default"/>
                <w:b/>
                <w:bCs/>
                <w:spacing w:val="-48"/>
                <w:sz w:val="18"/>
                <w:szCs w:val="18"/>
              </w:rPr>
              <w:t> </w:t>
            </w: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年度报告网上说明会的公告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2010-011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2010-03-02</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首次公开发行前已发行股份上市流通提示性公告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2010-012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2010-02-27</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7"/>
              <w:jc w:val="right"/>
              <w:rPr>
                <w:rFonts w:ascii="宋体" w:hAnsi="宋体" w:cs="宋体" w:eastAsia="宋体" w:hint="default"/>
                <w:sz w:val="18"/>
                <w:szCs w:val="18"/>
              </w:rPr>
            </w:pPr>
            <w:r>
              <w:rPr>
                <w:rFonts w:ascii="宋体"/>
                <w:b/>
                <w:w w:val="95"/>
                <w:sz w:val="18"/>
              </w:rPr>
              <w:t>2010-013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2010-03-02</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年度权益分派实施公告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2010-014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2010-03-27</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第三届董事会第六次会议公告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2010-015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2010-04-24</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第三届董事会第七次会议公告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2010-016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2010-04-24</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年第一季度报告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7"/>
              <w:jc w:val="right"/>
              <w:rPr>
                <w:rFonts w:ascii="宋体" w:hAnsi="宋体" w:cs="宋体" w:eastAsia="宋体" w:hint="default"/>
                <w:sz w:val="18"/>
                <w:szCs w:val="18"/>
              </w:rPr>
            </w:pPr>
            <w:r>
              <w:rPr>
                <w:rFonts w:ascii="宋体"/>
                <w:b/>
                <w:w w:val="95"/>
                <w:sz w:val="18"/>
              </w:rPr>
              <w:t>2010-017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2010-05-20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b/>
                <w:bCs/>
                <w:sz w:val="18"/>
                <w:szCs w:val="18"/>
              </w:rPr>
              <w:t>关于公司股东名称变更的公告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2010-018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2010-06-01</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第三届董事会第八次会议公告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8"/>
              <w:jc w:val="right"/>
              <w:rPr>
                <w:rFonts w:ascii="宋体" w:hAnsi="宋体" w:cs="宋体" w:eastAsia="宋体" w:hint="default"/>
                <w:sz w:val="18"/>
                <w:szCs w:val="18"/>
              </w:rPr>
            </w:pPr>
            <w:r>
              <w:rPr>
                <w:rFonts w:ascii="宋体"/>
                <w:b/>
                <w:w w:val="95"/>
                <w:sz w:val="18"/>
              </w:rPr>
              <w:t>2010-019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2010-07-17</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关于公开增发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股股票获发审会审核通过的公告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8"/>
              <w:jc w:val="right"/>
              <w:rPr>
                <w:rFonts w:ascii="宋体" w:hAnsi="宋体" w:cs="宋体" w:eastAsia="宋体" w:hint="default"/>
                <w:sz w:val="18"/>
                <w:szCs w:val="18"/>
              </w:rPr>
            </w:pPr>
            <w:r>
              <w:rPr>
                <w:rFonts w:ascii="宋体"/>
                <w:b/>
                <w:w w:val="95"/>
                <w:sz w:val="18"/>
              </w:rPr>
              <w:t>2010-020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2010-08-10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第三届董事会第九次会议公告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8"/>
              <w:jc w:val="right"/>
              <w:rPr>
                <w:rFonts w:ascii="宋体" w:hAnsi="宋体" w:cs="宋体" w:eastAsia="宋体" w:hint="default"/>
                <w:sz w:val="18"/>
                <w:szCs w:val="18"/>
              </w:rPr>
            </w:pPr>
            <w:r>
              <w:rPr>
                <w:rFonts w:ascii="宋体"/>
                <w:b/>
                <w:w w:val="95"/>
                <w:sz w:val="18"/>
              </w:rPr>
              <w:t>2010-021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2010-08-10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重大投资计划公告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2010-08-10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年第一次临时股东大会的公告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7"/>
              <w:jc w:val="right"/>
              <w:rPr>
                <w:rFonts w:ascii="宋体" w:hAnsi="宋体" w:cs="宋体" w:eastAsia="宋体" w:hint="default"/>
                <w:sz w:val="18"/>
                <w:szCs w:val="18"/>
              </w:rPr>
            </w:pPr>
            <w:r>
              <w:rPr>
                <w:rFonts w:ascii="宋体"/>
                <w:b/>
                <w:w w:val="95"/>
                <w:sz w:val="18"/>
              </w:rPr>
              <w:t>2010-023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2010-08-27</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年半年度报告摘要</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6"/>
                <w:sz w:val="18"/>
                <w:szCs w:val="18"/>
              </w:rPr>
              <w:t> </w:t>
            </w:r>
            <w:r>
              <w:rPr>
                <w:rFonts w:ascii="宋体" w:hAnsi="宋体" w:cs="宋体" w:eastAsia="宋体" w:hint="default"/>
                <w:b/>
                <w:bCs/>
                <w:color w:val="0000FF"/>
                <w:spacing w:val="-56"/>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2010-08-28</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年第一次临时股东大会决议公告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b/>
                <w:sz w:val="18"/>
              </w:rPr>
              <w:t>2010-09-04</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关于公开增发 </w:t>
            </w:r>
            <w:r>
              <w:rPr>
                <w:rFonts w:ascii="宋体" w:hAnsi="宋体" w:cs="宋体" w:eastAsia="宋体" w:hint="default"/>
                <w:b/>
                <w:bCs/>
                <w:sz w:val="18"/>
                <w:szCs w:val="18"/>
              </w:rPr>
              <w:t>A</w:t>
            </w:r>
            <w:r>
              <w:rPr>
                <w:rFonts w:ascii="宋体" w:hAnsi="宋体" w:cs="宋体" w:eastAsia="宋体" w:hint="default"/>
                <w:b/>
                <w:bCs/>
                <w:spacing w:val="5"/>
                <w:sz w:val="18"/>
                <w:szCs w:val="18"/>
              </w:rPr>
              <w:t> </w:t>
            </w:r>
            <w:r>
              <w:rPr>
                <w:rFonts w:ascii="宋体" w:hAnsi="宋体" w:cs="宋体" w:eastAsia="宋体" w:hint="default"/>
                <w:b/>
                <w:bCs/>
                <w:sz w:val="18"/>
                <w:szCs w:val="18"/>
              </w:rPr>
              <w:t>股股票获得中国证监会核准的公</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w w:val="99"/>
                <w:sz w:val="18"/>
                <w:szCs w:val="18"/>
              </w:rPr>
              <w:t>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2010-09-08</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股网上发行公告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2010-09-08</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股网下发行公告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2010-09-08</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股网上路演公告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2010-029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2010-09-10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股提示性公告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8"/>
              <w:jc w:val="right"/>
              <w:rPr>
                <w:rFonts w:ascii="宋体" w:hAnsi="宋体" w:cs="宋体" w:eastAsia="宋体" w:hint="default"/>
                <w:sz w:val="18"/>
                <w:szCs w:val="18"/>
              </w:rPr>
            </w:pPr>
            <w:r>
              <w:rPr>
                <w:rFonts w:ascii="宋体"/>
                <w:b/>
                <w:w w:val="95"/>
                <w:sz w:val="18"/>
              </w:rPr>
              <w:t>2010-030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2010-09-15</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股发行结果公告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6"/>
                <w:sz w:val="18"/>
                <w:szCs w:val="18"/>
              </w:rPr>
              <w:t> </w:t>
            </w:r>
            <w:r>
              <w:rPr>
                <w:rFonts w:ascii="宋体" w:hAnsi="宋体" w:cs="宋体" w:eastAsia="宋体" w:hint="default"/>
                <w:b/>
                <w:bCs/>
                <w:color w:val="0000FF"/>
                <w:spacing w:val="-56"/>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8"/>
              <w:jc w:val="right"/>
              <w:rPr>
                <w:rFonts w:ascii="宋体" w:hAnsi="宋体" w:cs="宋体" w:eastAsia="宋体" w:hint="default"/>
                <w:sz w:val="18"/>
                <w:szCs w:val="18"/>
              </w:rPr>
            </w:pPr>
            <w:r>
              <w:rPr>
                <w:rFonts w:ascii="宋体"/>
                <w:b/>
                <w:w w:val="95"/>
                <w:sz w:val="18"/>
              </w:rPr>
              <w:t>2010-031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2010-09-29</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股份变动及增发</w:t>
            </w:r>
            <w:r>
              <w:rPr>
                <w:rFonts w:ascii="宋体" w:hAnsi="宋体" w:cs="宋体" w:eastAsia="宋体" w:hint="default"/>
                <w:b/>
                <w:bCs/>
                <w:spacing w:val="-47"/>
                <w:sz w:val="18"/>
                <w:szCs w:val="18"/>
              </w:rPr>
              <w:t> </w:t>
            </w:r>
            <w:r>
              <w:rPr>
                <w:rFonts w:ascii="宋体" w:hAnsi="宋体" w:cs="宋体" w:eastAsia="宋体" w:hint="default"/>
                <w:b/>
                <w:bCs/>
                <w:sz w:val="18"/>
                <w:szCs w:val="18"/>
              </w:rPr>
              <w:t>A</w:t>
            </w:r>
            <w:r>
              <w:rPr>
                <w:rFonts w:ascii="宋体" w:hAnsi="宋体" w:cs="宋体" w:eastAsia="宋体" w:hint="default"/>
                <w:b/>
                <w:bCs/>
                <w:spacing w:val="-46"/>
                <w:sz w:val="18"/>
                <w:szCs w:val="18"/>
              </w:rPr>
              <w:t> </w:t>
            </w:r>
            <w:r>
              <w:rPr>
                <w:rFonts w:ascii="宋体" w:hAnsi="宋体" w:cs="宋体" w:eastAsia="宋体" w:hint="default"/>
                <w:b/>
                <w:bCs/>
                <w:sz w:val="18"/>
                <w:szCs w:val="18"/>
              </w:rPr>
              <w:t>股上市公告书</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7"/>
              <w:jc w:val="right"/>
              <w:rPr>
                <w:rFonts w:ascii="宋体" w:hAnsi="宋体" w:cs="宋体" w:eastAsia="宋体" w:hint="default"/>
                <w:sz w:val="18"/>
                <w:szCs w:val="18"/>
              </w:rPr>
            </w:pPr>
            <w:r>
              <w:rPr>
                <w:rFonts w:ascii="宋体"/>
                <w:b/>
                <w:w w:val="95"/>
                <w:sz w:val="18"/>
              </w:rPr>
              <w:t>2010-032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2010-09-30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第三届董事会第十一次会议决议公告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7"/>
              <w:jc w:val="right"/>
              <w:rPr>
                <w:rFonts w:ascii="宋体" w:hAnsi="宋体" w:cs="宋体" w:eastAsia="宋体" w:hint="default"/>
                <w:sz w:val="18"/>
                <w:szCs w:val="18"/>
              </w:rPr>
            </w:pPr>
            <w:r>
              <w:rPr>
                <w:rFonts w:ascii="宋体"/>
                <w:b/>
                <w:w w:val="95"/>
                <w:sz w:val="18"/>
              </w:rPr>
              <w:t>2010-033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b/>
                <w:sz w:val="18"/>
              </w:rPr>
              <w:t>2010-09-30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5"/>
                <w:sz w:val="18"/>
                <w:szCs w:val="18"/>
              </w:rPr>
              <w:t>关于以募集资金置换已投入募集资金投资项目的</w:t>
            </w:r>
            <w:r>
              <w:rPr>
                <w:rFonts w:ascii="宋体" w:hAnsi="宋体" w:cs="宋体" w:eastAsia="宋体" w:hint="default"/>
                <w:spacing w:val="5"/>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自筹资金的公告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8"/>
              <w:jc w:val="right"/>
              <w:rPr>
                <w:rFonts w:ascii="宋体" w:hAnsi="宋体" w:cs="宋体" w:eastAsia="宋体" w:hint="default"/>
                <w:sz w:val="18"/>
                <w:szCs w:val="18"/>
              </w:rPr>
            </w:pPr>
            <w:r>
              <w:rPr>
                <w:rFonts w:ascii="宋体"/>
                <w:b/>
                <w:w w:val="95"/>
                <w:sz w:val="18"/>
              </w:rPr>
              <w:t>2010-034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2010-09-30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关于签订募集资金三方监管协议的公告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2010-035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2010-09-30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年第二次临时股东大会的公告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2010-036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2010-09-30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第三届监事会第六次会议决议公告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7"/>
              <w:jc w:val="right"/>
              <w:rPr>
                <w:rFonts w:ascii="宋体" w:hAnsi="宋体" w:cs="宋体" w:eastAsia="宋体" w:hint="default"/>
                <w:sz w:val="18"/>
                <w:szCs w:val="18"/>
              </w:rPr>
            </w:pPr>
            <w:r>
              <w:rPr>
                <w:rFonts w:ascii="宋体"/>
                <w:b/>
                <w:w w:val="95"/>
                <w:sz w:val="18"/>
              </w:rPr>
              <w:t>2010-037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2010-10-16</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年第二次临时股东大会决议公告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bl>
    <w:p>
      <w:pPr>
        <w:spacing w:after="0" w:line="234" w:lineRule="exact"/>
        <w:jc w:val="center"/>
        <w:rPr>
          <w:rFonts w:ascii="宋体" w:hAnsi="宋体" w:cs="宋体" w:eastAsia="宋体" w:hint="default"/>
          <w:sz w:val="18"/>
          <w:szCs w:val="18"/>
        </w:rPr>
        <w:sectPr>
          <w:pgSz w:w="11910" w:h="16840"/>
          <w:pgMar w:header="915" w:footer="1100" w:top="1100" w:bottom="1280" w:left="1120" w:right="0"/>
        </w:sectPr>
      </w:pPr>
    </w:p>
    <w:tbl>
      <w:tblPr>
        <w:tblW w:w="0" w:type="auto"/>
        <w:jc w:val="left"/>
        <w:tblInd w:w="108" w:type="dxa"/>
        <w:tblLayout w:type="fixed"/>
        <w:tblCellMar>
          <w:top w:w="0" w:type="dxa"/>
          <w:left w:w="0" w:type="dxa"/>
          <w:bottom w:w="0" w:type="dxa"/>
          <w:right w:w="0" w:type="dxa"/>
        </w:tblCellMar>
        <w:tblLook w:val="01E0"/>
      </w:tblPr>
      <w:tblGrid>
        <w:gridCol w:w="1076"/>
        <w:gridCol w:w="1277"/>
        <w:gridCol w:w="4112"/>
        <w:gridCol w:w="2977"/>
      </w:tblGrid>
      <w:tr>
        <w:trPr>
          <w:trHeight w:val="490" w:hRule="exact"/>
        </w:trPr>
        <w:tc>
          <w:tcPr>
            <w:tcW w:w="10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4"/>
              <w:ind w:right="167"/>
              <w:jc w:val="right"/>
              <w:rPr>
                <w:rFonts w:ascii="宋体" w:hAnsi="宋体" w:cs="宋体" w:eastAsia="宋体" w:hint="default"/>
                <w:sz w:val="18"/>
                <w:szCs w:val="18"/>
              </w:rPr>
            </w:pPr>
            <w:r>
              <w:rPr>
                <w:rFonts w:ascii="宋体"/>
                <w:b/>
                <w:w w:val="95"/>
                <w:sz w:val="18"/>
              </w:rPr>
              <w:t>2010-038</w:t>
            </w:r>
            <w:r>
              <w:rPr>
                <w:rFonts w:ascii="宋体"/>
                <w:sz w:val="18"/>
              </w:rPr>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b/>
                <w:sz w:val="18"/>
              </w:rPr>
              <w:t>2010-10-23</w:t>
            </w:r>
            <w:r>
              <w:rPr>
                <w:rFonts w:ascii="宋体"/>
                <w:sz w:val="18"/>
              </w:rPr>
            </w:r>
          </w:p>
        </w:tc>
        <w:tc>
          <w:tcPr>
            <w:tcW w:w="411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4"/>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年度三季报</w:t>
            </w:r>
            <w:r>
              <w:rPr>
                <w:rFonts w:ascii="宋体" w:hAnsi="宋体" w:cs="宋体" w:eastAsia="宋体" w:hint="default"/>
                <w:sz w:val="18"/>
                <w:szCs w:val="18"/>
              </w:rPr>
            </w:r>
          </w:p>
        </w:tc>
        <w:tc>
          <w:tcPr>
            <w:tcW w:w="2977" w:type="dxa"/>
            <w:tcBorders>
              <w:top w:val="single" w:sz="10"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7"/>
              <w:jc w:val="right"/>
              <w:rPr>
                <w:rFonts w:ascii="宋体" w:hAnsi="宋体" w:cs="宋体" w:eastAsia="宋体" w:hint="default"/>
                <w:sz w:val="18"/>
                <w:szCs w:val="18"/>
              </w:rPr>
            </w:pPr>
            <w:r>
              <w:rPr>
                <w:rFonts w:ascii="宋体"/>
                <w:b/>
                <w:w w:val="95"/>
                <w:sz w:val="18"/>
              </w:rPr>
              <w:t>2010-039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b/>
                <w:sz w:val="18"/>
              </w:rPr>
              <w:t>2010-11-03</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第三届董事会第十三次会议决议公告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6"/>
                <w:sz w:val="18"/>
                <w:szCs w:val="18"/>
              </w:rPr>
              <w:t> </w:t>
            </w:r>
            <w:r>
              <w:rPr>
                <w:rFonts w:ascii="宋体" w:hAnsi="宋体" w:cs="宋体" w:eastAsia="宋体" w:hint="default"/>
                <w:b/>
                <w:bCs/>
                <w:color w:val="0000FF"/>
                <w:spacing w:val="-56"/>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7"/>
              <w:jc w:val="right"/>
              <w:rPr>
                <w:rFonts w:ascii="宋体" w:hAnsi="宋体" w:cs="宋体" w:eastAsia="宋体" w:hint="default"/>
                <w:sz w:val="18"/>
                <w:szCs w:val="18"/>
              </w:rPr>
            </w:pPr>
            <w:r>
              <w:rPr>
                <w:rFonts w:ascii="宋体"/>
                <w:b/>
                <w:w w:val="95"/>
                <w:sz w:val="18"/>
              </w:rPr>
              <w:t>2010-040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b/>
                <w:sz w:val="18"/>
              </w:rPr>
              <w:t>2010-11-03</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 w:right="0"/>
              <w:jc w:val="left"/>
              <w:rPr>
                <w:rFonts w:ascii="宋体" w:hAnsi="宋体" w:cs="宋体" w:eastAsia="宋体" w:hint="default"/>
                <w:sz w:val="18"/>
                <w:szCs w:val="18"/>
              </w:rPr>
            </w:pPr>
            <w:r>
              <w:rPr>
                <w:rFonts w:ascii="宋体" w:hAnsi="宋体" w:cs="宋体" w:eastAsia="宋体" w:hint="default"/>
                <w:b/>
                <w:bCs/>
                <w:spacing w:val="4"/>
                <w:sz w:val="18"/>
                <w:szCs w:val="18"/>
              </w:rPr>
              <w:t>关于使用部分闲置募集资金暂时补充流动资金的</w:t>
            </w:r>
            <w:r>
              <w:rPr>
                <w:rFonts w:ascii="宋体" w:hAnsi="宋体" w:cs="宋体" w:eastAsia="宋体" w:hint="default"/>
                <w:spacing w:val="4"/>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7"/>
              <w:jc w:val="right"/>
              <w:rPr>
                <w:rFonts w:ascii="宋体" w:hAnsi="宋体" w:cs="宋体" w:eastAsia="宋体" w:hint="default"/>
                <w:sz w:val="18"/>
                <w:szCs w:val="18"/>
              </w:rPr>
            </w:pPr>
            <w:r>
              <w:rPr>
                <w:rFonts w:ascii="宋体"/>
                <w:b/>
                <w:w w:val="95"/>
                <w:sz w:val="18"/>
              </w:rPr>
              <w:t>2010-041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b/>
                <w:sz w:val="18"/>
              </w:rPr>
              <w:t>2010-11-03</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第三届监事会第八次会议决议公告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7"/>
              <w:jc w:val="right"/>
              <w:rPr>
                <w:rFonts w:ascii="宋体" w:hAnsi="宋体" w:cs="宋体" w:eastAsia="宋体" w:hint="default"/>
                <w:sz w:val="18"/>
                <w:szCs w:val="18"/>
              </w:rPr>
            </w:pPr>
            <w:r>
              <w:rPr>
                <w:rFonts w:ascii="宋体"/>
                <w:b/>
                <w:w w:val="95"/>
                <w:sz w:val="18"/>
              </w:rPr>
              <w:t>2010-042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b/>
                <w:sz w:val="18"/>
              </w:rPr>
              <w:t>2010-11-03</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年第三次临时股东大会的公告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7"/>
              <w:jc w:val="right"/>
              <w:rPr>
                <w:rFonts w:ascii="宋体" w:hAnsi="宋体" w:cs="宋体" w:eastAsia="宋体" w:hint="default"/>
                <w:sz w:val="18"/>
                <w:szCs w:val="18"/>
              </w:rPr>
            </w:pPr>
            <w:r>
              <w:rPr>
                <w:rFonts w:ascii="宋体"/>
                <w:b/>
                <w:w w:val="95"/>
                <w:sz w:val="18"/>
              </w:rPr>
              <w:t>2010-043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b/>
                <w:sz w:val="18"/>
              </w:rPr>
              <w:t>2010-11-16</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3"/>
                <w:sz w:val="18"/>
                <w:szCs w:val="18"/>
              </w:rPr>
              <w:t> </w:t>
            </w:r>
            <w:r>
              <w:rPr>
                <w:rFonts w:ascii="宋体" w:hAnsi="宋体" w:cs="宋体" w:eastAsia="宋体" w:hint="default"/>
                <w:b/>
                <w:bCs/>
                <w:sz w:val="18"/>
                <w:szCs w:val="18"/>
              </w:rPr>
              <w:t>2010</w:t>
            </w:r>
            <w:r>
              <w:rPr>
                <w:rFonts w:ascii="宋体" w:hAnsi="宋体" w:cs="宋体" w:eastAsia="宋体" w:hint="default"/>
                <w:b/>
                <w:bCs/>
                <w:spacing w:val="-43"/>
                <w:sz w:val="18"/>
                <w:szCs w:val="18"/>
              </w:rPr>
              <w:t> </w:t>
            </w:r>
            <w:r>
              <w:rPr>
                <w:rFonts w:ascii="宋体" w:hAnsi="宋体" w:cs="宋体" w:eastAsia="宋体" w:hint="default"/>
                <w:b/>
                <w:bCs/>
                <w:sz w:val="18"/>
                <w:szCs w:val="18"/>
              </w:rPr>
              <w:t>年第三次临时股东大会的提示性公</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w w:val="99"/>
                <w:sz w:val="18"/>
                <w:szCs w:val="18"/>
              </w:rPr>
              <w:t>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7"/>
              <w:jc w:val="right"/>
              <w:rPr>
                <w:rFonts w:ascii="宋体" w:hAnsi="宋体" w:cs="宋体" w:eastAsia="宋体" w:hint="default"/>
                <w:sz w:val="18"/>
                <w:szCs w:val="18"/>
              </w:rPr>
            </w:pPr>
            <w:r>
              <w:rPr>
                <w:rFonts w:ascii="宋体"/>
                <w:b/>
                <w:w w:val="95"/>
                <w:sz w:val="18"/>
              </w:rPr>
              <w:t>2010-044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b/>
                <w:sz w:val="18"/>
              </w:rPr>
              <w:t>2010-11-16</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b/>
                <w:bCs/>
                <w:sz w:val="18"/>
                <w:szCs w:val="18"/>
              </w:rPr>
              <w:t>关于签订募集资金三方监管补充协议的公告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7"/>
              <w:jc w:val="right"/>
              <w:rPr>
                <w:rFonts w:ascii="宋体" w:hAnsi="宋体" w:cs="宋体" w:eastAsia="宋体" w:hint="default"/>
                <w:sz w:val="18"/>
                <w:szCs w:val="18"/>
              </w:rPr>
            </w:pPr>
            <w:r>
              <w:rPr>
                <w:rFonts w:ascii="宋体"/>
                <w:b/>
                <w:w w:val="95"/>
                <w:sz w:val="18"/>
              </w:rPr>
              <w:t>2010-045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b/>
                <w:sz w:val="18"/>
              </w:rPr>
              <w:t>2010-11-19</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年第三次临时股东大会决议公告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7"/>
              <w:jc w:val="right"/>
              <w:rPr>
                <w:rFonts w:ascii="宋体" w:hAnsi="宋体" w:cs="宋体" w:eastAsia="宋体" w:hint="default"/>
                <w:sz w:val="18"/>
                <w:szCs w:val="18"/>
              </w:rPr>
            </w:pPr>
            <w:r>
              <w:rPr>
                <w:rFonts w:ascii="宋体"/>
                <w:b/>
                <w:w w:val="95"/>
                <w:sz w:val="18"/>
              </w:rPr>
              <w:t>2010-046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b/>
                <w:sz w:val="18"/>
              </w:rPr>
              <w:t>2010-11-24</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b/>
                <w:bCs/>
                <w:sz w:val="18"/>
                <w:szCs w:val="18"/>
              </w:rPr>
              <w:t>关于完成工商登记变更的公告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67"/>
              <w:jc w:val="right"/>
              <w:rPr>
                <w:rFonts w:ascii="宋体" w:hAnsi="宋体" w:cs="宋体" w:eastAsia="宋体" w:hint="default"/>
                <w:sz w:val="18"/>
                <w:szCs w:val="18"/>
              </w:rPr>
            </w:pPr>
            <w:r>
              <w:rPr>
                <w:rFonts w:ascii="宋体"/>
                <w:b/>
                <w:w w:val="95"/>
                <w:sz w:val="18"/>
              </w:rPr>
              <w:t>2010-047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b/>
                <w:sz w:val="18"/>
              </w:rPr>
              <w:t>2010-12-10</w:t>
            </w:r>
            <w:r>
              <w:rPr>
                <w:rFonts w:ascii="宋体"/>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b/>
                <w:bCs/>
                <w:sz w:val="18"/>
                <w:szCs w:val="18"/>
              </w:rPr>
              <w:t>关于更换保荐代表人的公告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5">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bl>
    <w:p>
      <w:pPr>
        <w:spacing w:after="0" w:line="234" w:lineRule="exact"/>
        <w:jc w:val="center"/>
        <w:rPr>
          <w:rFonts w:ascii="宋体" w:hAnsi="宋体" w:cs="宋体" w:eastAsia="宋体" w:hint="default"/>
          <w:sz w:val="18"/>
          <w:szCs w:val="18"/>
        </w:rPr>
        <w:sectPr>
          <w:headerReference w:type="default" r:id="rId21"/>
          <w:pgSz w:w="11910" w:h="16840"/>
          <w:pgMar w:header="840" w:footer="1100" w:top="1140" w:bottom="1280" w:left="1120" w:right="0"/>
        </w:sectPr>
      </w:pPr>
    </w:p>
    <w:p>
      <w:pPr>
        <w:spacing w:line="240" w:lineRule="auto" w:before="0"/>
        <w:rPr>
          <w:rFonts w:ascii="Times New Roman" w:hAnsi="Times New Roman" w:cs="Times New Roman" w:eastAsia="Times New Roman" w:hint="default"/>
          <w:sz w:val="20"/>
          <w:szCs w:val="20"/>
        </w:rPr>
      </w:pPr>
      <w:r>
        <w:rPr/>
        <w:pict>
          <v:group style="position:absolute;margin-left:88.103996pt;margin-top:41.999985pt;width:419.25pt;height:16.3500pt;mso-position-horizontal-relative:page;mso-position-vertical-relative:page;z-index:-74552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spacing w:line="240" w:lineRule="auto" w:before="11"/>
        <w:rPr>
          <w:rFonts w:ascii="Times New Roman" w:hAnsi="Times New Roman" w:cs="Times New Roman" w:eastAsia="Times New Roman" w:hint="default"/>
          <w:sz w:val="15"/>
          <w:szCs w:val="15"/>
        </w:rPr>
      </w:pPr>
    </w:p>
    <w:p>
      <w:pPr>
        <w:pStyle w:val="Heading1"/>
        <w:spacing w:line="240" w:lineRule="auto"/>
        <w:ind w:right="1659"/>
        <w:jc w:val="center"/>
        <w:rPr>
          <w:b w:val="0"/>
          <w:bCs w:val="0"/>
        </w:rPr>
      </w:pPr>
      <w:bookmarkStart w:name="_TOC_250001" w:id="10"/>
      <w:r>
        <w:rPr/>
        <w:t>第十节财务报告</w:t>
      </w:r>
      <w:bookmarkEnd w:id="10"/>
      <w:r>
        <w:rPr>
          <w:b w:val="0"/>
          <w:bCs w:val="0"/>
        </w:rPr>
      </w:r>
    </w:p>
    <w:p>
      <w:pPr>
        <w:spacing w:line="240" w:lineRule="auto" w:before="6"/>
        <w:rPr>
          <w:rFonts w:ascii="宋体" w:hAnsi="宋体" w:cs="宋体" w:eastAsia="宋体" w:hint="default"/>
          <w:b/>
          <w:bCs/>
          <w:sz w:val="35"/>
          <w:szCs w:val="35"/>
        </w:rPr>
      </w:pPr>
    </w:p>
    <w:p>
      <w:pPr>
        <w:spacing w:before="0"/>
        <w:ind w:left="0" w:right="165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审计报告</w:t>
      </w:r>
      <w:r>
        <w:rPr>
          <w:rFonts w:ascii="Microsoft JhengHei" w:hAnsi="Microsoft JhengHei" w:cs="Microsoft JhengHei" w:eastAsia="Microsoft JhengHei" w:hint="default"/>
          <w:sz w:val="36"/>
          <w:szCs w:val="36"/>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5066" w:right="0"/>
        <w:jc w:val="left"/>
      </w:pPr>
      <w:r>
        <w:rPr/>
        <w:t>中瑞岳华审字</w:t>
      </w:r>
      <w:r>
        <w:rPr>
          <w:rFonts w:ascii="宋体" w:hAnsi="宋体" w:cs="宋体" w:eastAsia="宋体" w:hint="default"/>
        </w:rPr>
        <w:t>[2011]</w:t>
      </w:r>
      <w:r>
        <w:rPr/>
        <w:t>第</w:t>
      </w:r>
      <w:r>
        <w:rPr>
          <w:spacing w:val="-60"/>
        </w:rPr>
        <w:t> </w:t>
      </w:r>
      <w:r>
        <w:rPr>
          <w:rFonts w:ascii="宋体" w:hAnsi="宋体" w:cs="宋体" w:eastAsia="宋体" w:hint="default"/>
        </w:rPr>
        <w:t>00788</w:t>
      </w:r>
      <w:r>
        <w:rPr>
          <w:rFonts w:ascii="宋体" w:hAnsi="宋体" w:cs="宋体" w:eastAsia="宋体" w:hint="default"/>
          <w:spacing w:val="-60"/>
        </w:rPr>
        <w:t> </w:t>
      </w:r>
      <w:r>
        <w:rPr/>
        <w:t>号</w:t>
      </w:r>
    </w:p>
    <w:p>
      <w:pPr>
        <w:spacing w:line="792" w:lineRule="exact" w:before="72"/>
        <w:ind w:left="618"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东港安全印刷股份有限公司全体股东：</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我们审计了后附的东港安全印刷股份有限公司</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贵公司</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及其子公司</w:t>
      </w:r>
      <w:r>
        <w:rPr>
          <w:rFonts w:ascii="宋体" w:hAnsi="宋体" w:cs="宋体" w:eastAsia="宋体" w:hint="default"/>
          <w:sz w:val="24"/>
          <w:szCs w:val="24"/>
        </w:rPr>
        <w:t>(</w:t>
      </w:r>
      <w:r>
        <w:rPr>
          <w:rFonts w:ascii="宋体" w:hAnsi="宋体" w:cs="宋体" w:eastAsia="宋体" w:hint="default"/>
          <w:sz w:val="24"/>
          <w:szCs w:val="24"/>
        </w:rPr>
        <w:t>统称</w:t>
      </w:r>
    </w:p>
    <w:p>
      <w:pPr>
        <w:pStyle w:val="BodyText"/>
        <w:spacing w:line="348" w:lineRule="auto" w:before="27"/>
        <w:ind w:left="138" w:right="1793"/>
        <w:jc w:val="both"/>
      </w:pPr>
      <w:r>
        <w:rPr>
          <w:rFonts w:ascii="Times New Roman" w:hAnsi="Times New Roman" w:cs="Times New Roman" w:eastAsia="Times New Roman" w:hint="default"/>
          <w:spacing w:val="-3"/>
        </w:rPr>
        <w:t>“</w:t>
      </w:r>
      <w:r>
        <w:rPr>
          <w:spacing w:val="-3"/>
        </w:rPr>
        <w:t>贵集团</w:t>
      </w:r>
      <w:r>
        <w:rPr>
          <w:rFonts w:ascii="Times New Roman" w:hAnsi="Times New Roman" w:cs="Times New Roman" w:eastAsia="Times New Roman" w:hint="default"/>
          <w:spacing w:val="-3"/>
        </w:rPr>
        <w:t>”</w:t>
      </w:r>
      <w:r>
        <w:rPr>
          <w:rFonts w:ascii="宋体" w:hAnsi="宋体" w:cs="宋体" w:eastAsia="宋体" w:hint="default"/>
          <w:spacing w:val="-3"/>
        </w:rPr>
        <w:t>)</w:t>
      </w:r>
      <w:r>
        <w:rPr>
          <w:spacing w:val="-3"/>
        </w:rPr>
        <w:t>财务报表，包括</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日的合并及公司的资产负债表，</w:t>
      </w:r>
      <w:r>
        <w:rPr>
          <w:rFonts w:ascii="宋体" w:hAnsi="宋体" w:cs="宋体" w:eastAsia="宋体" w:hint="default"/>
        </w:rPr>
        <w:t>2010 </w:t>
      </w:r>
      <w:r>
        <w:rPr>
          <w:spacing w:val="-3"/>
        </w:rPr>
        <w:t>年度合并及公司的利润表、合并及公司的现金流量表和合并及公司的股东权益变</w:t>
      </w:r>
      <w:r>
        <w:rPr>
          <w:spacing w:val="-104"/>
        </w:rPr>
        <w:t> </w:t>
      </w:r>
      <w:r>
        <w:rPr>
          <w:spacing w:val="-104"/>
        </w:rPr>
      </w:r>
      <w:r>
        <w:rPr/>
        <w:t>动表以及财务报表附注。</w:t>
      </w:r>
    </w:p>
    <w:p>
      <w:pPr>
        <w:spacing w:line="240" w:lineRule="auto" w:before="1"/>
        <w:rPr>
          <w:rFonts w:ascii="宋体" w:hAnsi="宋体" w:cs="宋体" w:eastAsia="宋体" w:hint="default"/>
          <w:sz w:val="22"/>
          <w:szCs w:val="22"/>
        </w:rPr>
      </w:pPr>
    </w:p>
    <w:p>
      <w:pPr>
        <w:spacing w:line="312" w:lineRule="auto" w:before="0"/>
        <w:ind w:left="618" w:right="178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3"/>
          <w:sz w:val="24"/>
          <w:szCs w:val="24"/>
        </w:rPr>
        <w:t>按照企业会计准则的规定编制财务报表是贵公司管理层的责任。这种责任包</w:t>
      </w:r>
    </w:p>
    <w:p>
      <w:pPr>
        <w:pStyle w:val="BodyText"/>
        <w:spacing w:line="357" w:lineRule="auto" w:before="79"/>
        <w:ind w:left="138" w:right="1792"/>
        <w:jc w:val="both"/>
      </w:pPr>
      <w:r>
        <w:rPr>
          <w:spacing w:val="-6"/>
        </w:rPr>
        <w:t>括：（</w:t>
      </w:r>
      <w:r>
        <w:rPr>
          <w:rFonts w:ascii="宋体" w:hAnsi="宋体" w:cs="宋体" w:eastAsia="宋体" w:hint="default"/>
          <w:spacing w:val="-6"/>
        </w:rPr>
        <w:t>1</w:t>
      </w:r>
      <w:r>
        <w:rPr>
          <w:spacing w:val="-6"/>
        </w:rPr>
        <w:t>）设计、实施和维护与财务报表编制相关的内部控制，以使财务报表不存</w:t>
      </w:r>
      <w:r>
        <w:rPr>
          <w:spacing w:val="-113"/>
        </w:rPr>
        <w:t> </w:t>
      </w:r>
      <w:r>
        <w:rPr>
          <w:spacing w:val="-113"/>
        </w:rPr>
      </w:r>
      <w:r>
        <w:rPr>
          <w:spacing w:val="-10"/>
        </w:rPr>
        <w:t>在由于舞弊或错误而导致的重大错报；（</w:t>
      </w:r>
      <w:r>
        <w:rPr>
          <w:rFonts w:ascii="宋体" w:hAnsi="宋体" w:cs="宋体" w:eastAsia="宋体" w:hint="default"/>
          <w:spacing w:val="-10"/>
        </w:rPr>
        <w:t>2</w:t>
      </w:r>
      <w:r>
        <w:rPr>
          <w:spacing w:val="-10"/>
        </w:rPr>
        <w:t>）选择和运用恰当的会计政策；（</w:t>
      </w:r>
      <w:r>
        <w:rPr>
          <w:rFonts w:ascii="宋体" w:hAnsi="宋体" w:cs="宋体" w:eastAsia="宋体" w:hint="default"/>
          <w:spacing w:val="-10"/>
        </w:rPr>
        <w:t>3</w:t>
      </w:r>
      <w:r>
        <w:rPr>
          <w:spacing w:val="-10"/>
        </w:rPr>
        <w:t>）作</w:t>
      </w:r>
      <w:r>
        <w:rPr>
          <w:spacing w:val="-99"/>
        </w:rPr>
        <w:t> </w:t>
      </w:r>
      <w:r>
        <w:rPr/>
        <w:t>出合理的会计估计。</w:t>
      </w:r>
    </w:p>
    <w:p>
      <w:pPr>
        <w:spacing w:line="240" w:lineRule="auto" w:before="4"/>
        <w:rPr>
          <w:rFonts w:ascii="宋体" w:hAnsi="宋体" w:cs="宋体" w:eastAsia="宋体" w:hint="default"/>
          <w:sz w:val="21"/>
          <w:szCs w:val="21"/>
        </w:rPr>
      </w:pPr>
    </w:p>
    <w:p>
      <w:pPr>
        <w:spacing w:line="312" w:lineRule="auto" w:before="0"/>
        <w:ind w:left="618" w:right="178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3"/>
          <w:sz w:val="24"/>
          <w:szCs w:val="24"/>
        </w:rPr>
        <w:t>我们的责任是在实施审计工作的基础上对财务报表发表审计意见。我们按照</w:t>
      </w:r>
    </w:p>
    <w:p>
      <w:pPr>
        <w:pStyle w:val="BodyText"/>
        <w:spacing w:line="357" w:lineRule="auto" w:before="79"/>
        <w:ind w:left="138" w:right="1795"/>
        <w:jc w:val="both"/>
      </w:pPr>
      <w:r>
        <w:rPr>
          <w:spacing w:val="-3"/>
        </w:rPr>
        <w:t>中国注册会计师审计准则的规定执行了审计工作。中国注册会计师审计准则要求</w:t>
      </w:r>
      <w:r>
        <w:rPr>
          <w:spacing w:val="-104"/>
        </w:rPr>
        <w:t> </w:t>
      </w:r>
      <w:r>
        <w:rPr>
          <w:spacing w:val="-104"/>
        </w:rPr>
      </w:r>
      <w:r>
        <w:rPr>
          <w:spacing w:val="-3"/>
        </w:rPr>
        <w:t>我们遵守职业道德规范，计划和实施审计工作以对财务报表是否不存在重大错报</w:t>
      </w:r>
      <w:r>
        <w:rPr>
          <w:spacing w:val="-104"/>
        </w:rPr>
        <w:t> </w:t>
      </w:r>
      <w:r>
        <w:rPr>
          <w:spacing w:val="-104"/>
        </w:rPr>
      </w:r>
      <w:r>
        <w:rPr/>
        <w:t>获取合理保证。</w:t>
      </w:r>
    </w:p>
    <w:p>
      <w:pPr>
        <w:pStyle w:val="BodyText"/>
        <w:spacing w:line="357" w:lineRule="auto" w:before="36"/>
        <w:ind w:left="138" w:right="168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4"/>
        </w:rPr>
        <w:t> </w:t>
      </w:r>
      <w:r>
        <w:rPr>
          <w:spacing w:val="-104"/>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3"/>
        </w:rPr>
        <w:t> </w:t>
      </w:r>
      <w:r>
        <w:rPr>
          <w:spacing w:val="-103"/>
        </w:rPr>
      </w:r>
      <w:r>
        <w:rPr/>
        <w:t>评价财务报表的总体列报。</w:t>
      </w:r>
    </w:p>
    <w:p>
      <w:pPr>
        <w:pStyle w:val="BodyText"/>
        <w:spacing w:line="240" w:lineRule="auto" w:before="34"/>
        <w:ind w:left="618" w:right="0"/>
        <w:jc w:val="left"/>
      </w:pPr>
      <w:r>
        <w:rPr>
          <w:spacing w:val="-3"/>
        </w:rPr>
        <w:t>我们相信，我们获取的审计证据是充分、适当的，为发表审计意见提供了基</w:t>
      </w:r>
    </w:p>
    <w:p>
      <w:pPr>
        <w:spacing w:after="0" w:line="240" w:lineRule="auto"/>
        <w:jc w:val="left"/>
        <w:sectPr>
          <w:headerReference w:type="default" r:id="rId22"/>
          <w:pgSz w:w="11910" w:h="16840"/>
          <w:pgMar w:header="915" w:footer="1100" w:top="1100" w:bottom="1280" w:left="1660" w:right="0"/>
        </w:sectPr>
      </w:pPr>
    </w:p>
    <w:p>
      <w:pPr>
        <w:pStyle w:val="BodyText"/>
        <w:spacing w:line="240" w:lineRule="auto" w:before="11"/>
        <w:ind w:left="138" w:right="0"/>
        <w:jc w:val="left"/>
      </w:pPr>
      <w:r>
        <w:rPr/>
        <w:pict>
          <v:group style="position:absolute;margin-left:88.103996pt;margin-top:41.999985pt;width:419.25pt;height:16.3500pt;mso-position-horizontal-relative:page;mso-position-vertical-relative:page;z-index:-745504"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t>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312" w:lineRule="auto" w:before="0"/>
        <w:ind w:left="618" w:right="1787" w:firstLine="2"/>
        <w:jc w:val="left"/>
      </w:pPr>
      <w:r>
        <w:rPr>
          <w:rFonts w:ascii="Microsoft JhengHei" w:hAnsi="Microsoft JhengHei" w:cs="Microsoft JhengHei" w:eastAsia="Microsoft JhengHei" w:hint="default"/>
          <w:b/>
          <w:bCs/>
        </w:rPr>
        <w:t>三、审计意见 </w:t>
      </w:r>
      <w:r>
        <w:rPr>
          <w:spacing w:val="-3"/>
        </w:rPr>
        <w:t>我们认为，上述财务报表已经按照企业会计准则的规定编制，在所有重大方</w:t>
      </w:r>
    </w:p>
    <w:p>
      <w:pPr>
        <w:pStyle w:val="BodyText"/>
        <w:spacing w:line="355" w:lineRule="auto" w:before="82"/>
        <w:ind w:left="138" w:right="1782"/>
        <w:jc w:val="left"/>
      </w:pPr>
      <w:r>
        <w:rPr/>
        <w:t>面公允反映了贵集团和贵公司</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0"/>
        </w:rPr>
        <w:t> </w:t>
      </w:r>
      <w:r>
        <w:rPr/>
        <w:t>日的财务状况以及</w:t>
      </w:r>
      <w:r>
        <w:rPr>
          <w:spacing w:val="-72"/>
        </w:rPr>
        <w:t> </w:t>
      </w:r>
      <w:r>
        <w:rPr>
          <w:rFonts w:ascii="宋体" w:hAnsi="宋体" w:cs="宋体" w:eastAsia="宋体" w:hint="default"/>
        </w:rPr>
        <w:t>2010</w:t>
      </w:r>
      <w:r>
        <w:rPr>
          <w:rFonts w:ascii="宋体" w:hAnsi="宋体" w:cs="宋体" w:eastAsia="宋体" w:hint="default"/>
          <w:spacing w:val="-72"/>
        </w:rPr>
        <w:t> </w:t>
      </w:r>
      <w:r>
        <w:rPr/>
        <w:t>年度的经 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237" w:type="dxa"/>
        <w:tblLayout w:type="fixed"/>
        <w:tblCellMar>
          <w:top w:w="0" w:type="dxa"/>
          <w:left w:w="0" w:type="dxa"/>
          <w:bottom w:w="0" w:type="dxa"/>
          <w:right w:w="0" w:type="dxa"/>
        </w:tblCellMar>
        <w:tblLook w:val="01E0"/>
      </w:tblPr>
      <w:tblGrid>
        <w:gridCol w:w="4445"/>
        <w:gridCol w:w="3005"/>
      </w:tblGrid>
      <w:tr>
        <w:trPr>
          <w:trHeight w:val="932"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exact"/>
              <w:ind w:right="682"/>
              <w:jc w:val="center"/>
              <w:rPr>
                <w:rFonts w:ascii="宋体" w:hAnsi="宋体" w:cs="宋体" w:eastAsia="宋体" w:hint="default"/>
                <w:sz w:val="24"/>
                <w:szCs w:val="24"/>
              </w:rPr>
            </w:pPr>
            <w:r>
              <w:rPr>
                <w:rFonts w:ascii="宋体" w:hAnsi="宋体" w:cs="宋体" w:eastAsia="宋体" w:hint="default"/>
                <w:sz w:val="24"/>
                <w:szCs w:val="24"/>
              </w:rPr>
              <w:t>中瑞岳华会计师事务所有限公司</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exact"/>
              <w:ind w:left="884"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46"/>
              <w:ind w:left="1904" w:right="0"/>
              <w:jc w:val="left"/>
              <w:rPr>
                <w:rFonts w:ascii="宋体" w:hAnsi="宋体" w:cs="宋体" w:eastAsia="宋体" w:hint="default"/>
                <w:sz w:val="24"/>
                <w:szCs w:val="24"/>
              </w:rPr>
            </w:pPr>
            <w:r>
              <w:rPr>
                <w:rFonts w:ascii="宋体" w:hAnsi="宋体" w:cs="宋体" w:eastAsia="宋体" w:hint="default"/>
                <w:sz w:val="24"/>
                <w:szCs w:val="24"/>
              </w:rPr>
              <w:t>张富根</w:t>
            </w:r>
          </w:p>
        </w:tc>
      </w:tr>
      <w:tr>
        <w:trPr>
          <w:trHeight w:val="1294"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82"/>
              <w:jc w:val="center"/>
              <w:rPr>
                <w:rFonts w:ascii="宋体" w:hAnsi="宋体" w:cs="宋体" w:eastAsia="宋体" w:hint="default"/>
                <w:sz w:val="24"/>
                <w:szCs w:val="24"/>
              </w:rPr>
            </w:pPr>
            <w:r>
              <w:rPr>
                <w:rFonts w:ascii="宋体" w:hAnsi="宋体" w:cs="宋体" w:eastAsia="宋体" w:hint="default"/>
                <w:sz w:val="24"/>
                <w:szCs w:val="24"/>
              </w:rPr>
              <w:t>中国〃北京</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84"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46"/>
              <w:ind w:right="498"/>
              <w:jc w:val="right"/>
              <w:rPr>
                <w:rFonts w:ascii="宋体" w:hAnsi="宋体" w:cs="宋体" w:eastAsia="宋体" w:hint="default"/>
                <w:sz w:val="24"/>
                <w:szCs w:val="24"/>
              </w:rPr>
            </w:pPr>
            <w:r>
              <w:rPr>
                <w:rFonts w:ascii="宋体" w:hAnsi="宋体" w:cs="宋体" w:eastAsia="宋体" w:hint="default"/>
                <w:sz w:val="24"/>
                <w:szCs w:val="24"/>
              </w:rPr>
              <w:t>崔迎</w:t>
            </w:r>
          </w:p>
        </w:tc>
      </w:tr>
      <w:tr>
        <w:trPr>
          <w:trHeight w:val="601" w:hRule="exact"/>
        </w:trPr>
        <w:tc>
          <w:tcPr>
            <w:tcW w:w="4445" w:type="dxa"/>
            <w:tcBorders>
              <w:top w:val="nil" w:sz="6" w:space="0" w:color="auto"/>
              <w:left w:val="nil" w:sz="6" w:space="0" w:color="auto"/>
              <w:bottom w:val="nil" w:sz="6" w:space="0" w:color="auto"/>
              <w:right w:val="nil" w:sz="6" w:space="0" w:color="auto"/>
            </w:tcBorders>
          </w:tcPr>
          <w:p>
            <w:pP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16"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pgSz w:w="11910" w:h="16840"/>
          <w:pgMar w:header="915" w:footer="1100" w:top="1100" w:bottom="1280" w:left="1660" w:right="0"/>
        </w:sectPr>
      </w:pPr>
    </w:p>
    <w:p>
      <w:pPr>
        <w:pStyle w:val="Heading2"/>
        <w:spacing w:line="240" w:lineRule="auto" w:before="11"/>
        <w:ind w:left="398" w:right="0"/>
        <w:jc w:val="left"/>
        <w:rPr>
          <w:rFonts w:ascii="宋体" w:hAnsi="宋体" w:cs="宋体" w:eastAsia="宋体" w:hint="default"/>
          <w:b w:val="0"/>
          <w:bCs w:val="0"/>
        </w:rPr>
      </w:pPr>
      <w:r>
        <w:rPr>
          <w:rFonts w:ascii="宋体" w:hAnsi="宋体" w:cs="宋体" w:eastAsia="宋体" w:hint="default"/>
          <w:w w:val="95"/>
        </w:rPr>
        <w:t>一、会计报表</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r>
        <w:rPr/>
        <w:br w:type="column"/>
      </w:r>
      <w:r>
        <w:rPr>
          <w:rFonts w:ascii="宋体"/>
          <w:b/>
          <w:sz w:val="24"/>
        </w:rPr>
      </w:r>
    </w:p>
    <w:p>
      <w:pPr>
        <w:pStyle w:val="Heading2"/>
        <w:spacing w:line="240" w:lineRule="auto"/>
        <w:ind w:left="378" w:right="5065"/>
        <w:jc w:val="center"/>
        <w:rPr>
          <w:rFonts w:ascii="宋体" w:hAnsi="宋体" w:cs="宋体" w:eastAsia="宋体" w:hint="default"/>
          <w:b w:val="0"/>
          <w:bCs w:val="0"/>
        </w:rPr>
      </w:pPr>
      <w:r>
        <w:rPr>
          <w:rFonts w:ascii="宋体" w:hAnsi="宋体" w:cs="宋体" w:eastAsia="宋体" w:hint="default"/>
        </w:rPr>
        <w:t>资产负债表</w:t>
      </w:r>
      <w:r>
        <w:rPr>
          <w:rFonts w:ascii="宋体" w:hAnsi="宋体" w:cs="宋体" w:eastAsia="宋体" w:hint="default"/>
          <w:b w:val="0"/>
          <w:bCs w:val="0"/>
        </w:rPr>
      </w:r>
    </w:p>
    <w:p>
      <w:pPr>
        <w:spacing w:before="4"/>
        <w:ind w:left="381" w:right="5065"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after="0"/>
        <w:jc w:val="center"/>
        <w:rPr>
          <w:rFonts w:ascii="宋体" w:hAnsi="宋体" w:cs="宋体" w:eastAsia="宋体" w:hint="default"/>
          <w:sz w:val="21"/>
          <w:szCs w:val="21"/>
        </w:rPr>
        <w:sectPr>
          <w:pgSz w:w="11910" w:h="16840"/>
          <w:pgMar w:header="915" w:footer="1100" w:top="1100" w:bottom="1280" w:left="1400" w:right="0"/>
          <w:cols w:num="2" w:equalWidth="0">
            <w:col w:w="1843" w:space="1446"/>
            <w:col w:w="7221"/>
          </w:cols>
        </w:sectPr>
      </w:pPr>
    </w:p>
    <w:p>
      <w:pPr>
        <w:tabs>
          <w:tab w:pos="7436" w:val="left" w:leader="none"/>
        </w:tabs>
        <w:spacing w:line="255" w:lineRule="exact" w:before="0"/>
        <w:ind w:left="398" w:right="0" w:firstLine="0"/>
        <w:jc w:val="left"/>
        <w:rPr>
          <w:rFonts w:ascii="宋体" w:hAnsi="宋体" w:cs="宋体" w:eastAsia="宋体" w:hint="default"/>
          <w:sz w:val="21"/>
          <w:szCs w:val="21"/>
        </w:rPr>
      </w:pPr>
      <w:r>
        <w:rPr/>
        <w:pict>
          <v:group style="position:absolute;margin-left:88.103996pt;margin-top:41.999985pt;width:419.25pt;height:16.3500pt;mso-position-horizontal-relative:page;mso-position-vertical-relative:page;z-index:-74548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spacing w:val="-2"/>
          <w:sz w:val="21"/>
          <w:szCs w:val="21"/>
        </w:rPr>
        <w:t>编制单位：东港安全印刷股份有限公司</w:t>
        <w:tab/>
      </w: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49"/>
        <w:gridCol w:w="1675"/>
        <w:gridCol w:w="1678"/>
        <w:gridCol w:w="1496"/>
        <w:gridCol w:w="1495"/>
      </w:tblGrid>
      <w:tr>
        <w:trPr>
          <w:trHeight w:val="242" w:hRule="exact"/>
        </w:trPr>
        <w:tc>
          <w:tcPr>
            <w:tcW w:w="254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2549" w:type="dxa"/>
            <w:vMerge/>
            <w:tcBorders>
              <w:left w:val="single" w:sz="4" w:space="0" w:color="000000"/>
              <w:bottom w:val="single" w:sz="4" w:space="0" w:color="000000"/>
              <w:right w:val="single" w:sz="4" w:space="0" w:color="000000"/>
            </w:tcBorders>
            <w:shd w:val="clear" w:color="auto" w:fill="DCDCDC"/>
          </w:tcPr>
          <w:p>
            <w:pPr/>
          </w:p>
        </w:tc>
        <w:tc>
          <w:tcPr>
            <w:tcW w:w="16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70"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06"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7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6"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20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75" w:type="dxa"/>
            <w:tcBorders>
              <w:top w:val="single" w:sz="13" w:space="0" w:color="DCDCDC"/>
              <w:left w:val="single" w:sz="13" w:space="0" w:color="DCDCDC"/>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pacing w:val="-1"/>
                <w:sz w:val="18"/>
              </w:rPr>
              <w:t>409,824,815.84</w:t>
            </w:r>
          </w:p>
        </w:tc>
        <w:tc>
          <w:tcPr>
            <w:tcW w:w="1678" w:type="dxa"/>
            <w:tcBorders>
              <w:top w:val="single" w:sz="13" w:space="0" w:color="DCDCDC"/>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pacing w:val="-1"/>
                <w:sz w:val="18"/>
              </w:rPr>
              <w:t>384,017,489.26</w:t>
            </w:r>
          </w:p>
        </w:tc>
        <w:tc>
          <w:tcPr>
            <w:tcW w:w="1496" w:type="dxa"/>
            <w:tcBorders>
              <w:top w:val="single" w:sz="13" w:space="0" w:color="DCDCDC"/>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pacing w:val="-1"/>
                <w:sz w:val="18"/>
              </w:rPr>
              <w:t>199,616,086.89</w:t>
            </w:r>
          </w:p>
        </w:tc>
        <w:tc>
          <w:tcPr>
            <w:tcW w:w="1495" w:type="dxa"/>
            <w:tcBorders>
              <w:top w:val="single" w:sz="13" w:space="0" w:color="DCDCDC"/>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pacing w:val="-1"/>
                <w:sz w:val="18"/>
              </w:rPr>
              <w:t>110,965,959.88</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403,600.00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403,600.00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60,239,795.90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24,962,528.00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37,634,767.69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22,335,479.94</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1,392,627.01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837,755.40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21,045,238.73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20,471,621.84</w:t>
            </w:r>
          </w:p>
        </w:tc>
      </w:tr>
      <w:tr>
        <w:trPr>
          <w:trHeight w:val="308"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675"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75"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11,536,222.43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8,265,340.12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10,163,535.62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7,889,320.05</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91,407,219.26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43,504,534.08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91,449,550.18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40,107,351.43</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170,348.32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135,548.00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489,206.62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202,165.76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1,414,929.77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124,189.48</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575,463,835.38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462,328,960.62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361,324,108.88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201,893,922.62</w:t>
            </w:r>
          </w:p>
        </w:tc>
      </w:tr>
      <w:tr>
        <w:trPr>
          <w:trHeight w:val="27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7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4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206"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675" w:type="dxa"/>
            <w:tcBorders>
              <w:top w:val="single" w:sz="12" w:space="0" w:color="DCDCDC"/>
              <w:left w:val="single" w:sz="4" w:space="0" w:color="000000"/>
              <w:bottom w:val="single" w:sz="4" w:space="0" w:color="000000"/>
              <w:right w:val="single" w:sz="4" w:space="0" w:color="000000"/>
            </w:tcBorders>
          </w:tcPr>
          <w:p>
            <w:pPr/>
          </w:p>
        </w:tc>
        <w:tc>
          <w:tcPr>
            <w:tcW w:w="1678" w:type="dxa"/>
            <w:tcBorders>
              <w:top w:val="single" w:sz="12" w:space="0" w:color="DCDCDC"/>
              <w:left w:val="single" w:sz="4" w:space="0" w:color="000000"/>
              <w:bottom w:val="single" w:sz="4" w:space="0" w:color="000000"/>
              <w:right w:val="single" w:sz="4" w:space="0" w:color="000000"/>
            </w:tcBorders>
          </w:tcPr>
          <w:p>
            <w:pPr/>
          </w:p>
        </w:tc>
        <w:tc>
          <w:tcPr>
            <w:tcW w:w="1496" w:type="dxa"/>
            <w:tcBorders>
              <w:top w:val="single" w:sz="12" w:space="0" w:color="DCDCDC"/>
              <w:left w:val="single" w:sz="4" w:space="0" w:color="000000"/>
              <w:bottom w:val="single" w:sz="4" w:space="0" w:color="000000"/>
              <w:right w:val="single" w:sz="4" w:space="0" w:color="000000"/>
            </w:tcBorders>
          </w:tcPr>
          <w:p>
            <w:pPr/>
          </w:p>
        </w:tc>
        <w:tc>
          <w:tcPr>
            <w:tcW w:w="1495" w:type="dxa"/>
            <w:tcBorders>
              <w:top w:val="single" w:sz="12" w:space="0" w:color="DCDCDC"/>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182,107,767.50</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18"/>
                <w:szCs w:val="18"/>
              </w:rPr>
            </w:pPr>
            <w:r>
              <w:rPr>
                <w:rFonts w:ascii="宋体"/>
                <w:spacing w:val="-1"/>
                <w:sz w:val="18"/>
              </w:rPr>
              <w:t>169,282,767.50</w:t>
            </w: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13,339,223.68</w:t>
            </w: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585,752,797.78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348,156,912.69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367,973,702.27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228,647,469.16</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98,428,265.63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97,945,359.63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196,859,595.13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123,753,469.32</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0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8"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63,509,111.04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42,974,502.73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65,221,851.83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44,299,816.26</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461,851.00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342,929.72</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843,764.18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426,860.96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18"/>
                <w:szCs w:val="18"/>
              </w:rPr>
            </w:pPr>
            <w:r>
              <w:rPr>
                <w:rFonts w:ascii="宋体"/>
                <w:spacing w:val="-1"/>
                <w:sz w:val="18"/>
              </w:rPr>
              <w:t>1,175,713.65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18"/>
                <w:szCs w:val="18"/>
              </w:rPr>
            </w:pPr>
            <w:r>
              <w:rPr>
                <w:rFonts w:ascii="宋体"/>
                <w:spacing w:val="-1"/>
                <w:sz w:val="18"/>
              </w:rPr>
              <w:t>844,577.90</w:t>
            </w: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0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761,873,162.31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671,611,403.51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631,692,713.88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567,171,029.86</w:t>
            </w:r>
          </w:p>
        </w:tc>
      </w:tr>
      <w:tr>
        <w:trPr>
          <w:trHeight w:val="30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1,337,336,997.69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1,133,940,364.13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993,016,822.76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769,064,952.48</w:t>
            </w:r>
          </w:p>
        </w:tc>
      </w:tr>
    </w:tbl>
    <w:p>
      <w:pPr>
        <w:spacing w:after="0" w:line="240" w:lineRule="auto"/>
        <w:jc w:val="right"/>
        <w:rPr>
          <w:rFonts w:ascii="宋体" w:hAnsi="宋体" w:cs="宋体" w:eastAsia="宋体" w:hint="default"/>
          <w:sz w:val="18"/>
          <w:szCs w:val="18"/>
        </w:rPr>
        <w:sectPr>
          <w:type w:val="continuous"/>
          <w:pgSz w:w="11910" w:h="16840"/>
          <w:pgMar w:top="1160" w:bottom="1160" w:left="1400" w:right="0"/>
        </w:sectPr>
      </w:pPr>
    </w:p>
    <w:p>
      <w:pPr>
        <w:spacing w:line="240" w:lineRule="auto" w:before="5"/>
        <w:rPr>
          <w:rFonts w:ascii="Times New Roman" w:hAnsi="Times New Roman" w:cs="Times New Roman" w:eastAsia="Times New Roman" w:hint="default"/>
          <w:sz w:val="4"/>
          <w:szCs w:val="4"/>
        </w:rPr>
      </w:pPr>
      <w:r>
        <w:rPr/>
        <w:pict>
          <v:shape style="position:absolute;margin-left:90.150002pt;margin-top:41.999985pt;width:18pt;height:15.75pt;mso-position-horizontal-relative:page;mso-position-vertical-relative:page;z-index:2296" type="#_x0000_t75" stroked="false">
            <v:imagedata r:id="rId7" o:title=""/>
          </v:shape>
        </w:pict>
      </w:r>
    </w:p>
    <w:tbl>
      <w:tblPr>
        <w:tblW w:w="0" w:type="auto"/>
        <w:jc w:val="left"/>
        <w:tblInd w:w="102" w:type="dxa"/>
        <w:tblLayout w:type="fixed"/>
        <w:tblCellMar>
          <w:top w:w="0" w:type="dxa"/>
          <w:left w:w="0" w:type="dxa"/>
          <w:bottom w:w="0" w:type="dxa"/>
          <w:right w:w="0" w:type="dxa"/>
        </w:tblCellMar>
        <w:tblLook w:val="01E0"/>
      </w:tblPr>
      <w:tblGrid>
        <w:gridCol w:w="2548"/>
        <w:gridCol w:w="1676"/>
        <w:gridCol w:w="1678"/>
        <w:gridCol w:w="1496"/>
        <w:gridCol w:w="1495"/>
      </w:tblGrid>
      <w:tr>
        <w:trPr>
          <w:trHeight w:val="280" w:hRule="exact"/>
        </w:trPr>
        <w:tc>
          <w:tcPr>
            <w:tcW w:w="254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76"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678"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495" w:type="dxa"/>
            <w:tcBorders>
              <w:top w:val="single" w:sz="10" w:space="0" w:color="000000"/>
              <w:left w:val="single" w:sz="4" w:space="0" w:color="000000"/>
              <w:bottom w:val="single" w:sz="4" w:space="0" w:color="000000"/>
              <w:right w:val="single" w:sz="4" w:space="0" w:color="000000"/>
            </w:tcBorders>
            <w:shd w:val="clear" w:color="auto" w:fill="DCDCDC"/>
          </w:tcPr>
          <w:p>
            <w:pPr/>
          </w:p>
        </w:tc>
      </w:tr>
      <w:tr>
        <w:trPr>
          <w:trHeight w:val="3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6" w:type="dxa"/>
            <w:tcBorders>
              <w:top w:val="single" w:sz="11" w:space="0" w:color="DCDCDC"/>
              <w:left w:val="single" w:sz="13" w:space="0" w:color="DCDCDC"/>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18"/>
                <w:szCs w:val="18"/>
              </w:rPr>
            </w:pPr>
            <w:r>
              <w:rPr>
                <w:rFonts w:ascii="宋体"/>
                <w:spacing w:val="-1"/>
                <w:sz w:val="18"/>
              </w:rPr>
              <w:t>100,000,000.00</w:t>
            </w:r>
          </w:p>
        </w:tc>
        <w:tc>
          <w:tcPr>
            <w:tcW w:w="1678" w:type="dxa"/>
            <w:tcBorders>
              <w:top w:val="single" w:sz="11" w:space="0" w:color="DCDCDC"/>
              <w:left w:val="single" w:sz="4" w:space="0" w:color="000000"/>
              <w:bottom w:val="single" w:sz="4" w:space="0" w:color="000000"/>
              <w:right w:val="single" w:sz="4" w:space="0" w:color="000000"/>
            </w:tcBorders>
          </w:tcPr>
          <w:p>
            <w:pPr/>
          </w:p>
        </w:tc>
        <w:tc>
          <w:tcPr>
            <w:tcW w:w="1496"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18"/>
                <w:szCs w:val="18"/>
              </w:rPr>
            </w:pPr>
            <w:r>
              <w:rPr>
                <w:rFonts w:ascii="宋体"/>
                <w:spacing w:val="-1"/>
                <w:sz w:val="18"/>
              </w:rPr>
              <w:t>120,000,000.00</w:t>
            </w:r>
          </w:p>
        </w:tc>
        <w:tc>
          <w:tcPr>
            <w:tcW w:w="1495"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18"/>
                <w:szCs w:val="18"/>
              </w:rPr>
            </w:pPr>
            <w:r>
              <w:rPr>
                <w:rFonts w:ascii="宋体"/>
                <w:spacing w:val="-1"/>
                <w:sz w:val="18"/>
              </w:rPr>
              <w:t>30,000,000.00</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56,712,529.91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56,712,529.91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61,551,998.32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61,551,998.32</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91,178,002.45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51,524,572.28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72,578,125.09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32,988,308.28</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13,489,623.02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7,103,629.99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30,525,146.03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26,057,558.34</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10,022,645.07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7,162,288.25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6,531,309.69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4,263,269.34</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-1,282,100.43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-2,442,997.94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227,271.56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-915,938.09</w:t>
            </w:r>
          </w:p>
        </w:tc>
      </w:tr>
      <w:tr>
        <w:trPr>
          <w:trHeight w:val="3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153,977.78</w:t>
            </w: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141,007.50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43,807.50</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1,128,127.71</w:t>
            </w: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55,302,381.88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114,974,435.96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89,398,619.02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86,562,393.37</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76" w:type="dxa"/>
            <w:tcBorders>
              <w:top w:val="single" w:sz="4" w:space="0" w:color="000000"/>
              <w:left w:val="single" w:sz="13" w:space="0" w:color="DCDCDC"/>
              <w:bottom w:val="single" w:sz="15" w:space="0" w:color="DCDCDC"/>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326,705,187.39</w:t>
            </w:r>
          </w:p>
        </w:tc>
        <w:tc>
          <w:tcPr>
            <w:tcW w:w="1678" w:type="dxa"/>
            <w:tcBorders>
              <w:top w:val="single" w:sz="4" w:space="0" w:color="000000"/>
              <w:left w:val="single" w:sz="4" w:space="0" w:color="000000"/>
              <w:bottom w:val="single" w:sz="15" w:space="0" w:color="DCDCDC"/>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235,034,458.45</w:t>
            </w:r>
          </w:p>
        </w:tc>
        <w:tc>
          <w:tcPr>
            <w:tcW w:w="1496" w:type="dxa"/>
            <w:tcBorders>
              <w:top w:val="single" w:sz="4" w:space="0" w:color="000000"/>
              <w:left w:val="single" w:sz="4" w:space="0" w:color="000000"/>
              <w:bottom w:val="single" w:sz="15" w:space="0" w:color="DCDCDC"/>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380,953,477.21</w:t>
            </w:r>
          </w:p>
        </w:tc>
        <w:tc>
          <w:tcPr>
            <w:tcW w:w="1495" w:type="dxa"/>
            <w:tcBorders>
              <w:top w:val="single" w:sz="4" w:space="0" w:color="000000"/>
              <w:left w:val="single" w:sz="4" w:space="0" w:color="000000"/>
              <w:bottom w:val="single" w:sz="15" w:space="0" w:color="DCDCDC"/>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240,551,397.06</w:t>
            </w:r>
          </w:p>
        </w:tc>
      </w:tr>
      <w:tr>
        <w:trPr>
          <w:trHeight w:val="28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76" w:type="dxa"/>
            <w:tcBorders>
              <w:top w:val="single" w:sz="14" w:space="0" w:color="DCDCDC"/>
              <w:left w:val="single" w:sz="13" w:space="0" w:color="DCDCDC"/>
              <w:bottom w:val="single" w:sz="4" w:space="0" w:color="000000"/>
              <w:right w:val="single" w:sz="4" w:space="0" w:color="000000"/>
            </w:tcBorders>
          </w:tcPr>
          <w:p>
            <w:pPr/>
          </w:p>
        </w:tc>
        <w:tc>
          <w:tcPr>
            <w:tcW w:w="1678" w:type="dxa"/>
            <w:tcBorders>
              <w:top w:val="single" w:sz="14" w:space="0" w:color="DCDCDC"/>
              <w:left w:val="single" w:sz="4" w:space="0" w:color="000000"/>
              <w:bottom w:val="single" w:sz="4" w:space="0" w:color="000000"/>
              <w:right w:val="single" w:sz="4" w:space="0" w:color="000000"/>
            </w:tcBorders>
          </w:tcPr>
          <w:p>
            <w:pPr/>
          </w:p>
        </w:tc>
        <w:tc>
          <w:tcPr>
            <w:tcW w:w="1496" w:type="dxa"/>
            <w:tcBorders>
              <w:top w:val="single" w:sz="14" w:space="0" w:color="DCDCDC"/>
              <w:left w:val="single" w:sz="4" w:space="0" w:color="000000"/>
              <w:bottom w:val="single" w:sz="4" w:space="0" w:color="000000"/>
              <w:right w:val="single" w:sz="4" w:space="0" w:color="000000"/>
            </w:tcBorders>
          </w:tcPr>
          <w:p>
            <w:pPr/>
          </w:p>
        </w:tc>
        <w:tc>
          <w:tcPr>
            <w:tcW w:w="1495" w:type="dxa"/>
            <w:tcBorders>
              <w:top w:val="single" w:sz="14" w:space="0" w:color="DCDCDC"/>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76" w:type="dxa"/>
            <w:tcBorders>
              <w:top w:val="single" w:sz="4" w:space="0" w:color="000000"/>
              <w:left w:val="single" w:sz="13" w:space="0" w:color="DCDCDC"/>
              <w:bottom w:val="single" w:sz="15" w:space="0" w:color="DCDCDC"/>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326,705,187.39</w:t>
            </w:r>
          </w:p>
        </w:tc>
        <w:tc>
          <w:tcPr>
            <w:tcW w:w="1678" w:type="dxa"/>
            <w:tcBorders>
              <w:top w:val="single" w:sz="4" w:space="0" w:color="000000"/>
              <w:left w:val="single" w:sz="4" w:space="0" w:color="000000"/>
              <w:bottom w:val="single" w:sz="15" w:space="0" w:color="DCDCDC"/>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235,034,458.45</w:t>
            </w:r>
          </w:p>
        </w:tc>
        <w:tc>
          <w:tcPr>
            <w:tcW w:w="1496" w:type="dxa"/>
            <w:tcBorders>
              <w:top w:val="single" w:sz="4" w:space="0" w:color="000000"/>
              <w:left w:val="single" w:sz="4" w:space="0" w:color="000000"/>
              <w:bottom w:val="single" w:sz="15" w:space="0" w:color="DCDCDC"/>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380,953,477.21</w:t>
            </w:r>
          </w:p>
        </w:tc>
        <w:tc>
          <w:tcPr>
            <w:tcW w:w="1495" w:type="dxa"/>
            <w:tcBorders>
              <w:top w:val="single" w:sz="4" w:space="0" w:color="000000"/>
              <w:left w:val="single" w:sz="4" w:space="0" w:color="000000"/>
              <w:bottom w:val="single" w:sz="15" w:space="0" w:color="DCDCDC"/>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240,551,397.06</w:t>
            </w:r>
          </w:p>
        </w:tc>
      </w:tr>
      <w:tr>
        <w:trPr>
          <w:trHeight w:val="28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76" w:type="dxa"/>
            <w:tcBorders>
              <w:top w:val="single" w:sz="14" w:space="0" w:color="DCDCDC"/>
              <w:left w:val="single" w:sz="13" w:space="0" w:color="DCDCDC"/>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124,124,172.00</w:t>
            </w:r>
          </w:p>
        </w:tc>
        <w:tc>
          <w:tcPr>
            <w:tcW w:w="1678" w:type="dxa"/>
            <w:tcBorders>
              <w:top w:val="single" w:sz="14" w:space="0" w:color="DCDCDC"/>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124,124,172.00</w:t>
            </w:r>
          </w:p>
        </w:tc>
        <w:tc>
          <w:tcPr>
            <w:tcW w:w="1496" w:type="dxa"/>
            <w:tcBorders>
              <w:top w:val="single" w:sz="14" w:space="0" w:color="DCDCDC"/>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110,000,000.00</w:t>
            </w:r>
          </w:p>
        </w:tc>
        <w:tc>
          <w:tcPr>
            <w:tcW w:w="1495" w:type="dxa"/>
            <w:tcBorders>
              <w:top w:val="single" w:sz="14" w:space="0" w:color="DCDCDC"/>
              <w:left w:val="single" w:sz="4" w:space="0" w:color="000000"/>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110,000,000.00</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579,516,203.70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578,171,206.15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248,531,761.17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247,186,763.62</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63,206,829.92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63,206,829.92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54,464,269.56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54,464,269.56</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197,437,212.68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133,403,697.61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159,985,330.98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116,862,522.24</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76" w:type="dxa"/>
            <w:tcBorders>
              <w:top w:val="single" w:sz="4" w:space="0" w:color="000000"/>
              <w:left w:val="single" w:sz="13" w:space="0" w:color="DCDCDC"/>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964,284,418.30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898,905,905.68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572,981,361.71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528,513,555.42</w:t>
            </w: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宋体"/>
                <w:spacing w:val="-1"/>
                <w:sz w:val="18"/>
              </w:rPr>
              <w:t>46,347,392.00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39,081,983.84</w:t>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1,010,631,810.30</w:t>
            </w:r>
            <w:r>
              <w:rPr>
                <w:rFonts w:ascii="宋体"/>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898,905,905.68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612,063,345.55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528,513,555.42</w:t>
            </w:r>
          </w:p>
        </w:tc>
      </w:tr>
      <w:tr>
        <w:trPr>
          <w:trHeight w:val="30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76" w:type="dxa"/>
            <w:tcBorders>
              <w:top w:val="single" w:sz="4" w:space="0" w:color="000000"/>
              <w:left w:val="single" w:sz="13" w:space="0" w:color="DCDCDC"/>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1,337,336,997.69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1,133,940,364.13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宋体"/>
                <w:spacing w:val="-1"/>
                <w:sz w:val="18"/>
              </w:rPr>
              <w:t>993,016,822.76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宋体" w:hAnsi="宋体" w:cs="宋体" w:eastAsia="宋体" w:hint="default"/>
                <w:sz w:val="18"/>
                <w:szCs w:val="18"/>
              </w:rPr>
            </w:pPr>
            <w:r>
              <w:rPr>
                <w:rFonts w:ascii="宋体"/>
                <w:spacing w:val="-1"/>
                <w:sz w:val="18"/>
              </w:rPr>
              <w:t>769,064,952.48</w:t>
            </w:r>
          </w:p>
        </w:tc>
      </w:tr>
    </w:tbl>
    <w:p>
      <w:pPr>
        <w:spacing w:after="0" w:line="234" w:lineRule="exact"/>
        <w:jc w:val="right"/>
        <w:rPr>
          <w:rFonts w:ascii="宋体" w:hAnsi="宋体" w:cs="宋体" w:eastAsia="宋体" w:hint="default"/>
          <w:sz w:val="18"/>
          <w:szCs w:val="18"/>
        </w:rPr>
        <w:sectPr>
          <w:pgSz w:w="11910" w:h="16840"/>
          <w:pgMar w:header="915" w:footer="1100" w:top="1100" w:bottom="1280" w:left="1400" w:right="0"/>
        </w:sectPr>
      </w:pPr>
    </w:p>
    <w:p>
      <w:pPr>
        <w:pStyle w:val="Heading2"/>
        <w:spacing w:line="240" w:lineRule="auto" w:before="11"/>
        <w:ind w:left="0" w:right="1656"/>
        <w:jc w:val="center"/>
        <w:rPr>
          <w:rFonts w:ascii="宋体" w:hAnsi="宋体" w:cs="宋体" w:eastAsia="宋体" w:hint="default"/>
          <w:b w:val="0"/>
          <w:bCs w:val="0"/>
        </w:rPr>
      </w:pPr>
      <w:r>
        <w:rPr/>
        <w:pict>
          <v:group style="position:absolute;margin-left:88.103996pt;margin-top:41.999985pt;width:419.25pt;height:16.3500pt;mso-position-horizontal-relative:page;mso-position-vertical-relative:page;z-index:-74543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rPr>
        <w:t>利润表</w:t>
      </w:r>
      <w:r>
        <w:rPr>
          <w:rFonts w:ascii="宋体" w:hAnsi="宋体" w:cs="宋体" w:eastAsia="宋体" w:hint="default"/>
          <w:b w:val="0"/>
          <w:bCs w:val="0"/>
        </w:rPr>
      </w:r>
    </w:p>
    <w:p>
      <w:pPr>
        <w:spacing w:line="282" w:lineRule="exact" w:before="4"/>
        <w:ind w:left="0" w:right="1655"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tabs>
          <w:tab w:pos="6966" w:val="left" w:leader="none"/>
        </w:tabs>
        <w:spacing w:line="266" w:lineRule="exact" w:before="0"/>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编制单位：东港安全印刷股份有限公司</w:t>
        <w:tab/>
      </w: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15"/>
        <w:gridCol w:w="122"/>
        <w:gridCol w:w="1332"/>
        <w:gridCol w:w="1496"/>
        <w:gridCol w:w="1498"/>
        <w:gridCol w:w="1496"/>
      </w:tblGrid>
      <w:tr>
        <w:trPr>
          <w:trHeight w:val="127" w:hRule="exact"/>
        </w:trPr>
        <w:tc>
          <w:tcPr>
            <w:tcW w:w="2415" w:type="dxa"/>
            <w:tcBorders>
              <w:top w:val="single" w:sz="4" w:space="0" w:color="000000"/>
              <w:left w:val="single" w:sz="4" w:space="0" w:color="000000"/>
              <w:bottom w:val="nil" w:sz="6" w:space="0" w:color="auto"/>
              <w:right w:val="single" w:sz="4" w:space="0" w:color="000000"/>
            </w:tcBorders>
            <w:shd w:val="clear" w:color="auto" w:fill="DCDCDC"/>
          </w:tcPr>
          <w:p>
            <w:pPr/>
          </w:p>
        </w:tc>
        <w:tc>
          <w:tcPr>
            <w:tcW w:w="295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9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3" w:hRule="exact"/>
        </w:trPr>
        <w:tc>
          <w:tcPr>
            <w:tcW w:w="241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50" w:type="dxa"/>
            <w:gridSpan w:val="3"/>
            <w:vMerge/>
            <w:tcBorders>
              <w:left w:val="single" w:sz="4" w:space="0" w:color="000000"/>
              <w:bottom w:val="single" w:sz="4" w:space="0" w:color="000000"/>
              <w:right w:val="single" w:sz="4" w:space="0" w:color="000000"/>
            </w:tcBorders>
            <w:shd w:val="clear" w:color="auto" w:fill="DCDCDC"/>
          </w:tcPr>
          <w:p>
            <w:pPr/>
          </w:p>
        </w:tc>
        <w:tc>
          <w:tcPr>
            <w:tcW w:w="2993" w:type="dxa"/>
            <w:gridSpan w:val="2"/>
            <w:vMerge/>
            <w:tcBorders>
              <w:left w:val="single" w:sz="4" w:space="0" w:color="000000"/>
              <w:bottom w:val="single" w:sz="4" w:space="0" w:color="000000"/>
              <w:right w:val="single" w:sz="4" w:space="0" w:color="000000"/>
            </w:tcBorders>
            <w:shd w:val="clear" w:color="auto" w:fill="DCDCDC"/>
          </w:tcPr>
          <w:p>
            <w:pPr/>
          </w:p>
        </w:tc>
      </w:tr>
      <w:tr>
        <w:trPr>
          <w:trHeight w:val="247" w:hRule="exact"/>
        </w:trPr>
        <w:tc>
          <w:tcPr>
            <w:tcW w:w="2415" w:type="dxa"/>
            <w:vMerge/>
            <w:tcBorders>
              <w:left w:val="single" w:sz="4" w:space="0" w:color="000000"/>
              <w:bottom w:val="single" w:sz="4" w:space="0" w:color="000000"/>
              <w:right w:val="single" w:sz="4" w:space="0" w:color="000000"/>
            </w:tcBorders>
            <w:shd w:val="clear" w:color="auto" w:fill="DCDCDC"/>
          </w:tcPr>
          <w:p>
            <w:pPr/>
          </w:p>
        </w:tc>
        <w:tc>
          <w:tcPr>
            <w:tcW w:w="145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47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470"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sz w:val="18"/>
              </w:rPr>
              <w:t>712,233,094.92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504,326,097.98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550,874,357.75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433,418,874.50</w:t>
            </w: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8" w:lineRule="exact"/>
              <w:ind w:left="156" w:right="0"/>
              <w:jc w:val="left"/>
              <w:rPr>
                <w:rFonts w:ascii="宋体" w:hAnsi="宋体" w:cs="宋体" w:eastAsia="宋体" w:hint="default"/>
                <w:sz w:val="18"/>
                <w:szCs w:val="18"/>
              </w:rPr>
            </w:pPr>
            <w:r>
              <w:rPr>
                <w:rFonts w:ascii="宋体"/>
                <w:sz w:val="18"/>
              </w:rPr>
              <w:t>712,233,094.92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504,326,097.98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550,874,357.75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433,418,874.50</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410"/>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sz w:val="18"/>
              </w:rPr>
              <w:t>609,718,296.82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461,678,470.87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462,809,034.65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380,411,308.89</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sz w:val="18"/>
              </w:rPr>
              <w:t>458,200,991.33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378,416,034.88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343,690,207.65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304,596,970.98</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410"/>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516" w:right="0"/>
              <w:jc w:val="left"/>
              <w:rPr>
                <w:rFonts w:ascii="宋体" w:hAnsi="宋体" w:cs="宋体" w:eastAsia="宋体" w:hint="default"/>
                <w:sz w:val="18"/>
                <w:szCs w:val="18"/>
              </w:rPr>
            </w:pPr>
            <w:r>
              <w:rPr>
                <w:rFonts w:ascii="宋体"/>
                <w:sz w:val="18"/>
              </w:rPr>
              <w:t>860,832.72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273.67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746,456.13</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61,832,155.20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33,608,574.75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56,696,696.24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33,299,434.36</w:t>
            </w: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79,703,034.14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46,168,392.61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62,617,248.50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43,431,362.41</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sz w:val="18"/>
              </w:rPr>
              <w:t>7,085,301.49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2,518,125.55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124,347.89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178,061.71</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sz w:val="18"/>
              </w:rPr>
              <w:t>2,035,981.94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967,069.41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-1,065,921.76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-1,094,520.57</w:t>
            </w: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加：公允价值变动收益（损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41"/>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22,317,483.76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29,409,202.10</w:t>
            </w: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34" w:right="0"/>
              <w:jc w:val="left"/>
              <w:rPr>
                <w:rFonts w:ascii="宋体" w:hAnsi="宋体" w:cs="宋体" w:eastAsia="宋体" w:hint="default"/>
                <w:sz w:val="18"/>
                <w:szCs w:val="18"/>
              </w:rPr>
            </w:pPr>
            <w:r>
              <w:rPr>
                <w:rFonts w:ascii="宋体" w:hAnsi="宋体" w:cs="宋体" w:eastAsia="宋体" w:hint="default"/>
                <w:sz w:val="18"/>
                <w:szCs w:val="18"/>
              </w:rPr>
              <w:t>其中：对联营企业和</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合营企业的投资收益</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宋体" w:hAnsi="宋体" w:cs="宋体" w:eastAsia="宋体" w:hint="default"/>
                <w:spacing w:val="-6"/>
                <w:sz w:val="18"/>
                <w:szCs w:val="18"/>
              </w:rPr>
              <w:t>-</w:t>
            </w:r>
            <w:r>
              <w:rPr>
                <w:rFonts w:ascii="宋体" w:hAnsi="宋体" w:cs="宋体" w:eastAsia="宋体" w:hint="default"/>
                <w:spacing w:val="-6"/>
                <w:sz w:val="18"/>
                <w:szCs w:val="18"/>
              </w:rPr>
              <w:t>”号</w:t>
            </w:r>
            <w:r>
              <w:rPr>
                <w:rFonts w:ascii="宋体" w:hAnsi="宋体" w:cs="宋体" w:eastAsia="宋体" w:hint="default"/>
                <w:sz w:val="18"/>
                <w:szCs w:val="18"/>
              </w:rPr>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三、营业利润（亏损以“</w:t>
            </w:r>
            <w:r>
              <w:rPr>
                <w:rFonts w:ascii="宋体" w:hAnsi="宋体" w:cs="宋体" w:eastAsia="宋体" w:hint="default"/>
                <w:spacing w:val="-5"/>
                <w:sz w:val="18"/>
                <w:szCs w:val="18"/>
              </w:rPr>
              <w:t>-</w:t>
            </w:r>
            <w:r>
              <w:rPr>
                <w:rFonts w:ascii="宋体" w:hAnsi="宋体" w:cs="宋体" w:eastAsia="宋体" w:hint="default"/>
                <w:spacing w:val="-5"/>
                <w:sz w:val="18"/>
                <w:szCs w:val="18"/>
              </w:rPr>
              <w:t>”号</w:t>
            </w:r>
            <w:r>
              <w:rPr>
                <w:rFonts w:ascii="宋体" w:hAnsi="宋体" w:cs="宋体" w:eastAsia="宋体" w:hint="default"/>
                <w:sz w:val="18"/>
                <w:szCs w:val="18"/>
              </w:rPr>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left="156" w:right="0"/>
              <w:jc w:val="left"/>
              <w:rPr>
                <w:rFonts w:ascii="宋体" w:hAnsi="宋体" w:cs="宋体" w:eastAsia="宋体" w:hint="default"/>
                <w:sz w:val="18"/>
                <w:szCs w:val="18"/>
              </w:rPr>
            </w:pPr>
            <w:r>
              <w:rPr>
                <w:rFonts w:ascii="宋体"/>
                <w:sz w:val="18"/>
              </w:rPr>
              <w:t>102,514,798.10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64,965,110.87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88,065,323.10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82,416,767.71</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sz w:val="18"/>
              </w:rPr>
              <w:t>2,029,371.34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846,481.53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3,433,587.16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2,126,629.68</w:t>
            </w: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8" w:lineRule="exact"/>
              <w:ind w:left="516" w:right="0"/>
              <w:jc w:val="left"/>
              <w:rPr>
                <w:rFonts w:ascii="宋体" w:hAnsi="宋体" w:cs="宋体" w:eastAsia="宋体" w:hint="default"/>
                <w:sz w:val="18"/>
                <w:szCs w:val="18"/>
              </w:rPr>
            </w:pPr>
            <w:r>
              <w:rPr>
                <w:rFonts w:ascii="宋体"/>
                <w:sz w:val="18"/>
              </w:rPr>
              <w:t>427,996.04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271,945.83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641,990.89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522,434.56</w:t>
            </w:r>
          </w:p>
        </w:tc>
      </w:tr>
      <w:tr>
        <w:trPr>
          <w:trHeight w:val="47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left="516" w:right="0"/>
              <w:jc w:val="left"/>
              <w:rPr>
                <w:rFonts w:ascii="宋体" w:hAnsi="宋体" w:cs="宋体" w:eastAsia="宋体" w:hint="default"/>
                <w:sz w:val="18"/>
                <w:szCs w:val="18"/>
              </w:rPr>
            </w:pPr>
            <w:r>
              <w:rPr>
                <w:rFonts w:ascii="宋体"/>
                <w:sz w:val="18"/>
              </w:rPr>
              <w:t>323,517.54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208,467.33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128,485.17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39,380.00</w:t>
            </w: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pacing w:val="-10"/>
                <w:sz w:val="18"/>
                <w:szCs w:val="18"/>
              </w:rPr>
              <w:t>四、利润总额（亏损总额以“</w:t>
            </w:r>
            <w:r>
              <w:rPr>
                <w:rFonts w:ascii="宋体" w:hAnsi="宋体" w:cs="宋体" w:eastAsia="宋体" w:hint="default"/>
                <w:spacing w:val="-10"/>
                <w:sz w:val="18"/>
                <w:szCs w:val="18"/>
              </w:rPr>
              <w:t>-</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2" w:type="dxa"/>
            <w:tcBorders>
              <w:top w:val="single" w:sz="4" w:space="0" w:color="000000"/>
              <w:left w:val="single" w:sz="10" w:space="0" w:color="DCDCDC"/>
              <w:bottom w:val="single" w:sz="4" w:space="0" w:color="000000"/>
              <w:right w:val="nil" w:sz="6" w:space="0" w:color="auto"/>
            </w:tcBorders>
          </w:tcPr>
          <w:p>
            <w:pPr>
              <w:pStyle w:val="TableParagraph"/>
              <w:spacing w:line="208" w:lineRule="exact"/>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5" w:right="0"/>
              <w:jc w:val="left"/>
              <w:rPr>
                <w:rFonts w:ascii="宋体" w:hAnsi="宋体" w:cs="宋体" w:eastAsia="宋体" w:hint="default"/>
                <w:sz w:val="18"/>
                <w:szCs w:val="18"/>
              </w:rPr>
            </w:pPr>
            <w:r>
              <w:rPr>
                <w:rFonts w:ascii="宋体"/>
                <w:sz w:val="18"/>
              </w:rPr>
              <w:t>104,116,173.40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65,539,646.57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90,856,919.37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84,020,962.83</w:t>
            </w: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17,044,514.61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7,255,910.84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11,400,312.12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7,855,874.39</w:t>
            </w:r>
          </w:p>
        </w:tc>
      </w:tr>
      <w:tr>
        <w:trPr>
          <w:trHeight w:val="47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五、净利润（净亏损以“</w:t>
            </w:r>
            <w:r>
              <w:rPr>
                <w:rFonts w:ascii="宋体" w:hAnsi="宋体" w:cs="宋体" w:eastAsia="宋体" w:hint="default"/>
                <w:spacing w:val="-5"/>
                <w:sz w:val="18"/>
                <w:szCs w:val="18"/>
              </w:rPr>
              <w:t>-</w:t>
            </w:r>
            <w:r>
              <w:rPr>
                <w:rFonts w:ascii="宋体" w:hAnsi="宋体" w:cs="宋体" w:eastAsia="宋体" w:hint="default"/>
                <w:spacing w:val="-5"/>
                <w:sz w:val="18"/>
                <w:szCs w:val="18"/>
              </w:rPr>
              <w:t>”号</w:t>
            </w:r>
            <w:r>
              <w:rPr>
                <w:rFonts w:ascii="宋体" w:hAnsi="宋体" w:cs="宋体" w:eastAsia="宋体" w:hint="default"/>
                <w:sz w:val="18"/>
                <w:szCs w:val="18"/>
              </w:rPr>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5"/>
              <w:ind w:left="244" w:right="0"/>
              <w:jc w:val="left"/>
              <w:rPr>
                <w:rFonts w:ascii="宋体" w:hAnsi="宋体" w:cs="宋体" w:eastAsia="宋体" w:hint="default"/>
                <w:sz w:val="18"/>
                <w:szCs w:val="18"/>
              </w:rPr>
            </w:pPr>
            <w:r>
              <w:rPr>
                <w:rFonts w:ascii="宋体"/>
                <w:sz w:val="18"/>
              </w:rPr>
              <w:t>87,071,658.79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58,283,735.73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79,456,607.25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76,165,088.44</w:t>
            </w: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left="244" w:right="0"/>
              <w:jc w:val="left"/>
              <w:rPr>
                <w:rFonts w:ascii="宋体" w:hAnsi="宋体" w:cs="宋体" w:eastAsia="宋体" w:hint="default"/>
                <w:sz w:val="18"/>
                <w:szCs w:val="18"/>
              </w:rPr>
            </w:pPr>
            <w:r>
              <w:rPr>
                <w:rFonts w:ascii="宋体"/>
                <w:sz w:val="18"/>
              </w:rPr>
              <w:t>79,194,442.06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58,283,735.73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74,026,819.95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76,165,088.44</w:t>
            </w:r>
          </w:p>
        </w:tc>
      </w:tr>
      <w:tr>
        <w:trPr>
          <w:trHeight w:val="243"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6" w:lineRule="exact"/>
              <w:ind w:left="336" w:right="0"/>
              <w:jc w:val="left"/>
              <w:rPr>
                <w:rFonts w:ascii="宋体" w:hAnsi="宋体" w:cs="宋体" w:eastAsia="宋体" w:hint="default"/>
                <w:sz w:val="18"/>
                <w:szCs w:val="18"/>
              </w:rPr>
            </w:pPr>
            <w:r>
              <w:rPr>
                <w:rFonts w:ascii="宋体"/>
                <w:sz w:val="18"/>
              </w:rPr>
              <w:t>7,877,216.73</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5,429,787.30</w:t>
            </w: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454"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41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0.70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0.51</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0.69</w:t>
            </w: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41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0.70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0.51</w:t>
            </w:r>
            <w:r>
              <w:rPr>
                <w:rFonts w:ascii="宋体"/>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0.69</w:t>
            </w:r>
          </w:p>
        </w:tc>
      </w:tr>
      <w:tr>
        <w:trPr>
          <w:trHeight w:val="242"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454" w:type="dxa"/>
            <w:gridSpan w:val="2"/>
            <w:tcBorders>
              <w:top w:val="single" w:sz="4" w:space="0" w:color="000000"/>
              <w:left w:val="single" w:sz="10" w:space="0" w:color="DCDCDC"/>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87,071,658.79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58,283,735.73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79,456,607.25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76,165,088.44</w:t>
            </w:r>
          </w:p>
        </w:tc>
      </w:tr>
      <w:tr>
        <w:trPr>
          <w:trHeight w:val="475"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合收益总额</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5"/>
              <w:ind w:left="244" w:right="0"/>
              <w:jc w:val="left"/>
              <w:rPr>
                <w:rFonts w:ascii="宋体" w:hAnsi="宋体" w:cs="宋体" w:eastAsia="宋体" w:hint="default"/>
                <w:sz w:val="18"/>
                <w:szCs w:val="18"/>
              </w:rPr>
            </w:pPr>
            <w:r>
              <w:rPr>
                <w:rFonts w:ascii="宋体"/>
                <w:sz w:val="18"/>
              </w:rPr>
              <w:t>79,194,442.06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58,283,735.73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74,026,819.95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76,165,088.44</w:t>
            </w:r>
          </w:p>
        </w:tc>
      </w:tr>
      <w:tr>
        <w:trPr>
          <w:trHeight w:val="478" w:hRule="exact"/>
        </w:trPr>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w:t>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45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sz w:val="18"/>
              </w:rPr>
              <w:t>7,877,216.73</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5,429,787.30</w:t>
            </w:r>
          </w:p>
        </w:tc>
        <w:tc>
          <w:tcPr>
            <w:tcW w:w="14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5" w:footer="1100" w:top="1100" w:bottom="1280" w:left="1660" w:right="0"/>
        </w:sectPr>
      </w:pPr>
    </w:p>
    <w:p>
      <w:pPr>
        <w:pStyle w:val="Heading2"/>
        <w:spacing w:line="240" w:lineRule="auto" w:before="11"/>
        <w:ind w:left="4021" w:right="5239"/>
        <w:jc w:val="center"/>
        <w:rPr>
          <w:rFonts w:ascii="宋体" w:hAnsi="宋体" w:cs="宋体" w:eastAsia="宋体" w:hint="default"/>
          <w:b w:val="0"/>
          <w:bCs w:val="0"/>
        </w:rPr>
      </w:pPr>
      <w:r>
        <w:rPr/>
        <w:pict>
          <v:group style="position:absolute;margin-left:88.103996pt;margin-top:41.999985pt;width:419.25pt;height:16.3500pt;mso-position-horizontal-relative:page;mso-position-vertical-relative:page;z-index:-74540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rPr>
        <w:t>现金流量表</w:t>
      </w:r>
      <w:r>
        <w:rPr>
          <w:rFonts w:ascii="宋体" w:hAnsi="宋体" w:cs="宋体" w:eastAsia="宋体" w:hint="default"/>
          <w:b w:val="0"/>
          <w:bCs w:val="0"/>
        </w:rPr>
      </w:r>
    </w:p>
    <w:p>
      <w:pPr>
        <w:spacing w:line="282" w:lineRule="exact" w:before="4"/>
        <w:ind w:left="4024" w:right="5239"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tabs>
          <w:tab w:pos="7719" w:val="left" w:leader="none"/>
        </w:tabs>
        <w:spacing w:line="266" w:lineRule="exact" w:before="0"/>
        <w:ind w:left="57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编制单位：东港安全印刷股份有限公司</w:t>
        <w:tab/>
      </w: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5"/>
        <w:gridCol w:w="1452"/>
        <w:gridCol w:w="1536"/>
        <w:gridCol w:w="1561"/>
        <w:gridCol w:w="1457"/>
      </w:tblGrid>
      <w:tr>
        <w:trPr>
          <w:trHeight w:val="127" w:hRule="exact"/>
        </w:trPr>
        <w:tc>
          <w:tcPr>
            <w:tcW w:w="3255" w:type="dxa"/>
            <w:tcBorders>
              <w:top w:val="single" w:sz="4" w:space="0" w:color="000000"/>
              <w:left w:val="single" w:sz="4" w:space="0" w:color="000000"/>
              <w:bottom w:val="nil" w:sz="6" w:space="0" w:color="auto"/>
              <w:right w:val="single" w:sz="4" w:space="0" w:color="000000"/>
            </w:tcBorders>
            <w:shd w:val="clear" w:color="auto" w:fill="DCDCDC"/>
          </w:tcPr>
          <w:p>
            <w:pPr/>
          </w:p>
        </w:tc>
        <w:tc>
          <w:tcPr>
            <w:tcW w:w="298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1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3" w:hRule="exact"/>
        </w:trPr>
        <w:tc>
          <w:tcPr>
            <w:tcW w:w="325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gridSpan w:val="2"/>
            <w:vMerge/>
            <w:tcBorders>
              <w:left w:val="single" w:sz="4" w:space="0" w:color="000000"/>
              <w:bottom w:val="single" w:sz="4" w:space="0" w:color="000000"/>
              <w:right w:val="single" w:sz="4" w:space="0" w:color="000000"/>
            </w:tcBorders>
            <w:shd w:val="clear" w:color="auto" w:fill="DCDCDC"/>
          </w:tcPr>
          <w:p>
            <w:pPr/>
          </w:p>
        </w:tc>
        <w:tc>
          <w:tcPr>
            <w:tcW w:w="3017" w:type="dxa"/>
            <w:gridSpan w:val="2"/>
            <w:vMerge/>
            <w:tcBorders>
              <w:left w:val="single" w:sz="4" w:space="0" w:color="000000"/>
              <w:bottom w:val="single" w:sz="4" w:space="0" w:color="000000"/>
              <w:right w:val="single" w:sz="4" w:space="0" w:color="000000"/>
            </w:tcBorders>
            <w:shd w:val="clear" w:color="auto" w:fill="DCDCDC"/>
          </w:tcPr>
          <w:p>
            <w:pPr/>
          </w:p>
        </w:tc>
      </w:tr>
      <w:tr>
        <w:trPr>
          <w:trHeight w:val="186" w:hRule="exact"/>
        </w:trPr>
        <w:tc>
          <w:tcPr>
            <w:tcW w:w="3255" w:type="dxa"/>
            <w:vMerge/>
            <w:tcBorders>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49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451"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421"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784,037,837.88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568,544,554.77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622,386,349.52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398,451,009.97</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71"/>
              <w:jc w:val="right"/>
              <w:rPr>
                <w:rFonts w:ascii="宋体" w:hAnsi="宋体" w:cs="宋体" w:eastAsia="宋体" w:hint="default"/>
                <w:sz w:val="18"/>
                <w:szCs w:val="18"/>
              </w:rPr>
            </w:pPr>
            <w:r>
              <w:rPr>
                <w:rFonts w:ascii="宋体" w:hAnsi="宋体" w:cs="宋体" w:eastAsia="宋体" w:hint="default"/>
                <w:spacing w:val="-1"/>
                <w:sz w:val="18"/>
                <w:szCs w:val="18"/>
              </w:rPr>
              <w:t>客户存款和同业存放款项净增加额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71"/>
              <w:jc w:val="right"/>
              <w:rPr>
                <w:rFonts w:ascii="宋体" w:hAnsi="宋体" w:cs="宋体" w:eastAsia="宋体" w:hint="default"/>
                <w:sz w:val="18"/>
                <w:szCs w:val="18"/>
              </w:rPr>
            </w:pPr>
            <w:r>
              <w:rPr>
                <w:rFonts w:ascii="宋体" w:hAnsi="宋体" w:cs="宋体" w:eastAsia="宋体" w:hint="default"/>
                <w:spacing w:val="-1"/>
                <w:sz w:val="18"/>
                <w:szCs w:val="18"/>
              </w:rPr>
              <w:t>向其他金融机构拆入资金净增加额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774,396.48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宋体" w:hAnsi="宋体" w:cs="宋体" w:eastAsia="宋体" w:hint="default"/>
                <w:sz w:val="18"/>
                <w:szCs w:val="18"/>
              </w:rPr>
            </w:pPr>
            <w:r>
              <w:rPr>
                <w:rFonts w:ascii="宋体"/>
                <w:spacing w:val="-1"/>
                <w:sz w:val="18"/>
              </w:rPr>
              <w:t>62,200.96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5,869,158.57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4,371,574.28</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9,306,899.88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447,423,641.64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5,555,081.24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2,780,475.44</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794,119,134.24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
              <w:jc w:val="right"/>
              <w:rPr>
                <w:rFonts w:ascii="宋体" w:hAnsi="宋体" w:cs="宋体" w:eastAsia="宋体" w:hint="default"/>
                <w:sz w:val="18"/>
                <w:szCs w:val="18"/>
              </w:rPr>
            </w:pPr>
            <w:r>
              <w:rPr>
                <w:rFonts w:ascii="宋体"/>
                <w:spacing w:val="-1"/>
                <w:sz w:val="18"/>
              </w:rPr>
              <w:t>1,016,030,397.37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633,810,589.33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405,603,059.69</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417,783,656.56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421,184,576.73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348,498,684.32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223,489,334.51</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71"/>
              <w:jc w:val="right"/>
              <w:rPr>
                <w:rFonts w:ascii="宋体" w:hAnsi="宋体" w:cs="宋体" w:eastAsia="宋体" w:hint="default"/>
                <w:sz w:val="18"/>
                <w:szCs w:val="18"/>
              </w:rPr>
            </w:pPr>
            <w:r>
              <w:rPr>
                <w:rFonts w:ascii="宋体" w:hAnsi="宋体" w:cs="宋体" w:eastAsia="宋体" w:hint="default"/>
                <w:spacing w:val="-1"/>
                <w:sz w:val="18"/>
                <w:szCs w:val="18"/>
              </w:rPr>
              <w:t>存放中央银行和同业款项净增加额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71"/>
              <w:jc w:val="right"/>
              <w:rPr>
                <w:rFonts w:ascii="宋体" w:hAnsi="宋体" w:cs="宋体" w:eastAsia="宋体" w:hint="default"/>
                <w:sz w:val="18"/>
                <w:szCs w:val="18"/>
              </w:rPr>
            </w:pPr>
            <w:r>
              <w:rPr>
                <w:rFonts w:ascii="宋体" w:hAnsi="宋体" w:cs="宋体" w:eastAsia="宋体" w:hint="default"/>
                <w:spacing w:val="-1"/>
                <w:sz w:val="18"/>
                <w:szCs w:val="18"/>
              </w:rPr>
              <w:t>支付给职工以及为职工支付的现金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69,095,976.49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宋体" w:hAnsi="宋体" w:cs="宋体" w:eastAsia="宋体" w:hint="default"/>
                <w:sz w:val="18"/>
                <w:szCs w:val="18"/>
              </w:rPr>
            </w:pPr>
            <w:r>
              <w:rPr>
                <w:rFonts w:ascii="宋体"/>
                <w:spacing w:val="-1"/>
                <w:sz w:val="18"/>
              </w:rPr>
              <w:t>44,645,305.76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44,435,659.51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27,370,718.56</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49,179,774.13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19,138,495.73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58,646,767.87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36,108,490.11</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78,524,048.66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354,973,130.78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70,612,468.80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64,479,039.39</w:t>
            </w:r>
          </w:p>
        </w:tc>
      </w:tr>
      <w:tr>
        <w:trPr>
          <w:trHeight w:val="362"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614,583,455.84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839,941,509.00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522,193,580.50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351,447,582.57</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71"/>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179,535,678.40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176,088,888.37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111,617,008.83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54,155,477.12</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1"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宋体" w:hAnsi="宋体" w:cs="宋体" w:eastAsia="宋体" w:hint="default"/>
                <w:sz w:val="18"/>
                <w:szCs w:val="18"/>
              </w:rPr>
            </w:pPr>
            <w:r>
              <w:rPr>
                <w:rFonts w:ascii="宋体"/>
                <w:spacing w:val="-1"/>
                <w:sz w:val="18"/>
              </w:rPr>
              <w:t>22,317,483.76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29,409,202.10</w:t>
            </w: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资产收回的现金净额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17,655.00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21,331,048.37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30,000.00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11,499,380.03</w:t>
            </w:r>
          </w:p>
        </w:tc>
      </w:tr>
      <w:tr>
        <w:trPr>
          <w:trHeight w:val="47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3,750,000.00</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pacing w:val="-1"/>
                <w:sz w:val="18"/>
              </w:rPr>
              <w:t>17,655.00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pacing w:val="-1"/>
                <w:sz w:val="18"/>
              </w:rPr>
              <w:t>43,648,532.13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pacing w:val="-1"/>
                <w:sz w:val="18"/>
              </w:rPr>
              <w:t>30,000.00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44,658,582.13</w:t>
            </w: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资产支付的现金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254,612,176.32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18"/>
                <w:szCs w:val="18"/>
              </w:rPr>
            </w:pPr>
            <w:r>
              <w:rPr>
                <w:rFonts w:ascii="宋体"/>
                <w:spacing w:val="-1"/>
                <w:sz w:val="18"/>
              </w:rPr>
              <w:t>212,753,966.48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132,366,887.73</w:t>
            </w:r>
            <w:r>
              <w:rPr>
                <w:rFonts w:ascii="宋体"/>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68,673,119.38</w:t>
            </w:r>
          </w:p>
        </w:tc>
      </w:tr>
    </w:tbl>
    <w:p>
      <w:pPr>
        <w:spacing w:after="0" w:line="240" w:lineRule="auto"/>
        <w:jc w:val="right"/>
        <w:rPr>
          <w:rFonts w:ascii="宋体" w:hAnsi="宋体" w:cs="宋体" w:eastAsia="宋体" w:hint="default"/>
          <w:sz w:val="18"/>
          <w:szCs w:val="18"/>
        </w:rPr>
        <w:sectPr>
          <w:pgSz w:w="11910" w:h="16840"/>
          <w:pgMar w:header="915" w:footer="1100" w:top="1100" w:bottom="1280" w:left="1220" w:right="0"/>
        </w:sectPr>
      </w:pPr>
    </w:p>
    <w:p>
      <w:pPr>
        <w:spacing w:line="240" w:lineRule="auto" w:before="9"/>
        <w:rPr>
          <w:rFonts w:ascii="Times New Roman" w:hAnsi="Times New Roman" w:cs="Times New Roman" w:eastAsia="Times New Roman" w:hint="default"/>
          <w:sz w:val="2"/>
          <w:szCs w:val="2"/>
        </w:rPr>
      </w:pPr>
      <w:r>
        <w:rPr/>
        <w:pict>
          <v:shape style="position:absolute;margin-left:90.150002pt;margin-top:41.999985pt;width:18pt;height:15.75pt;mso-position-horizontal-relative:page;mso-position-vertical-relative:page;z-index:-745384" type="#_x0000_t75" stroked="false">
            <v:imagedata r:id="rId7" o:title=""/>
          </v:shape>
        </w:pict>
      </w:r>
    </w:p>
    <w:tbl>
      <w:tblPr>
        <w:tblW w:w="0" w:type="auto"/>
        <w:jc w:val="left"/>
        <w:tblInd w:w="105" w:type="dxa"/>
        <w:tblLayout w:type="fixed"/>
        <w:tblCellMar>
          <w:top w:w="0" w:type="dxa"/>
          <w:left w:w="0" w:type="dxa"/>
          <w:bottom w:w="0" w:type="dxa"/>
          <w:right w:w="0" w:type="dxa"/>
        </w:tblCellMar>
        <w:tblLook w:val="01E0"/>
      </w:tblPr>
      <w:tblGrid>
        <w:gridCol w:w="3255"/>
        <w:gridCol w:w="1452"/>
        <w:gridCol w:w="1536"/>
        <w:gridCol w:w="1561"/>
        <w:gridCol w:w="1457"/>
      </w:tblGrid>
      <w:tr>
        <w:trPr>
          <w:trHeight w:val="372" w:hRule="exact"/>
        </w:trPr>
        <w:tc>
          <w:tcPr>
            <w:tcW w:w="325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52" w:type="dxa"/>
            <w:tcBorders>
              <w:top w:val="single" w:sz="10" w:space="0" w:color="000000"/>
              <w:left w:val="single" w:sz="13" w:space="0" w:color="DCDCDC"/>
              <w:bottom w:val="single" w:sz="4" w:space="0" w:color="000000"/>
              <w:right w:val="single" w:sz="4" w:space="0" w:color="000000"/>
            </w:tcBorders>
          </w:tcPr>
          <w:p>
            <w:pPr/>
          </w:p>
        </w:tc>
        <w:tc>
          <w:tcPr>
            <w:tcW w:w="153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9"/>
              <w:jc w:val="right"/>
              <w:rPr>
                <w:rFonts w:ascii="宋体" w:hAnsi="宋体" w:cs="宋体" w:eastAsia="宋体" w:hint="default"/>
                <w:sz w:val="18"/>
                <w:szCs w:val="18"/>
              </w:rPr>
            </w:pPr>
            <w:r>
              <w:rPr>
                <w:rFonts w:ascii="宋体"/>
                <w:spacing w:val="-1"/>
                <w:sz w:val="18"/>
              </w:rPr>
              <w:t>12,825,000.00</w:t>
            </w:r>
          </w:p>
        </w:tc>
        <w:tc>
          <w:tcPr>
            <w:tcW w:w="1561" w:type="dxa"/>
            <w:tcBorders>
              <w:top w:val="single" w:sz="10" w:space="0" w:color="000000"/>
              <w:left w:val="single" w:sz="4" w:space="0" w:color="000000"/>
              <w:bottom w:val="single" w:sz="4" w:space="0" w:color="000000"/>
              <w:right w:val="single" w:sz="4" w:space="0" w:color="000000"/>
            </w:tcBorders>
          </w:tcPr>
          <w:p>
            <w:pPr/>
          </w:p>
        </w:tc>
        <w:tc>
          <w:tcPr>
            <w:tcW w:w="1457"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24"/>
              <w:jc w:val="right"/>
              <w:rPr>
                <w:rFonts w:ascii="宋体" w:hAnsi="宋体" w:cs="宋体" w:eastAsia="宋体" w:hint="default"/>
                <w:sz w:val="18"/>
                <w:szCs w:val="18"/>
              </w:rPr>
            </w:pPr>
            <w:r>
              <w:rPr>
                <w:rFonts w:ascii="宋体"/>
                <w:spacing w:val="-1"/>
                <w:sz w:val="18"/>
              </w:rPr>
              <w:t>16,500,000.00</w:t>
            </w:r>
          </w:p>
        </w:tc>
      </w:tr>
      <w:tr>
        <w:trPr>
          <w:trHeight w:val="363"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1,465,564.50</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254,612,176.32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225,578,966.48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133,832,452.23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85,173,119.38</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3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-254,594,521.32</w:t>
            </w:r>
            <w:r>
              <w:rPr>
                <w:rFonts w:ascii="宋体"/>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-181,930,434.35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-133,802,452.23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-40,514,537.25</w:t>
            </w:r>
          </w:p>
        </w:tc>
      </w:tr>
      <w:tr>
        <w:trPr>
          <w:trHeight w:val="362"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351,495,904.75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347,207,479.75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5,500,000.00</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pacing w:val="-2"/>
                <w:sz w:val="18"/>
                <w:szCs w:val="18"/>
              </w:rPr>
              <w:t>其中：子公司吸收少数股东投资收到</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4,288,425.00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pacing w:val="-1"/>
                <w:sz w:val="18"/>
              </w:rPr>
              <w:t>5,500,000.00</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309,200,000.00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159,200,000.00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140,000,000.00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50,000,000.00</w:t>
            </w:r>
          </w:p>
        </w:tc>
      </w:tr>
      <w:tr>
        <w:trPr>
          <w:trHeight w:val="361"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660,695,904.75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506,407,479.75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145,500,000.00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50,000,000.00</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329,200,000.00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189,200,000.00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20,000,000.00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20,000,000.00</w:t>
            </w:r>
          </w:p>
        </w:tc>
      </w:tr>
      <w:tr>
        <w:trPr>
          <w:trHeight w:val="475"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pacing w:val="-2"/>
                <w:sz w:val="18"/>
                <w:szCs w:val="18"/>
              </w:rPr>
              <w:t>分配股利、利润或偿付利息支付的现</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44,139,666.15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pacing w:val="-1"/>
                <w:sz w:val="18"/>
              </w:rPr>
              <w:t>36,234,943.66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pacing w:val="-1"/>
                <w:sz w:val="18"/>
              </w:rPr>
              <w:t>37,163,400.00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29,884,410.00</w:t>
            </w:r>
          </w:p>
        </w:tc>
      </w:tr>
      <w:tr>
        <w:trPr>
          <w:trHeight w:val="478"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w:t>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利、利润</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18"/>
                <w:szCs w:val="18"/>
              </w:rPr>
            </w:pPr>
            <w:r>
              <w:rPr>
                <w:rFonts w:ascii="宋体"/>
                <w:spacing w:val="-1"/>
                <w:sz w:val="18"/>
              </w:rPr>
              <w:t>5,425,626.64</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18"/>
                <w:szCs w:val="18"/>
              </w:rPr>
            </w:pPr>
            <w:r>
              <w:rPr>
                <w:rFonts w:ascii="宋体"/>
                <w:spacing w:val="-1"/>
                <w:sz w:val="18"/>
              </w:rPr>
              <w:t>7,260,765.00</w:t>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2,079,424.17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宋体" w:hAnsi="宋体" w:cs="宋体" w:eastAsia="宋体" w:hint="default"/>
                <w:sz w:val="18"/>
                <w:szCs w:val="18"/>
              </w:rPr>
            </w:pPr>
            <w:r>
              <w:rPr>
                <w:rFonts w:ascii="宋体"/>
                <w:spacing w:val="-1"/>
                <w:sz w:val="18"/>
              </w:rPr>
              <w:t>2,079,424.17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55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375,419,090.32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227,514,367.83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57,163,400.00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49,884,410.00</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73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285,276,814.43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278,893,111.92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88,336,600.00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115,590.00</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1" w:right="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四、汇率变动对现金及现金等价物的影响</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-9,242.56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-36.56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187,935.78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187,923.61</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210,208,728.95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273,051,529.38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66,339,092.38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13,944,453.48</w:t>
            </w:r>
          </w:p>
        </w:tc>
      </w:tr>
      <w:tr>
        <w:trPr>
          <w:trHeight w:val="360"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37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3" w:lineRule="exact"/>
              <w:ind w:right="23"/>
              <w:jc w:val="right"/>
              <w:rPr>
                <w:rFonts w:ascii="宋体" w:hAnsi="宋体" w:cs="宋体" w:eastAsia="宋体" w:hint="default"/>
                <w:sz w:val="18"/>
                <w:szCs w:val="18"/>
              </w:rPr>
            </w:pPr>
            <w:r>
              <w:rPr>
                <w:rFonts w:ascii="宋体"/>
                <w:spacing w:val="-1"/>
                <w:sz w:val="18"/>
              </w:rPr>
              <w:t>199,616,086.89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宋体" w:hAnsi="宋体" w:cs="宋体" w:eastAsia="宋体" w:hint="default"/>
                <w:sz w:val="18"/>
                <w:szCs w:val="18"/>
              </w:rPr>
            </w:pPr>
            <w:r>
              <w:rPr>
                <w:rFonts w:ascii="宋体"/>
                <w:spacing w:val="-1"/>
                <w:sz w:val="18"/>
              </w:rPr>
              <w:t>110,965,959.88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宋体" w:hAnsi="宋体" w:cs="宋体" w:eastAsia="宋体" w:hint="default"/>
                <w:sz w:val="18"/>
                <w:szCs w:val="18"/>
              </w:rPr>
            </w:pPr>
            <w:r>
              <w:rPr>
                <w:rFonts w:ascii="宋体"/>
                <w:spacing w:val="-1"/>
                <w:sz w:val="18"/>
              </w:rPr>
              <w:t>133,276,994.51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宋体" w:hAnsi="宋体" w:cs="宋体" w:eastAsia="宋体" w:hint="default"/>
                <w:sz w:val="18"/>
                <w:szCs w:val="18"/>
              </w:rPr>
            </w:pPr>
            <w:r>
              <w:rPr>
                <w:rFonts w:ascii="宋体"/>
                <w:spacing w:val="-1"/>
                <w:sz w:val="18"/>
              </w:rPr>
              <w:t>97,021,506.40</w:t>
            </w:r>
          </w:p>
        </w:tc>
      </w:tr>
      <w:tr>
        <w:trPr>
          <w:trHeight w:val="362" w:hRule="exact"/>
        </w:trPr>
        <w:tc>
          <w:tcPr>
            <w:tcW w:w="3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409,824,815.84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384,017,489.26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199,616,086.89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110,965,959.88</w:t>
            </w:r>
          </w:p>
        </w:tc>
      </w:tr>
    </w:tbl>
    <w:p>
      <w:pPr>
        <w:spacing w:after="0" w:line="205" w:lineRule="exact"/>
        <w:jc w:val="right"/>
        <w:rPr>
          <w:rFonts w:ascii="宋体" w:hAnsi="宋体" w:cs="宋体" w:eastAsia="宋体" w:hint="default"/>
          <w:sz w:val="18"/>
          <w:szCs w:val="18"/>
        </w:rPr>
        <w:sectPr>
          <w:pgSz w:w="11910" w:h="16840"/>
          <w:pgMar w:header="915" w:footer="1100" w:top="1100" w:bottom="128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2"/>
        <w:spacing w:line="240" w:lineRule="auto" w:before="26"/>
        <w:ind w:left="0" w:right="946"/>
        <w:jc w:val="center"/>
        <w:rPr>
          <w:rFonts w:ascii="宋体" w:hAnsi="宋体" w:cs="宋体" w:eastAsia="宋体" w:hint="default"/>
          <w:b w:val="0"/>
          <w:bCs w:val="0"/>
        </w:rPr>
      </w:pPr>
      <w:r>
        <w:rPr>
          <w:rFonts w:ascii="宋体" w:hAnsi="宋体" w:cs="宋体" w:eastAsia="宋体" w:hint="default"/>
        </w:rPr>
        <w:t>合并所有者权益变动表</w:t>
      </w:r>
      <w:r>
        <w:rPr>
          <w:rFonts w:ascii="宋体" w:hAnsi="宋体" w:cs="宋体" w:eastAsia="宋体" w:hint="default"/>
          <w:b w:val="0"/>
          <w:bCs w:val="0"/>
        </w:rPr>
      </w:r>
    </w:p>
    <w:p>
      <w:pPr>
        <w:spacing w:line="282" w:lineRule="exact" w:before="1"/>
        <w:ind w:left="0" w:right="943"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2847" w:val="left" w:leader="none"/>
        </w:tabs>
        <w:spacing w:line="266" w:lineRule="exact" w:before="0"/>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编制单位：东港安全印刷股份有限公司</w:t>
        <w:tab/>
        <w:t>单位：元</w:t>
      </w: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11"/>
        <w:gridCol w:w="624"/>
        <w:gridCol w:w="624"/>
        <w:gridCol w:w="625"/>
        <w:gridCol w:w="624"/>
        <w:gridCol w:w="624"/>
        <w:gridCol w:w="624"/>
        <w:gridCol w:w="624"/>
        <w:gridCol w:w="624"/>
        <w:gridCol w:w="624"/>
        <w:gridCol w:w="624"/>
        <w:gridCol w:w="624"/>
        <w:gridCol w:w="624"/>
        <w:gridCol w:w="624"/>
        <w:gridCol w:w="624"/>
        <w:gridCol w:w="625"/>
        <w:gridCol w:w="624"/>
        <w:gridCol w:w="624"/>
        <w:gridCol w:w="624"/>
        <w:gridCol w:w="624"/>
        <w:gridCol w:w="624"/>
      </w:tblGrid>
      <w:tr>
        <w:trPr>
          <w:trHeight w:val="245" w:hRule="exact"/>
        </w:trPr>
        <w:tc>
          <w:tcPr>
            <w:tcW w:w="2211"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27" w:hRule="exact"/>
        </w:trPr>
        <w:tc>
          <w:tcPr>
            <w:tcW w:w="2211" w:type="dxa"/>
            <w:vMerge/>
            <w:tcBorders>
              <w:left w:val="single" w:sz="4" w:space="0" w:color="000000"/>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2"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2" w:lineRule="exact" w:before="23"/>
              <w:ind w:left="215" w:right="36" w:hanging="180"/>
              <w:jc w:val="left"/>
              <w:rPr>
                <w:rFonts w:ascii="宋体" w:hAnsi="宋体" w:cs="宋体" w:eastAsia="宋体" w:hint="default"/>
                <w:sz w:val="18"/>
                <w:szCs w:val="18"/>
              </w:rPr>
            </w:pPr>
            <w:r>
              <w:rPr>
                <w:rFonts w:ascii="宋体" w:hAnsi="宋体" w:cs="宋体" w:eastAsia="宋体" w:hint="default"/>
                <w:sz w:val="18"/>
                <w:szCs w:val="18"/>
              </w:rPr>
              <w:t>权益合 计</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6"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2" w:lineRule="exact" w:before="23"/>
              <w:ind w:left="216" w:right="36"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95" w:hRule="exact"/>
        </w:trPr>
        <w:tc>
          <w:tcPr>
            <w:tcW w:w="2211" w:type="dxa"/>
            <w:vMerge w:val="restart"/>
            <w:tcBorders>
              <w:top w:val="nil" w:sz="6" w:space="0" w:color="auto"/>
              <w:left w:val="single" w:sz="4" w:space="0" w:color="000000"/>
              <w:right w:val="single" w:sz="4" w:space="0" w:color="000000"/>
            </w:tcBorders>
            <w:shd w:val="clear" w:color="auto" w:fill="DCDCDC"/>
          </w:tcPr>
          <w:p>
            <w:pPr>
              <w:pStyle w:val="TableParagraph"/>
              <w:spacing w:line="174"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4" w:lineRule="exact" w:before="23"/>
              <w:ind w:left="35"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178" w:lineRule="exact"/>
              <w:ind w:left="38"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4" w:lineRule="exact" w:before="23"/>
              <w:ind w:left="35"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178" w:lineRule="exact"/>
              <w:ind w:left="38"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r>
      <w:tr>
        <w:trPr>
          <w:trHeight w:val="113"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24" w:right="0" w:hanging="89"/>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24" w:right="0" w:hanging="89"/>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24" w:right="0" w:hanging="89"/>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24" w:right="0" w:hanging="89"/>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231"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243"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r>
      <w:tr>
        <w:trPr>
          <w:trHeight w:val="199"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2"/>
                <w:sz w:val="18"/>
              </w:rPr>
              <w:t>110,00</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50" w:space="0" w:color="DCDCDC"/>
              <w:left w:val="single" w:sz="4" w:space="0" w:color="000000"/>
              <w:right w:val="single" w:sz="4" w:space="0" w:color="000000"/>
            </w:tcBorders>
          </w:tcPr>
          <w:p>
            <w:pPr>
              <w:pStyle w:val="TableParagraph"/>
              <w:spacing w:line="144" w:lineRule="exact"/>
              <w:ind w:right="21"/>
              <w:jc w:val="right"/>
              <w:rPr>
                <w:rFonts w:ascii="Times New Roman" w:hAnsi="Times New Roman" w:cs="Times New Roman" w:eastAsia="Times New Roman" w:hint="default"/>
                <w:sz w:val="18"/>
                <w:szCs w:val="18"/>
              </w:rPr>
            </w:pPr>
            <w:r>
              <w:rPr>
                <w:rFonts w:ascii="Times New Roman"/>
                <w:spacing w:val="-1"/>
                <w:sz w:val="18"/>
              </w:rPr>
              <w:t>248,53</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1,761.1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625" w:type="dxa"/>
            <w:vMerge w:val="restart"/>
            <w:tcBorders>
              <w:top w:val="single" w:sz="50" w:space="0" w:color="DCDCDC"/>
              <w:left w:val="single" w:sz="4" w:space="0" w:color="000000"/>
              <w:right w:val="single" w:sz="4" w:space="0" w:color="000000"/>
            </w:tcBorders>
          </w:tcPr>
          <w:p>
            <w:pPr/>
          </w:p>
        </w:tc>
        <w:tc>
          <w:tcPr>
            <w:tcW w:w="624" w:type="dxa"/>
            <w:vMerge w:val="restart"/>
            <w:tcBorders>
              <w:top w:val="single" w:sz="50" w:space="0" w:color="DCDCDC"/>
              <w:left w:val="single" w:sz="4" w:space="0" w:color="000000"/>
              <w:right w:val="single" w:sz="4" w:space="0" w:color="000000"/>
            </w:tcBorders>
          </w:tcPr>
          <w:p>
            <w:pPr/>
          </w:p>
        </w:tc>
        <w:tc>
          <w:tcPr>
            <w:tcW w:w="624" w:type="dxa"/>
            <w:vMerge w:val="restart"/>
            <w:tcBorders>
              <w:top w:val="single" w:sz="50" w:space="0" w:color="DCDCDC"/>
              <w:left w:val="single" w:sz="4" w:space="0" w:color="000000"/>
              <w:right w:val="single" w:sz="4" w:space="0" w:color="000000"/>
            </w:tcBorders>
          </w:tcPr>
          <w:p>
            <w:pPr>
              <w:pStyle w:val="TableParagraph"/>
              <w:spacing w:line="207" w:lineRule="exact" w:before="43"/>
              <w:ind w:left="50" w:right="0"/>
              <w:jc w:val="left"/>
              <w:rPr>
                <w:rFonts w:ascii="Times New Roman" w:hAnsi="Times New Roman" w:cs="Times New Roman" w:eastAsia="Times New Roman" w:hint="default"/>
                <w:sz w:val="18"/>
                <w:szCs w:val="18"/>
              </w:rPr>
            </w:pPr>
            <w:r>
              <w:rPr>
                <w:rFonts w:ascii="Times New Roman"/>
                <w:sz w:val="18"/>
              </w:rPr>
              <w:t>54,464,</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269.56</w:t>
            </w:r>
          </w:p>
        </w:tc>
        <w:tc>
          <w:tcPr>
            <w:tcW w:w="624" w:type="dxa"/>
            <w:vMerge w:val="restart"/>
            <w:tcBorders>
              <w:top w:val="single" w:sz="50" w:space="0" w:color="DCDCDC"/>
              <w:left w:val="single" w:sz="4" w:space="0" w:color="000000"/>
              <w:right w:val="single" w:sz="4" w:space="0" w:color="000000"/>
            </w:tcBorders>
          </w:tcPr>
          <w:p>
            <w:pPr/>
          </w:p>
        </w:tc>
        <w:tc>
          <w:tcPr>
            <w:tcW w:w="624" w:type="dxa"/>
            <w:vMerge w:val="restart"/>
            <w:tcBorders>
              <w:top w:val="single" w:sz="50" w:space="0" w:color="DCDCDC"/>
              <w:left w:val="single" w:sz="4" w:space="0" w:color="000000"/>
              <w:right w:val="single" w:sz="4" w:space="0" w:color="000000"/>
            </w:tcBorders>
          </w:tcPr>
          <w:p>
            <w:pPr>
              <w:pStyle w:val="TableParagraph"/>
              <w:spacing w:line="144" w:lineRule="exact"/>
              <w:ind w:right="21"/>
              <w:jc w:val="right"/>
              <w:rPr>
                <w:rFonts w:ascii="Times New Roman" w:hAnsi="Times New Roman" w:cs="Times New Roman" w:eastAsia="Times New Roman" w:hint="default"/>
                <w:sz w:val="18"/>
                <w:szCs w:val="18"/>
              </w:rPr>
            </w:pPr>
            <w:r>
              <w:rPr>
                <w:rFonts w:ascii="Times New Roman"/>
                <w:spacing w:val="-1"/>
                <w:sz w:val="18"/>
              </w:rPr>
              <w:t>159,98</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5,330.9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00"/>
              <w:ind w:left="52" w:right="0"/>
              <w:jc w:val="left"/>
              <w:rPr>
                <w:rFonts w:ascii="Times New Roman" w:hAnsi="Times New Roman" w:cs="Times New Roman" w:eastAsia="Times New Roman" w:hint="default"/>
                <w:sz w:val="18"/>
                <w:szCs w:val="18"/>
              </w:rPr>
            </w:pPr>
            <w:r>
              <w:rPr>
                <w:rFonts w:ascii="Times New Roman"/>
                <w:sz w:val="18"/>
              </w:rPr>
              <w:t>39,081,</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983.84</w:t>
            </w:r>
          </w:p>
        </w:tc>
        <w:tc>
          <w:tcPr>
            <w:tcW w:w="624" w:type="dxa"/>
            <w:vMerge w:val="restart"/>
            <w:tcBorders>
              <w:top w:val="single" w:sz="52" w:space="0" w:color="DCDCDC"/>
              <w:left w:val="single" w:sz="4" w:space="0" w:color="000000"/>
              <w:right w:val="single" w:sz="4" w:space="0" w:color="000000"/>
            </w:tcBorders>
          </w:tcPr>
          <w:p>
            <w:pPr>
              <w:pStyle w:val="TableParagraph"/>
              <w:spacing w:line="142" w:lineRule="exact"/>
              <w:ind w:right="21"/>
              <w:jc w:val="right"/>
              <w:rPr>
                <w:rFonts w:ascii="Times New Roman" w:hAnsi="Times New Roman" w:cs="Times New Roman" w:eastAsia="Times New Roman" w:hint="default"/>
                <w:sz w:val="18"/>
                <w:szCs w:val="18"/>
              </w:rPr>
            </w:pPr>
            <w:r>
              <w:rPr>
                <w:rFonts w:ascii="Times New Roman"/>
                <w:spacing w:val="-1"/>
                <w:sz w:val="18"/>
              </w:rPr>
              <w:t>612,06</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3,345.5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2"/>
                <w:sz w:val="18"/>
              </w:rPr>
              <w:t>110,00</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50" w:space="0" w:color="DCDCDC"/>
              <w:left w:val="single" w:sz="4" w:space="0" w:color="000000"/>
              <w:right w:val="single" w:sz="4" w:space="0" w:color="000000"/>
            </w:tcBorders>
          </w:tcPr>
          <w:p>
            <w:pPr>
              <w:pStyle w:val="TableParagraph"/>
              <w:spacing w:line="144" w:lineRule="exact"/>
              <w:ind w:right="21"/>
              <w:jc w:val="right"/>
              <w:rPr>
                <w:rFonts w:ascii="Times New Roman" w:hAnsi="Times New Roman" w:cs="Times New Roman" w:eastAsia="Times New Roman" w:hint="default"/>
                <w:sz w:val="18"/>
                <w:szCs w:val="18"/>
              </w:rPr>
            </w:pPr>
            <w:r>
              <w:rPr>
                <w:rFonts w:ascii="Times New Roman"/>
                <w:spacing w:val="-1"/>
                <w:sz w:val="18"/>
              </w:rPr>
              <w:t>248,53</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1,761.1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50" w:space="0" w:color="DCDCDC"/>
              <w:left w:val="single" w:sz="4" w:space="0" w:color="000000"/>
              <w:right w:val="single" w:sz="4" w:space="0" w:color="000000"/>
            </w:tcBorders>
          </w:tcPr>
          <w:p>
            <w:pPr/>
          </w:p>
        </w:tc>
        <w:tc>
          <w:tcPr>
            <w:tcW w:w="624" w:type="dxa"/>
            <w:vMerge w:val="restart"/>
            <w:tcBorders>
              <w:top w:val="single" w:sz="50" w:space="0" w:color="DCDCDC"/>
              <w:left w:val="single" w:sz="4" w:space="0" w:color="000000"/>
              <w:right w:val="single" w:sz="4" w:space="0" w:color="000000"/>
            </w:tcBorders>
          </w:tcPr>
          <w:p>
            <w:pPr/>
          </w:p>
        </w:tc>
        <w:tc>
          <w:tcPr>
            <w:tcW w:w="625" w:type="dxa"/>
            <w:vMerge w:val="restart"/>
            <w:tcBorders>
              <w:top w:val="single" w:sz="50" w:space="0" w:color="DCDCDC"/>
              <w:left w:val="single" w:sz="4" w:space="0" w:color="000000"/>
              <w:right w:val="single" w:sz="4" w:space="0" w:color="000000"/>
            </w:tcBorders>
          </w:tcPr>
          <w:p>
            <w:pPr>
              <w:pStyle w:val="TableParagraph"/>
              <w:spacing w:line="207" w:lineRule="exact" w:before="43"/>
              <w:ind w:left="50" w:right="0"/>
              <w:jc w:val="left"/>
              <w:rPr>
                <w:rFonts w:ascii="Times New Roman" w:hAnsi="Times New Roman" w:cs="Times New Roman" w:eastAsia="Times New Roman" w:hint="default"/>
                <w:sz w:val="18"/>
                <w:szCs w:val="18"/>
              </w:rPr>
            </w:pPr>
            <w:r>
              <w:rPr>
                <w:rFonts w:ascii="Times New Roman"/>
                <w:sz w:val="18"/>
              </w:rPr>
              <w:t>43,039,</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506.29</w:t>
            </w:r>
          </w:p>
        </w:tc>
        <w:tc>
          <w:tcPr>
            <w:tcW w:w="624" w:type="dxa"/>
            <w:vMerge w:val="restart"/>
            <w:tcBorders>
              <w:top w:val="single" w:sz="50" w:space="0" w:color="DCDCDC"/>
              <w:left w:val="single" w:sz="4" w:space="0" w:color="000000"/>
              <w:right w:val="single" w:sz="4" w:space="0" w:color="000000"/>
            </w:tcBorders>
          </w:tcPr>
          <w:p>
            <w:pPr/>
          </w:p>
        </w:tc>
        <w:tc>
          <w:tcPr>
            <w:tcW w:w="624" w:type="dxa"/>
            <w:vMerge w:val="restart"/>
            <w:tcBorders>
              <w:top w:val="single" w:sz="50" w:space="0" w:color="DCDCDC"/>
              <w:left w:val="single" w:sz="4" w:space="0" w:color="000000"/>
              <w:right w:val="single" w:sz="4" w:space="0" w:color="000000"/>
            </w:tcBorders>
          </w:tcPr>
          <w:p>
            <w:pPr>
              <w:pStyle w:val="TableParagraph"/>
              <w:spacing w:line="144" w:lineRule="exact"/>
              <w:ind w:right="21"/>
              <w:jc w:val="right"/>
              <w:rPr>
                <w:rFonts w:ascii="Times New Roman" w:hAnsi="Times New Roman" w:cs="Times New Roman" w:eastAsia="Times New Roman" w:hint="default"/>
                <w:sz w:val="18"/>
                <w:szCs w:val="18"/>
              </w:rPr>
            </w:pPr>
            <w:r>
              <w:rPr>
                <w:rFonts w:ascii="Times New Roman"/>
                <w:spacing w:val="-1"/>
                <w:sz w:val="18"/>
              </w:rPr>
              <w:t>127,08</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3,274.3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00"/>
              <w:ind w:left="52" w:right="0"/>
              <w:jc w:val="left"/>
              <w:rPr>
                <w:rFonts w:ascii="Times New Roman" w:hAnsi="Times New Roman" w:cs="Times New Roman" w:eastAsia="Times New Roman" w:hint="default"/>
                <w:sz w:val="18"/>
                <w:szCs w:val="18"/>
              </w:rPr>
            </w:pPr>
            <w:r>
              <w:rPr>
                <w:rFonts w:ascii="Times New Roman"/>
                <w:sz w:val="18"/>
              </w:rPr>
              <w:t>35,288,</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622.65</w:t>
            </w:r>
          </w:p>
        </w:tc>
        <w:tc>
          <w:tcPr>
            <w:tcW w:w="624" w:type="dxa"/>
            <w:vMerge w:val="restart"/>
            <w:tcBorders>
              <w:top w:val="single" w:sz="52" w:space="0" w:color="DCDCDC"/>
              <w:left w:val="single" w:sz="4" w:space="0" w:color="000000"/>
              <w:right w:val="single" w:sz="4" w:space="0" w:color="000000"/>
            </w:tcBorders>
          </w:tcPr>
          <w:p>
            <w:pPr>
              <w:pStyle w:val="TableParagraph"/>
              <w:spacing w:line="142" w:lineRule="exact"/>
              <w:ind w:right="21"/>
              <w:jc w:val="right"/>
              <w:rPr>
                <w:rFonts w:ascii="Times New Roman" w:hAnsi="Times New Roman" w:cs="Times New Roman" w:eastAsia="Times New Roman" w:hint="default"/>
                <w:sz w:val="18"/>
                <w:szCs w:val="18"/>
              </w:rPr>
            </w:pPr>
            <w:r>
              <w:rPr>
                <w:rFonts w:ascii="Times New Roman"/>
                <w:spacing w:val="-1"/>
                <w:sz w:val="18"/>
              </w:rPr>
              <w:t>563,94</w:t>
            </w:r>
          </w:p>
          <w:p>
            <w:pPr>
              <w:pStyle w:val="TableParagraph"/>
              <w:spacing w:line="207" w:lineRule="exact" w:before="2"/>
              <w:ind w:right="21"/>
              <w:jc w:val="right"/>
              <w:rPr>
                <w:rFonts w:ascii="Times New Roman" w:hAnsi="Times New Roman" w:cs="Times New Roman" w:eastAsia="Times New Roman" w:hint="default"/>
                <w:sz w:val="18"/>
                <w:szCs w:val="18"/>
              </w:rPr>
            </w:pPr>
            <w:r>
              <w:rPr>
                <w:rFonts w:ascii="Times New Roman"/>
                <w:spacing w:val="-1"/>
                <w:sz w:val="18"/>
              </w:rPr>
              <w:t>3,164.4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r>
      <w:tr>
        <w:trPr>
          <w:trHeight w:val="233"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9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2"/>
                <w:sz w:val="18"/>
              </w:rPr>
              <w:t>110,00</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248,53</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1,761.1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00"/>
              <w:ind w:left="50" w:right="0"/>
              <w:jc w:val="left"/>
              <w:rPr>
                <w:rFonts w:ascii="Times New Roman" w:hAnsi="Times New Roman" w:cs="Times New Roman" w:eastAsia="Times New Roman" w:hint="default"/>
                <w:sz w:val="18"/>
                <w:szCs w:val="18"/>
              </w:rPr>
            </w:pPr>
            <w:r>
              <w:rPr>
                <w:rFonts w:ascii="Times New Roman"/>
                <w:sz w:val="18"/>
              </w:rPr>
              <w:t>54,464,</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269.56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159,98</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5,330.9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00"/>
              <w:ind w:left="52" w:right="0"/>
              <w:jc w:val="left"/>
              <w:rPr>
                <w:rFonts w:ascii="Times New Roman" w:hAnsi="Times New Roman" w:cs="Times New Roman" w:eastAsia="Times New Roman" w:hint="default"/>
                <w:sz w:val="18"/>
                <w:szCs w:val="18"/>
              </w:rPr>
            </w:pPr>
            <w:r>
              <w:rPr>
                <w:rFonts w:ascii="Times New Roman"/>
                <w:sz w:val="18"/>
              </w:rPr>
              <w:t>39,081,</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983.84</w:t>
            </w: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612,06</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3,345.5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2"/>
                <w:sz w:val="18"/>
              </w:rPr>
              <w:t>110,00</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248,53</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1,761.1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07" w:lineRule="exact" w:before="100"/>
              <w:ind w:left="50" w:right="0"/>
              <w:jc w:val="left"/>
              <w:rPr>
                <w:rFonts w:ascii="Times New Roman" w:hAnsi="Times New Roman" w:cs="Times New Roman" w:eastAsia="Times New Roman" w:hint="default"/>
                <w:sz w:val="18"/>
                <w:szCs w:val="18"/>
              </w:rPr>
            </w:pPr>
            <w:r>
              <w:rPr>
                <w:rFonts w:ascii="Times New Roman"/>
                <w:sz w:val="18"/>
              </w:rPr>
              <w:t>43,039,</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506.29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127,08</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3,274.3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100"/>
              <w:ind w:left="52" w:right="0"/>
              <w:jc w:val="left"/>
              <w:rPr>
                <w:rFonts w:ascii="Times New Roman" w:hAnsi="Times New Roman" w:cs="Times New Roman" w:eastAsia="Times New Roman" w:hint="default"/>
                <w:sz w:val="18"/>
                <w:szCs w:val="18"/>
              </w:rPr>
            </w:pPr>
            <w:r>
              <w:rPr>
                <w:rFonts w:ascii="Times New Roman"/>
                <w:sz w:val="18"/>
              </w:rPr>
              <w:t>35,288,</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622.65</w:t>
            </w:r>
          </w:p>
        </w:tc>
        <w:tc>
          <w:tcPr>
            <w:tcW w:w="624" w:type="dxa"/>
            <w:vMerge w:val="restart"/>
            <w:tcBorders>
              <w:top w:val="single" w:sz="4" w:space="0" w:color="000000"/>
              <w:left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563,94</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3,164.4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r>
      <w:tr>
        <w:trPr>
          <w:trHeight w:val="235"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9" w:hRule="exact"/>
        </w:trPr>
        <w:tc>
          <w:tcPr>
            <w:tcW w:w="2211" w:type="dxa"/>
            <w:tcBorders>
              <w:top w:val="nil" w:sz="6" w:space="0" w:color="auto"/>
              <w:left w:val="single" w:sz="4" w:space="0" w:color="000000"/>
              <w:bottom w:val="single" w:sz="4" w:space="0" w:color="FFFFFF"/>
              <w:right w:val="single" w:sz="4" w:space="0" w:color="000000"/>
            </w:tcBorders>
            <w:shd w:val="clear" w:color="auto" w:fill="DCDCDC"/>
          </w:tcPr>
          <w:p>
            <w:pPr/>
          </w:p>
        </w:tc>
        <w:tc>
          <w:tcPr>
            <w:tcW w:w="624" w:type="dxa"/>
            <w:vMerge/>
            <w:tcBorders>
              <w:left w:val="single" w:sz="10" w:space="0" w:color="DCDCDC"/>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5"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5"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r>
      <w:tr>
        <w:trPr>
          <w:trHeight w:val="590" w:hRule="exact"/>
        </w:trPr>
        <w:tc>
          <w:tcPr>
            <w:tcW w:w="2211"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34" w:lineRule="exact" w:before="30"/>
              <w:ind w:left="23"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58"/>
              <w:ind w:left="38" w:right="0"/>
              <w:jc w:val="left"/>
              <w:rPr>
                <w:rFonts w:ascii="Times New Roman" w:hAnsi="Times New Roman" w:cs="Times New Roman" w:eastAsia="Times New Roman" w:hint="default"/>
                <w:sz w:val="18"/>
                <w:szCs w:val="18"/>
              </w:rPr>
            </w:pPr>
            <w:r>
              <w:rPr>
                <w:rFonts w:ascii="Times New Roman"/>
                <w:sz w:val="18"/>
              </w:rPr>
              <w:t>14,124,</w:t>
            </w: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172.00</w:t>
            </w: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160" w:lineRule="exact"/>
              <w:ind w:right="21"/>
              <w:jc w:val="right"/>
              <w:rPr>
                <w:rFonts w:ascii="Times New Roman" w:hAnsi="Times New Roman" w:cs="Times New Roman" w:eastAsia="Times New Roman" w:hint="default"/>
                <w:sz w:val="18"/>
                <w:szCs w:val="18"/>
              </w:rPr>
            </w:pPr>
            <w:r>
              <w:rPr>
                <w:rFonts w:ascii="Times New Roman"/>
                <w:spacing w:val="-1"/>
                <w:sz w:val="18"/>
              </w:rPr>
              <w:t>330,98</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4,442.5</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w:t>
            </w:r>
          </w:p>
        </w:tc>
        <w:tc>
          <w:tcPr>
            <w:tcW w:w="625"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26" w:right="0"/>
              <w:jc w:val="center"/>
              <w:rPr>
                <w:rFonts w:ascii="Times New Roman" w:hAnsi="Times New Roman" w:cs="Times New Roman" w:eastAsia="Times New Roman" w:hint="default"/>
                <w:sz w:val="18"/>
                <w:szCs w:val="18"/>
              </w:rPr>
            </w:pPr>
            <w:r>
              <w:rPr>
                <w:rFonts w:ascii="Times New Roman"/>
                <w:sz w:val="18"/>
              </w:rPr>
              <w:t>8,742,5</w:t>
            </w: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60.36</w:t>
            </w: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50" w:right="0"/>
              <w:jc w:val="left"/>
              <w:rPr>
                <w:rFonts w:ascii="Times New Roman" w:hAnsi="Times New Roman" w:cs="Times New Roman" w:eastAsia="Times New Roman" w:hint="default"/>
                <w:sz w:val="18"/>
                <w:szCs w:val="18"/>
              </w:rPr>
            </w:pPr>
            <w:r>
              <w:rPr>
                <w:rFonts w:ascii="Times New Roman"/>
                <w:sz w:val="18"/>
              </w:rPr>
              <w:t>37,451,</w:t>
            </w: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881.70</w:t>
            </w: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31" w:right="0"/>
              <w:jc w:val="center"/>
              <w:rPr>
                <w:rFonts w:ascii="Times New Roman" w:hAnsi="Times New Roman" w:cs="Times New Roman" w:eastAsia="Times New Roman" w:hint="default"/>
                <w:sz w:val="18"/>
                <w:szCs w:val="18"/>
              </w:rPr>
            </w:pPr>
            <w:r>
              <w:rPr>
                <w:rFonts w:ascii="Times New Roman"/>
                <w:sz w:val="18"/>
              </w:rPr>
              <w:t>7,265,4</w:t>
            </w: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08.16</w:t>
            </w: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160" w:lineRule="exact"/>
              <w:ind w:right="21"/>
              <w:jc w:val="right"/>
              <w:rPr>
                <w:rFonts w:ascii="Times New Roman" w:hAnsi="Times New Roman" w:cs="Times New Roman" w:eastAsia="Times New Roman" w:hint="default"/>
                <w:sz w:val="18"/>
                <w:szCs w:val="18"/>
              </w:rPr>
            </w:pPr>
            <w:r>
              <w:rPr>
                <w:rFonts w:ascii="Times New Roman"/>
                <w:spacing w:val="-1"/>
                <w:sz w:val="18"/>
              </w:rPr>
              <w:t>398,56</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8,464.7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57" w:right="0"/>
              <w:jc w:val="left"/>
              <w:rPr>
                <w:rFonts w:ascii="Times New Roman" w:hAnsi="Times New Roman" w:cs="Times New Roman" w:eastAsia="Times New Roman" w:hint="default"/>
                <w:sz w:val="18"/>
                <w:szCs w:val="18"/>
              </w:rPr>
            </w:pPr>
            <w:r>
              <w:rPr>
                <w:rFonts w:ascii="Times New Roman"/>
                <w:sz w:val="18"/>
              </w:rPr>
              <w:t>11,424,</w:t>
            </w: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763.27</w:t>
            </w: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50" w:right="0"/>
              <w:jc w:val="left"/>
              <w:rPr>
                <w:rFonts w:ascii="Times New Roman" w:hAnsi="Times New Roman" w:cs="Times New Roman" w:eastAsia="Times New Roman" w:hint="default"/>
                <w:sz w:val="18"/>
                <w:szCs w:val="18"/>
              </w:rPr>
            </w:pPr>
            <w:r>
              <w:rPr>
                <w:rFonts w:ascii="Times New Roman"/>
                <w:sz w:val="18"/>
              </w:rPr>
              <w:t>32,902,</w:t>
            </w: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056.68</w:t>
            </w: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31" w:right="0"/>
              <w:jc w:val="center"/>
              <w:rPr>
                <w:rFonts w:ascii="Times New Roman" w:hAnsi="Times New Roman" w:cs="Times New Roman" w:eastAsia="Times New Roman" w:hint="default"/>
                <w:sz w:val="18"/>
                <w:szCs w:val="18"/>
              </w:rPr>
            </w:pPr>
            <w:r>
              <w:rPr>
                <w:rFonts w:ascii="Times New Roman"/>
                <w:sz w:val="18"/>
              </w:rPr>
              <w:t>3,793,3</w:t>
            </w: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61.19</w:t>
            </w: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50" w:right="0"/>
              <w:jc w:val="left"/>
              <w:rPr>
                <w:rFonts w:ascii="Times New Roman" w:hAnsi="Times New Roman" w:cs="Times New Roman" w:eastAsia="Times New Roman" w:hint="default"/>
                <w:sz w:val="18"/>
                <w:szCs w:val="18"/>
              </w:rPr>
            </w:pPr>
            <w:r>
              <w:rPr>
                <w:rFonts w:ascii="Times New Roman"/>
                <w:sz w:val="18"/>
              </w:rPr>
              <w:t>48,120,</w:t>
            </w: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181.14</w:t>
            </w: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79,194,</w:t>
            </w:r>
          </w:p>
          <w:p>
            <w:pPr>
              <w:pStyle w:val="TableParagraph"/>
              <w:spacing w:line="240" w:lineRule="auto" w:before="2"/>
              <w:ind w:left="96" w:right="0"/>
              <w:jc w:val="left"/>
              <w:rPr>
                <w:rFonts w:ascii="Times New Roman" w:hAnsi="Times New Roman" w:cs="Times New Roman" w:eastAsia="Times New Roman" w:hint="default"/>
                <w:sz w:val="18"/>
                <w:szCs w:val="18"/>
              </w:rPr>
            </w:pPr>
            <w:r>
              <w:rPr>
                <w:rFonts w:ascii="Times New Roman"/>
                <w:sz w:val="18"/>
              </w:rPr>
              <w:t>442.06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7,877,2</w:t>
            </w:r>
          </w:p>
          <w:p>
            <w:pPr>
              <w:pStyle w:val="TableParagraph"/>
              <w:spacing w:line="240" w:lineRule="auto" w:before="2"/>
              <w:ind w:left="166" w:right="0"/>
              <w:jc w:val="center"/>
              <w:rPr>
                <w:rFonts w:ascii="Times New Roman" w:hAnsi="Times New Roman" w:cs="Times New Roman" w:eastAsia="Times New Roman" w:hint="default"/>
                <w:sz w:val="18"/>
                <w:szCs w:val="18"/>
              </w:rPr>
            </w:pPr>
            <w:r>
              <w:rPr>
                <w:rFonts w:ascii="Times New Roman"/>
                <w:sz w:val="18"/>
              </w:rPr>
              <w:t>16.73</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87,071,</w:t>
            </w:r>
          </w:p>
          <w:p>
            <w:pPr>
              <w:pStyle w:val="TableParagraph"/>
              <w:spacing w:line="240" w:lineRule="auto" w:before="2"/>
              <w:ind w:left="95" w:right="0"/>
              <w:jc w:val="left"/>
              <w:rPr>
                <w:rFonts w:ascii="Times New Roman" w:hAnsi="Times New Roman" w:cs="Times New Roman" w:eastAsia="Times New Roman" w:hint="default"/>
                <w:sz w:val="18"/>
                <w:szCs w:val="18"/>
              </w:rPr>
            </w:pPr>
            <w:r>
              <w:rPr>
                <w:rFonts w:ascii="Times New Roman"/>
                <w:sz w:val="18"/>
              </w:rPr>
              <w:t>658.79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74,026,</w:t>
            </w:r>
          </w:p>
          <w:p>
            <w:pPr>
              <w:pStyle w:val="TableParagraph"/>
              <w:spacing w:line="240" w:lineRule="auto" w:before="2"/>
              <w:ind w:left="95" w:right="0"/>
              <w:jc w:val="left"/>
              <w:rPr>
                <w:rFonts w:ascii="Times New Roman" w:hAnsi="Times New Roman" w:cs="Times New Roman" w:eastAsia="Times New Roman" w:hint="default"/>
                <w:sz w:val="18"/>
                <w:szCs w:val="18"/>
              </w:rPr>
            </w:pPr>
            <w:r>
              <w:rPr>
                <w:rFonts w:ascii="Times New Roman"/>
                <w:sz w:val="18"/>
              </w:rPr>
              <w:t>819.95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5,429,7</w:t>
            </w:r>
          </w:p>
          <w:p>
            <w:pPr>
              <w:pStyle w:val="TableParagraph"/>
              <w:spacing w:line="240" w:lineRule="auto" w:before="2"/>
              <w:ind w:left="166" w:right="0"/>
              <w:jc w:val="center"/>
              <w:rPr>
                <w:rFonts w:ascii="Times New Roman" w:hAnsi="Times New Roman" w:cs="Times New Roman" w:eastAsia="Times New Roman" w:hint="default"/>
                <w:sz w:val="18"/>
                <w:szCs w:val="18"/>
              </w:rPr>
            </w:pPr>
            <w:r>
              <w:rPr>
                <w:rFonts w:ascii="Times New Roman"/>
                <w:sz w:val="18"/>
              </w:rPr>
              <w:t>87.30</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79,456,</w:t>
            </w:r>
          </w:p>
          <w:p>
            <w:pPr>
              <w:pStyle w:val="TableParagraph"/>
              <w:spacing w:line="240" w:lineRule="auto" w:before="2"/>
              <w:ind w:left="96" w:right="0"/>
              <w:jc w:val="left"/>
              <w:rPr>
                <w:rFonts w:ascii="Times New Roman" w:hAnsi="Times New Roman" w:cs="Times New Roman" w:eastAsia="Times New Roman" w:hint="default"/>
                <w:sz w:val="18"/>
                <w:szCs w:val="18"/>
              </w:rPr>
            </w:pPr>
            <w:r>
              <w:rPr>
                <w:rFonts w:ascii="Times New Roman"/>
                <w:sz w:val="18"/>
              </w:rPr>
              <w:t>607.25</w:t>
            </w: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79,194,</w:t>
            </w:r>
          </w:p>
          <w:p>
            <w:pPr>
              <w:pStyle w:val="TableParagraph"/>
              <w:spacing w:line="240" w:lineRule="auto" w:before="2"/>
              <w:ind w:left="96" w:right="0"/>
              <w:jc w:val="left"/>
              <w:rPr>
                <w:rFonts w:ascii="Times New Roman" w:hAnsi="Times New Roman" w:cs="Times New Roman" w:eastAsia="Times New Roman" w:hint="default"/>
                <w:sz w:val="18"/>
                <w:szCs w:val="18"/>
              </w:rPr>
            </w:pPr>
            <w:r>
              <w:rPr>
                <w:rFonts w:ascii="Times New Roman"/>
                <w:sz w:val="18"/>
              </w:rPr>
              <w:t>442.06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7,877,2</w:t>
            </w:r>
          </w:p>
          <w:p>
            <w:pPr>
              <w:pStyle w:val="TableParagraph"/>
              <w:spacing w:line="240" w:lineRule="auto" w:before="2"/>
              <w:ind w:left="166" w:right="0"/>
              <w:jc w:val="center"/>
              <w:rPr>
                <w:rFonts w:ascii="Times New Roman" w:hAnsi="Times New Roman" w:cs="Times New Roman" w:eastAsia="Times New Roman" w:hint="default"/>
                <w:sz w:val="18"/>
                <w:szCs w:val="18"/>
              </w:rPr>
            </w:pPr>
            <w:r>
              <w:rPr>
                <w:rFonts w:ascii="Times New Roman"/>
                <w:sz w:val="18"/>
              </w:rPr>
              <w:t>16.73</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87,071,</w:t>
            </w:r>
          </w:p>
          <w:p>
            <w:pPr>
              <w:pStyle w:val="TableParagraph"/>
              <w:spacing w:line="240" w:lineRule="auto" w:before="2"/>
              <w:ind w:left="95" w:right="0"/>
              <w:jc w:val="left"/>
              <w:rPr>
                <w:rFonts w:ascii="Times New Roman" w:hAnsi="Times New Roman" w:cs="Times New Roman" w:eastAsia="Times New Roman" w:hint="default"/>
                <w:sz w:val="18"/>
                <w:szCs w:val="18"/>
              </w:rPr>
            </w:pPr>
            <w:r>
              <w:rPr>
                <w:rFonts w:ascii="Times New Roman"/>
                <w:sz w:val="18"/>
              </w:rPr>
              <w:t>658.79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74,026,</w:t>
            </w:r>
          </w:p>
          <w:p>
            <w:pPr>
              <w:pStyle w:val="TableParagraph"/>
              <w:spacing w:line="240" w:lineRule="auto" w:before="2"/>
              <w:ind w:left="95" w:right="0"/>
              <w:jc w:val="left"/>
              <w:rPr>
                <w:rFonts w:ascii="Times New Roman" w:hAnsi="Times New Roman" w:cs="Times New Roman" w:eastAsia="Times New Roman" w:hint="default"/>
                <w:sz w:val="18"/>
                <w:szCs w:val="18"/>
              </w:rPr>
            </w:pPr>
            <w:r>
              <w:rPr>
                <w:rFonts w:ascii="Times New Roman"/>
                <w:sz w:val="18"/>
              </w:rPr>
              <w:t>819.95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5,429,7</w:t>
            </w:r>
          </w:p>
          <w:p>
            <w:pPr>
              <w:pStyle w:val="TableParagraph"/>
              <w:spacing w:line="240" w:lineRule="auto" w:before="2"/>
              <w:ind w:left="166" w:right="0"/>
              <w:jc w:val="center"/>
              <w:rPr>
                <w:rFonts w:ascii="Times New Roman" w:hAnsi="Times New Roman" w:cs="Times New Roman" w:eastAsia="Times New Roman" w:hint="default"/>
                <w:sz w:val="18"/>
                <w:szCs w:val="18"/>
              </w:rPr>
            </w:pPr>
            <w:r>
              <w:rPr>
                <w:rFonts w:ascii="Times New Roman"/>
                <w:sz w:val="18"/>
              </w:rPr>
              <w:t>87.30</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79,456,</w:t>
            </w:r>
          </w:p>
          <w:p>
            <w:pPr>
              <w:pStyle w:val="TableParagraph"/>
              <w:spacing w:line="240" w:lineRule="auto" w:before="2"/>
              <w:ind w:left="96" w:right="0"/>
              <w:jc w:val="left"/>
              <w:rPr>
                <w:rFonts w:ascii="Times New Roman" w:hAnsi="Times New Roman" w:cs="Times New Roman" w:eastAsia="Times New Roman" w:hint="default"/>
                <w:sz w:val="18"/>
                <w:szCs w:val="18"/>
              </w:rPr>
            </w:pPr>
            <w:r>
              <w:rPr>
                <w:rFonts w:ascii="Times New Roman"/>
                <w:sz w:val="18"/>
              </w:rPr>
              <w:t>607.25</w:t>
            </w:r>
          </w:p>
        </w:tc>
      </w:tr>
      <w:tr>
        <w:trPr>
          <w:trHeight w:val="370" w:hRule="exact"/>
        </w:trPr>
        <w:tc>
          <w:tcPr>
            <w:tcW w:w="2211"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vMerge/>
            <w:tcBorders>
              <w:left w:val="single" w:sz="13" w:space="0" w:color="DCDCDC"/>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5"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5"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c>
          <w:tcPr>
            <w:tcW w:w="624" w:type="dxa"/>
            <w:vMerge/>
            <w:tcBorders>
              <w:left w:val="single" w:sz="4" w:space="0" w:color="000000"/>
              <w:bottom w:val="single" w:sz="4" w:space="0" w:color="FFFFFF"/>
              <w:right w:val="single" w:sz="4" w:space="0" w:color="000000"/>
            </w:tcBorders>
          </w:tcPr>
          <w:p>
            <w:pPr/>
          </w:p>
        </w:tc>
      </w:tr>
      <w:tr>
        <w:trPr>
          <w:trHeight w:val="590" w:hRule="exact"/>
        </w:trPr>
        <w:tc>
          <w:tcPr>
            <w:tcW w:w="2211"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32" w:lineRule="exact" w:before="30"/>
              <w:ind w:left="23" w:right="21"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FFFFFF"/>
              <w:left w:val="single" w:sz="13" w:space="0" w:color="DCDCDC"/>
              <w:bottom w:val="single" w:sz="4" w:space="0" w:color="000000"/>
              <w:right w:val="single" w:sz="4" w:space="0" w:color="000000"/>
            </w:tcBorders>
          </w:tcPr>
          <w:p>
            <w:pPr>
              <w:pStyle w:val="TableParagraph"/>
              <w:spacing w:line="207" w:lineRule="exact" w:before="57"/>
              <w:ind w:left="38" w:right="0"/>
              <w:jc w:val="left"/>
              <w:rPr>
                <w:rFonts w:ascii="Times New Roman" w:hAnsi="Times New Roman" w:cs="Times New Roman" w:eastAsia="Times New Roman" w:hint="default"/>
                <w:sz w:val="18"/>
                <w:szCs w:val="18"/>
              </w:rPr>
            </w:pPr>
            <w:r>
              <w:rPr>
                <w:rFonts w:ascii="Times New Roman"/>
                <w:sz w:val="18"/>
              </w:rPr>
              <w:t>14,124,</w:t>
            </w:r>
          </w:p>
          <w:p>
            <w:pPr>
              <w:pStyle w:val="TableParagraph"/>
              <w:spacing w:line="207" w:lineRule="exact"/>
              <w:ind w:left="83" w:right="0"/>
              <w:jc w:val="left"/>
              <w:rPr>
                <w:rFonts w:ascii="Times New Roman" w:hAnsi="Times New Roman" w:cs="Times New Roman" w:eastAsia="Times New Roman" w:hint="default"/>
                <w:sz w:val="18"/>
                <w:szCs w:val="18"/>
              </w:rPr>
            </w:pPr>
            <w:r>
              <w:rPr>
                <w:rFonts w:ascii="Times New Roman"/>
                <w:sz w:val="18"/>
              </w:rPr>
              <w:t>172.00</w:t>
            </w: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161" w:lineRule="exact"/>
              <w:ind w:right="23"/>
              <w:jc w:val="right"/>
              <w:rPr>
                <w:rFonts w:ascii="Times New Roman" w:hAnsi="Times New Roman" w:cs="Times New Roman" w:eastAsia="Times New Roman" w:hint="default"/>
                <w:sz w:val="18"/>
                <w:szCs w:val="18"/>
              </w:rPr>
            </w:pPr>
            <w:r>
              <w:rPr>
                <w:rFonts w:ascii="Times New Roman"/>
                <w:spacing w:val="-1"/>
                <w:sz w:val="18"/>
              </w:rPr>
              <w:t>330,98</w:t>
            </w:r>
            <w:r>
              <w:rPr>
                <w:rFonts w:ascii="Times New Roman"/>
                <w:sz w:val="18"/>
              </w:rPr>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4,442.5</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3</w:t>
            </w:r>
          </w:p>
        </w:tc>
        <w:tc>
          <w:tcPr>
            <w:tcW w:w="625"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57"/>
              <w:ind w:left="31" w:right="0"/>
              <w:jc w:val="center"/>
              <w:rPr>
                <w:rFonts w:ascii="Times New Roman" w:hAnsi="Times New Roman" w:cs="Times New Roman" w:eastAsia="Times New Roman" w:hint="default"/>
                <w:sz w:val="18"/>
                <w:szCs w:val="18"/>
              </w:rPr>
            </w:pPr>
            <w:r>
              <w:rPr>
                <w:rFonts w:ascii="Times New Roman"/>
                <w:sz w:val="18"/>
              </w:rPr>
              <w:t>4,275,0</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161" w:lineRule="exact"/>
              <w:ind w:right="21"/>
              <w:jc w:val="right"/>
              <w:rPr>
                <w:rFonts w:ascii="Times New Roman" w:hAnsi="Times New Roman" w:cs="Times New Roman" w:eastAsia="Times New Roman" w:hint="default"/>
                <w:sz w:val="18"/>
                <w:szCs w:val="18"/>
              </w:rPr>
            </w:pPr>
            <w:r>
              <w:rPr>
                <w:rFonts w:ascii="Times New Roman"/>
                <w:spacing w:val="-1"/>
                <w:sz w:val="18"/>
              </w:rPr>
              <w:t>349,38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3,614.5</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5"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57"/>
              <w:ind w:left="31"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00.00</w:t>
            </w:r>
          </w:p>
        </w:tc>
        <w:tc>
          <w:tcPr>
            <w:tcW w:w="624"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57"/>
              <w:ind w:left="26"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00.00</w:t>
            </w:r>
          </w:p>
        </w:tc>
      </w:tr>
      <w:tr>
        <w:trPr>
          <w:trHeight w:val="199"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07" w:lineRule="exact" w:before="98"/>
              <w:ind w:left="43" w:right="0"/>
              <w:jc w:val="left"/>
              <w:rPr>
                <w:rFonts w:ascii="Times New Roman" w:hAnsi="Times New Roman" w:cs="Times New Roman" w:eastAsia="Times New Roman" w:hint="default"/>
                <w:sz w:val="18"/>
                <w:szCs w:val="18"/>
              </w:rPr>
            </w:pPr>
            <w:r>
              <w:rPr>
                <w:rFonts w:ascii="Times New Roman"/>
                <w:sz w:val="18"/>
              </w:rPr>
              <w:t>14,124,</w:t>
            </w: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172.00</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330,98</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4,442.5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98"/>
              <w:ind w:left="31" w:right="0"/>
              <w:jc w:val="center"/>
              <w:rPr>
                <w:rFonts w:ascii="Times New Roman" w:hAnsi="Times New Roman" w:cs="Times New Roman" w:eastAsia="Times New Roman" w:hint="default"/>
                <w:sz w:val="18"/>
                <w:szCs w:val="18"/>
              </w:rPr>
            </w:pPr>
            <w:r>
              <w:rPr>
                <w:rFonts w:ascii="Times New Roman"/>
                <w:sz w:val="18"/>
              </w:rPr>
              <w:t>4,275,0</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00.00</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349,38</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3,614.5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98"/>
              <w:ind w:left="31"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00.00</w:t>
            </w:r>
          </w:p>
        </w:tc>
        <w:tc>
          <w:tcPr>
            <w:tcW w:w="624" w:type="dxa"/>
            <w:vMerge w:val="restart"/>
            <w:tcBorders>
              <w:top w:val="single" w:sz="4" w:space="0" w:color="000000"/>
              <w:left w:val="single" w:sz="4" w:space="0" w:color="000000"/>
              <w:right w:val="single" w:sz="4" w:space="0" w:color="000000"/>
            </w:tcBorders>
          </w:tcPr>
          <w:p>
            <w:pPr>
              <w:pStyle w:val="TableParagraph"/>
              <w:spacing w:line="207" w:lineRule="exact" w:before="98"/>
              <w:ind w:left="26" w:right="0"/>
              <w:jc w:val="center"/>
              <w:rPr>
                <w:rFonts w:ascii="Times New Roman" w:hAnsi="Times New Roman" w:cs="Times New Roman" w:eastAsia="Times New Roman" w:hint="default"/>
                <w:sz w:val="18"/>
                <w:szCs w:val="18"/>
              </w:rPr>
            </w:pPr>
            <w:r>
              <w:rPr>
                <w:rFonts w:ascii="Times New Roman"/>
                <w:sz w:val="18"/>
              </w:rPr>
              <w:t>5,500,0</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00.00</w:t>
            </w:r>
          </w:p>
        </w:tc>
      </w:tr>
      <w:tr>
        <w:trPr>
          <w:trHeight w:val="233" w:hRule="exact"/>
        </w:trPr>
        <w:tc>
          <w:tcPr>
            <w:tcW w:w="22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0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7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center"/>
              <w:rPr>
                <w:rFonts w:ascii="Times New Roman" w:hAnsi="Times New Roman" w:cs="Times New Roman" w:eastAsia="Times New Roman" w:hint="default"/>
                <w:sz w:val="18"/>
                <w:szCs w:val="18"/>
              </w:rPr>
            </w:pPr>
            <w:r>
              <w:rPr>
                <w:rFonts w:ascii="Times New Roman"/>
                <w:sz w:val="18"/>
              </w:rPr>
              <w:t>8,742,5</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60.36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6" w:right="0"/>
              <w:jc w:val="left"/>
              <w:rPr>
                <w:rFonts w:ascii="Times New Roman" w:hAnsi="Times New Roman" w:cs="Times New Roman" w:eastAsia="Times New Roman" w:hint="default"/>
                <w:sz w:val="18"/>
                <w:szCs w:val="18"/>
              </w:rPr>
            </w:pPr>
            <w:r>
              <w:rPr>
                <w:rFonts w:ascii="Times New Roman"/>
                <w:sz w:val="18"/>
              </w:rPr>
              <w:t>-41,742</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,560.36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84" w:right="0"/>
              <w:jc w:val="left"/>
              <w:rPr>
                <w:rFonts w:ascii="Times New Roman" w:hAnsi="Times New Roman" w:cs="Times New Roman" w:eastAsia="Times New Roman" w:hint="default"/>
                <w:sz w:val="18"/>
                <w:szCs w:val="18"/>
              </w:rPr>
            </w:pPr>
            <w:r>
              <w:rPr>
                <w:rFonts w:ascii="Times New Roman"/>
                <w:sz w:val="18"/>
              </w:rPr>
              <w:t>-4,886,</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808.57</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5" w:right="0"/>
              <w:jc w:val="left"/>
              <w:rPr>
                <w:rFonts w:ascii="Times New Roman" w:hAnsi="Times New Roman" w:cs="Times New Roman" w:eastAsia="Times New Roman" w:hint="default"/>
                <w:sz w:val="18"/>
                <w:szCs w:val="18"/>
              </w:rPr>
            </w:pPr>
            <w:r>
              <w:rPr>
                <w:rFonts w:ascii="Times New Roman"/>
                <w:sz w:val="18"/>
              </w:rPr>
              <w:t>-37,886</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,808.57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11,424,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763.27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5" w:right="0"/>
              <w:jc w:val="left"/>
              <w:rPr>
                <w:rFonts w:ascii="Times New Roman" w:hAnsi="Times New Roman" w:cs="Times New Roman" w:eastAsia="Times New Roman" w:hint="default"/>
                <w:sz w:val="18"/>
                <w:szCs w:val="18"/>
              </w:rPr>
            </w:pPr>
            <w:r>
              <w:rPr>
                <w:rFonts w:ascii="Times New Roman"/>
                <w:sz w:val="18"/>
              </w:rPr>
              <w:t>-41,124</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,763.27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84" w:right="0"/>
              <w:jc w:val="left"/>
              <w:rPr>
                <w:rFonts w:ascii="Times New Roman" w:hAnsi="Times New Roman" w:cs="Times New Roman" w:eastAsia="Times New Roman" w:hint="default"/>
                <w:sz w:val="18"/>
                <w:szCs w:val="18"/>
              </w:rPr>
            </w:pPr>
            <w:r>
              <w:rPr>
                <w:rFonts w:ascii="Times New Roman"/>
                <w:sz w:val="18"/>
              </w:rPr>
              <w:t>-7,136,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426.11</w:t>
            </w:r>
          </w:p>
        </w:tc>
        <w:tc>
          <w:tcPr>
            <w:tcW w:w="624" w:type="dxa"/>
            <w:vMerge w:val="restart"/>
            <w:tcBorders>
              <w:top w:val="single" w:sz="4" w:space="0" w:color="000000"/>
              <w:left w:val="single" w:sz="4" w:space="0" w:color="000000"/>
              <w:right w:val="single" w:sz="4" w:space="0" w:color="000000"/>
            </w:tcBorders>
          </w:tcPr>
          <w:p>
            <w:pPr>
              <w:pStyle w:val="TableParagraph"/>
              <w:spacing w:line="202" w:lineRule="exact"/>
              <w:ind w:left="36" w:right="0"/>
              <w:jc w:val="left"/>
              <w:rPr>
                <w:rFonts w:ascii="Times New Roman" w:hAnsi="Times New Roman" w:cs="Times New Roman" w:eastAsia="Times New Roman" w:hint="default"/>
                <w:sz w:val="18"/>
                <w:szCs w:val="18"/>
              </w:rPr>
            </w:pPr>
            <w:r>
              <w:rPr>
                <w:rFonts w:ascii="Times New Roman"/>
                <w:sz w:val="18"/>
              </w:rPr>
              <w:t>-36,836</w:t>
            </w:r>
          </w:p>
          <w:p>
            <w:pPr>
              <w:pStyle w:val="TableParagraph"/>
              <w:spacing w:line="207" w:lineRule="exact"/>
              <w:ind w:left="57" w:right="0"/>
              <w:jc w:val="left"/>
              <w:rPr>
                <w:rFonts w:ascii="Times New Roman" w:hAnsi="Times New Roman" w:cs="Times New Roman" w:eastAsia="Times New Roman" w:hint="default"/>
                <w:sz w:val="18"/>
                <w:szCs w:val="18"/>
              </w:rPr>
            </w:pPr>
            <w:r>
              <w:rPr>
                <w:rFonts w:ascii="Times New Roman"/>
                <w:sz w:val="18"/>
              </w:rPr>
              <w:t>,426.11</w:t>
            </w: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40" w:footer="1100" w:top="1160" w:bottom="12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2211"/>
        <w:gridCol w:w="624"/>
        <w:gridCol w:w="624"/>
        <w:gridCol w:w="625"/>
        <w:gridCol w:w="624"/>
        <w:gridCol w:w="624"/>
        <w:gridCol w:w="624"/>
        <w:gridCol w:w="624"/>
        <w:gridCol w:w="624"/>
        <w:gridCol w:w="624"/>
        <w:gridCol w:w="624"/>
        <w:gridCol w:w="624"/>
        <w:gridCol w:w="624"/>
        <w:gridCol w:w="624"/>
        <w:gridCol w:w="624"/>
        <w:gridCol w:w="625"/>
        <w:gridCol w:w="624"/>
        <w:gridCol w:w="624"/>
        <w:gridCol w:w="624"/>
        <w:gridCol w:w="624"/>
        <w:gridCol w:w="624"/>
      </w:tblGrid>
      <w:tr>
        <w:trPr>
          <w:trHeight w:val="4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center"/>
              <w:rPr>
                <w:rFonts w:ascii="Times New Roman" w:hAnsi="Times New Roman" w:cs="Times New Roman" w:eastAsia="Times New Roman" w:hint="default"/>
                <w:sz w:val="18"/>
                <w:szCs w:val="18"/>
              </w:rPr>
            </w:pPr>
            <w:r>
              <w:rPr>
                <w:rFonts w:ascii="Times New Roman"/>
                <w:sz w:val="18"/>
              </w:rPr>
              <w:t>8,742,5</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60.36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1" w:right="0"/>
              <w:jc w:val="left"/>
              <w:rPr>
                <w:rFonts w:ascii="Times New Roman" w:hAnsi="Times New Roman" w:cs="Times New Roman" w:eastAsia="Times New Roman" w:hint="default"/>
                <w:sz w:val="18"/>
                <w:szCs w:val="18"/>
              </w:rPr>
            </w:pPr>
            <w:r>
              <w:rPr>
                <w:rFonts w:ascii="Times New Roman"/>
                <w:sz w:val="18"/>
              </w:rPr>
              <w:t>-8,742,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560.36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11,424,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763.27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3" w:right="0"/>
              <w:jc w:val="left"/>
              <w:rPr>
                <w:rFonts w:ascii="Times New Roman" w:hAnsi="Times New Roman" w:cs="Times New Roman" w:eastAsia="Times New Roman" w:hint="default"/>
                <w:sz w:val="18"/>
                <w:szCs w:val="18"/>
              </w:rPr>
            </w:pPr>
            <w:r>
              <w:rPr>
                <w:rFonts w:ascii="Times New Roman"/>
                <w:sz w:val="18"/>
              </w:rPr>
              <w:t>-11,424</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,763.27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6" w:right="0"/>
              <w:jc w:val="left"/>
              <w:rPr>
                <w:rFonts w:ascii="Times New Roman" w:hAnsi="Times New Roman" w:cs="Times New Roman" w:eastAsia="Times New Roman" w:hint="default"/>
                <w:sz w:val="18"/>
                <w:szCs w:val="18"/>
              </w:rPr>
            </w:pPr>
            <w:r>
              <w:rPr>
                <w:rFonts w:ascii="Times New Roman"/>
                <w:sz w:val="18"/>
              </w:rPr>
              <w:t>-33,000</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84" w:right="0"/>
              <w:jc w:val="left"/>
              <w:rPr>
                <w:rFonts w:ascii="Times New Roman" w:hAnsi="Times New Roman" w:cs="Times New Roman" w:eastAsia="Times New Roman" w:hint="default"/>
                <w:sz w:val="18"/>
                <w:szCs w:val="18"/>
              </w:rPr>
            </w:pPr>
            <w:r>
              <w:rPr>
                <w:rFonts w:ascii="Times New Roman"/>
                <w:sz w:val="18"/>
              </w:rPr>
              <w:t>-4,886,</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808.57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5" w:right="0"/>
              <w:jc w:val="left"/>
              <w:rPr>
                <w:rFonts w:ascii="Times New Roman" w:hAnsi="Times New Roman" w:cs="Times New Roman" w:eastAsia="Times New Roman" w:hint="default"/>
                <w:sz w:val="18"/>
                <w:szCs w:val="18"/>
              </w:rPr>
            </w:pPr>
            <w:r>
              <w:rPr>
                <w:rFonts w:ascii="Times New Roman"/>
                <w:sz w:val="18"/>
              </w:rPr>
              <w:t>-37,886</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,808.57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5" w:right="0"/>
              <w:jc w:val="left"/>
              <w:rPr>
                <w:rFonts w:ascii="Times New Roman" w:hAnsi="Times New Roman" w:cs="Times New Roman" w:eastAsia="Times New Roman" w:hint="default"/>
                <w:sz w:val="18"/>
                <w:szCs w:val="18"/>
              </w:rPr>
            </w:pPr>
            <w:r>
              <w:rPr>
                <w:rFonts w:ascii="Times New Roman"/>
                <w:sz w:val="18"/>
              </w:rPr>
              <w:t>-29,700</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84" w:right="0"/>
              <w:jc w:val="left"/>
              <w:rPr>
                <w:rFonts w:ascii="Times New Roman" w:hAnsi="Times New Roman" w:cs="Times New Roman" w:eastAsia="Times New Roman" w:hint="default"/>
                <w:sz w:val="18"/>
                <w:szCs w:val="18"/>
              </w:rPr>
            </w:pPr>
            <w:r>
              <w:rPr>
                <w:rFonts w:ascii="Times New Roman"/>
                <w:sz w:val="18"/>
              </w:rPr>
              <w:t>-7,136,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426.11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6" w:right="0"/>
              <w:jc w:val="left"/>
              <w:rPr>
                <w:rFonts w:ascii="Times New Roman" w:hAnsi="Times New Roman" w:cs="Times New Roman" w:eastAsia="Times New Roman" w:hint="default"/>
                <w:sz w:val="18"/>
                <w:szCs w:val="18"/>
              </w:rPr>
            </w:pPr>
            <w:r>
              <w:rPr>
                <w:rFonts w:ascii="Times New Roman"/>
                <w:sz w:val="18"/>
              </w:rPr>
              <w:t>-36,836</w:t>
            </w:r>
          </w:p>
          <w:p>
            <w:pPr>
              <w:pStyle w:val="TableParagraph"/>
              <w:spacing w:line="207" w:lineRule="exact"/>
              <w:ind w:left="57" w:right="0"/>
              <w:jc w:val="left"/>
              <w:rPr>
                <w:rFonts w:ascii="Times New Roman" w:hAnsi="Times New Roman" w:cs="Times New Roman" w:eastAsia="Times New Roman" w:hint="default"/>
                <w:sz w:val="18"/>
                <w:szCs w:val="18"/>
              </w:rPr>
            </w:pPr>
            <w:r>
              <w:rPr>
                <w:rFonts w:ascii="Times New Roman"/>
                <w:sz w:val="18"/>
              </w:rPr>
              <w:t>,426.11</w:t>
            </w: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124,12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4,172.0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579,51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6,203.7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63,206,</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829.92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197,43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7,212.6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2" w:right="0"/>
              <w:jc w:val="left"/>
              <w:rPr>
                <w:rFonts w:ascii="Times New Roman" w:hAnsi="Times New Roman" w:cs="Times New Roman" w:eastAsia="Times New Roman" w:hint="default"/>
                <w:sz w:val="18"/>
                <w:szCs w:val="18"/>
              </w:rPr>
            </w:pPr>
            <w:r>
              <w:rPr>
                <w:rFonts w:ascii="Times New Roman"/>
                <w:sz w:val="18"/>
              </w:rPr>
              <w:t>46,347,</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392.00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1,010,6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31,810.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2"/>
                <w:sz w:val="18"/>
              </w:rPr>
              <w:t>110,00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248,53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1,761.1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54,464,</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269.56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159,98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5,330.9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2" w:right="0"/>
              <w:jc w:val="left"/>
              <w:rPr>
                <w:rFonts w:ascii="Times New Roman" w:hAnsi="Times New Roman" w:cs="Times New Roman" w:eastAsia="Times New Roman" w:hint="default"/>
                <w:sz w:val="18"/>
                <w:szCs w:val="18"/>
              </w:rPr>
            </w:pPr>
            <w:r>
              <w:rPr>
                <w:rFonts w:ascii="Times New Roman"/>
                <w:sz w:val="18"/>
              </w:rPr>
              <w:t>39,081,</w:t>
            </w:r>
          </w:p>
          <w:p>
            <w:pPr>
              <w:pStyle w:val="TableParagraph"/>
              <w:spacing w:line="207" w:lineRule="exact"/>
              <w:ind w:left="98" w:right="0"/>
              <w:jc w:val="left"/>
              <w:rPr>
                <w:rFonts w:ascii="Times New Roman" w:hAnsi="Times New Roman" w:cs="Times New Roman" w:eastAsia="Times New Roman" w:hint="default"/>
                <w:sz w:val="18"/>
                <w:szCs w:val="18"/>
              </w:rPr>
            </w:pPr>
            <w:r>
              <w:rPr>
                <w:rFonts w:ascii="Times New Roman"/>
                <w:sz w:val="18"/>
              </w:rPr>
              <w:t>983.84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612,06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3,345.5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07" w:lineRule="exact"/>
        <w:jc w:val="right"/>
        <w:rPr>
          <w:rFonts w:ascii="Times New Roman" w:hAnsi="Times New Roman" w:cs="Times New Roman" w:eastAsia="Times New Roman" w:hint="default"/>
          <w:sz w:val="18"/>
          <w:szCs w:val="18"/>
        </w:rPr>
        <w:sectPr>
          <w:footerReference w:type="default" r:id="rId25"/>
          <w:pgSz w:w="16840" w:h="11910" w:orient="landscape"/>
          <w:pgMar w:footer="1100" w:header="840" w:top="1160" w:bottom="1280" w:left="1300" w:right="0"/>
          <w:pgNumType w:start="52"/>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2"/>
        <w:spacing w:line="240" w:lineRule="auto" w:before="26"/>
        <w:ind w:left="0" w:right="946"/>
        <w:jc w:val="center"/>
        <w:rPr>
          <w:rFonts w:ascii="宋体" w:hAnsi="宋体" w:cs="宋体" w:eastAsia="宋体" w:hint="default"/>
          <w:b w:val="0"/>
          <w:bCs w:val="0"/>
        </w:rPr>
      </w:pPr>
      <w:r>
        <w:rPr>
          <w:rFonts w:ascii="宋体" w:hAnsi="宋体" w:cs="宋体" w:eastAsia="宋体" w:hint="default"/>
        </w:rPr>
        <w:t>母公司所有者权益变动表</w:t>
      </w:r>
      <w:r>
        <w:rPr>
          <w:rFonts w:ascii="宋体" w:hAnsi="宋体" w:cs="宋体" w:eastAsia="宋体" w:hint="default"/>
          <w:b w:val="0"/>
          <w:bCs w:val="0"/>
        </w:rPr>
      </w:r>
    </w:p>
    <w:p>
      <w:pPr>
        <w:spacing w:line="282" w:lineRule="exact" w:before="1"/>
        <w:ind w:left="0" w:right="943"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3441" w:val="left" w:leader="none"/>
        </w:tabs>
        <w:spacing w:line="266" w:lineRule="exact" w:before="0"/>
        <w:ind w:left="0" w:right="971" w:firstLine="0"/>
        <w:jc w:val="center"/>
        <w:rPr>
          <w:rFonts w:ascii="宋体" w:hAnsi="宋体" w:cs="宋体" w:eastAsia="宋体" w:hint="default"/>
          <w:sz w:val="21"/>
          <w:szCs w:val="21"/>
        </w:rPr>
      </w:pPr>
      <w:r>
        <w:rPr>
          <w:rFonts w:ascii="宋体" w:hAnsi="宋体" w:cs="宋体" w:eastAsia="宋体" w:hint="default"/>
          <w:spacing w:val="-2"/>
          <w:sz w:val="21"/>
          <w:szCs w:val="21"/>
        </w:rPr>
        <w:t>编制单位：东港安全印刷股份有限公司</w:t>
        <w:tab/>
      </w: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245" w:hRule="exact"/>
        </w:trPr>
        <w:tc>
          <w:tcPr>
            <w:tcW w:w="2211"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20"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ind w:left="203" w:right="115"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ind w:left="203" w:right="115"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6" w:hRule="exact"/>
        </w:trPr>
        <w:tc>
          <w:tcPr>
            <w:tcW w:w="2211" w:type="dxa"/>
            <w:vMerge w:val="restart"/>
            <w:tcBorders>
              <w:top w:val="nil" w:sz="6" w:space="0" w:color="auto"/>
              <w:left w:val="single" w:sz="4" w:space="0" w:color="000000"/>
              <w:right w:val="single" w:sz="4" w:space="0" w:color="000000"/>
            </w:tcBorders>
            <w:shd w:val="clear" w:color="auto" w:fill="DCDCDC"/>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12" w:right="0" w:hanging="89"/>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益合计</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12" w:right="0" w:hanging="89"/>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13"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22"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38"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07" w:lineRule="exact"/>
              <w:ind w:left="328"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247,186,7</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63.62</w:t>
            </w:r>
          </w:p>
        </w:tc>
        <w:tc>
          <w:tcPr>
            <w:tcW w:w="781" w:type="dxa"/>
            <w:vMerge w:val="restart"/>
            <w:tcBorders>
              <w:top w:val="single" w:sz="51" w:space="0" w:color="DCDCDC"/>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54,464,26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9.56</w:t>
            </w:r>
          </w:p>
        </w:tc>
        <w:tc>
          <w:tcPr>
            <w:tcW w:w="780" w:type="dxa"/>
            <w:vMerge w:val="restart"/>
            <w:tcBorders>
              <w:top w:val="single" w:sz="51" w:space="0" w:color="DCDCDC"/>
              <w:left w:val="single" w:sz="4" w:space="0" w:color="000000"/>
              <w:right w:val="single" w:sz="4" w:space="0" w:color="000000"/>
            </w:tcBorders>
          </w:tcPr>
          <w:p>
            <w:pPr/>
          </w:p>
        </w:tc>
        <w:tc>
          <w:tcPr>
            <w:tcW w:w="780" w:type="dxa"/>
            <w:vMerge w:val="restart"/>
            <w:tcBorders>
              <w:top w:val="single" w:sz="51" w:space="0" w:color="DCDCDC"/>
              <w:left w:val="single" w:sz="4" w:space="0" w:color="000000"/>
              <w:right w:val="single" w:sz="4" w:space="0" w:color="000000"/>
            </w:tcBorders>
          </w:tcPr>
          <w:p>
            <w:pPr>
              <w:pStyle w:val="TableParagraph"/>
              <w:spacing w:line="144" w:lineRule="exact"/>
              <w:ind w:left="33" w:right="0"/>
              <w:jc w:val="left"/>
              <w:rPr>
                <w:rFonts w:ascii="Times New Roman" w:hAnsi="Times New Roman" w:cs="Times New Roman" w:eastAsia="Times New Roman" w:hint="default"/>
                <w:sz w:val="18"/>
                <w:szCs w:val="18"/>
              </w:rPr>
            </w:pPr>
            <w:r>
              <w:rPr>
                <w:rFonts w:ascii="Times New Roman"/>
                <w:sz w:val="18"/>
              </w:rPr>
              <w:t>116,862,5</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22.24</w:t>
            </w:r>
          </w:p>
        </w:tc>
        <w:tc>
          <w:tcPr>
            <w:tcW w:w="780" w:type="dxa"/>
            <w:vMerge w:val="restart"/>
            <w:tcBorders>
              <w:top w:val="single" w:sz="51" w:space="0" w:color="DCDCDC"/>
              <w:left w:val="single" w:sz="4" w:space="0" w:color="000000"/>
              <w:right w:val="single" w:sz="4" w:space="0" w:color="000000"/>
            </w:tcBorders>
          </w:tcPr>
          <w:p>
            <w:pPr>
              <w:pStyle w:val="TableParagraph"/>
              <w:spacing w:line="144" w:lineRule="exact"/>
              <w:ind w:left="26" w:right="0"/>
              <w:jc w:val="left"/>
              <w:rPr>
                <w:rFonts w:ascii="Times New Roman" w:hAnsi="Times New Roman" w:cs="Times New Roman" w:eastAsia="Times New Roman" w:hint="default"/>
                <w:sz w:val="18"/>
                <w:szCs w:val="18"/>
              </w:rPr>
            </w:pPr>
            <w:r>
              <w:rPr>
                <w:rFonts w:ascii="Times New Roman"/>
                <w:sz w:val="18"/>
              </w:rPr>
              <w:t>528,513,5</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55.42</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247,186,7</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63.62</w:t>
            </w:r>
          </w:p>
        </w:tc>
        <w:tc>
          <w:tcPr>
            <w:tcW w:w="780" w:type="dxa"/>
            <w:vMerge w:val="restart"/>
            <w:tcBorders>
              <w:top w:val="single" w:sz="51" w:space="0" w:color="DCDCDC"/>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43,039,50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6.29</w:t>
            </w:r>
          </w:p>
        </w:tc>
        <w:tc>
          <w:tcPr>
            <w:tcW w:w="780" w:type="dxa"/>
            <w:vMerge w:val="restart"/>
            <w:tcBorders>
              <w:top w:val="single" w:sz="51" w:space="0" w:color="DCDCDC"/>
              <w:left w:val="single" w:sz="4" w:space="0" w:color="000000"/>
              <w:right w:val="single" w:sz="4" w:space="0" w:color="000000"/>
            </w:tcBorders>
          </w:tcPr>
          <w:p>
            <w:pPr/>
          </w:p>
        </w:tc>
        <w:tc>
          <w:tcPr>
            <w:tcW w:w="780" w:type="dxa"/>
            <w:vMerge w:val="restart"/>
            <w:tcBorders>
              <w:top w:val="single" w:sz="51" w:space="0" w:color="DCDCDC"/>
              <w:left w:val="single" w:sz="4" w:space="0" w:color="000000"/>
              <w:right w:val="single" w:sz="4" w:space="0" w:color="000000"/>
            </w:tcBorders>
          </w:tcPr>
          <w:p>
            <w:pPr>
              <w:pStyle w:val="TableParagraph"/>
              <w:spacing w:line="144" w:lineRule="exact"/>
              <w:ind w:left="26" w:right="0"/>
              <w:jc w:val="left"/>
              <w:rPr>
                <w:rFonts w:ascii="Times New Roman" w:hAnsi="Times New Roman" w:cs="Times New Roman" w:eastAsia="Times New Roman" w:hint="default"/>
                <w:sz w:val="18"/>
                <w:szCs w:val="18"/>
              </w:rPr>
            </w:pPr>
            <w:r>
              <w:rPr>
                <w:rFonts w:ascii="Times New Roman"/>
                <w:sz w:val="18"/>
              </w:rPr>
              <w:t>81,822,19</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7.07</w:t>
            </w:r>
          </w:p>
        </w:tc>
        <w:tc>
          <w:tcPr>
            <w:tcW w:w="780" w:type="dxa"/>
            <w:vMerge w:val="restart"/>
            <w:tcBorders>
              <w:top w:val="single" w:sz="51" w:space="0" w:color="DCDCDC"/>
              <w:left w:val="single" w:sz="4" w:space="0" w:color="000000"/>
              <w:right w:val="single" w:sz="4" w:space="0" w:color="000000"/>
            </w:tcBorders>
          </w:tcPr>
          <w:p>
            <w:pPr>
              <w:pStyle w:val="TableParagraph"/>
              <w:spacing w:line="144" w:lineRule="exact"/>
              <w:ind w:left="26" w:right="0"/>
              <w:jc w:val="left"/>
              <w:rPr>
                <w:rFonts w:ascii="Times New Roman" w:hAnsi="Times New Roman" w:cs="Times New Roman" w:eastAsia="Times New Roman" w:hint="default"/>
                <w:sz w:val="18"/>
                <w:szCs w:val="18"/>
              </w:rPr>
            </w:pPr>
            <w:r>
              <w:rPr>
                <w:rFonts w:ascii="Times New Roman"/>
                <w:sz w:val="18"/>
              </w:rPr>
              <w:t>482,048,4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66.98</w:t>
            </w:r>
          </w:p>
        </w:tc>
      </w:tr>
      <w:tr>
        <w:trPr>
          <w:trHeight w:val="327"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07" w:lineRule="exact"/>
              <w:ind w:left="328"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247,186,7</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63.62</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54,464,26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9.56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116,862,5</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22.24</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528,513,5</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55.42</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247,186,7</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63.62</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43,039,50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6.29</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81,822,19</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7.07</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482,048,4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66.98</w:t>
            </w:r>
          </w:p>
        </w:tc>
      </w:tr>
      <w:tr>
        <w:trPr>
          <w:trHeight w:val="326"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三、本年增减变动金额（减</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13" w:space="0" w:color="DCDCDC"/>
              <w:bottom w:val="single" w:sz="4" w:space="0" w:color="000000"/>
              <w:right w:val="single" w:sz="4" w:space="0" w:color="000000"/>
            </w:tcBorders>
          </w:tcPr>
          <w:p>
            <w:pPr>
              <w:pStyle w:val="TableParagraph"/>
              <w:spacing w:line="207" w:lineRule="exact" w:before="24"/>
              <w:ind w:left="14" w:right="0"/>
              <w:jc w:val="left"/>
              <w:rPr>
                <w:rFonts w:ascii="Times New Roman" w:hAnsi="Times New Roman" w:cs="Times New Roman" w:eastAsia="Times New Roman" w:hint="default"/>
                <w:sz w:val="18"/>
                <w:szCs w:val="18"/>
              </w:rPr>
            </w:pPr>
            <w:r>
              <w:rPr>
                <w:rFonts w:ascii="Times New Roman"/>
                <w:sz w:val="18"/>
              </w:rPr>
              <w:t>14,124,17</w:t>
            </w:r>
          </w:p>
          <w:p>
            <w:pPr>
              <w:pStyle w:val="TableParagraph"/>
              <w:spacing w:line="207" w:lineRule="exact"/>
              <w:ind w:left="419" w:right="0"/>
              <w:jc w:val="left"/>
              <w:rPr>
                <w:rFonts w:ascii="Times New Roman" w:hAnsi="Times New Roman" w:cs="Times New Roman" w:eastAsia="Times New Roman" w:hint="default"/>
                <w:sz w:val="18"/>
                <w:szCs w:val="18"/>
              </w:rPr>
            </w:pPr>
            <w:r>
              <w:rPr>
                <w:rFonts w:ascii="Times New Roman"/>
                <w:sz w:val="18"/>
              </w:rPr>
              <w:t>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330,984,4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42.53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8,742,560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16,541,17</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5.37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370,392,3</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50.26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33" w:right="0"/>
              <w:jc w:val="left"/>
              <w:rPr>
                <w:rFonts w:ascii="Times New Roman" w:hAnsi="Times New Roman" w:cs="Times New Roman" w:eastAsia="Times New Roman" w:hint="default"/>
                <w:sz w:val="18"/>
                <w:szCs w:val="18"/>
              </w:rPr>
            </w:pPr>
            <w:r>
              <w:rPr>
                <w:rFonts w:ascii="Times New Roman"/>
                <w:sz w:val="18"/>
              </w:rPr>
              <w:t>11,424,76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3.27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35,040,32</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5.17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46,465,08</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8.44</w:t>
            </w: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58,283,73</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5.73</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58,283,73</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5.73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76,165,08</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8.44</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76,165,08</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8.44</w:t>
            </w: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4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58,283,73</w:t>
            </w:r>
          </w:p>
          <w:p>
            <w:pPr>
              <w:pStyle w:val="TableParagraph"/>
              <w:spacing w:line="240" w:lineRule="auto" w:before="2"/>
              <w:ind w:left="431" w:right="0"/>
              <w:jc w:val="left"/>
              <w:rPr>
                <w:rFonts w:ascii="Times New Roman" w:hAnsi="Times New Roman" w:cs="Times New Roman" w:eastAsia="Times New Roman" w:hint="default"/>
                <w:sz w:val="18"/>
                <w:szCs w:val="18"/>
              </w:rPr>
            </w:pPr>
            <w:r>
              <w:rPr>
                <w:rFonts w:ascii="Times New Roman"/>
                <w:sz w:val="18"/>
              </w:rPr>
              <w:t>5.73</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58,283,73</w:t>
            </w:r>
          </w:p>
          <w:p>
            <w:pPr>
              <w:pStyle w:val="TableParagraph"/>
              <w:spacing w:line="240" w:lineRule="auto" w:before="2"/>
              <w:ind w:left="431" w:right="0"/>
              <w:jc w:val="left"/>
              <w:rPr>
                <w:rFonts w:ascii="Times New Roman" w:hAnsi="Times New Roman" w:cs="Times New Roman" w:eastAsia="Times New Roman" w:hint="default"/>
                <w:sz w:val="18"/>
                <w:szCs w:val="18"/>
              </w:rPr>
            </w:pPr>
            <w:r>
              <w:rPr>
                <w:rFonts w:ascii="Times New Roman"/>
                <w:sz w:val="18"/>
              </w:rPr>
              <w:t>5.73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76,165,08</w:t>
            </w:r>
          </w:p>
          <w:p>
            <w:pPr>
              <w:pStyle w:val="TableParagraph"/>
              <w:spacing w:line="240" w:lineRule="auto" w:before="2"/>
              <w:ind w:left="431" w:right="0"/>
              <w:jc w:val="left"/>
              <w:rPr>
                <w:rFonts w:ascii="Times New Roman" w:hAnsi="Times New Roman" w:cs="Times New Roman" w:eastAsia="Times New Roman" w:hint="default"/>
                <w:sz w:val="18"/>
                <w:szCs w:val="18"/>
              </w:rPr>
            </w:pPr>
            <w:r>
              <w:rPr>
                <w:rFonts w:ascii="Times New Roman"/>
                <w:sz w:val="18"/>
              </w:rPr>
              <w:t>8.44</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76,165,08</w:t>
            </w:r>
          </w:p>
          <w:p>
            <w:pPr>
              <w:pStyle w:val="TableParagraph"/>
              <w:spacing w:line="240" w:lineRule="auto" w:before="2"/>
              <w:ind w:left="431" w:right="0"/>
              <w:jc w:val="left"/>
              <w:rPr>
                <w:rFonts w:ascii="Times New Roman" w:hAnsi="Times New Roman" w:cs="Times New Roman" w:eastAsia="Times New Roman" w:hint="default"/>
                <w:sz w:val="18"/>
                <w:szCs w:val="18"/>
              </w:rPr>
            </w:pPr>
            <w:r>
              <w:rPr>
                <w:rFonts w:ascii="Times New Roman"/>
                <w:sz w:val="18"/>
              </w:rPr>
              <w:t>8.44</w:t>
            </w: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06"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80" w:type="dxa"/>
            <w:tcBorders>
              <w:top w:val="single" w:sz="4" w:space="0" w:color="000000"/>
              <w:left w:val="single" w:sz="13" w:space="0" w:color="DCDCDC"/>
              <w:bottom w:val="single" w:sz="4" w:space="0" w:color="000000"/>
              <w:right w:val="single" w:sz="4" w:space="0" w:color="000000"/>
            </w:tcBorders>
          </w:tcPr>
          <w:p>
            <w:pPr>
              <w:pStyle w:val="TableParagraph"/>
              <w:spacing w:line="207" w:lineRule="exact" w:before="21"/>
              <w:ind w:left="14" w:right="0"/>
              <w:jc w:val="left"/>
              <w:rPr>
                <w:rFonts w:ascii="Times New Roman" w:hAnsi="Times New Roman" w:cs="Times New Roman" w:eastAsia="Times New Roman" w:hint="default"/>
                <w:sz w:val="18"/>
                <w:szCs w:val="18"/>
              </w:rPr>
            </w:pPr>
            <w:r>
              <w:rPr>
                <w:rFonts w:ascii="Times New Roman"/>
                <w:sz w:val="18"/>
              </w:rPr>
              <w:t>14,124,17</w:t>
            </w:r>
          </w:p>
          <w:p>
            <w:pPr>
              <w:pStyle w:val="TableParagraph"/>
              <w:spacing w:line="207" w:lineRule="exact"/>
              <w:ind w:left="419" w:right="0"/>
              <w:jc w:val="left"/>
              <w:rPr>
                <w:rFonts w:ascii="Times New Roman" w:hAnsi="Times New Roman" w:cs="Times New Roman" w:eastAsia="Times New Roman" w:hint="default"/>
                <w:sz w:val="18"/>
                <w:szCs w:val="18"/>
              </w:rPr>
            </w:pPr>
            <w:r>
              <w:rPr>
                <w:rFonts w:ascii="Times New Roman"/>
                <w:sz w:val="18"/>
              </w:rPr>
              <w:t>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330,984,4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42.53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345,108,6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14.53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02" w:lineRule="exact"/>
              <w:ind w:left="14" w:right="0"/>
              <w:jc w:val="left"/>
              <w:rPr>
                <w:rFonts w:ascii="Times New Roman" w:hAnsi="Times New Roman" w:cs="Times New Roman" w:eastAsia="Times New Roman" w:hint="default"/>
                <w:sz w:val="18"/>
                <w:szCs w:val="18"/>
              </w:rPr>
            </w:pPr>
            <w:r>
              <w:rPr>
                <w:rFonts w:ascii="Times New Roman"/>
                <w:sz w:val="18"/>
              </w:rPr>
              <w:t>14,124,17</w:t>
            </w:r>
          </w:p>
          <w:p>
            <w:pPr>
              <w:pStyle w:val="TableParagraph"/>
              <w:spacing w:line="207" w:lineRule="exact"/>
              <w:ind w:left="419" w:right="0"/>
              <w:jc w:val="left"/>
              <w:rPr>
                <w:rFonts w:ascii="Times New Roman" w:hAnsi="Times New Roman" w:cs="Times New Roman" w:eastAsia="Times New Roman" w:hint="default"/>
                <w:sz w:val="18"/>
                <w:szCs w:val="18"/>
              </w:rPr>
            </w:pPr>
            <w:r>
              <w:rPr>
                <w:rFonts w:ascii="Times New Roman"/>
                <w:sz w:val="18"/>
              </w:rPr>
              <w:t>2.00</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330,984,4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42.53</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345,108,6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14.53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p>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8,742,560</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.36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-41,742,5</w:t>
            </w:r>
          </w:p>
          <w:p>
            <w:pPr>
              <w:pStyle w:val="TableParagraph"/>
              <w:spacing w:line="240" w:lineRule="auto" w:before="2"/>
              <w:ind w:left="340" w:right="0"/>
              <w:jc w:val="left"/>
              <w:rPr>
                <w:rFonts w:ascii="Times New Roman" w:hAnsi="Times New Roman" w:cs="Times New Roman" w:eastAsia="Times New Roman" w:hint="default"/>
                <w:sz w:val="18"/>
                <w:szCs w:val="18"/>
              </w:rPr>
            </w:pPr>
            <w:r>
              <w:rPr>
                <w:rFonts w:ascii="Times New Roman"/>
                <w:sz w:val="18"/>
              </w:rPr>
              <w:t>60.36</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40" w:lineRule="auto" w:before="2"/>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11,424,76</w:t>
            </w:r>
          </w:p>
          <w:p>
            <w:pPr>
              <w:pStyle w:val="TableParagraph"/>
              <w:spacing w:line="240" w:lineRule="auto" w:before="2"/>
              <w:ind w:left="431" w:right="0"/>
              <w:jc w:val="left"/>
              <w:rPr>
                <w:rFonts w:ascii="Times New Roman" w:hAnsi="Times New Roman" w:cs="Times New Roman" w:eastAsia="Times New Roman" w:hint="default"/>
                <w:sz w:val="18"/>
                <w:szCs w:val="18"/>
              </w:rPr>
            </w:pPr>
            <w:r>
              <w:rPr>
                <w:rFonts w:ascii="Times New Roman"/>
                <w:sz w:val="18"/>
              </w:rPr>
              <w:t>3.27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-41,124,7</w:t>
            </w:r>
          </w:p>
          <w:p>
            <w:pPr>
              <w:pStyle w:val="TableParagraph"/>
              <w:spacing w:line="240" w:lineRule="auto" w:before="2"/>
              <w:ind w:left="340" w:right="0"/>
              <w:jc w:val="left"/>
              <w:rPr>
                <w:rFonts w:ascii="Times New Roman" w:hAnsi="Times New Roman" w:cs="Times New Roman" w:eastAsia="Times New Roman" w:hint="default"/>
                <w:sz w:val="18"/>
                <w:szCs w:val="18"/>
              </w:rPr>
            </w:pPr>
            <w:r>
              <w:rPr>
                <w:rFonts w:ascii="Times New Roman"/>
                <w:sz w:val="18"/>
              </w:rPr>
              <w:t>63.27</w:t>
            </w: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-29,700,0</w:t>
            </w:r>
          </w:p>
          <w:p>
            <w:pPr>
              <w:pStyle w:val="TableParagraph"/>
              <w:spacing w:line="240" w:lineRule="auto" w:before="2"/>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97"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8,742,560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-8,742,56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0.36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11,424,76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3.27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2" w:lineRule="exact"/>
              <w:ind w:left="62" w:right="0"/>
              <w:jc w:val="left"/>
              <w:rPr>
                <w:rFonts w:ascii="Times New Roman" w:hAnsi="Times New Roman" w:cs="Times New Roman" w:eastAsia="Times New Roman" w:hint="default"/>
                <w:sz w:val="18"/>
                <w:szCs w:val="18"/>
              </w:rPr>
            </w:pPr>
            <w:r>
              <w:rPr>
                <w:rFonts w:ascii="Times New Roman"/>
                <w:sz w:val="18"/>
              </w:rPr>
              <w:t>-11,424,7</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63.27</w:t>
            </w:r>
          </w:p>
        </w:tc>
        <w:tc>
          <w:tcPr>
            <w:tcW w:w="780" w:type="dxa"/>
            <w:vMerge w:val="restart"/>
            <w:tcBorders>
              <w:top w:val="single" w:sz="4" w:space="0" w:color="000000"/>
              <w:left w:val="single" w:sz="4" w:space="0" w:color="000000"/>
              <w:right w:val="single" w:sz="4" w:space="0" w:color="000000"/>
            </w:tcBorders>
          </w:tcPr>
          <w:p>
            <w:pPr/>
          </w:p>
        </w:tc>
      </w:tr>
      <w:tr>
        <w:trPr>
          <w:trHeight w:val="329"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780"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7"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7"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7" w:right="0"/>
              <w:jc w:val="left"/>
              <w:rPr>
                <w:rFonts w:ascii="Times New Roman" w:hAnsi="Times New Roman" w:cs="Times New Roman" w:eastAsia="Times New Roman" w:hint="default"/>
                <w:sz w:val="18"/>
                <w:szCs w:val="18"/>
              </w:rPr>
            </w:pPr>
            <w:r>
              <w:rPr>
                <w:rFonts w:ascii="Times New Roman"/>
                <w:sz w:val="18"/>
              </w:rPr>
              <w:t>-29,700,0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7" w:right="0"/>
              <w:jc w:val="left"/>
              <w:rPr>
                <w:rFonts w:ascii="Times New Roman" w:hAnsi="Times New Roman" w:cs="Times New Roman" w:eastAsia="Times New Roman" w:hint="default"/>
                <w:sz w:val="18"/>
                <w:szCs w:val="18"/>
              </w:rPr>
            </w:pPr>
            <w:r>
              <w:rPr>
                <w:rFonts w:ascii="Times New Roman"/>
                <w:sz w:val="18"/>
              </w:rPr>
              <w:t>-29,700,0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07" w:lineRule="exact"/>
        <w:jc w:val="left"/>
        <w:rPr>
          <w:rFonts w:ascii="Times New Roman" w:hAnsi="Times New Roman" w:cs="Times New Roman" w:eastAsia="Times New Roman" w:hint="default"/>
          <w:sz w:val="18"/>
          <w:szCs w:val="18"/>
        </w:rPr>
        <w:sectPr>
          <w:pgSz w:w="16840" w:h="11910" w:orient="landscape"/>
          <w:pgMar w:header="840" w:footer="1100" w:top="1160" w:bottom="12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124,124,1</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72.00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578,171,2</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06.15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63,206,82</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9.92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133,403,6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97.61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898,905,9</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247,186,7</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63.62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54,464,26</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9.56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116,862,5</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528,513,5</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55.42</w:t>
            </w:r>
          </w:p>
        </w:tc>
      </w:tr>
    </w:tbl>
    <w:p>
      <w:pPr>
        <w:spacing w:after="0" w:line="207" w:lineRule="exact"/>
        <w:jc w:val="left"/>
        <w:rPr>
          <w:rFonts w:ascii="Times New Roman" w:hAnsi="Times New Roman" w:cs="Times New Roman" w:eastAsia="Times New Roman" w:hint="default"/>
          <w:sz w:val="18"/>
          <w:szCs w:val="18"/>
        </w:rPr>
        <w:sectPr>
          <w:pgSz w:w="16840" w:h="11910" w:orient="landscape"/>
          <w:pgMar w:header="840" w:footer="1100" w:top="1160" w:bottom="1280" w:left="1300" w:right="0"/>
        </w:sectPr>
      </w:pPr>
    </w:p>
    <w:p>
      <w:pPr>
        <w:spacing w:line="240" w:lineRule="auto" w:before="0"/>
        <w:rPr>
          <w:rFonts w:ascii="Times New Roman" w:hAnsi="Times New Roman" w:cs="Times New Roman" w:eastAsia="Times New Roman" w:hint="default"/>
          <w:sz w:val="20"/>
          <w:szCs w:val="20"/>
        </w:rPr>
      </w:pPr>
    </w:p>
    <w:p>
      <w:pPr>
        <w:spacing w:line="249" w:lineRule="auto" w:before="63"/>
        <w:ind w:left="2917" w:right="3093" w:hanging="264"/>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东港安全印刷股份有限公司</w:t>
      </w:r>
      <w:r>
        <w:rPr>
          <w:rFonts w:ascii="Microsoft JhengHei" w:hAnsi="Microsoft JhengHei" w:cs="Microsoft JhengHei" w:eastAsia="Microsoft JhengHei" w:hint="default"/>
          <w:b/>
          <w:bCs/>
          <w:spacing w:val="-64"/>
          <w:sz w:val="30"/>
          <w:szCs w:val="30"/>
        </w:rPr>
        <w:t> </w:t>
      </w:r>
      <w:r>
        <w:rPr>
          <w:rFonts w:ascii="Microsoft JhengHei" w:hAnsi="Microsoft JhengHei" w:cs="Microsoft JhengHei" w:eastAsia="Microsoft JhengHei" w:hint="default"/>
          <w:b/>
          <w:bCs/>
          <w:spacing w:val="-64"/>
          <w:sz w:val="30"/>
          <w:szCs w:val="30"/>
        </w:rPr>
      </w:r>
      <w:r>
        <w:rPr>
          <w:rFonts w:ascii="Times New Roman" w:hAnsi="Times New Roman" w:cs="Times New Roman" w:eastAsia="Times New Roman" w:hint="default"/>
          <w:b/>
          <w:bCs/>
          <w:sz w:val="30"/>
          <w:szCs w:val="30"/>
        </w:rPr>
        <w:t>2010</w:t>
      </w:r>
      <w:r>
        <w:rPr>
          <w:rFonts w:ascii="Times New Roman" w:hAnsi="Times New Roman" w:cs="Times New Roman" w:eastAsia="Times New Roman" w:hint="default"/>
          <w:b/>
          <w:bCs/>
          <w:spacing w:val="10"/>
          <w:sz w:val="30"/>
          <w:szCs w:val="30"/>
        </w:rPr>
        <w:t> </w:t>
      </w:r>
      <w:r>
        <w:rPr>
          <w:rFonts w:ascii="Microsoft JhengHei" w:hAnsi="Microsoft JhengHei" w:cs="Microsoft JhengHei" w:eastAsia="Microsoft JhengHei" w:hint="default"/>
          <w:b/>
          <w:bCs/>
          <w:sz w:val="30"/>
          <w:szCs w:val="30"/>
        </w:rPr>
        <w:t>年度财务报表附注</w:t>
      </w:r>
      <w:r>
        <w:rPr>
          <w:rFonts w:ascii="Microsoft JhengHei" w:hAnsi="Microsoft JhengHei" w:cs="Microsoft JhengHei" w:eastAsia="Microsoft JhengHei" w:hint="default"/>
          <w:sz w:val="30"/>
          <w:szCs w:val="30"/>
        </w:rPr>
      </w:r>
    </w:p>
    <w:p>
      <w:pPr>
        <w:spacing w:line="360" w:lineRule="exact" w:before="0"/>
        <w:ind w:left="2565" w:right="5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line="314" w:lineRule="auto" w:before="0"/>
        <w:ind w:left="622" w:right="5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公司基本情况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东港安全印刷股份有限公司（以下简称“本公司”或“公司”）是由香港喜多来</w:t>
      </w:r>
    </w:p>
    <w:p>
      <w:pPr>
        <w:pStyle w:val="BodyText"/>
        <w:spacing w:line="336" w:lineRule="auto" w:before="53"/>
        <w:ind w:right="223"/>
        <w:jc w:val="both"/>
      </w:pPr>
      <w:r>
        <w:rPr>
          <w:spacing w:val="2"/>
        </w:rPr>
        <w:t>集团有限公司、浪潮电子信息产业股份有限公司、北京中嘉华信息技术有限公司、济</w:t>
      </w:r>
      <w:r>
        <w:rPr>
          <w:spacing w:val="-89"/>
        </w:rPr>
        <w:t> </w:t>
      </w:r>
      <w:r>
        <w:rPr>
          <w:spacing w:val="-89"/>
        </w:rPr>
      </w:r>
      <w:r>
        <w:rPr>
          <w:spacing w:val="16"/>
        </w:rPr>
        <w:t>南发展国有工业资产经营有限公司、英属维尔京群岛 </w:t>
      </w:r>
      <w:r>
        <w:rPr>
          <w:rFonts w:ascii="宋体" w:hAnsi="宋体" w:cs="宋体" w:eastAsia="宋体" w:hint="default"/>
        </w:rPr>
        <w:t>RICH RIVER</w:t>
      </w:r>
      <w:r>
        <w:rPr>
          <w:rFonts w:ascii="宋体" w:hAnsi="宋体" w:cs="宋体" w:eastAsia="宋体" w:hint="default"/>
          <w:spacing w:val="75"/>
        </w:rPr>
        <w:t> </w:t>
      </w:r>
      <w:r>
        <w:rPr>
          <w:rFonts w:ascii="宋体" w:hAnsi="宋体" w:cs="宋体" w:eastAsia="宋体" w:hint="default"/>
        </w:rPr>
        <w:t>INVESTMENTS</w:t>
      </w:r>
      <w:r>
        <w:rPr>
          <w:rFonts w:ascii="宋体" w:hAnsi="宋体" w:cs="宋体" w:eastAsia="宋体" w:hint="default"/>
        </w:rPr>
        <w:t> LIMITED</w:t>
      </w:r>
      <w:r>
        <w:rPr>
          <w:rFonts w:ascii="宋体" w:hAnsi="宋体" w:cs="宋体" w:eastAsia="宋体" w:hint="default"/>
          <w:spacing w:val="24"/>
        </w:rPr>
        <w:t> </w:t>
      </w:r>
      <w:r>
        <w:rPr>
          <w:spacing w:val="2"/>
        </w:rPr>
        <w:t>等公司共同发起设立的股份有限公司，注册地为中华人民共和国山东省济南</w:t>
      </w:r>
      <w:r>
        <w:rPr>
          <w:spacing w:val="-115"/>
        </w:rPr>
        <w:t> </w:t>
      </w:r>
      <w:r>
        <w:rPr>
          <w:spacing w:val="-115"/>
        </w:rPr>
      </w:r>
      <w:r>
        <w:rPr/>
        <w:t>市。公司于 </w:t>
      </w:r>
      <w:r>
        <w:rPr>
          <w:rFonts w:ascii="宋体" w:hAnsi="宋体" w:cs="宋体" w:eastAsia="宋体" w:hint="default"/>
        </w:rPr>
        <w:t>1996</w:t>
      </w:r>
      <w:r>
        <w:rPr>
          <w:rFonts w:ascii="宋体" w:hAnsi="宋体" w:cs="宋体" w:eastAsia="宋体" w:hint="default"/>
          <w:spacing w:val="38"/>
        </w:rPr>
        <w:t> </w:t>
      </w:r>
      <w:r>
        <w:rPr>
          <w:spacing w:val="2"/>
        </w:rPr>
        <w:t>年经山东省工商行政管理局核准登记，企业法人营业执照注册号：</w:t>
      </w:r>
    </w:p>
    <w:p>
      <w:pPr>
        <w:pStyle w:val="BodyText"/>
        <w:spacing w:line="336" w:lineRule="auto" w:before="29"/>
        <w:ind w:right="50"/>
        <w:jc w:val="left"/>
      </w:pPr>
      <w:r>
        <w:rPr>
          <w:rFonts w:ascii="宋体" w:hAnsi="宋体" w:cs="宋体" w:eastAsia="宋体" w:hint="default"/>
        </w:rPr>
        <w:t>370000400000101</w:t>
      </w:r>
      <w:r>
        <w:rPr/>
        <w:t>。本公司总部位于山东省济南市山大北路</w:t>
      </w:r>
      <w:r>
        <w:rPr>
          <w:spacing w:val="-68"/>
        </w:rPr>
        <w:t> </w:t>
      </w:r>
      <w:r>
        <w:rPr>
          <w:rFonts w:ascii="宋体" w:hAnsi="宋体" w:cs="宋体" w:eastAsia="宋体" w:hint="default"/>
        </w:rPr>
        <w:t>23</w:t>
      </w:r>
      <w:r>
        <w:rPr>
          <w:rFonts w:ascii="宋体" w:hAnsi="宋体" w:cs="宋体" w:eastAsia="宋体" w:hint="default"/>
          <w:spacing w:val="-69"/>
        </w:rPr>
        <w:t> </w:t>
      </w:r>
      <w:r>
        <w:rPr>
          <w:spacing w:val="-8"/>
        </w:rPr>
        <w:t>号。本公司及子公司（统</w:t>
      </w:r>
      <w:r>
        <w:rPr/>
        <w:t> </w:t>
      </w:r>
      <w:r>
        <w:rPr>
          <w:spacing w:val="-4"/>
        </w:rPr>
        <w:t>称“本集团”）主要从事出版物、包装装潢印刷品、其它类印刷品印刷</w:t>
      </w:r>
      <w:r>
        <w:rPr>
          <w:rFonts w:ascii="宋体" w:hAnsi="宋体" w:cs="宋体" w:eastAsia="宋体" w:hint="default"/>
          <w:spacing w:val="-4"/>
        </w:rPr>
        <w:t>;</w:t>
      </w:r>
      <w:r>
        <w:rPr>
          <w:spacing w:val="-4"/>
        </w:rPr>
        <w:t>纸制品的生产、</w:t>
      </w:r>
      <w:r>
        <w:rPr>
          <w:spacing w:val="-86"/>
        </w:rPr>
        <w:t> </w:t>
      </w:r>
      <w:r>
        <w:rPr>
          <w:spacing w:val="2"/>
        </w:rPr>
        <w:t>销售；高档纸张的防伪处理、销售；数据打印系统的开发、生产；科技信息咨询服务</w:t>
      </w:r>
      <w:r>
        <w:rPr>
          <w:spacing w:val="-97"/>
        </w:rPr>
        <w:t> </w:t>
      </w:r>
      <w:r>
        <w:rPr>
          <w:spacing w:val="-97"/>
        </w:rPr>
      </w:r>
      <w:r>
        <w:rPr>
          <w:rFonts w:ascii="宋体" w:hAnsi="宋体" w:cs="宋体" w:eastAsia="宋体" w:hint="default"/>
        </w:rPr>
        <w:t>IC</w:t>
      </w:r>
      <w:r>
        <w:rPr>
          <w:rFonts w:ascii="宋体" w:hAnsi="宋体" w:cs="宋体" w:eastAsia="宋体" w:hint="default"/>
          <w:spacing w:val="-60"/>
        </w:rPr>
        <w:t> </w:t>
      </w:r>
      <w:r>
        <w:rPr/>
        <w:t>卡产品和智能卷标产品的生产、销售。属制造印刷业。</w:t>
      </w:r>
    </w:p>
    <w:p>
      <w:pPr>
        <w:pStyle w:val="BodyText"/>
        <w:spacing w:line="338" w:lineRule="auto" w:before="29"/>
        <w:ind w:right="210" w:firstLine="479"/>
        <w:jc w:val="left"/>
      </w:pPr>
      <w:r>
        <w:rPr/>
        <w:t>本公司前身为济南东港安全印务有限公司，</w:t>
      </w:r>
      <w:r>
        <w:rPr>
          <w:rFonts w:ascii="宋体" w:hAnsi="宋体" w:cs="宋体" w:eastAsia="宋体" w:hint="default"/>
        </w:rPr>
        <w:t>2002</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t>日在该公司基础上改 组为股份有限公司。</w:t>
      </w:r>
    </w:p>
    <w:p>
      <w:pPr>
        <w:pStyle w:val="BodyText"/>
        <w:spacing w:line="281" w:lineRule="exact" w:before="0"/>
        <w:ind w:left="982" w:right="50"/>
        <w:jc w:val="left"/>
      </w:pPr>
      <w:r>
        <w:rPr/>
        <w:t>本公司原注册资本为人民币</w:t>
      </w:r>
      <w:r>
        <w:rPr>
          <w:rFonts w:ascii="宋体" w:hAnsi="宋体" w:cs="宋体" w:eastAsia="宋体" w:hint="default"/>
        </w:rPr>
        <w:t>11,000.00</w:t>
      </w:r>
      <w:r>
        <w:rPr/>
        <w:t>万元，股本总数</w:t>
      </w:r>
      <w:r>
        <w:rPr>
          <w:rFonts w:ascii="宋体" w:hAnsi="宋体" w:cs="宋体" w:eastAsia="宋体" w:hint="default"/>
        </w:rPr>
        <w:t>11,000.00</w:t>
      </w:r>
      <w:r>
        <w:rPr/>
        <w:t>万股，股票面</w:t>
      </w:r>
    </w:p>
    <w:p>
      <w:pPr>
        <w:pStyle w:val="BodyText"/>
        <w:spacing w:line="304" w:lineRule="auto" w:before="87"/>
        <w:ind w:left="622" w:right="50" w:hanging="480"/>
        <w:jc w:val="left"/>
      </w:pPr>
      <w:r>
        <w:rPr/>
        <w:t>值为每股人民币</w:t>
      </w:r>
      <w:r>
        <w:rPr>
          <w:rFonts w:ascii="宋体" w:hAnsi="宋体" w:cs="宋体" w:eastAsia="宋体" w:hint="default"/>
        </w:rPr>
        <w:t>1</w:t>
      </w:r>
      <w:r>
        <w:rPr/>
        <w:t>元。 </w:t>
      </w:r>
      <w:r>
        <w:rPr>
          <w:spacing w:val="2"/>
        </w:rPr>
        <w:t>本公司</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10</w:t>
      </w:r>
      <w:r>
        <w:rPr>
          <w:spacing w:val="2"/>
        </w:rPr>
        <w:t>日召开的第三届董事会第三次会议提出《关于公司符合申请</w:t>
      </w:r>
    </w:p>
    <w:p>
      <w:pPr>
        <w:pStyle w:val="BodyText"/>
        <w:spacing w:line="304" w:lineRule="auto"/>
        <w:ind w:right="222"/>
        <w:jc w:val="both"/>
      </w:pPr>
      <w:r>
        <w:rPr/>
        <w:t>公开增发人民币普通股（</w:t>
      </w:r>
      <w:r>
        <w:rPr>
          <w:rFonts w:ascii="宋体" w:hAnsi="宋体" w:cs="宋体" w:eastAsia="宋体" w:hint="default"/>
        </w:rPr>
        <w:t>A</w:t>
      </w:r>
      <w:r>
        <w:rPr/>
        <w:t>股）股票条件的议案</w:t>
      </w:r>
      <w:r>
        <w:rPr>
          <w:rFonts w:ascii="宋体" w:hAnsi="宋体" w:cs="宋体" w:eastAsia="宋体" w:hint="default"/>
        </w:rPr>
        <w:t>》</w:t>
      </w:r>
      <w:r>
        <w:rPr/>
        <w:t>，并获得公司</w:t>
      </w:r>
      <w:r>
        <w:rPr>
          <w:rFonts w:ascii="宋体" w:hAnsi="宋体" w:cs="宋体" w:eastAsia="宋体" w:hint="default"/>
        </w:rPr>
        <w:t>2009</w:t>
      </w:r>
      <w:r>
        <w:rPr/>
        <w:t>年第二次临时股东 大会审议通过，经中国证监会证监许可【</w:t>
      </w:r>
      <w:r>
        <w:rPr>
          <w:rFonts w:ascii="宋体" w:hAnsi="宋体" w:cs="宋体" w:eastAsia="宋体" w:hint="default"/>
        </w:rPr>
        <w:t>2010</w:t>
      </w:r>
      <w:r>
        <w:rPr/>
        <w:t>】</w:t>
      </w:r>
      <w:r>
        <w:rPr>
          <w:rFonts w:ascii="宋体" w:hAnsi="宋体" w:cs="宋体" w:eastAsia="宋体" w:hint="default"/>
        </w:rPr>
        <w:t>1210</w:t>
      </w:r>
      <w:r>
        <w:rPr/>
        <w:t>号文核准，本公司于</w:t>
      </w:r>
      <w:r>
        <w:rPr>
          <w:rFonts w:ascii="宋体" w:hAnsi="宋体" w:cs="宋体" w:eastAsia="宋体" w:hint="default"/>
        </w:rPr>
        <w:t>2010</w:t>
      </w:r>
      <w:r>
        <w:rPr/>
        <w:t>年</w:t>
      </w:r>
      <w:r>
        <w:rPr>
          <w:rFonts w:ascii="宋体" w:hAnsi="宋体" w:cs="宋体" w:eastAsia="宋体" w:hint="default"/>
        </w:rPr>
        <w:t>9</w:t>
      </w:r>
      <w:r>
        <w:rPr/>
        <w:t>月增 发新股</w:t>
      </w:r>
      <w:r>
        <w:rPr>
          <w:rFonts w:ascii="宋体" w:hAnsi="宋体" w:cs="宋体" w:eastAsia="宋体" w:hint="default"/>
        </w:rPr>
        <w:t>14,124,172</w:t>
      </w:r>
      <w:r>
        <w:rPr/>
        <w:t>股，经本次增发后，本公司注册资本</w:t>
      </w:r>
      <w:r>
        <w:rPr>
          <w:rFonts w:ascii="宋体" w:hAnsi="宋体" w:cs="宋体" w:eastAsia="宋体" w:hint="default"/>
        </w:rPr>
        <w:t>124,124,172</w:t>
      </w:r>
      <w:r>
        <w:rPr/>
        <w:t>元。</w:t>
      </w:r>
    </w:p>
    <w:p>
      <w:pPr>
        <w:pStyle w:val="BodyText"/>
        <w:spacing w:line="326" w:lineRule="auto"/>
        <w:ind w:left="622" w:right="1524" w:firstLine="360"/>
        <w:jc w:val="left"/>
      </w:pPr>
      <w:r>
        <w:rPr/>
        <w:t>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124,124,172</w:t>
      </w:r>
      <w:r>
        <w:rPr/>
        <w:t>股。 本公司财务报表于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日已经公司董事会批准报出。</w:t>
      </w:r>
    </w:p>
    <w:p>
      <w:pPr>
        <w:spacing w:line="240" w:lineRule="auto" w:before="4"/>
        <w:rPr>
          <w:rFonts w:ascii="宋体" w:hAnsi="宋体" w:cs="宋体" w:eastAsia="宋体" w:hint="default"/>
          <w:sz w:val="17"/>
          <w:szCs w:val="17"/>
        </w:rPr>
      </w:pPr>
    </w:p>
    <w:p>
      <w:pPr>
        <w:spacing w:line="297" w:lineRule="auto" w:before="0"/>
        <w:ind w:left="622" w:right="5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财务报表的编制基础</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2"/>
          <w:sz w:val="24"/>
          <w:szCs w:val="24"/>
        </w:rPr>
        <w:t>本集团财务报表以持续经营假设为基础编制，根据实际发生的交易和事项，按照</w:t>
      </w:r>
    </w:p>
    <w:p>
      <w:pPr>
        <w:pStyle w:val="BodyText"/>
        <w:spacing w:line="304" w:lineRule="auto" w:before="26"/>
        <w:ind w:right="224"/>
        <w:jc w:val="both"/>
      </w:pPr>
      <w:r>
        <w:rPr/>
        <w:t>财政部于</w:t>
      </w:r>
      <w:r>
        <w:rPr>
          <w:spacing w:val="-62"/>
        </w:rPr>
        <w:t> </w:t>
      </w:r>
      <w:r>
        <w:rPr>
          <w:rFonts w:ascii="宋体" w:hAnsi="宋体" w:cs="宋体" w:eastAsia="宋体" w:hint="default"/>
        </w:rPr>
        <w:t>2006</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15</w:t>
      </w:r>
      <w:r>
        <w:rPr>
          <w:rFonts w:ascii="宋体" w:hAnsi="宋体" w:cs="宋体" w:eastAsia="宋体" w:hint="default"/>
          <w:spacing w:val="-61"/>
        </w:rPr>
        <w:t> </w:t>
      </w:r>
      <w:r>
        <w:rPr/>
        <w:t>日颁布的《企业会计准则——基本准则》和</w:t>
      </w:r>
      <w:r>
        <w:rPr>
          <w:spacing w:val="-61"/>
        </w:rPr>
        <w:t> </w:t>
      </w:r>
      <w:r>
        <w:rPr>
          <w:rFonts w:ascii="宋体" w:hAnsi="宋体" w:cs="宋体" w:eastAsia="宋体" w:hint="default"/>
        </w:rPr>
        <w:t>38</w:t>
      </w:r>
      <w:r>
        <w:rPr>
          <w:rFonts w:ascii="宋体" w:hAnsi="宋体" w:cs="宋体" w:eastAsia="宋体" w:hint="default"/>
          <w:spacing w:val="-61"/>
        </w:rPr>
        <w:t> </w:t>
      </w:r>
      <w:r>
        <w:rPr/>
        <w:t>项具体会计准 </w:t>
      </w:r>
      <w:r>
        <w:rPr>
          <w:spacing w:val="2"/>
        </w:rPr>
        <w:t>则、其后颁布的企业会计准则应用指南、企业会计准则解释及其他相关规定（以下合</w:t>
      </w:r>
      <w:r>
        <w:rPr>
          <w:spacing w:val="-97"/>
        </w:rPr>
        <w:t> </w:t>
      </w:r>
      <w:r>
        <w:rPr>
          <w:spacing w:val="-97"/>
        </w:rPr>
      </w:r>
      <w:r>
        <w:rPr>
          <w:spacing w:val="-4"/>
        </w:rPr>
        <w:t>称“企业会计准则”）、以及中国证券监督管理委员会《公开发行证券的公司信息披露</w:t>
      </w:r>
      <w:r>
        <w:rPr>
          <w:spacing w:val="-107"/>
        </w:rPr>
        <w:t> </w:t>
      </w:r>
      <w:r>
        <w:rPr>
          <w:spacing w:val="-107"/>
        </w:rPr>
      </w:r>
      <w:r>
        <w:rPr/>
        <w:t>编报规则第</w:t>
      </w:r>
      <w:r>
        <w:rPr>
          <w:spacing w:val="-59"/>
        </w:rPr>
        <w:t> </w:t>
      </w:r>
      <w:r>
        <w:rPr>
          <w:rFonts w:ascii="宋体" w:hAnsi="宋体" w:cs="宋体" w:eastAsia="宋体" w:hint="default"/>
        </w:rPr>
        <w:t>15</w:t>
      </w:r>
      <w:r>
        <w:rPr>
          <w:rFonts w:ascii="宋体" w:hAnsi="宋体" w:cs="宋体" w:eastAsia="宋体" w:hint="default"/>
          <w:spacing w:val="-58"/>
        </w:rPr>
        <w:t> </w:t>
      </w:r>
      <w:r>
        <w:rPr>
          <w:spacing w:val="-7"/>
        </w:rPr>
        <w:t>号——财务报告的一般规定》（</w:t>
      </w:r>
      <w:r>
        <w:rPr>
          <w:rFonts w:ascii="宋体" w:hAnsi="宋体" w:cs="宋体" w:eastAsia="宋体" w:hint="default"/>
          <w:spacing w:val="-7"/>
        </w:rPr>
        <w:t>2010</w:t>
      </w:r>
      <w:r>
        <w:rPr>
          <w:rFonts w:ascii="宋体" w:hAnsi="宋体" w:cs="宋体" w:eastAsia="宋体" w:hint="default"/>
          <w:spacing w:val="-58"/>
        </w:rPr>
        <w:t> </w:t>
      </w:r>
      <w:r>
        <w:rPr/>
        <w:t>年修订）的披露规定编制。</w:t>
      </w:r>
    </w:p>
    <w:p>
      <w:pPr>
        <w:pStyle w:val="BodyText"/>
        <w:spacing w:line="307" w:lineRule="auto"/>
        <w:ind w:right="50" w:firstLine="479"/>
        <w:jc w:val="left"/>
      </w:pPr>
      <w:r>
        <w:rPr>
          <w:spacing w:val="2"/>
        </w:rPr>
        <w:t>根据企业会计准则的相关规定，本集团会计核算以权责发生制为基础。除某些金</w:t>
      </w:r>
      <w:r>
        <w:rPr/>
        <w:t> </w:t>
      </w:r>
      <w:r>
        <w:rPr>
          <w:spacing w:val="2"/>
        </w:rPr>
        <w:t>融工具外，本财务报表均以历史成本为计量基础。资产如果发生减值，则按照相关规</w:t>
      </w:r>
    </w:p>
    <w:p>
      <w:pPr>
        <w:spacing w:after="0" w:line="307" w:lineRule="auto"/>
        <w:jc w:val="left"/>
        <w:sectPr>
          <w:headerReference w:type="default" r:id="rId26"/>
          <w:footerReference w:type="default" r:id="rId27"/>
          <w:pgSz w:w="11910" w:h="16840"/>
          <w:pgMar w:header="840" w:footer="1239" w:top="1160" w:bottom="1420" w:left="1480" w:right="1060"/>
          <w:pgNumType w:start="55"/>
        </w:sectPr>
      </w:pPr>
    </w:p>
    <w:p>
      <w:pPr>
        <w:spacing w:line="240" w:lineRule="auto" w:before="12"/>
        <w:rPr>
          <w:rFonts w:ascii="宋体" w:hAnsi="宋体" w:cs="宋体" w:eastAsia="宋体" w:hint="default"/>
          <w:sz w:val="21"/>
          <w:szCs w:val="21"/>
        </w:rPr>
      </w:pPr>
    </w:p>
    <w:p>
      <w:pPr>
        <w:pStyle w:val="BodyText"/>
        <w:spacing w:line="240" w:lineRule="auto" w:before="26"/>
        <w:ind w:right="3093"/>
        <w:jc w:val="left"/>
      </w:pPr>
      <w:r>
        <w:rPr/>
        <w:t>定计提相应的减值准备。</w:t>
      </w:r>
    </w:p>
    <w:p>
      <w:pPr>
        <w:spacing w:line="240" w:lineRule="auto" w:before="2"/>
        <w:rPr>
          <w:rFonts w:ascii="宋体" w:hAnsi="宋体" w:cs="宋体" w:eastAsia="宋体" w:hint="default"/>
          <w:sz w:val="24"/>
          <w:szCs w:val="24"/>
        </w:rPr>
      </w:pPr>
    </w:p>
    <w:p>
      <w:pPr>
        <w:spacing w:line="295" w:lineRule="auto" w:before="0"/>
        <w:ind w:left="622" w:right="5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遵循企业会计准则的声明</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2"/>
          <w:sz w:val="24"/>
          <w:szCs w:val="24"/>
        </w:rPr>
        <w:t>本集团编制的财务报表符合企业会计准则的要求，真实、完整地反映了本公司及</w:t>
      </w:r>
    </w:p>
    <w:p>
      <w:pPr>
        <w:pStyle w:val="BodyText"/>
        <w:spacing w:line="240" w:lineRule="auto" w:before="31"/>
        <w:ind w:right="50"/>
        <w:jc w:val="left"/>
      </w:pPr>
      <w:r>
        <w:rPr/>
        <w:t>本集团</w:t>
      </w:r>
      <w:r>
        <w:rPr>
          <w:spacing w:val="-62"/>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日的财务状况及</w:t>
      </w:r>
      <w:r>
        <w:rPr>
          <w:spacing w:val="-61"/>
        </w:rPr>
        <w:t> </w:t>
      </w:r>
      <w:r>
        <w:rPr>
          <w:rFonts w:ascii="宋体" w:hAnsi="宋体" w:cs="宋体" w:eastAsia="宋体" w:hint="default"/>
        </w:rPr>
        <w:t>2010</w:t>
      </w:r>
      <w:r>
        <w:rPr>
          <w:rFonts w:ascii="宋体" w:hAnsi="宋体" w:cs="宋体" w:eastAsia="宋体" w:hint="default"/>
          <w:spacing w:val="-61"/>
        </w:rPr>
        <w:t> </w:t>
      </w:r>
      <w:r>
        <w:rPr/>
        <w:t>年度的经营成果和现金流量等有关信息。</w:t>
      </w:r>
    </w:p>
    <w:p>
      <w:pPr>
        <w:pStyle w:val="BodyText"/>
        <w:spacing w:line="240" w:lineRule="auto" w:before="84"/>
        <w:ind w:right="50"/>
        <w:jc w:val="left"/>
        <w:rPr>
          <w:rFonts w:ascii="宋体" w:hAnsi="宋体" w:cs="宋体" w:eastAsia="宋体" w:hint="default"/>
        </w:rPr>
      </w:pPr>
      <w:r>
        <w:rPr/>
        <w:t>此外，本公司及本集团的财务报表在所有重大方面符合中国证券监督管理委员会</w:t>
      </w:r>
      <w:r>
        <w:rPr>
          <w:spacing w:val="-3"/>
        </w:rPr>
        <w:t> </w:t>
      </w:r>
      <w:r>
        <w:rPr>
          <w:rFonts w:ascii="宋体" w:hAnsi="宋体" w:cs="宋体" w:eastAsia="宋体" w:hint="default"/>
        </w:rPr>
        <w:t>2010</w:t>
      </w:r>
    </w:p>
    <w:p>
      <w:pPr>
        <w:pStyle w:val="BodyText"/>
        <w:spacing w:line="307" w:lineRule="auto" w:before="86"/>
        <w:ind w:right="210"/>
        <w:jc w:val="left"/>
      </w:pPr>
      <w:r>
        <w:rPr/>
        <w:t>年修订的《公开发行证券的公司信息披露编报规则第</w:t>
      </w:r>
      <w:r>
        <w:rPr>
          <w:spacing w:val="-63"/>
        </w:rPr>
        <w:t> </w:t>
      </w:r>
      <w:r>
        <w:rPr>
          <w:rFonts w:ascii="宋体" w:hAnsi="宋体" w:cs="宋体" w:eastAsia="宋体" w:hint="default"/>
        </w:rPr>
        <w:t>15</w:t>
      </w:r>
      <w:r>
        <w:rPr>
          <w:rFonts w:ascii="宋体" w:hAnsi="宋体" w:cs="宋体" w:eastAsia="宋体" w:hint="default"/>
          <w:spacing w:val="-63"/>
        </w:rPr>
        <w:t> </w:t>
      </w:r>
      <w:r>
        <w:rPr/>
        <w:t>号－财务报告的一般规定》有 关财务报表及其附注的披露要求。</w:t>
      </w:r>
    </w:p>
    <w:p>
      <w:pPr>
        <w:spacing w:line="240" w:lineRule="auto" w:before="10"/>
        <w:rPr>
          <w:rFonts w:ascii="宋体" w:hAnsi="宋体" w:cs="宋体" w:eastAsia="宋体" w:hint="default"/>
          <w:sz w:val="18"/>
          <w:szCs w:val="18"/>
        </w:rPr>
      </w:pPr>
    </w:p>
    <w:p>
      <w:pPr>
        <w:pStyle w:val="Heading2"/>
        <w:spacing w:line="254" w:lineRule="auto"/>
        <w:ind w:left="675" w:right="5568" w:hanging="53"/>
        <w:jc w:val="left"/>
        <w:rPr>
          <w:b w:val="0"/>
          <w:bCs w:val="0"/>
        </w:rPr>
      </w:pPr>
      <w:r>
        <w:rPr/>
        <w:t>四、</w:t>
      </w:r>
      <w:r>
        <w:rPr>
          <w:spacing w:val="-24"/>
        </w:rPr>
        <w:t> </w:t>
      </w:r>
      <w:r>
        <w:rPr/>
        <w:t>主要会计政策和会计估计</w:t>
      </w:r>
      <w:r>
        <w:rPr>
          <w:spacing w:val="-58"/>
        </w:rPr>
        <w:t> </w:t>
      </w:r>
      <w:r>
        <w:rPr>
          <w:spacing w:val="-58"/>
        </w:rPr>
      </w:r>
      <w:r>
        <w:rPr>
          <w:rFonts w:ascii="Times New Roman" w:hAnsi="Times New Roman" w:cs="Times New Roman" w:eastAsia="Times New Roman" w:hint="default"/>
          <w:spacing w:val="2"/>
        </w:rPr>
        <w:t>1</w:t>
      </w:r>
      <w:r>
        <w:rPr>
          <w:spacing w:val="2"/>
        </w:rPr>
        <w:t>、会计期间</w:t>
      </w:r>
      <w:r>
        <w:rPr>
          <w:b w:val="0"/>
          <w:bCs w:val="0"/>
          <w:spacing w:val="2"/>
        </w:rPr>
      </w:r>
    </w:p>
    <w:p>
      <w:pPr>
        <w:pStyle w:val="BodyText"/>
        <w:spacing w:line="304" w:lineRule="auto" w:before="40"/>
        <w:ind w:right="236" w:firstLine="479"/>
        <w:jc w:val="both"/>
      </w:pPr>
      <w:r>
        <w:rPr>
          <w:spacing w:val="2"/>
        </w:rPr>
        <w:t>本集团的会计期间分为年度和中期，会计中期指短于一个完整的会计年度的报告</w:t>
      </w:r>
      <w:r>
        <w:rPr/>
        <w:t> 期间。本集团会计年度采用公历年度，即每年自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Heading2"/>
        <w:spacing w:line="338" w:lineRule="exact"/>
        <w:ind w:left="675" w:right="3093"/>
        <w:jc w:val="left"/>
        <w:rPr>
          <w:b w:val="0"/>
          <w:bCs w:val="0"/>
        </w:rPr>
      </w:pPr>
      <w:r>
        <w:rPr>
          <w:rFonts w:ascii="Times New Roman" w:hAnsi="Times New Roman" w:cs="Times New Roman" w:eastAsia="Times New Roman" w:hint="default"/>
        </w:rPr>
        <w:t>2</w:t>
      </w:r>
      <w:r>
        <w:rPr/>
        <w:t>、记账本位币</w:t>
      </w:r>
      <w:r>
        <w:rPr>
          <w:b w:val="0"/>
          <w:bCs w:val="0"/>
        </w:rPr>
      </w:r>
    </w:p>
    <w:p>
      <w:pPr>
        <w:pStyle w:val="BodyText"/>
        <w:spacing w:line="304" w:lineRule="auto" w:before="59"/>
        <w:ind w:right="236" w:firstLine="479"/>
        <w:jc w:val="both"/>
      </w:pPr>
      <w:r>
        <w:rPr>
          <w:spacing w:val="2"/>
        </w:rPr>
        <w:t>人民币为本公司及境内子公司经营所处的主要经济环境中的货币，本公司及境内</w:t>
      </w:r>
      <w:r>
        <w:rPr/>
        <w:t> 子公司以人民币为记账本位币。本集团编制本财务报表时所采用的货币为人民币。</w:t>
      </w:r>
    </w:p>
    <w:p>
      <w:pPr>
        <w:pStyle w:val="Heading2"/>
        <w:spacing w:line="363" w:lineRule="exact"/>
        <w:ind w:left="675" w:right="3093"/>
        <w:jc w:val="left"/>
        <w:rPr>
          <w:b w:val="0"/>
          <w:bCs w:val="0"/>
        </w:rPr>
      </w:pPr>
      <w:r>
        <w:rPr>
          <w:rFonts w:ascii="Times New Roman" w:hAnsi="Times New Roman" w:cs="Times New Roman" w:eastAsia="Times New Roman" w:hint="default"/>
        </w:rPr>
        <w:t>3</w:t>
      </w:r>
      <w:r>
        <w:rPr/>
        <w:t>、企业合并的会计处理方法</w:t>
      </w:r>
      <w:r>
        <w:rPr>
          <w:b w:val="0"/>
          <w:bCs w:val="0"/>
        </w:rPr>
      </w:r>
    </w:p>
    <w:p>
      <w:pPr>
        <w:pStyle w:val="BodyText"/>
        <w:spacing w:line="304" w:lineRule="auto" w:before="59"/>
        <w:ind w:right="236" w:firstLine="479"/>
        <w:jc w:val="both"/>
      </w:pPr>
      <w:r>
        <w:rPr>
          <w:spacing w:val="2"/>
        </w:rPr>
        <w:t>企业合并，是指将两个或两个以上单独的企业合并形成一个报告主体的交易或事</w:t>
      </w:r>
      <w:r>
        <w:rPr/>
        <w:t> 项。企业合并分为同一控制下企业合并和非同一控制下企业合并。</w:t>
      </w:r>
    </w:p>
    <w:p>
      <w:pPr>
        <w:pStyle w:val="BodyText"/>
        <w:tabs>
          <w:tab w:pos="1102" w:val="left" w:leader="none"/>
        </w:tabs>
        <w:spacing w:line="307" w:lineRule="auto"/>
        <w:ind w:left="622" w:right="236"/>
        <w:jc w:val="left"/>
      </w:pPr>
      <w:r>
        <w:rPr/>
        <w:t>⑴</w:t>
        <w:tab/>
        <w:t>同一控制下企业合并 </w:t>
      </w:r>
      <w:r>
        <w:rPr>
          <w:spacing w:val="2"/>
        </w:rPr>
        <w:t>参与合并的企业在合并前后均受同一方或相同的多方最终控制，且该控制并非暂</w:t>
      </w:r>
    </w:p>
    <w:p>
      <w:pPr>
        <w:pStyle w:val="BodyText"/>
        <w:spacing w:line="307" w:lineRule="auto" w:before="17"/>
        <w:ind w:right="50"/>
        <w:jc w:val="left"/>
      </w:pPr>
      <w:r>
        <w:rPr>
          <w:spacing w:val="2"/>
        </w:rPr>
        <w:t>时性的，为同一控制下的企业合并。在合并日取得对其他参与合并企业控制权的一方</w:t>
      </w:r>
      <w:r>
        <w:rPr>
          <w:spacing w:val="-97"/>
        </w:rPr>
        <w:t> </w:t>
      </w:r>
      <w:r>
        <w:rPr>
          <w:spacing w:val="-97"/>
        </w:rPr>
      </w:r>
      <w:r>
        <w:rPr/>
        <w:t>为合并方，参与合并的其他企业为被合并方。</w:t>
      </w:r>
    </w:p>
    <w:p>
      <w:pPr>
        <w:pStyle w:val="BodyText"/>
        <w:spacing w:line="304" w:lineRule="auto" w:before="19"/>
        <w:ind w:right="232" w:firstLine="479"/>
        <w:jc w:val="both"/>
      </w:pPr>
      <w:r>
        <w:rPr>
          <w:spacing w:val="2"/>
        </w:rPr>
        <w:t>合并方在企业合并中取得的资产和负债，按合并日在被合并方的账面价值计量。</w:t>
      </w:r>
      <w:r>
        <w:rPr/>
        <w:t> </w:t>
      </w:r>
      <w:r>
        <w:rPr>
          <w:spacing w:val="2"/>
        </w:rPr>
        <w:t>合并方取得的净资产账面价值与支付的合并对价的账面价值（或发行股份面值总额）</w:t>
      </w:r>
      <w:r>
        <w:rPr>
          <w:spacing w:val="-97"/>
        </w:rPr>
        <w:t> </w:t>
      </w:r>
      <w:r>
        <w:rPr>
          <w:spacing w:val="-97"/>
        </w:rPr>
      </w:r>
      <w:r>
        <w:rPr/>
        <w:t>的差额，调整资本公积中的股本溢价，股本溢价不足冲减的则调整留存收益。</w:t>
      </w:r>
    </w:p>
    <w:p>
      <w:pPr>
        <w:pStyle w:val="BodyText"/>
        <w:spacing w:line="240" w:lineRule="auto"/>
        <w:ind w:left="622" w:right="50"/>
        <w:jc w:val="left"/>
      </w:pPr>
      <w:r>
        <w:rPr/>
        <w:t>合并方为进行企业合并发生的各项直接费用，于发生时计入当期损益。</w:t>
      </w:r>
    </w:p>
    <w:p>
      <w:pPr>
        <w:pStyle w:val="BodyText"/>
        <w:spacing w:line="307" w:lineRule="auto" w:before="84"/>
        <w:ind w:left="622" w:right="50"/>
        <w:jc w:val="left"/>
      </w:pPr>
      <w:r>
        <w:rPr/>
        <w:t>⑵ 非同一控制下企业合并 </w:t>
      </w:r>
      <w:r>
        <w:rPr>
          <w:spacing w:val="2"/>
        </w:rPr>
        <w:t>参与合并的企业在合并前后不受同一方或相同的多方最终控制，为非同一控制下</w:t>
      </w:r>
    </w:p>
    <w:p>
      <w:pPr>
        <w:pStyle w:val="BodyText"/>
        <w:spacing w:line="304" w:lineRule="auto" w:before="19"/>
        <w:ind w:right="50"/>
        <w:jc w:val="left"/>
      </w:pPr>
      <w:r>
        <w:rPr>
          <w:spacing w:val="2"/>
        </w:rPr>
        <w:t>的企业合并。非同一控制下的企业合并，在购买日取得对其他参与合并企业控制权的</w:t>
      </w:r>
      <w:r>
        <w:rPr>
          <w:spacing w:val="-97"/>
        </w:rPr>
        <w:t> </w:t>
      </w:r>
      <w:r>
        <w:rPr>
          <w:spacing w:val="-97"/>
        </w:rPr>
      </w:r>
      <w:r>
        <w:rPr/>
        <w:t>一方为购买方，参与合并的其他企业为被购买方。</w:t>
      </w:r>
    </w:p>
    <w:p>
      <w:pPr>
        <w:pStyle w:val="BodyText"/>
        <w:spacing w:line="304" w:lineRule="auto"/>
        <w:ind w:right="224" w:firstLine="479"/>
        <w:jc w:val="both"/>
      </w:pPr>
      <w:r>
        <w:rPr>
          <w:spacing w:val="3"/>
        </w:rPr>
        <w:t>对于非同一控制下的企业合并，合并成本为购买日为取得被购买方的控制权而付</w:t>
      </w:r>
      <w:r>
        <w:rPr>
          <w:spacing w:val="2"/>
        </w:rPr>
        <w:t> 出的资产、发生或承担的负债以及发行的权益性工具的公允价值，以及为企业合并而</w:t>
      </w:r>
      <w:r>
        <w:rPr>
          <w:spacing w:val="-97"/>
        </w:rPr>
        <w:t> </w:t>
      </w:r>
      <w:r>
        <w:rPr>
          <w:spacing w:val="-97"/>
        </w:rPr>
      </w:r>
      <w:r>
        <w:rPr>
          <w:spacing w:val="2"/>
        </w:rPr>
        <w:t>发生的各项直接相关费用。通过多次交换交易分步实现的企业合并，合并成本为每一</w:t>
      </w:r>
      <w:r>
        <w:rPr>
          <w:spacing w:val="-97"/>
        </w:rPr>
        <w:t> </w:t>
      </w:r>
      <w:r>
        <w:rPr>
          <w:spacing w:val="-97"/>
        </w:rPr>
      </w:r>
      <w:r>
        <w:rPr>
          <w:spacing w:val="2"/>
        </w:rPr>
        <w:t>单项交易成本之和。在合并合同中对可能影响合并成本的未来事项作出约定的，购买</w:t>
      </w:r>
    </w:p>
    <w:p>
      <w:pPr>
        <w:spacing w:after="0" w:line="304" w:lineRule="auto"/>
        <w:jc w:val="both"/>
        <w:sectPr>
          <w:footerReference w:type="default" r:id="rId28"/>
          <w:pgSz w:w="11910" w:h="16840"/>
          <w:pgMar w:footer="1239" w:header="840" w:top="1160" w:bottom="1420" w:left="1480" w:right="1060"/>
          <w:pgNumType w:start="56"/>
        </w:sectPr>
      </w:pPr>
    </w:p>
    <w:p>
      <w:pPr>
        <w:spacing w:line="240" w:lineRule="auto" w:before="12"/>
        <w:rPr>
          <w:rFonts w:ascii="宋体" w:hAnsi="宋体" w:cs="宋体" w:eastAsia="宋体" w:hint="default"/>
          <w:sz w:val="21"/>
          <w:szCs w:val="21"/>
        </w:rPr>
      </w:pPr>
    </w:p>
    <w:p>
      <w:pPr>
        <w:pStyle w:val="BodyText"/>
        <w:spacing w:line="304" w:lineRule="auto" w:before="26"/>
        <w:ind w:right="152"/>
        <w:jc w:val="both"/>
      </w:pPr>
      <w:r>
        <w:rPr>
          <w:spacing w:val="2"/>
        </w:rPr>
        <w:t>日如果估计未来事项很可能发生并且对合并成本的影响金额能够可靠计量的，也计入</w:t>
      </w:r>
      <w:r>
        <w:rPr>
          <w:spacing w:val="-97"/>
        </w:rPr>
        <w:t> </w:t>
      </w:r>
      <w:r>
        <w:rPr>
          <w:spacing w:val="-97"/>
        </w:rPr>
      </w:r>
      <w:r>
        <w:rPr>
          <w:spacing w:val="2"/>
        </w:rPr>
        <w:t>合并成本。非同一控制下企业合并中所取得的被购买方符合确认条件的可辨认资产、</w:t>
      </w:r>
      <w:r>
        <w:rPr>
          <w:spacing w:val="-97"/>
        </w:rPr>
        <w:t> </w:t>
      </w:r>
      <w:r>
        <w:rPr>
          <w:spacing w:val="-97"/>
        </w:rPr>
      </w:r>
      <w:r>
        <w:rPr/>
        <w:t>负债及或有负债在购买日以公允价值计量。</w:t>
      </w:r>
    </w:p>
    <w:p>
      <w:pPr>
        <w:pStyle w:val="BodyText"/>
        <w:spacing w:line="304" w:lineRule="auto"/>
        <w:ind w:right="148" w:firstLine="479"/>
        <w:jc w:val="both"/>
      </w:pPr>
      <w:r>
        <w:rPr>
          <w:spacing w:val="2"/>
        </w:rPr>
        <w:t>合并成本大于合并中取得的被购买方可辨认净资产公允价值份额的差额，确认为</w:t>
      </w:r>
      <w:r>
        <w:rPr/>
        <w:t> </w:t>
      </w:r>
      <w:r>
        <w:rPr>
          <w:spacing w:val="2"/>
        </w:rPr>
        <w:t>商誉。合并成本小于合并中取得的被购买方可辨认净资产公允价值份额的，首先对取</w:t>
      </w:r>
      <w:r>
        <w:rPr>
          <w:spacing w:val="-93"/>
        </w:rPr>
        <w:t> </w:t>
      </w:r>
      <w:r>
        <w:rPr>
          <w:spacing w:val="-93"/>
        </w:rPr>
      </w:r>
      <w:r>
        <w:rPr>
          <w:spacing w:val="2"/>
        </w:rPr>
        <w:t>得的被购买方各项可辨认资产、负债及或有负债的公允价值以及合并成本的计量进行</w:t>
      </w:r>
      <w:r>
        <w:rPr>
          <w:spacing w:val="-97"/>
        </w:rPr>
        <w:t> </w:t>
      </w:r>
      <w:r>
        <w:rPr>
          <w:spacing w:val="-97"/>
        </w:rPr>
      </w:r>
      <w:r>
        <w:rPr>
          <w:spacing w:val="2"/>
        </w:rPr>
        <w:t>复核，复核后合并成本仍小于合并中取得的被购买方可辨认净资产公允价值份额的，</w:t>
      </w:r>
      <w:r>
        <w:rPr>
          <w:spacing w:val="-97"/>
        </w:rPr>
        <w:t> </w:t>
      </w:r>
      <w:r>
        <w:rPr>
          <w:spacing w:val="-97"/>
        </w:rPr>
      </w:r>
      <w:r>
        <w:rPr/>
        <w:t>计入当期损益。</w:t>
      </w:r>
    </w:p>
    <w:p>
      <w:pPr>
        <w:pStyle w:val="Heading2"/>
        <w:spacing w:line="361" w:lineRule="exact"/>
        <w:ind w:left="675" w:right="145"/>
        <w:jc w:val="left"/>
        <w:rPr>
          <w:b w:val="0"/>
          <w:bCs w:val="0"/>
        </w:rPr>
      </w:pPr>
      <w:r>
        <w:rPr>
          <w:rFonts w:ascii="Times New Roman" w:hAnsi="Times New Roman" w:cs="Times New Roman" w:eastAsia="Times New Roman" w:hint="default"/>
        </w:rPr>
        <w:t>4</w:t>
      </w:r>
      <w:r>
        <w:rPr/>
        <w:t>、合并财务报表的编制方法</w:t>
      </w:r>
      <w:r>
        <w:rPr>
          <w:b w:val="0"/>
          <w:bCs w:val="0"/>
        </w:rPr>
      </w:r>
    </w:p>
    <w:p>
      <w:pPr>
        <w:pStyle w:val="BodyText"/>
        <w:tabs>
          <w:tab w:pos="1102" w:val="left" w:leader="none"/>
        </w:tabs>
        <w:spacing w:line="307" w:lineRule="auto" w:before="60"/>
        <w:ind w:left="622" w:right="156"/>
        <w:jc w:val="left"/>
      </w:pPr>
      <w:r>
        <w:rPr/>
        <w:t>⑴</w:t>
        <w:tab/>
        <w:t>合并财务报表范围的确定原则 </w:t>
      </w:r>
      <w:r>
        <w:rPr>
          <w:spacing w:val="2"/>
        </w:rPr>
        <w:t>合并财务报表的合并范围以控制为基础予以确定。控制是指本公司能够决定被投</w:t>
      </w:r>
    </w:p>
    <w:p>
      <w:pPr>
        <w:pStyle w:val="BodyText"/>
        <w:spacing w:line="290" w:lineRule="auto" w:before="17"/>
        <w:ind w:right="144"/>
        <w:jc w:val="both"/>
      </w:pPr>
      <w:r>
        <w:rPr/>
        <w:t>资单位的财务和经营政策</w:t>
      </w:r>
      <w:r>
        <w:rPr>
          <w:rFonts w:ascii="Times New Roman" w:hAnsi="Times New Roman" w:cs="Times New Roman" w:eastAsia="Times New Roman" w:hint="default"/>
        </w:rPr>
        <w:t>,</w:t>
      </w:r>
      <w:r>
        <w:rPr/>
        <w:t>并能据以从被投资单位的经营活动中获取利益的权力。合并</w:t>
      </w:r>
      <w:r>
        <w:rPr>
          <w:spacing w:val="-69"/>
        </w:rPr>
        <w:t> </w:t>
      </w:r>
      <w:r>
        <w:rPr>
          <w:spacing w:val="-69"/>
        </w:rPr>
      </w:r>
      <w:r>
        <w:rPr/>
        <w:t>范围包括本公司及全部子公司。子公司，是指被本公司控制的企业或主体。</w:t>
      </w:r>
    </w:p>
    <w:p>
      <w:pPr>
        <w:pStyle w:val="BodyText"/>
        <w:tabs>
          <w:tab w:pos="1102" w:val="left" w:leader="none"/>
        </w:tabs>
        <w:spacing w:line="304" w:lineRule="auto" w:before="36"/>
        <w:ind w:left="982" w:right="145" w:hanging="360"/>
        <w:jc w:val="left"/>
      </w:pPr>
      <w:r>
        <w:rPr/>
        <w:t>⑵</w:t>
        <w:tab/>
        <w:tab/>
        <w:t>合并财务报表编制的方法 从取得子公司的净资产和生产经营决策的实际控制权之日起，本集团开始将其</w:t>
      </w:r>
    </w:p>
    <w:p>
      <w:pPr>
        <w:pStyle w:val="BodyText"/>
        <w:spacing w:line="304" w:lineRule="auto"/>
        <w:ind w:right="152"/>
        <w:jc w:val="both"/>
      </w:pPr>
      <w:r>
        <w:rPr>
          <w:spacing w:val="2"/>
        </w:rPr>
        <w:t>纳入合并范围；从丧失实际控制权之日起停止纳入合并范围。对于处臵的子公司，处</w:t>
      </w:r>
      <w:r>
        <w:rPr>
          <w:spacing w:val="-97"/>
        </w:rPr>
        <w:t> </w:t>
      </w:r>
      <w:r>
        <w:rPr>
          <w:spacing w:val="-97"/>
        </w:rPr>
      </w:r>
      <w:r>
        <w:rPr>
          <w:spacing w:val="2"/>
        </w:rPr>
        <w:t>臵日前的经营成果和现金流量已经适当地包括在合并利润表和合并现金流量表中；当</w:t>
      </w:r>
      <w:r>
        <w:rPr>
          <w:spacing w:val="-97"/>
        </w:rPr>
        <w:t> </w:t>
      </w:r>
      <w:r>
        <w:rPr>
          <w:spacing w:val="-97"/>
        </w:rPr>
      </w:r>
      <w:r>
        <w:rPr>
          <w:spacing w:val="2"/>
        </w:rPr>
        <w:t>期处臵的子公司，不调整合并资产负债表的期初数。非同一控制下企业合并增加的子</w:t>
      </w:r>
      <w:r>
        <w:rPr>
          <w:spacing w:val="-97"/>
        </w:rPr>
        <w:t> </w:t>
      </w:r>
      <w:r>
        <w:rPr>
          <w:spacing w:val="-97"/>
        </w:rPr>
      </w:r>
      <w:r>
        <w:rPr>
          <w:spacing w:val="2"/>
        </w:rPr>
        <w:t>公司，其购买日后的经营成果及现金流量已经适当地包括在合并利润表和合并现金流</w:t>
      </w:r>
      <w:r>
        <w:rPr>
          <w:spacing w:val="-97"/>
        </w:rPr>
        <w:t> </w:t>
      </w:r>
      <w:r>
        <w:rPr>
          <w:spacing w:val="-97"/>
        </w:rPr>
      </w:r>
      <w:r>
        <w:rPr>
          <w:spacing w:val="2"/>
        </w:rPr>
        <w:t>量表中，且不调整合并财务报表的期初数和对比数。同一控制下企业合并增加的子公</w:t>
      </w:r>
      <w:r>
        <w:rPr>
          <w:spacing w:val="-97"/>
        </w:rPr>
        <w:t> </w:t>
      </w:r>
      <w:r>
        <w:rPr>
          <w:spacing w:val="-97"/>
        </w:rPr>
      </w:r>
      <w:r>
        <w:rPr>
          <w:spacing w:val="2"/>
        </w:rPr>
        <w:t>司，其自合并当期期初至合并日的经营成果和现金流量已经适当地包括在合并利润表</w:t>
      </w:r>
      <w:r>
        <w:rPr>
          <w:spacing w:val="-97"/>
        </w:rPr>
        <w:t> </w:t>
      </w:r>
      <w:r>
        <w:rPr>
          <w:spacing w:val="-97"/>
        </w:rPr>
      </w:r>
      <w:r>
        <w:rPr/>
        <w:t>和合并现金流量表中，并且同时调整合并财务报表的对比数。</w:t>
      </w:r>
    </w:p>
    <w:p>
      <w:pPr>
        <w:pStyle w:val="BodyText"/>
        <w:spacing w:line="304" w:lineRule="auto"/>
        <w:ind w:right="152" w:firstLine="479"/>
        <w:jc w:val="both"/>
      </w:pPr>
      <w:r>
        <w:rPr>
          <w:spacing w:val="2"/>
        </w:rPr>
        <w:t>在编制合并财务报表时，子公司与本公司采用的会计政策或会计期间不一致的，</w:t>
      </w:r>
      <w:r>
        <w:rPr/>
        <w:t> </w:t>
      </w:r>
      <w:r>
        <w:rPr>
          <w:spacing w:val="2"/>
        </w:rPr>
        <w:t>按照本公司的会计政策和会计期间对子公司财务报表进行必要的调整。对于非同一控</w:t>
      </w:r>
      <w:r>
        <w:rPr>
          <w:spacing w:val="-97"/>
        </w:rPr>
        <w:t> </w:t>
      </w:r>
      <w:r>
        <w:rPr>
          <w:spacing w:val="-97"/>
        </w:rPr>
      </w:r>
      <w:r>
        <w:rPr>
          <w:spacing w:val="2"/>
        </w:rPr>
        <w:t>制下企业合并取得的子公司，以购买日可辨认净资产公允价值为基础对其财务报表进</w:t>
      </w:r>
      <w:r>
        <w:rPr>
          <w:spacing w:val="-97"/>
        </w:rPr>
        <w:t> </w:t>
      </w:r>
      <w:r>
        <w:rPr>
          <w:spacing w:val="-97"/>
        </w:rPr>
      </w:r>
      <w:r>
        <w:rPr/>
        <w:t>行调整。</w:t>
      </w:r>
    </w:p>
    <w:p>
      <w:pPr>
        <w:pStyle w:val="BodyText"/>
        <w:spacing w:line="307" w:lineRule="auto" w:before="19"/>
        <w:ind w:left="622" w:right="145"/>
        <w:jc w:val="left"/>
      </w:pPr>
      <w:r>
        <w:rPr/>
        <w:t>集团内所有重大往来余额、交易及未实现利润在合并财务报表编制时予以抵销。 </w:t>
      </w:r>
      <w:r>
        <w:rPr>
          <w:spacing w:val="2"/>
        </w:rPr>
        <w:t>子公司的股东权益及当期净损益中不属于本公司所拥有的部分分别作为少数股东</w:t>
      </w:r>
    </w:p>
    <w:p>
      <w:pPr>
        <w:pStyle w:val="BodyText"/>
        <w:spacing w:line="300" w:lineRule="auto" w:before="19"/>
        <w:ind w:right="141"/>
        <w:jc w:val="both"/>
      </w:pPr>
      <w:r>
        <w:rPr>
          <w:spacing w:val="2"/>
        </w:rPr>
        <w:t>权益及少数股东损益在合并财务报表中股东权益及净利润项下单独列示。子公司当期</w:t>
      </w:r>
      <w:r>
        <w:rPr>
          <w:spacing w:val="-97"/>
        </w:rPr>
        <w:t> </w:t>
      </w:r>
      <w:r>
        <w:rPr>
          <w:spacing w:val="-97"/>
        </w:rPr>
      </w:r>
      <w:r>
        <w:rPr>
          <w:spacing w:val="3"/>
        </w:rPr>
        <w:t>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4"/>
        </w:rPr>
        <w:t> </w:t>
      </w:r>
      <w:r>
        <w:rPr>
          <w:spacing w:val="2"/>
        </w:rPr>
        <w:t>项目列示。少数股东分担的子公司的亏损超过了少数股东在该子公司期初所有者权益</w:t>
      </w:r>
      <w:r>
        <w:rPr>
          <w:spacing w:val="-97"/>
        </w:rPr>
        <w:t> </w:t>
      </w:r>
      <w:r>
        <w:rPr>
          <w:spacing w:val="-97"/>
        </w:rPr>
      </w:r>
      <w:r>
        <w:rPr/>
        <w:t>中所享有的份额，冲减少数股东权益。</w:t>
      </w:r>
    </w:p>
    <w:p>
      <w:pPr>
        <w:pStyle w:val="Heading2"/>
        <w:spacing w:line="366" w:lineRule="exact"/>
        <w:ind w:left="675" w:right="145"/>
        <w:jc w:val="left"/>
        <w:rPr>
          <w:b w:val="0"/>
          <w:bCs w:val="0"/>
        </w:rPr>
      </w:pPr>
      <w:r>
        <w:rPr>
          <w:rFonts w:ascii="Times New Roman" w:hAnsi="Times New Roman" w:cs="Times New Roman" w:eastAsia="Times New Roman" w:hint="default"/>
        </w:rPr>
        <w:t>5</w:t>
      </w:r>
      <w:r>
        <w:rPr/>
        <w:t>、现金及现金等价物的确定标准</w:t>
      </w:r>
      <w:r>
        <w:rPr>
          <w:b w:val="0"/>
          <w:bCs w:val="0"/>
        </w:rPr>
      </w:r>
    </w:p>
    <w:p>
      <w:pPr>
        <w:pStyle w:val="BodyText"/>
        <w:spacing w:line="240" w:lineRule="auto" w:before="59"/>
        <w:ind w:left="622" w:right="145"/>
        <w:jc w:val="left"/>
      </w:pPr>
      <w:r>
        <w:rPr>
          <w:spacing w:val="2"/>
        </w:rPr>
        <w:t>本集团现金及现金等价物包括库存现金、可以随时用于支付的存款以及本集团持</w:t>
      </w:r>
    </w:p>
    <w:p>
      <w:pPr>
        <w:spacing w:after="0" w:line="240" w:lineRule="auto"/>
        <w:jc w:val="left"/>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pStyle w:val="BodyText"/>
        <w:spacing w:line="307" w:lineRule="auto" w:before="26"/>
        <w:ind w:right="203"/>
        <w:jc w:val="both"/>
      </w:pPr>
      <w:r>
        <w:rPr>
          <w:spacing w:val="-4"/>
        </w:rPr>
        <w:t>有的期限短（一般为从购买日起，三个月内到期）、流动性强、易于转换为已知金额的</w:t>
      </w:r>
      <w:r>
        <w:rPr>
          <w:spacing w:val="-91"/>
        </w:rPr>
        <w:t> </w:t>
      </w:r>
      <w:r>
        <w:rPr>
          <w:spacing w:val="-91"/>
        </w:rPr>
      </w:r>
      <w:r>
        <w:rPr/>
        <w:t>现金、价值变动风险很小的投资。</w:t>
      </w:r>
    </w:p>
    <w:p>
      <w:pPr>
        <w:pStyle w:val="Heading2"/>
        <w:spacing w:line="359" w:lineRule="exact"/>
        <w:ind w:left="675" w:right="2464"/>
        <w:jc w:val="left"/>
        <w:rPr>
          <w:b w:val="0"/>
          <w:bCs w:val="0"/>
        </w:rPr>
      </w:pPr>
      <w:r>
        <w:rPr>
          <w:rFonts w:ascii="Times New Roman" w:hAnsi="Times New Roman" w:cs="Times New Roman" w:eastAsia="Times New Roman" w:hint="default"/>
        </w:rPr>
        <w:t>6</w:t>
      </w:r>
      <w:r>
        <w:rPr/>
        <w:t>、外币业务和外币报表折算</w:t>
      </w:r>
      <w:r>
        <w:rPr>
          <w:b w:val="0"/>
          <w:bCs w:val="0"/>
        </w:rPr>
      </w:r>
    </w:p>
    <w:p>
      <w:pPr>
        <w:pStyle w:val="BodyText"/>
        <w:tabs>
          <w:tab w:pos="1102" w:val="left" w:leader="none"/>
        </w:tabs>
        <w:spacing w:line="307" w:lineRule="auto" w:before="59"/>
        <w:ind w:left="622" w:right="216"/>
        <w:jc w:val="left"/>
      </w:pPr>
      <w:r>
        <w:rPr/>
        <w:t>⑴</w:t>
        <w:tab/>
        <w:t>外币交易的折算方法 </w:t>
      </w:r>
      <w:r>
        <w:rPr>
          <w:spacing w:val="2"/>
        </w:rPr>
        <w:t>本集团发生的外币交易在初始确认时，按交易日的即期汇率（通常指中国人民银</w:t>
      </w:r>
    </w:p>
    <w:p>
      <w:pPr>
        <w:pStyle w:val="BodyText"/>
        <w:spacing w:line="307" w:lineRule="auto" w:before="17"/>
        <w:ind w:right="209"/>
        <w:jc w:val="both"/>
      </w:pPr>
      <w:r>
        <w:rPr>
          <w:spacing w:val="2"/>
        </w:rPr>
        <w:t>行公布的当日外汇牌价的中间价，下同）折算为记账本位币金额，但公司发生的外币</w:t>
      </w:r>
      <w:r>
        <w:rPr>
          <w:spacing w:val="-94"/>
        </w:rPr>
        <w:t> </w:t>
      </w:r>
      <w:r>
        <w:rPr>
          <w:spacing w:val="-94"/>
        </w:rPr>
      </w:r>
      <w:r>
        <w:rPr/>
        <w:t>兑换业务或涉及外币兑换的交易事项，按照实际采用的汇率折算为记账本位币金额。</w:t>
      </w:r>
    </w:p>
    <w:p>
      <w:pPr>
        <w:pStyle w:val="BodyText"/>
        <w:tabs>
          <w:tab w:pos="1102" w:val="left" w:leader="none"/>
        </w:tabs>
        <w:spacing w:line="304" w:lineRule="auto" w:before="19"/>
        <w:ind w:left="622" w:right="216"/>
        <w:jc w:val="left"/>
      </w:pPr>
      <w:r>
        <w:rPr/>
        <w:t>⑵</w:t>
        <w:tab/>
        <w:t>对于外币货币性项目和外币非货币性项目的折算方法 </w:t>
      </w:r>
      <w:r>
        <w:rPr>
          <w:spacing w:val="2"/>
        </w:rPr>
        <w:t>资产负债表日，对于外币货币性项目采用资产负债表日即期汇率折算，由此产生</w:t>
      </w:r>
    </w:p>
    <w:p>
      <w:pPr>
        <w:pStyle w:val="BodyText"/>
        <w:spacing w:line="304" w:lineRule="auto"/>
        <w:ind w:right="207"/>
        <w:jc w:val="both"/>
      </w:pPr>
      <w:r>
        <w:rPr>
          <w:spacing w:val="2"/>
        </w:rPr>
        <w:t>的汇兑差额，除：</w:t>
      </w:r>
      <w:r>
        <w:rPr>
          <w:rFonts w:ascii="宋体" w:hAnsi="宋体" w:cs="宋体" w:eastAsia="宋体" w:hint="default"/>
          <w:spacing w:val="2"/>
        </w:rPr>
        <w:t>⑴</w:t>
      </w:r>
      <w:r>
        <w:rPr>
          <w:spacing w:val="2"/>
        </w:rPr>
        <w:t>属于与购建符合资本化条件的资产相关的外币专门借款产生的汇</w:t>
      </w:r>
      <w:r>
        <w:rPr>
          <w:spacing w:val="-94"/>
        </w:rPr>
        <w:t> </w:t>
      </w:r>
      <w:r>
        <w:rPr>
          <w:spacing w:val="-94"/>
        </w:rPr>
      </w:r>
      <w:r>
        <w:rPr>
          <w:spacing w:val="2"/>
        </w:rPr>
        <w:t>兑差额按照借款费用资本化的原则处理；</w:t>
      </w:r>
      <w:r>
        <w:rPr>
          <w:rFonts w:ascii="宋体" w:hAnsi="宋体" w:cs="宋体" w:eastAsia="宋体" w:hint="default"/>
          <w:spacing w:val="2"/>
        </w:rPr>
        <w:t>⑵</w:t>
      </w:r>
      <w:r>
        <w:rPr>
          <w:spacing w:val="2"/>
        </w:rPr>
        <w:t>可供出售的外币货币性项目除摊余成本之</w:t>
      </w:r>
      <w:r>
        <w:rPr>
          <w:spacing w:val="-92"/>
        </w:rPr>
        <w:t> </w:t>
      </w:r>
      <w:r>
        <w:rPr>
          <w:spacing w:val="-92"/>
        </w:rPr>
      </w:r>
      <w:r>
        <w:rPr/>
        <w:t>外的其他账面余额变动产生的汇兑差额计入其他综合收益之外，均计入当期损益。</w:t>
      </w:r>
    </w:p>
    <w:p>
      <w:pPr>
        <w:pStyle w:val="BodyText"/>
        <w:spacing w:line="304" w:lineRule="auto"/>
        <w:ind w:right="210" w:firstLine="479"/>
        <w:jc w:val="both"/>
      </w:pPr>
      <w:r>
        <w:rPr>
          <w:spacing w:val="2"/>
        </w:rPr>
        <w:t>以历史成本计量的外币非货币性项目，仍采用交易发生日的即期汇率折算的记账</w:t>
      </w:r>
      <w:r>
        <w:rPr/>
        <w:t> </w:t>
      </w:r>
      <w:r>
        <w:rPr>
          <w:spacing w:val="2"/>
        </w:rPr>
        <w:t>本位币金额计量。以公允价值计量的外币非货币性项目，采用公允价值确定日的即期</w:t>
      </w:r>
      <w:r>
        <w:rPr>
          <w:spacing w:val="-97"/>
        </w:rPr>
        <w:t> </w:t>
      </w:r>
      <w:r>
        <w:rPr>
          <w:spacing w:val="-97"/>
        </w:rPr>
      </w:r>
      <w:r>
        <w:rPr>
          <w:spacing w:val="2"/>
        </w:rPr>
        <w:t>汇率折算，折算后的记账本位币金额与原记账本位币金额的差额，作为公允价值变动</w:t>
      </w:r>
    </w:p>
    <w:p>
      <w:pPr>
        <w:pStyle w:val="BodyText"/>
        <w:spacing w:line="240" w:lineRule="auto"/>
        <w:ind w:right="0"/>
        <w:jc w:val="both"/>
      </w:pPr>
      <w:r>
        <w:rPr/>
        <w:t>（含汇率变动）处理，计入当期损益或确认为其他综合收益并计入资本公积。</w:t>
      </w:r>
    </w:p>
    <w:p>
      <w:pPr>
        <w:pStyle w:val="BodyText"/>
        <w:tabs>
          <w:tab w:pos="1102" w:val="left" w:leader="none"/>
        </w:tabs>
        <w:spacing w:line="304" w:lineRule="auto" w:before="86"/>
        <w:ind w:left="622" w:right="216"/>
        <w:jc w:val="left"/>
      </w:pPr>
      <w:r>
        <w:rPr/>
        <w:t>⑶</w:t>
        <w:tab/>
        <w:t>外币财务报表的折算方法 </w:t>
      </w:r>
      <w:r>
        <w:rPr>
          <w:spacing w:val="2"/>
        </w:rPr>
        <w:t>编制合并财务报表涉及境外经营的，如有实质上构成对境外经营净投资的外币货</w:t>
      </w:r>
    </w:p>
    <w:p>
      <w:pPr>
        <w:pStyle w:val="BodyText"/>
        <w:spacing w:line="290" w:lineRule="auto"/>
        <w:ind w:right="108"/>
        <w:jc w:val="both"/>
      </w:pPr>
      <w:r>
        <w:rPr/>
        <w:t>币性项目，因汇率变动而产生的汇兑差额，列入所有者权益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处臵境外经营时，计入处臵当期损益。</w:t>
      </w:r>
    </w:p>
    <w:p>
      <w:pPr>
        <w:pStyle w:val="BodyText"/>
        <w:spacing w:line="304" w:lineRule="auto" w:before="34"/>
        <w:ind w:right="204" w:firstLine="479"/>
        <w:jc w:val="both"/>
      </w:pPr>
      <w:r>
        <w:rPr>
          <w:spacing w:val="2"/>
        </w:rPr>
        <w:t>境外经营的外币财务报表按以下方法折算为人民币报表：资产负债表中的资产和</w:t>
      </w:r>
      <w:r>
        <w:rPr/>
        <w:t> </w:t>
      </w:r>
      <w:r>
        <w:rPr>
          <w:spacing w:val="-3"/>
        </w:rPr>
        <w:t>负债项目，采用资产负债表日的即期汇率折算；所有者权益类项目除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w:t>
      </w:r>
      <w:r>
        <w:rPr>
          <w:spacing w:val="-101"/>
        </w:rPr>
        <w:t> </w:t>
      </w:r>
      <w:r>
        <w:rPr>
          <w:spacing w:val="2"/>
        </w:rPr>
        <w:t>外，其他项目采用发生时的即期汇率折算。利润表中的收入和费用项目，采用交易发</w:t>
      </w:r>
      <w:r>
        <w:rPr>
          <w:spacing w:val="-97"/>
        </w:rPr>
        <w:t> </w:t>
      </w:r>
      <w:r>
        <w:rPr>
          <w:spacing w:val="-97"/>
        </w:rPr>
      </w:r>
      <w:r>
        <w:rPr>
          <w:spacing w:val="2"/>
        </w:rPr>
        <w:t>生日的即期汇率折算。年初未分配利润为上一年折算后的年末未分配利润；年末未分</w:t>
      </w:r>
      <w:r>
        <w:rPr>
          <w:spacing w:val="-97"/>
        </w:rPr>
        <w:t> </w:t>
      </w:r>
      <w:r>
        <w:rPr>
          <w:spacing w:val="-97"/>
        </w:rPr>
      </w:r>
      <w:r>
        <w:rPr>
          <w:spacing w:val="2"/>
        </w:rPr>
        <w:t>配利润按折算后的利润分配各项目计算列示；折算后资产类项目与负债类项目和股东</w:t>
      </w:r>
      <w:r>
        <w:rPr>
          <w:spacing w:val="-97"/>
        </w:rPr>
        <w:t> </w:t>
      </w:r>
      <w:r>
        <w:rPr>
          <w:spacing w:val="-97"/>
        </w:rPr>
      </w:r>
      <w:r>
        <w:rPr>
          <w:spacing w:val="2"/>
        </w:rPr>
        <w:t>权益类项目合计数的差额，作为外币报表折算差额，确认为其他综合收益并在资产负</w:t>
      </w:r>
      <w:r>
        <w:rPr>
          <w:spacing w:val="-97"/>
        </w:rPr>
        <w:t> </w:t>
      </w:r>
      <w:r>
        <w:rPr>
          <w:spacing w:val="-97"/>
        </w:rPr>
      </w:r>
      <w:r>
        <w:rPr>
          <w:spacing w:val="2"/>
        </w:rPr>
        <w:t>债表中股东权益项目下单独列示。处臵境外经营并丧失控制权时，将资产负债表中股</w:t>
      </w:r>
      <w:r>
        <w:rPr>
          <w:spacing w:val="-97"/>
        </w:rPr>
        <w:t> </w:t>
      </w:r>
      <w:r>
        <w:rPr>
          <w:spacing w:val="-97"/>
        </w:rPr>
      </w:r>
      <w:r>
        <w:rPr>
          <w:spacing w:val="2"/>
        </w:rPr>
        <w:t>东权益项目下列示的、与该境外经营相关的外币报表折算差额，全部或按处臵该境外</w:t>
      </w:r>
      <w:r>
        <w:rPr>
          <w:spacing w:val="-90"/>
        </w:rPr>
        <w:t> </w:t>
      </w:r>
      <w:r>
        <w:rPr>
          <w:spacing w:val="-90"/>
        </w:rPr>
      </w:r>
      <w:r>
        <w:rPr/>
        <w:t>经营的比例转入处臵当期损益。</w:t>
      </w:r>
    </w:p>
    <w:p>
      <w:pPr>
        <w:pStyle w:val="BodyText"/>
        <w:spacing w:line="307" w:lineRule="auto" w:before="19"/>
        <w:ind w:right="216" w:firstLine="479"/>
        <w:jc w:val="both"/>
      </w:pPr>
      <w:r>
        <w:rPr>
          <w:spacing w:val="2"/>
        </w:rPr>
        <w:t>外币现金流量，采用现金流量发生日的即期汇率折算。汇率变动对现金的影响额</w:t>
      </w:r>
      <w:r>
        <w:rPr/>
        <w:t> 作为调节项目，在现金流量表中单独列报。</w:t>
      </w:r>
    </w:p>
    <w:p>
      <w:pPr>
        <w:pStyle w:val="BodyText"/>
        <w:spacing w:line="247" w:lineRule="auto" w:before="19"/>
        <w:ind w:left="675" w:right="2464" w:hanging="53"/>
        <w:jc w:val="left"/>
        <w:rPr>
          <w:rFonts w:ascii="Microsoft JhengHei" w:hAnsi="Microsoft JhengHei" w:cs="Microsoft JhengHei" w:eastAsia="Microsoft JhengHei" w:hint="default"/>
        </w:rPr>
      </w:pPr>
      <w:r>
        <w:rPr/>
        <w:t>年初数和上年实际数按照上年财务报表折算后的数额列示。 </w:t>
      </w:r>
      <w:r>
        <w:rPr>
          <w:rFonts w:ascii="Times New Roman" w:hAnsi="Times New Roman" w:cs="Times New Roman" w:eastAsia="Times New Roman" w:hint="default"/>
          <w:b/>
          <w:bCs/>
          <w:spacing w:val="2"/>
        </w:rPr>
        <w:t>7</w:t>
      </w:r>
      <w:r>
        <w:rPr>
          <w:rFonts w:ascii="Microsoft JhengHei" w:hAnsi="Microsoft JhengHei" w:cs="Microsoft JhengHei" w:eastAsia="Microsoft JhengHei" w:hint="default"/>
          <w:b/>
          <w:bCs/>
          <w:spacing w:val="2"/>
        </w:rPr>
        <w:t>、金融工具</w:t>
      </w:r>
      <w:r>
        <w:rPr>
          <w:rFonts w:ascii="Microsoft JhengHei" w:hAnsi="Microsoft JhengHei" w:cs="Microsoft JhengHei" w:eastAsia="Microsoft JhengHei" w:hint="default"/>
          <w:spacing w:val="2"/>
        </w:rPr>
      </w:r>
    </w:p>
    <w:p>
      <w:pPr>
        <w:pStyle w:val="BodyText"/>
        <w:tabs>
          <w:tab w:pos="1102" w:val="left" w:leader="none"/>
        </w:tabs>
        <w:spacing w:line="240" w:lineRule="auto" w:before="49"/>
        <w:ind w:left="622" w:right="2464"/>
        <w:jc w:val="left"/>
      </w:pPr>
      <w:r>
        <w:rPr/>
        <w:t>⑴</w:t>
        <w:tab/>
        <w:t>金融资产和金融负债的公允价值确定方法</w:t>
      </w:r>
    </w:p>
    <w:p>
      <w:pPr>
        <w:spacing w:after="0" w:line="240" w:lineRule="auto"/>
        <w:jc w:val="left"/>
        <w:sectPr>
          <w:pgSz w:w="11910" w:h="16840"/>
          <w:pgMar w:header="840" w:footer="1239" w:top="1160" w:bottom="1420" w:left="1480" w:right="1080"/>
        </w:sectPr>
      </w:pPr>
    </w:p>
    <w:p>
      <w:pPr>
        <w:spacing w:line="240" w:lineRule="auto" w:before="12"/>
        <w:rPr>
          <w:rFonts w:ascii="宋体" w:hAnsi="宋体" w:cs="宋体" w:eastAsia="宋体" w:hint="default"/>
          <w:sz w:val="21"/>
          <w:szCs w:val="21"/>
        </w:rPr>
      </w:pPr>
    </w:p>
    <w:p>
      <w:pPr>
        <w:pStyle w:val="BodyText"/>
        <w:spacing w:line="304" w:lineRule="auto" w:before="26"/>
        <w:ind w:right="148" w:firstLine="479"/>
        <w:jc w:val="both"/>
      </w:pPr>
      <w:r>
        <w:rPr>
          <w:spacing w:val="2"/>
        </w:rPr>
        <w:t>公允价值，指在公平交易中，熟悉情况的交易双方自愿进行资产交换或债务清偿</w:t>
      </w:r>
      <w:r>
        <w:rPr/>
        <w:t> </w:t>
      </w:r>
      <w:r>
        <w:rPr>
          <w:spacing w:val="2"/>
        </w:rPr>
        <w:t>的金额。金融工具存在活跃市场的，本集团采用活跃市场中的报价确定其公允价值。</w:t>
      </w:r>
      <w:r>
        <w:rPr>
          <w:spacing w:val="-97"/>
        </w:rPr>
        <w:t> </w:t>
      </w:r>
      <w:r>
        <w:rPr>
          <w:spacing w:val="-97"/>
        </w:rPr>
      </w:r>
      <w:r>
        <w:rPr>
          <w:spacing w:val="2"/>
        </w:rPr>
        <w:t>活跃市场中的报价是指易于定期从交易所、经纪商、行业协会、定价服务机构等获得</w:t>
      </w:r>
      <w:r>
        <w:rPr>
          <w:spacing w:val="-97"/>
        </w:rPr>
        <w:t> </w:t>
      </w:r>
      <w:r>
        <w:rPr>
          <w:spacing w:val="-97"/>
        </w:rPr>
      </w:r>
      <w:r>
        <w:rPr>
          <w:spacing w:val="2"/>
        </w:rPr>
        <w:t>的价格，且代表了在公平交易中实际发生的市场交易的价格。金融工具不存在活跃市</w:t>
      </w:r>
      <w:r>
        <w:rPr>
          <w:spacing w:val="-94"/>
        </w:rPr>
        <w:t> </w:t>
      </w:r>
      <w:r>
        <w:rPr>
          <w:spacing w:val="-94"/>
        </w:rPr>
      </w:r>
      <w:r>
        <w:rPr>
          <w:spacing w:val="2"/>
        </w:rPr>
        <w:t>场的，本集团采用估值技术确定其公允价值。估值技术包括参考熟悉情况并自愿交易</w:t>
      </w:r>
      <w:r>
        <w:rPr>
          <w:spacing w:val="-97"/>
        </w:rPr>
        <w:t> </w:t>
      </w:r>
      <w:r>
        <w:rPr>
          <w:spacing w:val="-97"/>
        </w:rPr>
      </w:r>
      <w:r>
        <w:rPr>
          <w:spacing w:val="2"/>
        </w:rPr>
        <w:t>的各方最近进行的市场交易中使用的价格、参照实质上相同的其他金融工具当前的公</w:t>
      </w:r>
      <w:r>
        <w:rPr>
          <w:spacing w:val="-97"/>
        </w:rPr>
        <w:t> </w:t>
      </w:r>
      <w:r>
        <w:rPr>
          <w:spacing w:val="-97"/>
        </w:rPr>
      </w:r>
      <w:r>
        <w:rPr/>
        <w:t>允价值、现金流量折现法和期权定价模型等。</w:t>
      </w:r>
    </w:p>
    <w:p>
      <w:pPr>
        <w:pStyle w:val="BodyText"/>
        <w:tabs>
          <w:tab w:pos="1102" w:val="left" w:leader="none"/>
        </w:tabs>
        <w:spacing w:line="304" w:lineRule="auto"/>
        <w:ind w:left="622" w:right="156"/>
        <w:jc w:val="left"/>
      </w:pPr>
      <w:r>
        <w:rPr/>
        <w:t>⑵</w:t>
        <w:tab/>
        <w:t>金融资产的分类、确认和计量 </w:t>
      </w:r>
      <w:r>
        <w:rPr>
          <w:spacing w:val="2"/>
        </w:rPr>
        <w:t>以常规方式买卖金融资产，按交易日进行会计确认和终止确认。金融资产在初始</w:t>
      </w:r>
    </w:p>
    <w:p>
      <w:pPr>
        <w:pStyle w:val="BodyText"/>
        <w:spacing w:line="304" w:lineRule="auto"/>
        <w:ind w:right="148"/>
        <w:jc w:val="both"/>
      </w:pPr>
      <w:r>
        <w:rPr>
          <w:spacing w:val="2"/>
        </w:rPr>
        <w:t>确认时划分为以公允价值计量且其变动计入当期损益的金融资产、持有至到期投资、</w:t>
      </w:r>
      <w:r>
        <w:rPr>
          <w:spacing w:val="-97"/>
        </w:rPr>
        <w:t> </w:t>
      </w:r>
      <w:r>
        <w:rPr>
          <w:spacing w:val="-97"/>
        </w:rPr>
      </w:r>
      <w:r>
        <w:rPr>
          <w:spacing w:val="2"/>
        </w:rPr>
        <w:t>贷款和应收款项以及可供出售金融资产。初始确认金融资产，以公允价值计量。对于</w:t>
      </w:r>
      <w:r>
        <w:rPr>
          <w:spacing w:val="-97"/>
        </w:rPr>
        <w:t> </w:t>
      </w:r>
      <w:r>
        <w:rPr>
          <w:spacing w:val="-97"/>
        </w:rPr>
      </w:r>
      <w:r>
        <w:rPr>
          <w:spacing w:val="2"/>
        </w:rPr>
        <w:t>以公允价值计量且其变动计入当期损益的金融资产，相关的交易费用直接计入当期损</w:t>
      </w:r>
      <w:r>
        <w:rPr>
          <w:spacing w:val="-94"/>
        </w:rPr>
        <w:t> </w:t>
      </w:r>
      <w:r>
        <w:rPr>
          <w:spacing w:val="-94"/>
        </w:rPr>
      </w:r>
      <w:r>
        <w:rPr/>
        <w:t>益，对于其他类别的金融资产，相关交易费用计入初始确认金额。</w:t>
      </w:r>
    </w:p>
    <w:p>
      <w:pPr>
        <w:pStyle w:val="BodyText"/>
        <w:spacing w:line="304" w:lineRule="auto"/>
        <w:ind w:left="622" w:right="145"/>
        <w:jc w:val="left"/>
      </w:pPr>
      <w:r>
        <w:rPr>
          <w:rFonts w:ascii="宋体" w:hAnsi="宋体" w:cs="宋体" w:eastAsia="宋体" w:hint="default"/>
        </w:rPr>
        <w:t>①</w:t>
      </w:r>
      <w:r>
        <w:rPr/>
        <w:t>以公允价值计量且其变动计入当期损益的金融资产 </w:t>
      </w:r>
      <w:r>
        <w:rPr>
          <w:spacing w:val="9"/>
        </w:rPr>
        <w:t>包括交易性金融资产和指定为以公允价值计量且其变动计入当期损益的金融资</w:t>
      </w:r>
    </w:p>
    <w:p>
      <w:pPr>
        <w:pStyle w:val="BodyText"/>
        <w:spacing w:line="240" w:lineRule="auto"/>
        <w:ind w:right="0"/>
        <w:jc w:val="both"/>
      </w:pPr>
      <w:r>
        <w:rPr/>
        <w:t>产。</w:t>
      </w:r>
    </w:p>
    <w:p>
      <w:pPr>
        <w:pStyle w:val="BodyText"/>
        <w:spacing w:line="304" w:lineRule="auto" w:before="86"/>
        <w:ind w:right="143" w:firstLine="479"/>
        <w:jc w:val="both"/>
      </w:pPr>
      <w:r>
        <w:rPr>
          <w:spacing w:val="2"/>
        </w:rPr>
        <w:t>交易性金融资产是指满足下列条件之一的金融资产：⑴取得该金融资产的目的，</w:t>
      </w:r>
      <w:r>
        <w:rPr/>
        <w:t> </w:t>
      </w:r>
      <w:r>
        <w:rPr>
          <w:spacing w:val="2"/>
        </w:rPr>
        <w:t>主要是为了近期内出售；⑵属于进行集中管理的可辨认金融工具组合的一部分，且有</w:t>
      </w:r>
      <w:r>
        <w:rPr>
          <w:spacing w:val="-94"/>
        </w:rPr>
        <w:t> </w:t>
      </w:r>
      <w:r>
        <w:rPr>
          <w:spacing w:val="-94"/>
        </w:rPr>
      </w:r>
      <w:r>
        <w:rPr>
          <w:spacing w:val="2"/>
        </w:rPr>
        <w:t>客观证据表明本集团近期采用短期获利方式对该组合进行管理；⑶属于衍生工具，但</w:t>
      </w:r>
      <w:r>
        <w:rPr>
          <w:spacing w:val="-90"/>
        </w:rPr>
        <w:t> </w:t>
      </w:r>
      <w:r>
        <w:rPr>
          <w:spacing w:val="-90"/>
        </w:rPr>
      </w:r>
      <w:r>
        <w:rPr>
          <w:spacing w:val="2"/>
        </w:rPr>
        <w:t>是，被指定且为有效套期工具的衍生工具、属于财务担保合同的衍生工具、与在活跃</w:t>
      </w:r>
      <w:r>
        <w:rPr>
          <w:spacing w:val="-88"/>
        </w:rPr>
        <w:t> </w:t>
      </w:r>
      <w:r>
        <w:rPr>
          <w:spacing w:val="-88"/>
        </w:rPr>
      </w:r>
      <w:r>
        <w:rPr>
          <w:spacing w:val="2"/>
        </w:rPr>
        <w:t>市场中没有报价且其公允价值不能可靠计量的权益工具投资挂钩并须通过交付该权益</w:t>
      </w:r>
      <w:r>
        <w:rPr>
          <w:spacing w:val="-97"/>
        </w:rPr>
        <w:t> </w:t>
      </w:r>
      <w:r>
        <w:rPr>
          <w:spacing w:val="-97"/>
        </w:rPr>
      </w:r>
      <w:r>
        <w:rPr/>
        <w:t>工具结算的衍生工具除外。</w:t>
      </w:r>
    </w:p>
    <w:p>
      <w:pPr>
        <w:pStyle w:val="BodyText"/>
        <w:spacing w:line="304" w:lineRule="auto"/>
        <w:ind w:right="144" w:firstLine="479"/>
        <w:jc w:val="both"/>
      </w:pPr>
      <w:r>
        <w:rPr>
          <w:spacing w:val="2"/>
        </w:rPr>
        <w:t>符合下述条件之一的金融资产，在初始确认时可指定为以公允价值计量且其变动</w:t>
      </w:r>
      <w:r>
        <w:rPr/>
        <w:t> </w:t>
      </w:r>
      <w:r>
        <w:rPr>
          <w:spacing w:val="2"/>
        </w:rPr>
        <w:t>计入当期损益的金融资产：⑴该指定可以消除或明显减少由于该金融资产的计量基础</w:t>
      </w:r>
      <w:r>
        <w:rPr>
          <w:spacing w:val="-94"/>
        </w:rPr>
        <w:t> </w:t>
      </w:r>
      <w:r>
        <w:rPr>
          <w:spacing w:val="-94"/>
        </w:rPr>
      </w:r>
      <w:r>
        <w:rPr>
          <w:spacing w:val="2"/>
        </w:rPr>
        <w:t>不同所导致的相关利得或损失在确认或计量方面不一致的情况；⑵本集团风险管理或</w:t>
      </w:r>
      <w:r>
        <w:rPr>
          <w:spacing w:val="-90"/>
        </w:rPr>
        <w:t> </w:t>
      </w:r>
      <w:r>
        <w:rPr>
          <w:spacing w:val="-90"/>
        </w:rPr>
      </w:r>
      <w:r>
        <w:rPr>
          <w:spacing w:val="2"/>
        </w:rPr>
        <w:t>投资策略的正式书面文件已载明，对该金融资产所在的金融资产组合或金融资产和金</w:t>
      </w:r>
      <w:r>
        <w:rPr>
          <w:spacing w:val="-97"/>
        </w:rPr>
        <w:t> </w:t>
      </w:r>
      <w:r>
        <w:rPr>
          <w:spacing w:val="-97"/>
        </w:rPr>
      </w:r>
      <w:r>
        <w:rPr/>
        <w:t>融负债组合以公允价值为基础进行管理、评价并向关键管理人员报告。</w:t>
      </w:r>
    </w:p>
    <w:p>
      <w:pPr>
        <w:pStyle w:val="BodyText"/>
        <w:spacing w:line="304" w:lineRule="auto"/>
        <w:ind w:right="150" w:firstLine="479"/>
        <w:jc w:val="both"/>
      </w:pPr>
      <w:r>
        <w:rPr>
          <w:spacing w:val="2"/>
        </w:rPr>
        <w:t>以公允价值计量且其变动计入当期损益的金融资产采用公允价值进行后续计量，</w:t>
      </w:r>
      <w:r>
        <w:rPr/>
        <w:t> </w:t>
      </w:r>
      <w:r>
        <w:rPr>
          <w:spacing w:val="2"/>
        </w:rPr>
        <w:t>公允价值变动形成的利得或损失以及与该等金融资产相关的股利和利息收入计入当期</w:t>
      </w:r>
      <w:r>
        <w:rPr>
          <w:spacing w:val="-97"/>
        </w:rPr>
        <w:t> </w:t>
      </w:r>
      <w:r>
        <w:rPr>
          <w:spacing w:val="-97"/>
        </w:rPr>
      </w:r>
      <w:r>
        <w:rPr/>
        <w:t>损益。</w:t>
      </w:r>
    </w:p>
    <w:p>
      <w:pPr>
        <w:pStyle w:val="BodyText"/>
        <w:spacing w:line="307" w:lineRule="auto"/>
        <w:ind w:left="622" w:right="145"/>
        <w:jc w:val="left"/>
      </w:pPr>
      <w:r>
        <w:rPr/>
        <w:t>②持有至到期投资 </w:t>
      </w:r>
      <w:r>
        <w:rPr>
          <w:spacing w:val="2"/>
        </w:rPr>
        <w:t>是指到期日固定、回收金额固定或可确定，且本集团有明确意图和能力持有至到</w:t>
      </w:r>
    </w:p>
    <w:p>
      <w:pPr>
        <w:pStyle w:val="BodyText"/>
        <w:spacing w:line="307" w:lineRule="auto" w:before="17"/>
        <w:ind w:left="622" w:right="145" w:hanging="480"/>
        <w:jc w:val="left"/>
      </w:pPr>
      <w:r>
        <w:rPr/>
        <w:t>期的非衍生金融资产。 </w:t>
      </w:r>
      <w:r>
        <w:rPr>
          <w:spacing w:val="2"/>
        </w:rPr>
        <w:t>持有至到期投资采用实际利率法，按摊余成本进行后续计量，在终止确认、发生</w:t>
      </w:r>
    </w:p>
    <w:p>
      <w:pPr>
        <w:spacing w:after="0" w:line="307" w:lineRule="auto"/>
        <w:jc w:val="left"/>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pStyle w:val="BodyText"/>
        <w:spacing w:line="307" w:lineRule="auto" w:before="26"/>
        <w:ind w:left="622" w:right="50" w:hanging="480"/>
        <w:jc w:val="left"/>
      </w:pPr>
      <w:r>
        <w:rPr/>
        <w:t>减值或摊销时产生的利得或损失，计入当期损益。 </w:t>
      </w:r>
      <w:r>
        <w:rPr>
          <w:spacing w:val="2"/>
        </w:rPr>
        <w:t>实际利率法是指按照金融资产或金融负债（含一组金融资产或金融负债）的实际</w:t>
      </w:r>
    </w:p>
    <w:p>
      <w:pPr>
        <w:pStyle w:val="BodyText"/>
        <w:spacing w:line="307" w:lineRule="auto" w:before="17"/>
        <w:ind w:right="227"/>
        <w:jc w:val="both"/>
      </w:pPr>
      <w:r>
        <w:rPr>
          <w:spacing w:val="2"/>
        </w:rPr>
        <w:t>利率计算其摊余成本及各期利息收入或支出的方法。实际利率是指将金融资产或金融</w:t>
      </w:r>
      <w:r>
        <w:rPr>
          <w:spacing w:val="-97"/>
        </w:rPr>
        <w:t> </w:t>
      </w:r>
      <w:r>
        <w:rPr>
          <w:spacing w:val="-97"/>
        </w:rPr>
      </w:r>
      <w:r>
        <w:rPr>
          <w:spacing w:val="2"/>
        </w:rPr>
        <w:t>负债在预期存续期间或适用的更短期间内的未来现金流量，折现为该金融资产或金融</w:t>
      </w:r>
      <w:r>
        <w:rPr>
          <w:spacing w:val="-92"/>
        </w:rPr>
        <w:t> </w:t>
      </w:r>
      <w:r>
        <w:rPr>
          <w:spacing w:val="-92"/>
        </w:rPr>
      </w:r>
      <w:r>
        <w:rPr/>
        <w:t>负债当前账面价值所使用的利率。</w:t>
      </w:r>
    </w:p>
    <w:p>
      <w:pPr>
        <w:pStyle w:val="BodyText"/>
        <w:spacing w:line="304" w:lineRule="auto" w:before="17"/>
        <w:ind w:right="226" w:firstLine="479"/>
        <w:jc w:val="both"/>
      </w:pPr>
      <w:r>
        <w:rPr>
          <w:spacing w:val="2"/>
        </w:rPr>
        <w:t>在计算实际利率时，本集团将在考虑金融资产或金融负债所有合同条款的基础上</w:t>
      </w:r>
      <w:r>
        <w:rPr/>
        <w:t> </w:t>
      </w:r>
      <w:r>
        <w:rPr>
          <w:spacing w:val="-4"/>
        </w:rPr>
        <w:t>预计未来现金流量（不考虑未来的信用损失），同时还将考虑金融资产或金融负债合同</w:t>
      </w:r>
      <w:r>
        <w:rPr>
          <w:spacing w:val="-94"/>
        </w:rPr>
        <w:t> </w:t>
      </w:r>
      <w:r>
        <w:rPr>
          <w:spacing w:val="-94"/>
        </w:rPr>
      </w:r>
      <w:r>
        <w:rPr>
          <w:spacing w:val="2"/>
        </w:rPr>
        <w:t>各方之间支付或收取的、属于实际利率组成部分的各项收费、交易费用及折价或溢价</w:t>
      </w:r>
      <w:r>
        <w:rPr>
          <w:spacing w:val="-97"/>
        </w:rPr>
        <w:t> </w:t>
      </w:r>
      <w:r>
        <w:rPr>
          <w:spacing w:val="-97"/>
        </w:rPr>
      </w:r>
      <w:r>
        <w:rPr/>
        <w:t>等。</w:t>
      </w:r>
    </w:p>
    <w:p>
      <w:pPr>
        <w:pStyle w:val="BodyText"/>
        <w:spacing w:line="307" w:lineRule="auto"/>
        <w:ind w:left="622" w:right="50"/>
        <w:jc w:val="left"/>
      </w:pPr>
      <w:r>
        <w:rPr/>
        <w:t>③贷款和应收款项 </w:t>
      </w:r>
      <w:r>
        <w:rPr>
          <w:spacing w:val="2"/>
        </w:rPr>
        <w:t>是指在活跃市场中没有报价、回收金额固定或可确定的非衍生金融资产。本集团</w:t>
      </w:r>
    </w:p>
    <w:p>
      <w:pPr>
        <w:pStyle w:val="BodyText"/>
        <w:spacing w:line="307" w:lineRule="auto" w:before="17"/>
        <w:ind w:right="232"/>
        <w:jc w:val="both"/>
      </w:pPr>
      <w:r>
        <w:rPr>
          <w:spacing w:val="2"/>
        </w:rPr>
        <w:t>划分为贷款和应收款的金融资产包括应收票据、应收账款、应收利息、应收股利及其</w:t>
      </w:r>
      <w:r>
        <w:rPr>
          <w:spacing w:val="-97"/>
        </w:rPr>
        <w:t> </w:t>
      </w:r>
      <w:r>
        <w:rPr>
          <w:spacing w:val="-97"/>
        </w:rPr>
      </w:r>
      <w:r>
        <w:rPr/>
        <w:t>他应收款等。</w:t>
      </w:r>
    </w:p>
    <w:p>
      <w:pPr>
        <w:pStyle w:val="BodyText"/>
        <w:spacing w:line="304" w:lineRule="auto" w:before="19"/>
        <w:ind w:right="231" w:firstLine="479"/>
        <w:jc w:val="both"/>
      </w:pPr>
      <w:r>
        <w:rPr>
          <w:spacing w:val="2"/>
        </w:rPr>
        <w:t>贷款和应收款项采用实际利率法，按摊余成本进行后续计量，在终止确认、发生</w:t>
      </w:r>
      <w:r>
        <w:rPr/>
        <w:t> 减值或摊销时产生的利得或损失，计入当期损益。</w:t>
      </w:r>
    </w:p>
    <w:p>
      <w:pPr>
        <w:pStyle w:val="BodyText"/>
        <w:spacing w:line="307" w:lineRule="auto"/>
        <w:ind w:left="622" w:right="50"/>
        <w:jc w:val="left"/>
      </w:pPr>
      <w:r>
        <w:rPr/>
        <w:t>④可供出售金融资产 </w:t>
      </w:r>
      <w:r>
        <w:rPr>
          <w:spacing w:val="2"/>
        </w:rPr>
        <w:t>包括初始确认时即被指定为可供出售的非衍生金融资产，以及除了以公允价值计</w:t>
      </w:r>
    </w:p>
    <w:p>
      <w:pPr>
        <w:pStyle w:val="BodyText"/>
        <w:spacing w:line="307" w:lineRule="auto" w:before="17"/>
        <w:ind w:right="232"/>
        <w:jc w:val="both"/>
      </w:pPr>
      <w:r>
        <w:rPr>
          <w:spacing w:val="2"/>
        </w:rPr>
        <w:t>量且其变动计入当期损益的金融资产、贷款和应收款项、持有至到期投资以外的金融</w:t>
      </w:r>
      <w:r>
        <w:rPr>
          <w:spacing w:val="-97"/>
        </w:rPr>
        <w:t> </w:t>
      </w:r>
      <w:r>
        <w:rPr>
          <w:spacing w:val="-97"/>
        </w:rPr>
      </w:r>
      <w:r>
        <w:rPr/>
        <w:t>资产。</w:t>
      </w:r>
    </w:p>
    <w:p>
      <w:pPr>
        <w:pStyle w:val="BodyText"/>
        <w:spacing w:line="304" w:lineRule="auto" w:before="19"/>
        <w:ind w:right="85" w:firstLine="479"/>
        <w:jc w:val="left"/>
      </w:pPr>
      <w:r>
        <w:rPr/>
        <w:t>可供出售金融资产采用公允价值进行后续计量，公允价值变动形成的利得或损失， </w:t>
      </w:r>
      <w:r>
        <w:rPr>
          <w:spacing w:val="2"/>
        </w:rPr>
        <w:t>除减值损失和外币货币性金融资产与摊余成本相关的汇兑差额计入当期损益外，确认</w:t>
      </w:r>
      <w:r>
        <w:rPr>
          <w:spacing w:val="-97"/>
        </w:rPr>
        <w:t> </w:t>
      </w:r>
      <w:r>
        <w:rPr>
          <w:spacing w:val="-97"/>
        </w:rPr>
      </w:r>
      <w:r>
        <w:rPr/>
        <w:t>为其他综合收益并计入资本公积，在该金融资产终止确认时转出，计入当期损益。</w:t>
      </w:r>
    </w:p>
    <w:p>
      <w:pPr>
        <w:pStyle w:val="BodyText"/>
        <w:spacing w:line="304" w:lineRule="auto"/>
        <w:ind w:right="230" w:firstLine="479"/>
        <w:jc w:val="both"/>
      </w:pPr>
      <w:r>
        <w:rPr>
          <w:spacing w:val="2"/>
        </w:rPr>
        <w:t>可供出售金融资产持有期间取得的利息及被投资单位宣告发放的现金股利，计入</w:t>
      </w:r>
      <w:r>
        <w:rPr/>
        <w:t> 投资收益。</w:t>
      </w:r>
    </w:p>
    <w:p>
      <w:pPr>
        <w:pStyle w:val="BodyText"/>
        <w:tabs>
          <w:tab w:pos="1102" w:val="left" w:leader="none"/>
        </w:tabs>
        <w:spacing w:line="307" w:lineRule="auto"/>
        <w:ind w:left="622" w:right="236"/>
        <w:jc w:val="left"/>
      </w:pPr>
      <w:r>
        <w:rPr/>
        <w:t>⑶</w:t>
        <w:tab/>
        <w:t>金融资产减值 </w:t>
      </w:r>
      <w:r>
        <w:rPr>
          <w:spacing w:val="2"/>
        </w:rPr>
        <w:t>除了以公允价值计量且其变动计入当期损益的金融资产外，本集团在每个资产负</w:t>
      </w:r>
    </w:p>
    <w:p>
      <w:pPr>
        <w:pStyle w:val="BodyText"/>
        <w:spacing w:line="307" w:lineRule="auto" w:before="17"/>
        <w:ind w:right="232"/>
        <w:jc w:val="both"/>
      </w:pPr>
      <w:r>
        <w:rPr>
          <w:spacing w:val="2"/>
        </w:rPr>
        <w:t>债表日对其他金融资产的账面价值进行检查，有客观证据表明金融资产发生减值的，</w:t>
      </w:r>
      <w:r>
        <w:rPr>
          <w:spacing w:val="-97"/>
        </w:rPr>
        <w:t> </w:t>
      </w:r>
      <w:r>
        <w:rPr>
          <w:spacing w:val="-97"/>
        </w:rPr>
      </w:r>
      <w:r>
        <w:rPr/>
        <w:t>计提减值准备。</w:t>
      </w:r>
    </w:p>
    <w:p>
      <w:pPr>
        <w:pStyle w:val="BodyText"/>
        <w:spacing w:line="304" w:lineRule="auto" w:before="19"/>
        <w:ind w:right="221" w:firstLine="479"/>
        <w:jc w:val="both"/>
      </w:pPr>
      <w:r>
        <w:rPr>
          <w:spacing w:val="2"/>
        </w:rPr>
        <w:t>本集团对单项金额重大的金融资产单独进行减值测试；对单项金额不重大的金融</w:t>
      </w:r>
      <w:r>
        <w:rPr/>
        <w:t> </w:t>
      </w:r>
      <w:r>
        <w:rPr>
          <w:spacing w:val="2"/>
        </w:rPr>
        <w:t>资产，单独进行减值测试或包括在具有类似信用风险特征的金融资产组合中进行减值</w:t>
      </w:r>
      <w:r>
        <w:rPr>
          <w:spacing w:val="-97"/>
        </w:rPr>
        <w:t> </w:t>
      </w:r>
      <w:r>
        <w:rPr>
          <w:spacing w:val="-97"/>
        </w:rPr>
      </w:r>
      <w:r>
        <w:rPr>
          <w:spacing w:val="-4"/>
        </w:rPr>
        <w:t>测试。单独测试未发生减值的金融资产（包括单项金额重大和不重大的金融资产），包</w:t>
      </w:r>
      <w:r>
        <w:rPr>
          <w:spacing w:val="-88"/>
        </w:rPr>
        <w:t> </w:t>
      </w:r>
      <w:r>
        <w:rPr>
          <w:spacing w:val="-88"/>
        </w:rPr>
      </w:r>
      <w:r>
        <w:rPr>
          <w:spacing w:val="2"/>
        </w:rPr>
        <w:t>括在具有类似信用风险特征的金融资产组合中再进行减值测试。已单项确认减值损失</w:t>
      </w:r>
      <w:r>
        <w:rPr>
          <w:spacing w:val="-97"/>
        </w:rPr>
        <w:t> </w:t>
      </w:r>
      <w:r>
        <w:rPr>
          <w:spacing w:val="-97"/>
        </w:rPr>
      </w:r>
      <w:r>
        <w:rPr/>
        <w:t>的金融资产，不包括在具有类似信用风险特征的金融资产组合中进行减值测试。</w:t>
      </w:r>
    </w:p>
    <w:p>
      <w:pPr>
        <w:pStyle w:val="BodyText"/>
        <w:spacing w:line="240" w:lineRule="auto"/>
        <w:ind w:left="622" w:right="3093"/>
        <w:jc w:val="left"/>
      </w:pPr>
      <w:r>
        <w:rPr/>
        <w:t>①持有至到期投资、贷款和应收款项减值</w:t>
      </w:r>
    </w:p>
    <w:p>
      <w:pPr>
        <w:spacing w:after="0" w:line="240" w:lineRule="auto"/>
        <w:jc w:val="left"/>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304" w:lineRule="auto" w:before="26"/>
        <w:ind w:right="232" w:firstLine="479"/>
        <w:jc w:val="both"/>
      </w:pPr>
      <w:r>
        <w:rPr>
          <w:spacing w:val="2"/>
        </w:rPr>
        <w:t>以成本或摊余成本计量的金融资产将其账面价值减记至预计未来现金流量现值，</w:t>
      </w:r>
      <w:r>
        <w:rPr/>
        <w:t> </w:t>
      </w:r>
      <w:r>
        <w:rPr>
          <w:spacing w:val="2"/>
        </w:rPr>
        <w:t>减记金额确认为减值损失，计入当期损益。金融资产在确认减值损失后，如有客观证</w:t>
      </w:r>
      <w:r>
        <w:rPr>
          <w:spacing w:val="-97"/>
        </w:rPr>
        <w:t> </w:t>
      </w:r>
      <w:r>
        <w:rPr>
          <w:spacing w:val="-97"/>
        </w:rPr>
      </w:r>
      <w:r>
        <w:rPr>
          <w:spacing w:val="2"/>
        </w:rPr>
        <w:t>据表明该金融资产价值已恢复，且客观上与确认该损失后发生的事项有关，原确认的</w:t>
      </w:r>
      <w:r>
        <w:rPr>
          <w:spacing w:val="-97"/>
        </w:rPr>
        <w:t> </w:t>
      </w:r>
      <w:r>
        <w:rPr>
          <w:spacing w:val="-97"/>
        </w:rPr>
      </w:r>
      <w:r>
        <w:rPr>
          <w:spacing w:val="2"/>
        </w:rPr>
        <w:t>减值损失予以转回，金融资产转回减值损失后的账面价值不超过假定不计提减值准备</w:t>
      </w:r>
      <w:r>
        <w:rPr>
          <w:spacing w:val="-97"/>
        </w:rPr>
        <w:t> </w:t>
      </w:r>
      <w:r>
        <w:rPr>
          <w:spacing w:val="-97"/>
        </w:rPr>
      </w:r>
      <w:r>
        <w:rPr/>
        <w:t>情况下该金融资产在转回日的摊余成本。</w:t>
      </w:r>
    </w:p>
    <w:p>
      <w:pPr>
        <w:pStyle w:val="BodyText"/>
        <w:spacing w:line="307" w:lineRule="auto" w:before="19"/>
        <w:ind w:left="622" w:right="50"/>
        <w:jc w:val="left"/>
      </w:pPr>
      <w:r>
        <w:rPr/>
        <w:t>②可供出售金融资产减值 </w:t>
      </w:r>
      <w:r>
        <w:rPr>
          <w:spacing w:val="2"/>
        </w:rPr>
        <w:t>可供出售金融资产发生减值时，将原计入资本公积的因公允价值下降形成的累计</w:t>
      </w:r>
    </w:p>
    <w:p>
      <w:pPr>
        <w:pStyle w:val="BodyText"/>
        <w:spacing w:line="304" w:lineRule="auto" w:before="19"/>
        <w:ind w:right="232"/>
        <w:jc w:val="both"/>
      </w:pPr>
      <w:r>
        <w:rPr>
          <w:spacing w:val="2"/>
        </w:rPr>
        <w:t>损失予以转出并计入当期损益，该转出的累计损失为该资产初始取得成本扣除已收回</w:t>
      </w:r>
      <w:r>
        <w:rPr>
          <w:spacing w:val="-97"/>
        </w:rPr>
        <w:t> </w:t>
      </w:r>
      <w:r>
        <w:rPr>
          <w:spacing w:val="-97"/>
        </w:rPr>
      </w:r>
      <w:r>
        <w:rPr/>
        <w:t>本金和已摊销金额、当前公允价值和原已计入损益的减值损失后的余额。</w:t>
      </w:r>
    </w:p>
    <w:p>
      <w:pPr>
        <w:pStyle w:val="BodyText"/>
        <w:spacing w:line="304" w:lineRule="auto"/>
        <w:ind w:right="232" w:firstLine="479"/>
        <w:jc w:val="both"/>
      </w:pPr>
      <w:r>
        <w:rPr>
          <w:spacing w:val="2"/>
        </w:rPr>
        <w:t>在确认减值损失后，期后如有客观证据表明该金融资产价值已恢复，且客观上与</w:t>
      </w:r>
      <w:r>
        <w:rPr/>
        <w:t> </w:t>
      </w:r>
      <w:r>
        <w:rPr>
          <w:spacing w:val="2"/>
        </w:rPr>
        <w:t>确认该损失后发生的事项有关，原确认的减值损失予以转回，可供出售权益工具投资</w:t>
      </w:r>
      <w:r>
        <w:rPr>
          <w:spacing w:val="-97"/>
        </w:rPr>
        <w:t> </w:t>
      </w:r>
      <w:r>
        <w:rPr>
          <w:spacing w:val="-97"/>
        </w:rPr>
      </w:r>
      <w:r>
        <w:rPr>
          <w:spacing w:val="2"/>
        </w:rPr>
        <w:t>的减值损失转回确认为其他综合收益，可供出售债务工具的减值损失转回计入当期损</w:t>
      </w:r>
      <w:r>
        <w:rPr>
          <w:spacing w:val="-97"/>
        </w:rPr>
        <w:t> </w:t>
      </w:r>
      <w:r>
        <w:rPr>
          <w:spacing w:val="-97"/>
        </w:rPr>
      </w:r>
      <w:r>
        <w:rPr/>
        <w:t>益。</w:t>
      </w:r>
    </w:p>
    <w:p>
      <w:pPr>
        <w:pStyle w:val="BodyText"/>
        <w:spacing w:line="304" w:lineRule="auto"/>
        <w:ind w:right="236" w:firstLine="479"/>
        <w:jc w:val="both"/>
      </w:pPr>
      <w:r>
        <w:rPr>
          <w:spacing w:val="2"/>
        </w:rPr>
        <w:t>在活跃市场中没有报价且其公允价值不能可靠计量的权益工具投资，或与该权益</w:t>
      </w:r>
      <w:r>
        <w:rPr/>
        <w:t> 工具挂钩并须通过交付该权益工具结算的衍生金融资产的减值损失，不予转回。</w:t>
      </w:r>
    </w:p>
    <w:p>
      <w:pPr>
        <w:pStyle w:val="BodyText"/>
        <w:tabs>
          <w:tab w:pos="1102" w:val="left" w:leader="none"/>
        </w:tabs>
        <w:spacing w:line="307" w:lineRule="auto"/>
        <w:ind w:left="622" w:right="236"/>
        <w:jc w:val="left"/>
      </w:pPr>
      <w:r>
        <w:rPr/>
        <w:t>⑷</w:t>
        <w:tab/>
        <w:t>金融资产转移的确认依据和计量方法 </w:t>
      </w:r>
      <w:r>
        <w:rPr>
          <w:spacing w:val="2"/>
        </w:rPr>
        <w:t>满足下列条件之一的金融资产，予以终止确认：①收取该金融资产现金流量的合</w:t>
      </w:r>
    </w:p>
    <w:p>
      <w:pPr>
        <w:pStyle w:val="BodyText"/>
        <w:spacing w:line="307" w:lineRule="auto" w:before="17"/>
        <w:ind w:right="230"/>
        <w:jc w:val="both"/>
      </w:pPr>
      <w:r>
        <w:rPr>
          <w:spacing w:val="2"/>
        </w:rPr>
        <w:t>同权利终止；②该金融资产已转移，且将金融资产所有权上几乎所有的风险和报酬转</w:t>
      </w:r>
      <w:r>
        <w:rPr>
          <w:spacing w:val="-97"/>
        </w:rPr>
        <w:t> </w:t>
      </w:r>
      <w:r>
        <w:rPr>
          <w:spacing w:val="-97"/>
        </w:rPr>
      </w:r>
      <w:r>
        <w:rPr>
          <w:spacing w:val="2"/>
        </w:rPr>
        <w:t>移给转入方；⑶该金融资产已转移，虽然企业既没有转移也没有保留金融资产所有权</w:t>
      </w:r>
      <w:r>
        <w:rPr>
          <w:spacing w:val="-96"/>
        </w:rPr>
        <w:t> </w:t>
      </w:r>
      <w:r>
        <w:rPr>
          <w:spacing w:val="-96"/>
        </w:rPr>
      </w:r>
      <w:r>
        <w:rPr/>
        <w:t>上几乎所有的风险和报酬，但是放弃了对该金融资产控制。</w:t>
      </w:r>
    </w:p>
    <w:p>
      <w:pPr>
        <w:pStyle w:val="BodyText"/>
        <w:spacing w:line="304" w:lineRule="auto" w:before="17"/>
        <w:ind w:right="84" w:firstLine="479"/>
        <w:jc w:val="left"/>
      </w:pPr>
      <w:r>
        <w:rPr>
          <w:spacing w:val="2"/>
        </w:rPr>
        <w:t>若企业既没有转移也没有保留金融资产所有权上几乎所有的风险和报酬，且未放</w:t>
      </w:r>
      <w:r>
        <w:rPr/>
        <w:t> 弃对该金融资产的控制的，则按照继续涉入所转移金融资产的程度确认有关金融资产， </w:t>
      </w:r>
      <w:r>
        <w:rPr>
          <w:spacing w:val="2"/>
        </w:rPr>
        <w:t>并相应确认有关负债。继续涉入所转移金融资产的程度，是指该金融资产价值变动使</w:t>
      </w:r>
      <w:r>
        <w:rPr>
          <w:spacing w:val="-91"/>
        </w:rPr>
        <w:t> </w:t>
      </w:r>
      <w:r>
        <w:rPr>
          <w:spacing w:val="-91"/>
        </w:rPr>
      </w:r>
      <w:r>
        <w:rPr/>
        <w:t>企业面临的风险水平。</w:t>
      </w:r>
    </w:p>
    <w:p>
      <w:pPr>
        <w:pStyle w:val="BodyText"/>
        <w:spacing w:line="304" w:lineRule="auto"/>
        <w:ind w:right="236" w:firstLine="479"/>
        <w:jc w:val="both"/>
      </w:pPr>
      <w:r>
        <w:rPr>
          <w:spacing w:val="2"/>
        </w:rPr>
        <w:t>金融资产整体转移满足终止确认条件的，将所转移金融资产的账面价值及因转移</w:t>
      </w:r>
      <w:r>
        <w:rPr/>
        <w:t> </w:t>
      </w:r>
      <w:r>
        <w:rPr>
          <w:spacing w:val="9"/>
        </w:rPr>
        <w:t>而收到的对价与原计入其他综合收益的公允价值变动累计额之和的差额计入当期损</w:t>
      </w:r>
      <w:r>
        <w:rPr>
          <w:spacing w:val="-116"/>
        </w:rPr>
        <w:t> </w:t>
      </w:r>
      <w:r>
        <w:rPr>
          <w:spacing w:val="-116"/>
        </w:rPr>
      </w:r>
      <w:r>
        <w:rPr/>
        <w:t>益。</w:t>
      </w:r>
    </w:p>
    <w:p>
      <w:pPr>
        <w:pStyle w:val="BodyText"/>
        <w:spacing w:line="304" w:lineRule="auto"/>
        <w:ind w:right="232" w:firstLine="479"/>
        <w:jc w:val="both"/>
      </w:pPr>
      <w:r>
        <w:rPr>
          <w:spacing w:val="2"/>
        </w:rPr>
        <w:t>金融资产部分转移满足终止确认条件的，将所转移金融资产的账面价值在终止确</w:t>
      </w:r>
      <w:r>
        <w:rPr/>
        <w:t> </w:t>
      </w:r>
      <w:r>
        <w:rPr>
          <w:spacing w:val="2"/>
        </w:rPr>
        <w:t>认及未终止确认部分之间按其相对的公允价值进行分摊，并将因转移而收到的对价与</w:t>
      </w:r>
      <w:r>
        <w:rPr>
          <w:spacing w:val="-97"/>
        </w:rPr>
        <w:t> </w:t>
      </w:r>
      <w:r>
        <w:rPr>
          <w:spacing w:val="-97"/>
        </w:rPr>
      </w:r>
      <w:r>
        <w:rPr>
          <w:spacing w:val="2"/>
        </w:rPr>
        <w:t>应分摊至终止确认部分的原计入其他综合收益的公允价值变动累计额之和与分摊的前</w:t>
      </w:r>
      <w:r>
        <w:rPr>
          <w:spacing w:val="-97"/>
        </w:rPr>
        <w:t> </w:t>
      </w:r>
      <w:r>
        <w:rPr>
          <w:spacing w:val="-97"/>
        </w:rPr>
      </w:r>
      <w:r>
        <w:rPr/>
        <w:t>述账面金额之差额计入当期损益。</w:t>
      </w:r>
    </w:p>
    <w:p>
      <w:pPr>
        <w:pStyle w:val="BodyText"/>
        <w:tabs>
          <w:tab w:pos="1102" w:val="left" w:leader="none"/>
        </w:tabs>
        <w:spacing w:line="304" w:lineRule="auto"/>
        <w:ind w:left="622" w:right="233"/>
        <w:jc w:val="left"/>
      </w:pPr>
      <w:r>
        <w:rPr/>
        <w:t>⑸</w:t>
        <w:tab/>
        <w:t>金融负债的分类和计量 </w:t>
      </w:r>
      <w:r>
        <w:rPr>
          <w:spacing w:val="2"/>
        </w:rPr>
        <w:t>金融负债在初始确认时划分为以公允价值计量且其变动计入当期损益的金融负债</w:t>
      </w:r>
    </w:p>
    <w:p>
      <w:pPr>
        <w:pStyle w:val="BodyText"/>
        <w:spacing w:line="240" w:lineRule="auto"/>
        <w:ind w:right="0"/>
        <w:jc w:val="both"/>
      </w:pPr>
      <w:r>
        <w:rPr>
          <w:spacing w:val="2"/>
        </w:rPr>
        <w:t>和其他金融负债。初始确认金融负债，以公允价值计量。对于以公允价值计量且其变</w:t>
      </w:r>
    </w:p>
    <w:p>
      <w:pPr>
        <w:spacing w:after="0" w:line="240"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307" w:lineRule="auto" w:before="26"/>
        <w:ind w:right="50"/>
        <w:jc w:val="left"/>
      </w:pPr>
      <w:r>
        <w:rPr>
          <w:spacing w:val="-1"/>
        </w:rPr>
        <w:t>动计入当期损益的金融负债，相关的交易费用直接计入当期损益，对于其他金融负债，</w:t>
      </w:r>
      <w:r>
        <w:rPr>
          <w:spacing w:val="-88"/>
        </w:rPr>
        <w:t> </w:t>
      </w:r>
      <w:r>
        <w:rPr>
          <w:spacing w:val="-88"/>
        </w:rPr>
      </w:r>
      <w:r>
        <w:rPr/>
        <w:t>相关交易费用计入初始确认金额。</w:t>
      </w:r>
    </w:p>
    <w:p>
      <w:pPr>
        <w:pStyle w:val="BodyText"/>
        <w:spacing w:line="307" w:lineRule="auto" w:before="17"/>
        <w:ind w:left="622" w:right="50"/>
        <w:jc w:val="left"/>
      </w:pPr>
      <w:r>
        <w:rPr/>
        <w:t>①以公允价值计量且其变动计入当期损益的金融负债 </w:t>
      </w:r>
      <w:r>
        <w:rPr>
          <w:spacing w:val="2"/>
        </w:rPr>
        <w:t>分类为交易性金融负债和在初始确认时指定为以公允价值计量且其变动计入当期</w:t>
      </w:r>
    </w:p>
    <w:p>
      <w:pPr>
        <w:pStyle w:val="BodyText"/>
        <w:spacing w:line="304" w:lineRule="auto" w:before="19"/>
        <w:ind w:right="232"/>
        <w:jc w:val="both"/>
      </w:pPr>
      <w:r>
        <w:rPr>
          <w:spacing w:val="2"/>
        </w:rPr>
        <w:t>损益的金融负债的条件与分类为交易性金融资产和在初始确认时指定为以公允价值计</w:t>
      </w:r>
      <w:r>
        <w:rPr>
          <w:spacing w:val="-97"/>
        </w:rPr>
        <w:t> </w:t>
      </w:r>
      <w:r>
        <w:rPr>
          <w:spacing w:val="-97"/>
        </w:rPr>
      </w:r>
      <w:r>
        <w:rPr/>
        <w:t>量且其变动计入当期损益的金融资产的条件一致。</w:t>
      </w:r>
    </w:p>
    <w:p>
      <w:pPr>
        <w:pStyle w:val="BodyText"/>
        <w:spacing w:line="304" w:lineRule="auto"/>
        <w:ind w:right="227" w:firstLine="479"/>
        <w:jc w:val="both"/>
      </w:pPr>
      <w:r>
        <w:rPr>
          <w:spacing w:val="2"/>
        </w:rPr>
        <w:t>以公允价值计量且其变动计入当期损益的金融负债采用公允价值进行后续计量，</w:t>
      </w:r>
      <w:r>
        <w:rPr/>
        <w:t> </w:t>
      </w:r>
      <w:r>
        <w:rPr>
          <w:spacing w:val="2"/>
        </w:rPr>
        <w:t>公允价值的变动形成的利得或损失以及与该等金融负债相关的股利和利息支出计入当</w:t>
      </w:r>
      <w:r>
        <w:rPr>
          <w:spacing w:val="-97"/>
        </w:rPr>
        <w:t> </w:t>
      </w:r>
      <w:r>
        <w:rPr>
          <w:spacing w:val="-97"/>
        </w:rPr>
      </w:r>
      <w:r>
        <w:rPr/>
        <w:t>期损益。</w:t>
      </w:r>
    </w:p>
    <w:p>
      <w:pPr>
        <w:pStyle w:val="BodyText"/>
        <w:spacing w:line="307" w:lineRule="auto"/>
        <w:ind w:left="622" w:right="50"/>
        <w:jc w:val="left"/>
      </w:pPr>
      <w:r>
        <w:rPr/>
        <w:t>②其他金融负债 </w:t>
      </w:r>
      <w:r>
        <w:rPr>
          <w:spacing w:val="2"/>
        </w:rPr>
        <w:t>与在活跃市场中没有报价、公允价值不能可靠计量的权益工具挂钩并须通过交付</w:t>
      </w:r>
    </w:p>
    <w:p>
      <w:pPr>
        <w:pStyle w:val="BodyText"/>
        <w:spacing w:line="307" w:lineRule="auto" w:before="17"/>
        <w:ind w:right="232"/>
        <w:jc w:val="both"/>
      </w:pPr>
      <w:r>
        <w:rPr>
          <w:spacing w:val="2"/>
        </w:rPr>
        <w:t>该权益工具结算的衍生金融负债，按照成本进行后续计量。其他金融负债采用实际利</w:t>
      </w:r>
      <w:r>
        <w:rPr>
          <w:spacing w:val="-97"/>
        </w:rPr>
        <w:t> </w:t>
      </w:r>
      <w:r>
        <w:rPr>
          <w:spacing w:val="-97"/>
        </w:rPr>
      </w:r>
      <w:r>
        <w:rPr/>
        <w:t>率法，按摊余成本进行后续计量，终止确认或摊销产生的利得或损失计入当期损益。</w:t>
      </w:r>
    </w:p>
    <w:p>
      <w:pPr>
        <w:pStyle w:val="BodyText"/>
        <w:spacing w:line="304" w:lineRule="auto" w:before="19"/>
        <w:ind w:left="622" w:right="50"/>
        <w:jc w:val="left"/>
      </w:pPr>
      <w:r>
        <w:rPr/>
        <w:t>③财务担保合同 </w:t>
      </w:r>
      <w:r>
        <w:rPr>
          <w:spacing w:val="9"/>
        </w:rPr>
        <w:t>不属于指定为以公允价值计量且其变动计入当期损益的金融负债的财务担保合</w:t>
      </w:r>
    </w:p>
    <w:p>
      <w:pPr>
        <w:pStyle w:val="BodyText"/>
        <w:spacing w:line="240" w:lineRule="auto"/>
        <w:ind w:right="0"/>
        <w:jc w:val="both"/>
      </w:pPr>
      <w:r>
        <w:rPr>
          <w:spacing w:val="-5"/>
        </w:rPr>
        <w:t>同，以公允价值进行初始确认，在初始确认后按照《企业会计准则第 </w:t>
      </w:r>
      <w:r>
        <w:rPr>
          <w:rFonts w:ascii="宋体" w:hAnsi="宋体" w:cs="宋体" w:eastAsia="宋体" w:hint="default"/>
        </w:rPr>
        <w:t>13</w:t>
      </w:r>
      <w:r>
        <w:rPr>
          <w:rFonts w:ascii="宋体" w:hAnsi="宋体" w:cs="宋体" w:eastAsia="宋体" w:hint="default"/>
          <w:spacing w:val="-88"/>
        </w:rPr>
        <w:t> </w:t>
      </w:r>
      <w:r>
        <w:rPr/>
        <w:t>号—或有事项》</w:t>
      </w:r>
    </w:p>
    <w:p>
      <w:pPr>
        <w:pStyle w:val="BodyText"/>
        <w:spacing w:line="304" w:lineRule="auto" w:before="86"/>
        <w:ind w:right="225"/>
        <w:jc w:val="both"/>
      </w:pPr>
      <w:r>
        <w:rPr/>
        <w:t>确定的金额和初始确认金额扣除按照《企业会计准则第</w:t>
      </w:r>
      <w:r>
        <w:rPr>
          <w:spacing w:val="-63"/>
        </w:rPr>
        <w:t> </w:t>
      </w:r>
      <w:r>
        <w:rPr>
          <w:rFonts w:ascii="宋体" w:hAnsi="宋体" w:cs="宋体" w:eastAsia="宋体" w:hint="default"/>
        </w:rPr>
        <w:t>14</w:t>
      </w:r>
      <w:r>
        <w:rPr>
          <w:rFonts w:ascii="宋体" w:hAnsi="宋体" w:cs="宋体" w:eastAsia="宋体" w:hint="default"/>
          <w:spacing w:val="-63"/>
        </w:rPr>
        <w:t> </w:t>
      </w:r>
      <w:r>
        <w:rPr/>
        <w:t>号—收入》的原则确定的累 计摊销额后的余额之中的较高者进行后续计量。</w:t>
      </w:r>
    </w:p>
    <w:p>
      <w:pPr>
        <w:pStyle w:val="BodyText"/>
        <w:tabs>
          <w:tab w:pos="1102" w:val="left" w:leader="none"/>
        </w:tabs>
        <w:spacing w:line="307" w:lineRule="auto"/>
        <w:ind w:left="622" w:right="236"/>
        <w:jc w:val="left"/>
      </w:pPr>
      <w:r>
        <w:rPr/>
        <w:t>⑹</w:t>
        <w:tab/>
        <w:t>金融负债的终止确认 </w:t>
      </w:r>
      <w:r>
        <w:rPr>
          <w:spacing w:val="2"/>
        </w:rPr>
        <w:t>金融负债的现时义务全部或部分已经解除的，才能终止确认该金融负债或其一部</w:t>
      </w:r>
    </w:p>
    <w:p>
      <w:pPr>
        <w:pStyle w:val="BodyText"/>
        <w:spacing w:line="307" w:lineRule="auto" w:before="17"/>
        <w:ind w:right="232"/>
        <w:jc w:val="both"/>
      </w:pPr>
      <w:r>
        <w:rPr>
          <w:spacing w:val="2"/>
        </w:rPr>
        <w:t>分。本集团（债务人）与债权人之间签订协议，以承担新金融负债方式替换现存金融</w:t>
      </w:r>
      <w:r>
        <w:rPr>
          <w:spacing w:val="-97"/>
        </w:rPr>
        <w:t> </w:t>
      </w:r>
      <w:r>
        <w:rPr>
          <w:spacing w:val="-97"/>
        </w:rPr>
      </w:r>
      <w:r>
        <w:rPr>
          <w:spacing w:val="2"/>
        </w:rPr>
        <w:t>负债，且新金融负债与现存金融负债的合同条款实质上不同的，终止确认现存金融负</w:t>
      </w:r>
      <w:r>
        <w:rPr>
          <w:spacing w:val="-97"/>
        </w:rPr>
        <w:t> </w:t>
      </w:r>
      <w:r>
        <w:rPr>
          <w:spacing w:val="-97"/>
        </w:rPr>
      </w:r>
      <w:r>
        <w:rPr/>
        <w:t>债，并同时确认新金融负债。</w:t>
      </w:r>
    </w:p>
    <w:p>
      <w:pPr>
        <w:pStyle w:val="BodyText"/>
        <w:spacing w:line="307" w:lineRule="auto" w:before="17"/>
        <w:ind w:right="236" w:firstLine="479"/>
        <w:jc w:val="both"/>
      </w:pPr>
      <w:r>
        <w:rPr>
          <w:spacing w:val="2"/>
        </w:rPr>
        <w:t>金融负债全部或部分终止确认的，将终止确认部分的账面价值与支付的对价（包</w:t>
      </w:r>
      <w:r>
        <w:rPr/>
        <w:t> 括转出的非现金资产或承担的新金融负债）之间的差额，计入当期损益。</w:t>
      </w:r>
    </w:p>
    <w:p>
      <w:pPr>
        <w:pStyle w:val="BodyText"/>
        <w:tabs>
          <w:tab w:pos="1102" w:val="left" w:leader="none"/>
        </w:tabs>
        <w:spacing w:line="304" w:lineRule="auto" w:before="19"/>
        <w:ind w:left="622" w:right="236"/>
        <w:jc w:val="left"/>
      </w:pPr>
      <w:r>
        <w:rPr/>
        <w:t>⑺</w:t>
        <w:tab/>
        <w:t>衍生工具及嵌入衍生工具 </w:t>
      </w:r>
      <w:r>
        <w:rPr>
          <w:spacing w:val="2"/>
        </w:rPr>
        <w:t>衍生工具于相关合同签署日以公允价值进行初始计量，并以公允价值进行后续计</w:t>
      </w:r>
    </w:p>
    <w:p>
      <w:pPr>
        <w:pStyle w:val="BodyText"/>
        <w:spacing w:line="307" w:lineRule="auto"/>
        <w:ind w:left="622" w:right="50" w:hanging="480"/>
        <w:jc w:val="left"/>
      </w:pPr>
      <w:r>
        <w:rPr/>
        <w:t>量。衍生工具的公允价值变动计入当期损益。 </w:t>
      </w:r>
      <w:r>
        <w:rPr>
          <w:spacing w:val="2"/>
        </w:rPr>
        <w:t>对包含嵌入衍生工具的混合工具，如未指定为以公允价值计量且其变动计入当期</w:t>
      </w:r>
    </w:p>
    <w:p>
      <w:pPr>
        <w:pStyle w:val="BodyText"/>
        <w:spacing w:line="304" w:lineRule="auto" w:before="17"/>
        <w:ind w:right="232"/>
        <w:jc w:val="both"/>
      </w:pPr>
      <w:r>
        <w:rPr>
          <w:spacing w:val="2"/>
        </w:rPr>
        <w:t>损益的金融资产或金融负债，嵌入衍生工具与该主合同在经济特征及风险方面不存在</w:t>
      </w:r>
      <w:r>
        <w:rPr>
          <w:spacing w:val="-97"/>
        </w:rPr>
        <w:t> </w:t>
      </w:r>
      <w:r>
        <w:rPr>
          <w:spacing w:val="-97"/>
        </w:rPr>
      </w:r>
      <w:r>
        <w:rPr>
          <w:spacing w:val="2"/>
        </w:rPr>
        <w:t>紧密关系，且与嵌入衍生工具条件相同，单独存在的工具符合衍生工具定义的，嵌入</w:t>
      </w:r>
      <w:r>
        <w:rPr>
          <w:spacing w:val="-97"/>
        </w:rPr>
        <w:t> </w:t>
      </w:r>
      <w:r>
        <w:rPr>
          <w:spacing w:val="-97"/>
        </w:rPr>
      </w:r>
      <w:r>
        <w:rPr>
          <w:spacing w:val="2"/>
        </w:rPr>
        <w:t>衍生工具从混合工具中分拆，作为单独的衍生金融工具处理。如果无法在取得时或后</w:t>
      </w:r>
      <w:r>
        <w:rPr>
          <w:spacing w:val="-97"/>
        </w:rPr>
        <w:t> </w:t>
      </w:r>
      <w:r>
        <w:rPr>
          <w:spacing w:val="-97"/>
        </w:rPr>
      </w:r>
      <w:r>
        <w:rPr>
          <w:spacing w:val="2"/>
        </w:rPr>
        <w:t>续的资产负债表日对嵌入衍生工具进行单独计量，则将混合工具整体指定为以公允价</w:t>
      </w:r>
      <w:r>
        <w:rPr>
          <w:spacing w:val="-97"/>
        </w:rPr>
        <w:t> </w:t>
      </w:r>
      <w:r>
        <w:rPr>
          <w:spacing w:val="-97"/>
        </w:rPr>
      </w:r>
      <w:r>
        <w:rPr/>
        <w:t>值计量且其变动计入当期损益的金融资产或金融负债。</w:t>
      </w:r>
    </w:p>
    <w:p>
      <w:pPr>
        <w:spacing w:after="0" w:line="304"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tabs>
          <w:tab w:pos="1102" w:val="left" w:leader="none"/>
        </w:tabs>
        <w:spacing w:line="307" w:lineRule="auto" w:before="26"/>
        <w:ind w:left="622" w:right="156"/>
        <w:jc w:val="left"/>
      </w:pPr>
      <w:r>
        <w:rPr/>
        <w:t>⑻</w:t>
        <w:tab/>
        <w:t>金融资产和金融负债的抵销 </w:t>
      </w:r>
      <w:r>
        <w:rPr>
          <w:spacing w:val="2"/>
        </w:rPr>
        <w:t>当本集团具有抵销已确认金融资产和金融负债的法定权利，且目前可执行该种法</w:t>
      </w:r>
    </w:p>
    <w:p>
      <w:pPr>
        <w:pStyle w:val="BodyText"/>
        <w:spacing w:line="307" w:lineRule="auto" w:before="17"/>
        <w:ind w:right="152"/>
        <w:jc w:val="both"/>
      </w:pPr>
      <w:r>
        <w:rPr>
          <w:spacing w:val="2"/>
        </w:rPr>
        <w:t>定权利，同时本集团计划以净额结算或同时变现该金融资产和清偿该金融负债时，金</w:t>
      </w:r>
      <w:r>
        <w:rPr>
          <w:spacing w:val="-97"/>
        </w:rPr>
        <w:t> </w:t>
      </w:r>
      <w:r>
        <w:rPr>
          <w:spacing w:val="-97"/>
        </w:rPr>
      </w:r>
      <w:r>
        <w:rPr>
          <w:spacing w:val="2"/>
        </w:rPr>
        <w:t>融资产和金融负债以相互抵销后的金额在资产负债表内列示。除此以外，金融资产和</w:t>
      </w:r>
      <w:r>
        <w:rPr>
          <w:spacing w:val="-97"/>
        </w:rPr>
        <w:t> </w:t>
      </w:r>
      <w:r>
        <w:rPr>
          <w:spacing w:val="-97"/>
        </w:rPr>
      </w:r>
      <w:r>
        <w:rPr/>
        <w:t>金融负债在资产负债表内分别列示，不予相互抵销。</w:t>
      </w:r>
    </w:p>
    <w:p>
      <w:pPr>
        <w:pStyle w:val="BodyText"/>
        <w:tabs>
          <w:tab w:pos="1102" w:val="left" w:leader="none"/>
        </w:tabs>
        <w:spacing w:line="307" w:lineRule="auto" w:before="17"/>
        <w:ind w:left="622" w:right="156"/>
        <w:jc w:val="left"/>
      </w:pPr>
      <w:r>
        <w:rPr/>
        <w:t>⑼</w:t>
        <w:tab/>
        <w:t>权益工具 </w:t>
      </w:r>
      <w:r>
        <w:rPr>
          <w:spacing w:val="2"/>
        </w:rPr>
        <w:t>权益工具是指能证明拥有本集团在扣除所有负债后的资产中的剩余权益的合同。</w:t>
      </w:r>
    </w:p>
    <w:p>
      <w:pPr>
        <w:pStyle w:val="BodyText"/>
        <w:spacing w:line="304" w:lineRule="auto" w:before="19"/>
        <w:ind w:left="622" w:right="124" w:hanging="480"/>
        <w:jc w:val="left"/>
      </w:pPr>
      <w:r>
        <w:rPr/>
        <w:t>权益工具，在发行时收到的对价扣除交易费用后增加所有者权益。 </w:t>
      </w:r>
      <w:r>
        <w:rPr>
          <w:spacing w:val="-4"/>
        </w:rPr>
        <w:t>本集团对权益工具持有方的各种分配（不包括股票股利），减少所有者权益。本集</w:t>
      </w:r>
    </w:p>
    <w:p>
      <w:pPr>
        <w:pStyle w:val="BodyText"/>
        <w:spacing w:line="259" w:lineRule="auto"/>
        <w:ind w:left="622" w:right="4324" w:hanging="480"/>
        <w:jc w:val="left"/>
      </w:pPr>
      <w:r>
        <w:rPr/>
        <w:t>团不确认权益工具的公允价值变动额。 </w:t>
      </w:r>
      <w:r>
        <w:rPr>
          <w:rFonts w:ascii="Times New Roman" w:hAnsi="Times New Roman" w:cs="Times New Roman" w:eastAsia="Times New Roman" w:hint="default"/>
          <w:b/>
          <w:bCs/>
          <w:spacing w:val="2"/>
        </w:rPr>
        <w:t>8</w:t>
      </w:r>
      <w:r>
        <w:rPr>
          <w:rFonts w:ascii="Microsoft JhengHei" w:hAnsi="Microsoft JhengHei" w:cs="Microsoft JhengHei" w:eastAsia="Microsoft JhengHei" w:hint="default"/>
          <w:b/>
          <w:bCs/>
          <w:spacing w:val="2"/>
        </w:rPr>
        <w:t>、应收款项</w:t>
      </w:r>
      <w:r>
        <w:rPr>
          <w:rFonts w:ascii="Microsoft JhengHei" w:hAnsi="Microsoft JhengHei" w:cs="Microsoft JhengHei" w:eastAsia="Microsoft JhengHei" w:hint="default"/>
          <w:b/>
          <w:bCs/>
        </w:rPr>
        <w:t> </w:t>
      </w:r>
      <w:r>
        <w:rPr/>
        <w:t>应收款项包括应收账款、其他应收款等。</w:t>
      </w:r>
    </w:p>
    <w:p>
      <w:pPr>
        <w:pStyle w:val="BodyText"/>
        <w:tabs>
          <w:tab w:pos="1102" w:val="left" w:leader="none"/>
        </w:tabs>
        <w:spacing w:line="307" w:lineRule="auto" w:before="67"/>
        <w:ind w:left="622" w:right="156"/>
        <w:jc w:val="left"/>
      </w:pPr>
      <w:r>
        <w:rPr/>
        <w:t>⑴</w:t>
        <w:tab/>
        <w:t>坏账准备的确认标准 </w:t>
      </w:r>
      <w:r>
        <w:rPr>
          <w:spacing w:val="2"/>
        </w:rPr>
        <w:t>本集团在资产负债表日对应收款项账面价值进行检查，对存在下列客观证据表明</w:t>
      </w:r>
    </w:p>
    <w:p>
      <w:pPr>
        <w:pStyle w:val="BodyText"/>
        <w:spacing w:line="307" w:lineRule="auto" w:before="17"/>
        <w:ind w:right="143"/>
        <w:jc w:val="both"/>
      </w:pPr>
      <w:r>
        <w:rPr>
          <w:spacing w:val="2"/>
        </w:rPr>
        <w:t>应收款项发生减值的，计提减值准备：</w:t>
      </w:r>
      <w:r>
        <w:rPr>
          <w:rFonts w:ascii="宋体" w:hAnsi="宋体" w:cs="宋体" w:eastAsia="宋体" w:hint="default"/>
          <w:spacing w:val="2"/>
        </w:rPr>
        <w:t>①</w:t>
      </w:r>
      <w:r>
        <w:rPr>
          <w:spacing w:val="2"/>
        </w:rPr>
        <w:t>债务人发生严重的财务困难；</w:t>
      </w:r>
      <w:r>
        <w:rPr>
          <w:rFonts w:ascii="宋体" w:hAnsi="宋体" w:cs="宋体" w:eastAsia="宋体" w:hint="default"/>
          <w:spacing w:val="2"/>
        </w:rPr>
        <w:t>②</w:t>
      </w:r>
      <w:r>
        <w:rPr>
          <w:spacing w:val="2"/>
        </w:rPr>
        <w:t>债务人违反</w:t>
      </w:r>
      <w:r>
        <w:rPr>
          <w:spacing w:val="-89"/>
        </w:rPr>
        <w:t> </w:t>
      </w:r>
      <w:r>
        <w:rPr>
          <w:spacing w:val="-89"/>
        </w:rPr>
      </w:r>
      <w:r>
        <w:rPr>
          <w:spacing w:val="-4"/>
        </w:rPr>
        <w:t>合同条款（如偿付利息或本金发生违约或逾期等）；</w:t>
      </w:r>
      <w:r>
        <w:rPr>
          <w:rFonts w:ascii="宋体" w:hAnsi="宋体" w:cs="宋体" w:eastAsia="宋体" w:hint="default"/>
          <w:spacing w:val="-4"/>
        </w:rPr>
        <w:t>③</w:t>
      </w:r>
      <w:r>
        <w:rPr>
          <w:spacing w:val="-4"/>
        </w:rPr>
        <w:t>债务人很可能倒闭或进行其他财</w:t>
      </w:r>
      <w:r>
        <w:rPr>
          <w:spacing w:val="-93"/>
        </w:rPr>
        <w:t> </w:t>
      </w:r>
      <w:r>
        <w:rPr/>
        <w:t>务重组；</w:t>
      </w:r>
      <w:r>
        <w:rPr>
          <w:rFonts w:ascii="宋体" w:hAnsi="宋体" w:cs="宋体" w:eastAsia="宋体" w:hint="default"/>
        </w:rPr>
        <w:t>④</w:t>
      </w:r>
      <w:r>
        <w:rPr/>
        <w:t>其他表明应收款项发生减值的客观依据。</w:t>
      </w:r>
    </w:p>
    <w:p>
      <w:pPr>
        <w:pStyle w:val="BodyText"/>
        <w:tabs>
          <w:tab w:pos="1102" w:val="left" w:leader="none"/>
        </w:tabs>
        <w:spacing w:line="240" w:lineRule="auto" w:before="17"/>
        <w:ind w:left="622" w:right="145"/>
        <w:jc w:val="left"/>
      </w:pPr>
      <w:r>
        <w:rPr/>
        <w:t>⑵</w:t>
        <w:tab/>
        <w:t>坏账准备的计提方法</w:t>
      </w:r>
    </w:p>
    <w:p>
      <w:pPr>
        <w:pStyle w:val="BodyText"/>
        <w:spacing w:line="297" w:lineRule="auto" w:before="87"/>
        <w:ind w:left="622" w:right="124"/>
        <w:jc w:val="left"/>
      </w:pPr>
      <w:r>
        <w:rPr>
          <w:rFonts w:ascii="宋体" w:hAnsi="宋体" w:cs="宋体" w:eastAsia="宋体" w:hint="default"/>
        </w:rPr>
        <w:t>①</w:t>
      </w:r>
      <w:r>
        <w:rPr/>
        <w:t>单项金额重大并单项计提坏账准备的应收款项坏账准备的确认标准、计提方法 本集团将金额为人民币</w:t>
      </w:r>
      <w:r>
        <w:rPr>
          <w:spacing w:val="-60"/>
        </w:rPr>
        <w:t> </w:t>
      </w:r>
      <w:r>
        <w:rPr>
          <w:rFonts w:ascii="Times New Roman" w:hAnsi="Times New Roman" w:cs="Times New Roman" w:eastAsia="Times New Roman" w:hint="default"/>
        </w:rPr>
        <w:t>50 </w:t>
      </w:r>
      <w:r>
        <w:rPr/>
        <w:t>万元以上的应收款项确认为单项金额重大的应收款项。 </w:t>
      </w:r>
      <w:r>
        <w:rPr>
          <w:spacing w:val="2"/>
        </w:rPr>
        <w:t>本集团对单项金额重大的应收款项单独进行减值测试，单独测试未发生减值的金</w:t>
      </w:r>
    </w:p>
    <w:p>
      <w:pPr>
        <w:pStyle w:val="BodyText"/>
        <w:spacing w:line="304" w:lineRule="auto" w:before="29"/>
        <w:ind w:right="152"/>
        <w:jc w:val="both"/>
      </w:pPr>
      <w:r>
        <w:rPr>
          <w:spacing w:val="2"/>
        </w:rPr>
        <w:t>融资产，包括在具有类似信用风险特征的金融资产组合中进行减值测试。单项测试已</w:t>
      </w:r>
      <w:r>
        <w:rPr>
          <w:spacing w:val="-97"/>
        </w:rPr>
        <w:t> </w:t>
      </w:r>
      <w:r>
        <w:rPr>
          <w:spacing w:val="-97"/>
        </w:rPr>
      </w:r>
      <w:r>
        <w:rPr>
          <w:spacing w:val="2"/>
        </w:rPr>
        <w:t>确认减值损失的应收款项，不再包括在具有类似信用风险特征的应收款项组合中进行</w:t>
      </w:r>
      <w:r>
        <w:rPr>
          <w:spacing w:val="-97"/>
        </w:rPr>
        <w:t> </w:t>
      </w:r>
      <w:r>
        <w:rPr>
          <w:spacing w:val="-97"/>
        </w:rPr>
      </w:r>
      <w:r>
        <w:rPr/>
        <w:t>减值测试。</w:t>
      </w:r>
    </w:p>
    <w:p>
      <w:pPr>
        <w:pStyle w:val="BodyText"/>
        <w:spacing w:line="297" w:lineRule="auto"/>
        <w:ind w:left="622" w:right="145"/>
        <w:jc w:val="left"/>
      </w:pPr>
      <w:r>
        <w:rPr>
          <w:rFonts w:ascii="宋体" w:hAnsi="宋体" w:cs="宋体" w:eastAsia="宋体" w:hint="default"/>
        </w:rPr>
        <w:t>②</w:t>
      </w:r>
      <w:r>
        <w:rPr/>
        <w:t>按信用风险组合计提坏账准备的应收款项的确定依据、坏账准备计提方法 </w:t>
      </w:r>
      <w:r>
        <w:rPr>
          <w:rFonts w:ascii="Times New Roman" w:hAnsi="Times New Roman" w:cs="Times New Roman" w:eastAsia="Times New Roman" w:hint="default"/>
        </w:rPr>
        <w:t>A</w:t>
      </w:r>
      <w:r>
        <w:rPr/>
        <w:t>．信用风险特征组合的确定依据 </w:t>
      </w:r>
      <w:r>
        <w:rPr>
          <w:spacing w:val="2"/>
        </w:rPr>
        <w:t>本集团对单项金额不重大以及金额重大但单项测试未发生减值的应收款项，按信</w:t>
      </w:r>
    </w:p>
    <w:p>
      <w:pPr>
        <w:pStyle w:val="BodyText"/>
        <w:spacing w:line="304" w:lineRule="auto" w:before="29"/>
        <w:ind w:right="145"/>
        <w:jc w:val="both"/>
      </w:pPr>
      <w:r>
        <w:rPr>
          <w:spacing w:val="2"/>
        </w:rPr>
        <w:t>用风险特征的相似性和相关性对金融资产进行分组。这些信用风险通常反映债务人按</w:t>
      </w:r>
      <w:r>
        <w:rPr>
          <w:spacing w:val="-90"/>
        </w:rPr>
        <w:t> </w:t>
      </w:r>
      <w:r>
        <w:rPr>
          <w:spacing w:val="-90"/>
        </w:rPr>
      </w:r>
      <w:r>
        <w:rPr>
          <w:spacing w:val="2"/>
        </w:rPr>
        <w:t>照该等资产的合同条款偿还所有到期金额的能力，并且与被检查资产的未来现金流量</w:t>
      </w:r>
      <w:r>
        <w:rPr>
          <w:spacing w:val="-97"/>
        </w:rPr>
        <w:t> </w:t>
      </w:r>
      <w:r>
        <w:rPr>
          <w:spacing w:val="-97"/>
        </w:rPr>
      </w:r>
      <w:r>
        <w:rPr/>
        <w:t>测算相关。</w:t>
      </w:r>
    </w:p>
    <w:p>
      <w:pPr>
        <w:spacing w:after="0" w:line="304" w:lineRule="auto"/>
        <w:jc w:val="both"/>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pStyle w:val="BodyText"/>
        <w:spacing w:line="240" w:lineRule="auto" w:before="26"/>
        <w:ind w:left="622" w:right="145"/>
        <w:jc w:val="left"/>
      </w:pPr>
      <w:r>
        <w:rPr/>
        <w:t>不同组合的确定依据：</w:t>
      </w:r>
    </w:p>
    <w:p>
      <w:pPr>
        <w:spacing w:line="240" w:lineRule="auto" w:before="5"/>
        <w:rPr>
          <w:rFonts w:ascii="宋体" w:hAnsi="宋体" w:cs="宋体" w:eastAsia="宋体" w:hint="default"/>
          <w:sz w:val="21"/>
          <w:szCs w:val="21"/>
        </w:rPr>
      </w:pPr>
    </w:p>
    <w:tbl>
      <w:tblPr>
        <w:tblW w:w="0" w:type="auto"/>
        <w:jc w:val="left"/>
        <w:tblInd w:w="325" w:type="dxa"/>
        <w:tblLayout w:type="fixed"/>
        <w:tblCellMar>
          <w:top w:w="0" w:type="dxa"/>
          <w:left w:w="0" w:type="dxa"/>
          <w:bottom w:w="0" w:type="dxa"/>
          <w:right w:w="0" w:type="dxa"/>
        </w:tblCellMar>
        <w:tblLook w:val="01E0"/>
      </w:tblPr>
      <w:tblGrid>
        <w:gridCol w:w="2204"/>
        <w:gridCol w:w="235"/>
        <w:gridCol w:w="6284"/>
      </w:tblGrid>
      <w:tr>
        <w:trPr>
          <w:trHeight w:val="249" w:hRule="exact"/>
        </w:trPr>
        <w:tc>
          <w:tcPr>
            <w:tcW w:w="2204"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628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556" w:hRule="exact"/>
        </w:trPr>
        <w:tc>
          <w:tcPr>
            <w:tcW w:w="2204"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各账龄段</w:t>
            </w:r>
          </w:p>
        </w:tc>
        <w:tc>
          <w:tcPr>
            <w:tcW w:w="235" w:type="dxa"/>
            <w:tcBorders>
              <w:top w:val="nil" w:sz="6" w:space="0" w:color="auto"/>
              <w:left w:val="nil" w:sz="6" w:space="0" w:color="auto"/>
              <w:bottom w:val="nil" w:sz="6" w:space="0" w:color="auto"/>
              <w:right w:val="nil" w:sz="6" w:space="0" w:color="auto"/>
            </w:tcBorders>
          </w:tcPr>
          <w:p>
            <w:pPr/>
          </w:p>
        </w:tc>
        <w:tc>
          <w:tcPr>
            <w:tcW w:w="6284"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对单项金额小于 </w:t>
            </w:r>
            <w:r>
              <w:rPr>
                <w:rFonts w:ascii="宋体" w:hAnsi="宋体" w:cs="宋体" w:eastAsia="宋体" w:hint="default"/>
                <w:sz w:val="21"/>
                <w:szCs w:val="21"/>
              </w:rPr>
              <w:t>50</w:t>
            </w:r>
            <w:r>
              <w:rPr>
                <w:rFonts w:ascii="宋体" w:hAnsi="宋体" w:cs="宋体" w:eastAsia="宋体" w:hint="default"/>
                <w:spacing w:val="-26"/>
                <w:sz w:val="21"/>
                <w:szCs w:val="21"/>
              </w:rPr>
              <w:t> </w:t>
            </w:r>
            <w:r>
              <w:rPr>
                <w:rFonts w:ascii="宋体" w:hAnsi="宋体" w:cs="宋体" w:eastAsia="宋体" w:hint="default"/>
                <w:sz w:val="21"/>
                <w:szCs w:val="21"/>
              </w:rPr>
              <w:t>万元的应收款项及经单独测试后未发生减值的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应收款项，按账龄划分为若干组合。</w:t>
            </w:r>
          </w:p>
        </w:tc>
      </w:tr>
      <w:tr>
        <w:trPr>
          <w:trHeight w:val="251" w:hRule="exact"/>
        </w:trPr>
        <w:tc>
          <w:tcPr>
            <w:tcW w:w="2204"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应收子公司款项</w:t>
            </w:r>
          </w:p>
        </w:tc>
        <w:tc>
          <w:tcPr>
            <w:tcW w:w="235" w:type="dxa"/>
            <w:tcBorders>
              <w:top w:val="nil" w:sz="6" w:space="0" w:color="auto"/>
              <w:left w:val="nil" w:sz="6" w:space="0" w:color="auto"/>
              <w:bottom w:val="nil" w:sz="6" w:space="0" w:color="auto"/>
              <w:right w:val="nil" w:sz="6" w:space="0" w:color="auto"/>
            </w:tcBorders>
          </w:tcPr>
          <w:p>
            <w:pPr/>
          </w:p>
        </w:tc>
        <w:tc>
          <w:tcPr>
            <w:tcW w:w="6284"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本公司所属子公司。</w:t>
            </w:r>
          </w:p>
        </w:tc>
      </w:tr>
    </w:tbl>
    <w:p>
      <w:pPr>
        <w:spacing w:line="240" w:lineRule="auto" w:before="9"/>
        <w:rPr>
          <w:rFonts w:ascii="宋体" w:hAnsi="宋体" w:cs="宋体" w:eastAsia="宋体" w:hint="default"/>
          <w:sz w:val="14"/>
          <w:szCs w:val="14"/>
        </w:rPr>
      </w:pPr>
    </w:p>
    <w:p>
      <w:pPr>
        <w:pStyle w:val="BodyText"/>
        <w:spacing w:line="290" w:lineRule="auto" w:before="26"/>
        <w:ind w:left="622" w:right="145"/>
        <w:jc w:val="left"/>
      </w:pPr>
      <w:r>
        <w:rPr>
          <w:rFonts w:ascii="Times New Roman" w:hAnsi="Times New Roman" w:cs="Times New Roman" w:eastAsia="Times New Roman" w:hint="default"/>
        </w:rPr>
        <w:t>B</w:t>
      </w:r>
      <w:r>
        <w:rPr/>
        <w:t>．根据信用风险特征组合确定的坏账准备计提方法 </w:t>
      </w:r>
      <w:r>
        <w:rPr>
          <w:spacing w:val="2"/>
        </w:rPr>
        <w:t>按组合方式实施减值测试时，坏账准备金额系根据应收款项组合结构及类似信用</w:t>
      </w:r>
    </w:p>
    <w:p>
      <w:pPr>
        <w:pStyle w:val="BodyText"/>
        <w:spacing w:line="307" w:lineRule="auto" w:before="34"/>
        <w:ind w:right="145"/>
        <w:jc w:val="left"/>
      </w:pPr>
      <w:r>
        <w:rPr>
          <w:spacing w:val="2"/>
        </w:rPr>
        <w:t>风险特征（债务人根据合同条款偿还欠款的能力）按历史损失经验及目前经济状况与</w:t>
      </w:r>
      <w:r>
        <w:rPr>
          <w:spacing w:val="-97"/>
        </w:rPr>
        <w:t> </w:t>
      </w:r>
      <w:r>
        <w:rPr>
          <w:spacing w:val="-97"/>
        </w:rPr>
      </w:r>
      <w:r>
        <w:rPr/>
        <w:t>预计应收款项组合中已经存在的损失评估确定。</w:t>
      </w:r>
    </w:p>
    <w:p>
      <w:pPr>
        <w:pStyle w:val="BodyText"/>
        <w:spacing w:line="240" w:lineRule="auto" w:before="19"/>
        <w:ind w:left="622" w:right="145"/>
        <w:jc w:val="left"/>
      </w:pPr>
      <w:r>
        <w:rPr/>
        <w:t>不同组合计提坏账准备的计提方法：</w:t>
      </w:r>
    </w:p>
    <w:p>
      <w:pPr>
        <w:spacing w:line="240" w:lineRule="auto" w:before="7"/>
        <w:rPr>
          <w:rFonts w:ascii="宋体" w:hAnsi="宋体" w:cs="宋体" w:eastAsia="宋体" w:hint="default"/>
          <w:sz w:val="16"/>
          <w:szCs w:val="16"/>
        </w:rPr>
      </w:pPr>
    </w:p>
    <w:tbl>
      <w:tblPr>
        <w:tblW w:w="0" w:type="auto"/>
        <w:jc w:val="left"/>
        <w:tblInd w:w="325" w:type="dxa"/>
        <w:tblLayout w:type="fixed"/>
        <w:tblCellMar>
          <w:top w:w="0" w:type="dxa"/>
          <w:left w:w="0" w:type="dxa"/>
          <w:bottom w:w="0" w:type="dxa"/>
          <w:right w:w="0" w:type="dxa"/>
        </w:tblCellMar>
        <w:tblLook w:val="01E0"/>
      </w:tblPr>
      <w:tblGrid>
        <w:gridCol w:w="2199"/>
        <w:gridCol w:w="238"/>
        <w:gridCol w:w="6287"/>
      </w:tblGrid>
      <w:tr>
        <w:trPr>
          <w:trHeight w:val="415" w:hRule="exact"/>
        </w:trPr>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8" w:type="dxa"/>
            <w:tcBorders>
              <w:top w:val="nil" w:sz="6" w:space="0" w:color="auto"/>
              <w:left w:val="nil" w:sz="6" w:space="0" w:color="auto"/>
              <w:bottom w:val="nil" w:sz="6" w:space="0" w:color="auto"/>
              <w:right w:val="nil" w:sz="6" w:space="0" w:color="auto"/>
            </w:tcBorders>
          </w:tcPr>
          <w:p>
            <w:pPr/>
          </w:p>
        </w:tc>
        <w:tc>
          <w:tcPr>
            <w:tcW w:w="6287"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计提方法</w:t>
            </w:r>
          </w:p>
        </w:tc>
      </w:tr>
      <w:tr>
        <w:trPr>
          <w:trHeight w:val="729" w:hRule="exact"/>
        </w:trPr>
        <w:tc>
          <w:tcPr>
            <w:tcW w:w="2199"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各账龄段</w:t>
            </w:r>
          </w:p>
        </w:tc>
        <w:tc>
          <w:tcPr>
            <w:tcW w:w="238" w:type="dxa"/>
            <w:tcBorders>
              <w:top w:val="nil" w:sz="6" w:space="0" w:color="auto"/>
              <w:left w:val="nil" w:sz="6" w:space="0" w:color="auto"/>
              <w:bottom w:val="nil" w:sz="6" w:space="0" w:color="auto"/>
              <w:right w:val="nil" w:sz="6" w:space="0" w:color="auto"/>
            </w:tcBorders>
          </w:tcPr>
          <w:p>
            <w:pPr/>
          </w:p>
        </w:tc>
        <w:tc>
          <w:tcPr>
            <w:tcW w:w="6287" w:type="dxa"/>
            <w:tcBorders>
              <w:top w:val="single" w:sz="4"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pacing w:val="2"/>
                <w:sz w:val="24"/>
                <w:szCs w:val="24"/>
              </w:rPr>
              <w:t>根据应收款项账龄及坏账准备计提比例确定减值损失，计</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提坏账准备。</w:t>
            </w:r>
          </w:p>
        </w:tc>
      </w:tr>
      <w:tr>
        <w:trPr>
          <w:trHeight w:val="37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4"/>
                <w:szCs w:val="24"/>
              </w:rPr>
            </w:pPr>
            <w:r>
              <w:rPr>
                <w:rFonts w:ascii="宋体" w:hAnsi="宋体" w:cs="宋体" w:eastAsia="宋体" w:hint="default"/>
                <w:sz w:val="24"/>
                <w:szCs w:val="24"/>
              </w:rPr>
              <w:t>应收子公司款项</w:t>
            </w:r>
          </w:p>
        </w:tc>
        <w:tc>
          <w:tcPr>
            <w:tcW w:w="238" w:type="dxa"/>
            <w:tcBorders>
              <w:top w:val="nil" w:sz="6" w:space="0" w:color="auto"/>
              <w:left w:val="nil" w:sz="6" w:space="0" w:color="auto"/>
              <w:bottom w:val="nil" w:sz="6" w:space="0" w:color="auto"/>
              <w:right w:val="nil" w:sz="6" w:space="0" w:color="auto"/>
            </w:tcBorders>
          </w:tcPr>
          <w:p>
            <w:pPr/>
          </w:p>
        </w:tc>
        <w:tc>
          <w:tcPr>
            <w:tcW w:w="628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4"/>
                <w:szCs w:val="24"/>
              </w:rPr>
            </w:pPr>
            <w:r>
              <w:rPr>
                <w:rFonts w:ascii="宋体" w:hAnsi="宋体" w:cs="宋体" w:eastAsia="宋体" w:hint="default"/>
                <w:sz w:val="24"/>
                <w:szCs w:val="24"/>
              </w:rPr>
              <w:t>不计提坏账准备。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26"/>
        <w:ind w:left="625" w:right="145"/>
        <w:jc w:val="left"/>
      </w:pPr>
      <w:r>
        <w:rPr/>
        <w:t>组合中，采用账龄分析法计提坏账准备的组合计提方法</w:t>
      </w:r>
    </w:p>
    <w:p>
      <w:pPr>
        <w:spacing w:line="240" w:lineRule="auto" w:before="9"/>
        <w:rPr>
          <w:rFonts w:ascii="宋体" w:hAnsi="宋体" w:cs="宋体" w:eastAsia="宋体" w:hint="default"/>
          <w:sz w:val="18"/>
          <w:szCs w:val="18"/>
        </w:rPr>
      </w:pPr>
    </w:p>
    <w:tbl>
      <w:tblPr>
        <w:tblW w:w="0" w:type="auto"/>
        <w:jc w:val="left"/>
        <w:tblInd w:w="212" w:type="dxa"/>
        <w:tblLayout w:type="fixed"/>
        <w:tblCellMar>
          <w:top w:w="0" w:type="dxa"/>
          <w:left w:w="0" w:type="dxa"/>
          <w:bottom w:w="0" w:type="dxa"/>
          <w:right w:w="0" w:type="dxa"/>
        </w:tblCellMar>
        <w:tblLook w:val="01E0"/>
      </w:tblPr>
      <w:tblGrid>
        <w:gridCol w:w="2957"/>
        <w:gridCol w:w="233"/>
        <w:gridCol w:w="2880"/>
        <w:gridCol w:w="110"/>
        <w:gridCol w:w="2770"/>
      </w:tblGrid>
      <w:tr>
        <w:trPr>
          <w:trHeight w:val="283" w:hRule="exact"/>
        </w:trPr>
        <w:tc>
          <w:tcPr>
            <w:tcW w:w="2957"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账</w:t>
              <w:tab/>
              <w:t>龄</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r>
              <w:rPr>
                <w:rFonts w:ascii="宋体" w:hAnsi="宋体" w:cs="宋体" w:eastAsia="宋体" w:hint="default"/>
                <w:sz w:val="24"/>
                <w:szCs w:val="24"/>
              </w:rPr>
              <w:t>）</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single" w:sz="4" w:space="0" w:color="000000"/>
              <w:right w:val="nil" w:sz="6" w:space="0" w:color="auto"/>
            </w:tcBorders>
          </w:tcPr>
          <w:p>
            <w:pPr>
              <w:pStyle w:val="TableParagraph"/>
              <w:spacing w:line="240" w:lineRule="exact"/>
              <w:ind w:left="28" w:right="0"/>
              <w:jc w:val="center"/>
              <w:rPr>
                <w:rFonts w:ascii="宋体" w:hAnsi="宋体" w:cs="宋体" w:eastAsia="宋体" w:hint="default"/>
                <w:sz w:val="24"/>
                <w:szCs w:val="24"/>
              </w:rPr>
            </w:pPr>
            <w:r>
              <w:rPr>
                <w:rFonts w:ascii="宋体" w:hAnsi="宋体" w:cs="宋体" w:eastAsia="宋体" w:hint="default"/>
                <w:spacing w:val="-2"/>
                <w:sz w:val="24"/>
                <w:szCs w:val="24"/>
              </w:rPr>
              <w:t>其他应收款计提比例（</w:t>
            </w:r>
            <w:r>
              <w:rPr>
                <w:rFonts w:ascii="宋体" w:hAnsi="宋体" w:cs="宋体" w:eastAsia="宋体" w:hint="default"/>
                <w:spacing w:val="-2"/>
                <w:sz w:val="24"/>
                <w:szCs w:val="24"/>
              </w:rPr>
              <w:t>%</w:t>
            </w:r>
            <w:r>
              <w:rPr>
                <w:rFonts w:ascii="宋体" w:hAnsi="宋体" w:cs="宋体" w:eastAsia="宋体" w:hint="default"/>
                <w:spacing w:val="-2"/>
                <w:sz w:val="24"/>
                <w:szCs w:val="24"/>
              </w:rPr>
              <w:t>）</w:t>
            </w:r>
          </w:p>
        </w:tc>
      </w:tr>
      <w:tr>
        <w:trPr>
          <w:trHeight w:val="313" w:hRule="exact"/>
        </w:trPr>
        <w:tc>
          <w:tcPr>
            <w:tcW w:w="2957" w:type="dxa"/>
            <w:tcBorders>
              <w:top w:val="single" w:sz="4" w:space="0" w:color="000000"/>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年，下同）</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4"/>
                <w:szCs w:val="24"/>
              </w:rPr>
            </w:pPr>
            <w:r>
              <w:rPr>
                <w:rFonts w:ascii="宋体"/>
                <w:sz w:val="24"/>
              </w:rPr>
              <w:t>5</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single" w:sz="4" w:space="0" w:color="000000"/>
              <w:left w:val="nil" w:sz="6" w:space="0" w:color="auto"/>
              <w:bottom w:val="nil" w:sz="6" w:space="0" w:color="auto"/>
              <w:right w:val="nil" w:sz="6" w:space="0" w:color="auto"/>
            </w:tcBorders>
          </w:tcPr>
          <w:p>
            <w:pPr>
              <w:pStyle w:val="TableParagraph"/>
              <w:spacing w:line="274" w:lineRule="exact"/>
              <w:ind w:right="88"/>
              <w:jc w:val="center"/>
              <w:rPr>
                <w:rFonts w:ascii="宋体" w:hAnsi="宋体" w:cs="宋体" w:eastAsia="宋体" w:hint="default"/>
                <w:sz w:val="24"/>
                <w:szCs w:val="24"/>
              </w:rPr>
            </w:pPr>
            <w:r>
              <w:rPr>
                <w:rFonts w:ascii="宋体"/>
                <w:sz w:val="24"/>
              </w:rPr>
              <w:t>5</w:t>
            </w:r>
          </w:p>
        </w:tc>
      </w:tr>
      <w:tr>
        <w:trPr>
          <w:trHeight w:val="311"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75" w:lineRule="exact"/>
              <w:ind w:left="28"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75" w:lineRule="exact"/>
              <w:ind w:right="0"/>
              <w:jc w:val="center"/>
              <w:rPr>
                <w:rFonts w:ascii="宋体" w:hAnsi="宋体" w:cs="宋体" w:eastAsia="宋体" w:hint="default"/>
                <w:sz w:val="24"/>
                <w:szCs w:val="24"/>
              </w:rPr>
            </w:pPr>
            <w:r>
              <w:rPr>
                <w:rFonts w:ascii="宋体"/>
                <w:sz w:val="24"/>
              </w:rPr>
              <w:t>10</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75" w:lineRule="exact"/>
              <w:ind w:right="88"/>
              <w:jc w:val="center"/>
              <w:rPr>
                <w:rFonts w:ascii="宋体" w:hAnsi="宋体" w:cs="宋体" w:eastAsia="宋体" w:hint="default"/>
                <w:sz w:val="24"/>
                <w:szCs w:val="24"/>
              </w:rPr>
            </w:pPr>
            <w:r>
              <w:rPr>
                <w:rFonts w:ascii="宋体"/>
                <w:sz w:val="24"/>
              </w:rPr>
              <w:t>10</w:t>
            </w:r>
          </w:p>
        </w:tc>
      </w:tr>
      <w:tr>
        <w:trPr>
          <w:trHeight w:val="312"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76" w:lineRule="exact"/>
              <w:ind w:left="28"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center"/>
              <w:rPr>
                <w:rFonts w:ascii="宋体" w:hAnsi="宋体" w:cs="宋体" w:eastAsia="宋体" w:hint="default"/>
                <w:sz w:val="24"/>
                <w:szCs w:val="24"/>
              </w:rPr>
            </w:pPr>
            <w:r>
              <w:rPr>
                <w:rFonts w:ascii="宋体"/>
                <w:sz w:val="24"/>
              </w:rPr>
              <w:t>20</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76" w:lineRule="exact"/>
              <w:ind w:right="88"/>
              <w:jc w:val="center"/>
              <w:rPr>
                <w:rFonts w:ascii="宋体" w:hAnsi="宋体" w:cs="宋体" w:eastAsia="宋体" w:hint="default"/>
                <w:sz w:val="24"/>
                <w:szCs w:val="24"/>
              </w:rPr>
            </w:pPr>
            <w:r>
              <w:rPr>
                <w:rFonts w:ascii="宋体"/>
                <w:sz w:val="24"/>
              </w:rPr>
              <w:t>20</w:t>
            </w:r>
          </w:p>
        </w:tc>
      </w:tr>
      <w:tr>
        <w:trPr>
          <w:trHeight w:val="276"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76" w:lineRule="exact"/>
              <w:ind w:left="2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center"/>
              <w:rPr>
                <w:rFonts w:ascii="宋体" w:hAnsi="宋体" w:cs="宋体" w:eastAsia="宋体" w:hint="default"/>
                <w:sz w:val="24"/>
                <w:szCs w:val="24"/>
              </w:rPr>
            </w:pPr>
            <w:r>
              <w:rPr>
                <w:rFonts w:ascii="宋体"/>
                <w:sz w:val="24"/>
              </w:rPr>
              <w:t>50</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76" w:lineRule="exact"/>
              <w:ind w:right="88"/>
              <w:jc w:val="center"/>
              <w:rPr>
                <w:rFonts w:ascii="宋体" w:hAnsi="宋体" w:cs="宋体" w:eastAsia="宋体" w:hint="default"/>
                <w:sz w:val="24"/>
                <w:szCs w:val="24"/>
              </w:rPr>
            </w:pPr>
            <w:r>
              <w:rPr>
                <w:rFonts w:ascii="宋体"/>
                <w:sz w:val="24"/>
              </w:rPr>
              <w:t>50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07" w:lineRule="auto" w:before="26"/>
        <w:ind w:left="622" w:right="145"/>
        <w:jc w:val="left"/>
      </w:pPr>
      <w:r>
        <w:rPr>
          <w:rFonts w:ascii="宋体" w:hAnsi="宋体" w:cs="宋体" w:eastAsia="宋体" w:hint="default"/>
        </w:rPr>
        <w:t>③</w:t>
      </w:r>
      <w:r>
        <w:rPr/>
        <w:t>单项金额虽不重大但单项计提坏账准备的应收款项 </w:t>
      </w:r>
      <w:r>
        <w:rPr>
          <w:spacing w:val="2"/>
        </w:rPr>
        <w:t>本集团对于单项金额虽不重大但具备以下特征的应收款项，单独进行减值测试，</w:t>
      </w:r>
    </w:p>
    <w:p>
      <w:pPr>
        <w:pStyle w:val="BodyText"/>
        <w:spacing w:line="307" w:lineRule="auto" w:before="17"/>
        <w:ind w:right="152"/>
        <w:jc w:val="both"/>
      </w:pPr>
      <w:r>
        <w:rPr>
          <w:spacing w:val="2"/>
        </w:rPr>
        <w:t>有客观证据表明其发生了减值的，根据其未来现金流量现值低于其账面价值的差额，</w:t>
      </w:r>
      <w:r>
        <w:rPr>
          <w:spacing w:val="-97"/>
        </w:rPr>
        <w:t> </w:t>
      </w:r>
      <w:r>
        <w:rPr>
          <w:spacing w:val="-97"/>
        </w:rPr>
      </w:r>
      <w:r>
        <w:rPr>
          <w:spacing w:val="2"/>
        </w:rPr>
        <w:t>确认减值损失，计提坏账准备：与对方存在争议或涉及诉讼、仲裁的应收款项；已有</w:t>
      </w:r>
      <w:r>
        <w:rPr>
          <w:spacing w:val="-97"/>
        </w:rPr>
        <w:t> </w:t>
      </w:r>
      <w:r>
        <w:rPr>
          <w:spacing w:val="-97"/>
        </w:rPr>
      </w:r>
      <w:r>
        <w:rPr/>
        <w:t>明显迹象表明债务人很可能无法履行还款义务的应收款项等。</w:t>
      </w:r>
    </w:p>
    <w:p>
      <w:pPr>
        <w:pStyle w:val="BodyText"/>
        <w:tabs>
          <w:tab w:pos="1102" w:val="left" w:leader="none"/>
        </w:tabs>
        <w:spacing w:line="307" w:lineRule="auto" w:before="17"/>
        <w:ind w:left="622" w:right="156"/>
        <w:jc w:val="left"/>
      </w:pPr>
      <w:r>
        <w:rPr/>
        <w:t>⑶</w:t>
        <w:tab/>
        <w:t>坏账准备的转回 </w:t>
      </w:r>
      <w:r>
        <w:rPr>
          <w:spacing w:val="2"/>
        </w:rPr>
        <w:t>如有客观证据表明该应收款项价值已恢复，且客观上与确认该损失后发生的事项</w:t>
      </w:r>
    </w:p>
    <w:p>
      <w:pPr>
        <w:pStyle w:val="BodyText"/>
        <w:spacing w:line="304" w:lineRule="auto" w:before="19"/>
        <w:ind w:right="152"/>
        <w:jc w:val="both"/>
      </w:pPr>
      <w:r>
        <w:rPr>
          <w:spacing w:val="2"/>
        </w:rPr>
        <w:t>有关，原确认的减值损失予以转回，计入当期损益。但是，该转回后的账面价值不超</w:t>
      </w:r>
      <w:r>
        <w:rPr>
          <w:spacing w:val="-97"/>
        </w:rPr>
        <w:t> </w:t>
      </w:r>
      <w:r>
        <w:rPr>
          <w:spacing w:val="-97"/>
        </w:rPr>
      </w:r>
      <w:r>
        <w:rPr/>
        <w:t>过假定不计提减值准备情况下该应收款项在转回日的摊余成本。</w:t>
      </w:r>
    </w:p>
    <w:p>
      <w:pPr>
        <w:pStyle w:val="Heading2"/>
        <w:spacing w:line="363" w:lineRule="exact"/>
        <w:ind w:left="675" w:right="145"/>
        <w:jc w:val="left"/>
        <w:rPr>
          <w:b w:val="0"/>
          <w:bCs w:val="0"/>
        </w:rPr>
      </w:pPr>
      <w:r>
        <w:rPr>
          <w:rFonts w:ascii="Times New Roman" w:hAnsi="Times New Roman" w:cs="Times New Roman" w:eastAsia="Times New Roman" w:hint="default"/>
          <w:spacing w:val="3"/>
        </w:rPr>
        <w:t>9</w:t>
      </w:r>
      <w:r>
        <w:rPr>
          <w:spacing w:val="3"/>
        </w:rPr>
        <w:t>、存货</w:t>
      </w:r>
      <w:r>
        <w:rPr>
          <w:b w:val="0"/>
          <w:bCs w:val="0"/>
        </w:rPr>
      </w:r>
    </w:p>
    <w:p>
      <w:pPr>
        <w:pStyle w:val="BodyText"/>
        <w:tabs>
          <w:tab w:pos="1102" w:val="left" w:leader="none"/>
        </w:tabs>
        <w:spacing w:line="304" w:lineRule="auto" w:before="59"/>
        <w:ind w:left="622" w:right="1220"/>
        <w:jc w:val="left"/>
      </w:pPr>
      <w:r>
        <w:rPr/>
        <w:t>⑴</w:t>
        <w:tab/>
        <w:t>存货的分类 存货主要包括原材料、辅助材料、低值易耗品、在产品、库存商品等。</w:t>
      </w:r>
    </w:p>
    <w:p>
      <w:pPr>
        <w:pStyle w:val="BodyText"/>
        <w:tabs>
          <w:tab w:pos="1102" w:val="left" w:leader="none"/>
        </w:tabs>
        <w:spacing w:line="240" w:lineRule="auto"/>
        <w:ind w:left="622" w:right="145"/>
        <w:jc w:val="left"/>
      </w:pPr>
      <w:r>
        <w:rPr/>
        <w:t>⑵</w:t>
        <w:tab/>
        <w:t>存货取得和发出的计价方法</w:t>
      </w:r>
    </w:p>
    <w:p>
      <w:pPr>
        <w:spacing w:after="0" w:line="240" w:lineRule="auto"/>
        <w:jc w:val="left"/>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pStyle w:val="BodyText"/>
        <w:spacing w:line="304" w:lineRule="auto" w:before="26"/>
        <w:ind w:right="50" w:firstLine="479"/>
        <w:jc w:val="left"/>
      </w:pPr>
      <w:r>
        <w:rPr>
          <w:spacing w:val="2"/>
        </w:rPr>
        <w:t>存货在取得时按实际成本计价，存货成本包括采购成本、加工成本和其他成本。</w:t>
      </w:r>
      <w:r>
        <w:rPr/>
        <w:t> </w:t>
      </w:r>
      <w:r>
        <w:rPr>
          <w:spacing w:val="2"/>
        </w:rPr>
        <w:t>领用和发出时按加权平均法计价；原材料以计划成本核算，对原材料的计划成本和实</w:t>
      </w:r>
      <w:r>
        <w:rPr>
          <w:spacing w:val="-89"/>
        </w:rPr>
        <w:t> </w:t>
      </w:r>
      <w:r>
        <w:rPr>
          <w:spacing w:val="-89"/>
        </w:rPr>
      </w:r>
      <w:r>
        <w:rPr>
          <w:spacing w:val="-1"/>
        </w:rPr>
        <w:t>际成本之间的差异，通过成本差异科目核算，并按期结转发出存货应负担的成本差异，</w:t>
      </w:r>
      <w:r>
        <w:rPr>
          <w:spacing w:val="-88"/>
        </w:rPr>
        <w:t> </w:t>
      </w:r>
      <w:r>
        <w:rPr>
          <w:spacing w:val="-88"/>
        </w:rPr>
      </w:r>
      <w:r>
        <w:rPr/>
        <w:t>将计划成本调整为实际成本。</w:t>
      </w:r>
    </w:p>
    <w:p>
      <w:pPr>
        <w:pStyle w:val="BodyText"/>
        <w:tabs>
          <w:tab w:pos="1102" w:val="left" w:leader="none"/>
        </w:tabs>
        <w:spacing w:line="304" w:lineRule="auto"/>
        <w:ind w:left="622" w:right="236"/>
        <w:jc w:val="left"/>
      </w:pPr>
      <w:r>
        <w:rPr/>
        <w:t>⑶</w:t>
        <w:tab/>
        <w:t>存货可变现净值的确认和跌价准备的计提方法 </w:t>
      </w:r>
      <w:r>
        <w:rPr>
          <w:spacing w:val="2"/>
        </w:rPr>
        <w:t>可变现净值是指在日常活动中，存货的估计售价减去至完工时估计将要发生的成</w:t>
      </w:r>
    </w:p>
    <w:p>
      <w:pPr>
        <w:pStyle w:val="BodyText"/>
        <w:spacing w:line="307" w:lineRule="auto"/>
        <w:ind w:right="232"/>
        <w:jc w:val="both"/>
      </w:pPr>
      <w:r>
        <w:rPr>
          <w:spacing w:val="2"/>
        </w:rPr>
        <w:t>本、估计的销售费用以及相关税费后的金额。在确定存货的可变现净值时，以取得的</w:t>
      </w:r>
      <w:r>
        <w:rPr>
          <w:spacing w:val="-97"/>
        </w:rPr>
        <w:t> </w:t>
      </w:r>
      <w:r>
        <w:rPr>
          <w:spacing w:val="-97"/>
        </w:rPr>
      </w:r>
      <w:r>
        <w:rPr/>
        <w:t>确凿证据为基础，同时考虑持有存货的目的以及资产负债表日后事项的影响。</w:t>
      </w:r>
    </w:p>
    <w:p>
      <w:pPr>
        <w:pStyle w:val="BodyText"/>
        <w:spacing w:line="307" w:lineRule="auto" w:before="17"/>
        <w:ind w:right="232" w:firstLine="479"/>
        <w:jc w:val="both"/>
      </w:pPr>
      <w:r>
        <w:rPr>
          <w:spacing w:val="2"/>
        </w:rPr>
        <w:t>在资产负债表日，存货按照成本与可变现净值孰低计量。当其可变现净值低于成</w:t>
      </w:r>
      <w:r>
        <w:rPr/>
        <w:t> </w:t>
      </w:r>
      <w:r>
        <w:rPr>
          <w:spacing w:val="2"/>
        </w:rPr>
        <w:t>本时，提取存货跌价准备。存货跌价准备按单个存货项目的成本高于其可变现净值的</w:t>
      </w:r>
      <w:r>
        <w:rPr>
          <w:spacing w:val="-97"/>
        </w:rPr>
        <w:t> </w:t>
      </w:r>
      <w:r>
        <w:rPr>
          <w:spacing w:val="-97"/>
        </w:rPr>
      </w:r>
      <w:r>
        <w:rPr/>
        <w:t>差额提取。</w:t>
      </w:r>
    </w:p>
    <w:p>
      <w:pPr>
        <w:pStyle w:val="BodyText"/>
        <w:spacing w:line="307" w:lineRule="auto" w:before="17"/>
        <w:ind w:right="232" w:firstLine="479"/>
        <w:jc w:val="both"/>
      </w:pPr>
      <w:r>
        <w:rPr>
          <w:spacing w:val="2"/>
        </w:rPr>
        <w:t>计提存货跌价准备后，如果以前减记存货价值的影响因素已经消失，导致存货的</w:t>
      </w:r>
      <w:r>
        <w:rPr/>
        <w:t> </w:t>
      </w:r>
      <w:r>
        <w:rPr>
          <w:spacing w:val="2"/>
        </w:rPr>
        <w:t>可变现净值高于其账面价值的，在原已计提的存货跌价准备金额内予以转回，转回的</w:t>
      </w:r>
      <w:r>
        <w:rPr>
          <w:spacing w:val="-97"/>
        </w:rPr>
        <w:t> </w:t>
      </w:r>
      <w:r>
        <w:rPr>
          <w:spacing w:val="-97"/>
        </w:rPr>
      </w:r>
      <w:r>
        <w:rPr/>
        <w:t>金额计入当期损益。</w:t>
      </w:r>
    </w:p>
    <w:p>
      <w:pPr>
        <w:pStyle w:val="BodyText"/>
        <w:tabs>
          <w:tab w:pos="1102" w:val="left" w:leader="none"/>
        </w:tabs>
        <w:spacing w:line="240" w:lineRule="auto" w:before="17"/>
        <w:ind w:left="622" w:right="3093"/>
        <w:jc w:val="left"/>
      </w:pPr>
      <w:r>
        <w:rPr/>
        <w:t>⑷</w:t>
        <w:tab/>
        <w:t>存货的盘存制度为永续盘存制。</w:t>
      </w:r>
    </w:p>
    <w:p>
      <w:pPr>
        <w:pStyle w:val="BodyText"/>
        <w:tabs>
          <w:tab w:pos="1102" w:val="left" w:leader="none"/>
        </w:tabs>
        <w:spacing w:line="240" w:lineRule="auto" w:before="86"/>
        <w:ind w:left="622" w:right="3093"/>
        <w:jc w:val="left"/>
      </w:pPr>
      <w:r>
        <w:rPr/>
        <w:t>⑸</w:t>
        <w:tab/>
        <w:t>低值易耗品和包装物的摊销方法</w:t>
      </w:r>
    </w:p>
    <w:p>
      <w:pPr>
        <w:tabs>
          <w:tab w:pos="1402" w:val="left" w:leader="none"/>
        </w:tabs>
        <w:spacing w:line="247" w:lineRule="auto" w:before="86"/>
        <w:ind w:left="675" w:right="580" w:hanging="5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低值易耗品于领用时按一次摊销法摊销；包装物于领用时按一次摊销法摊销。 </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w:t>
        <w:tab/>
        <w:t>长期股权投资</w:t>
      </w:r>
      <w:r>
        <w:rPr>
          <w:rFonts w:ascii="Microsoft JhengHei" w:hAnsi="Microsoft JhengHei" w:cs="Microsoft JhengHei" w:eastAsia="Microsoft JhengHei" w:hint="default"/>
          <w:sz w:val="24"/>
          <w:szCs w:val="24"/>
        </w:rPr>
      </w:r>
    </w:p>
    <w:p>
      <w:pPr>
        <w:pStyle w:val="BodyText"/>
        <w:tabs>
          <w:tab w:pos="1102" w:val="left" w:leader="none"/>
        </w:tabs>
        <w:spacing w:line="307" w:lineRule="auto" w:before="50"/>
        <w:ind w:left="622" w:right="236"/>
        <w:jc w:val="left"/>
      </w:pPr>
      <w:r>
        <w:rPr/>
        <w:t>⑴</w:t>
        <w:tab/>
        <w:t>投资成本的确定 </w:t>
      </w:r>
      <w:r>
        <w:rPr>
          <w:spacing w:val="2"/>
        </w:rPr>
        <w:t>对于企业合并形成的长期股权投资，如为同一控制下的企业合并取得的长期股权</w:t>
      </w:r>
    </w:p>
    <w:p>
      <w:pPr>
        <w:pStyle w:val="BodyText"/>
        <w:spacing w:line="304" w:lineRule="auto" w:before="17"/>
        <w:ind w:right="228"/>
        <w:jc w:val="both"/>
      </w:pPr>
      <w:r>
        <w:rPr>
          <w:spacing w:val="2"/>
        </w:rPr>
        <w:t>投资，在合并日按照取得被合并方股东权益账面价值的份额作为初始投资成本；通过</w:t>
      </w:r>
      <w:r>
        <w:rPr>
          <w:spacing w:val="-97"/>
        </w:rPr>
        <w:t> </w:t>
      </w:r>
      <w:r>
        <w:rPr>
          <w:spacing w:val="-97"/>
        </w:rPr>
      </w:r>
      <w:r>
        <w:rPr>
          <w:spacing w:val="2"/>
        </w:rPr>
        <w:t>非同一控制下的企业合并取得的长期股权投资，购买方应该按照确定的企业合并成本</w:t>
      </w:r>
      <w:r>
        <w:rPr>
          <w:spacing w:val="-97"/>
        </w:rPr>
        <w:t> </w:t>
      </w:r>
      <w:r>
        <w:rPr>
          <w:spacing w:val="-97"/>
        </w:rPr>
      </w:r>
      <w:r>
        <w:rPr>
          <w:spacing w:val="2"/>
        </w:rPr>
        <w:t>作为长期股权投资的初始投资成本。企业合并成本包括购买方付出的资产、发生或承</w:t>
      </w:r>
      <w:r>
        <w:rPr>
          <w:spacing w:val="-97"/>
        </w:rPr>
        <w:t> </w:t>
      </w:r>
      <w:r>
        <w:rPr>
          <w:spacing w:val="-97"/>
        </w:rPr>
      </w:r>
      <w:r>
        <w:rPr>
          <w:spacing w:val="2"/>
        </w:rPr>
        <w:t>担的负债、发行的权益性证券的公允价值之和。购买方为企业合并发生的审计、法律</w:t>
      </w:r>
      <w:r>
        <w:rPr>
          <w:spacing w:val="-97"/>
        </w:rPr>
        <w:t> </w:t>
      </w:r>
      <w:r>
        <w:rPr>
          <w:spacing w:val="-97"/>
        </w:rPr>
      </w:r>
      <w:r>
        <w:rPr>
          <w:spacing w:val="2"/>
        </w:rPr>
        <w:t>服务、评估咨询等中介费用以及其他相关管理费用，应当于发生时计入当期损益；购</w:t>
      </w:r>
      <w:r>
        <w:rPr>
          <w:spacing w:val="-97"/>
        </w:rPr>
        <w:t> </w:t>
      </w:r>
      <w:r>
        <w:rPr>
          <w:spacing w:val="-97"/>
        </w:rPr>
      </w:r>
      <w:r>
        <w:rPr>
          <w:spacing w:val="2"/>
        </w:rPr>
        <w:t>买方作为合并对价发行的权益性证券或债务性证券的交易费用，应当计入权益性证券</w:t>
      </w:r>
      <w:r>
        <w:rPr>
          <w:spacing w:val="-93"/>
        </w:rPr>
        <w:t> </w:t>
      </w:r>
      <w:r>
        <w:rPr>
          <w:spacing w:val="-93"/>
        </w:rPr>
      </w:r>
      <w:r>
        <w:rPr/>
        <w:t>或债务性证券的初始确认金额。</w:t>
      </w:r>
    </w:p>
    <w:p>
      <w:pPr>
        <w:pStyle w:val="BodyText"/>
        <w:spacing w:line="304" w:lineRule="auto"/>
        <w:ind w:right="227" w:firstLine="479"/>
        <w:jc w:val="both"/>
      </w:pPr>
      <w:r>
        <w:rPr>
          <w:spacing w:val="2"/>
        </w:rPr>
        <w:t>除企业合并形成的长期股权投资外的其他股权投资，按成本进行初始计量，该成</w:t>
      </w:r>
      <w:r>
        <w:rPr/>
        <w:t> </w:t>
      </w:r>
      <w:r>
        <w:rPr>
          <w:spacing w:val="2"/>
        </w:rPr>
        <w:t>本视长期股权投资取得方式的不同，分别按照本集团实际支付的现金购买价款、本集</w:t>
      </w:r>
      <w:r>
        <w:rPr>
          <w:spacing w:val="-97"/>
        </w:rPr>
        <w:t> </w:t>
      </w:r>
      <w:r>
        <w:rPr>
          <w:spacing w:val="-97"/>
        </w:rPr>
      </w:r>
      <w:r>
        <w:rPr>
          <w:spacing w:val="2"/>
        </w:rPr>
        <w:t>团发行的权益性证券的公允价值、投资合同或协议约定的价值、非货币性资产交换交</w:t>
      </w:r>
      <w:r>
        <w:rPr>
          <w:spacing w:val="-97"/>
        </w:rPr>
        <w:t> </w:t>
      </w:r>
      <w:r>
        <w:rPr>
          <w:spacing w:val="-97"/>
        </w:rPr>
      </w:r>
      <w:r>
        <w:rPr>
          <w:spacing w:val="2"/>
        </w:rPr>
        <w:t>易中换出资产的公允价值或原账面价值、该项长期股权投资自身的公允价值等方式确</w:t>
      </w:r>
      <w:r>
        <w:rPr>
          <w:spacing w:val="-97"/>
        </w:rPr>
        <w:t> </w:t>
      </w:r>
      <w:r>
        <w:rPr>
          <w:spacing w:val="-97"/>
        </w:rPr>
      </w:r>
      <w:r>
        <w:rPr/>
        <w:t>定。与取得长期股权投资直接相关的费用、税金及其他必要支出也计入投资成本。</w:t>
      </w:r>
    </w:p>
    <w:p>
      <w:pPr>
        <w:pStyle w:val="BodyText"/>
        <w:tabs>
          <w:tab w:pos="1102" w:val="left" w:leader="none"/>
        </w:tabs>
        <w:spacing w:line="307" w:lineRule="auto" w:before="19"/>
        <w:ind w:left="622" w:right="233"/>
        <w:jc w:val="left"/>
      </w:pPr>
      <w:r>
        <w:rPr/>
        <w:t>⑵</w:t>
        <w:tab/>
        <w:t>后续计量及损益确认方法 </w:t>
      </w:r>
      <w:r>
        <w:rPr>
          <w:spacing w:val="2"/>
        </w:rPr>
        <w:t>对被投资单位不具有共同控制或重大影响并且在活跃市场中没有报价、公允价值</w:t>
      </w:r>
    </w:p>
    <w:p>
      <w:pPr>
        <w:spacing w:after="0" w:line="307" w:lineRule="auto"/>
        <w:jc w:val="left"/>
        <w:sectPr>
          <w:footerReference w:type="default" r:id="rId29"/>
          <w:pgSz w:w="11910" w:h="16840"/>
          <w:pgMar w:footer="1239" w:header="840" w:top="1160" w:bottom="1420" w:left="1480" w:right="1060"/>
          <w:pgNumType w:start="65"/>
        </w:sectPr>
      </w:pPr>
    </w:p>
    <w:p>
      <w:pPr>
        <w:spacing w:line="240" w:lineRule="auto" w:before="12"/>
        <w:rPr>
          <w:rFonts w:ascii="宋体" w:hAnsi="宋体" w:cs="宋体" w:eastAsia="宋体" w:hint="default"/>
          <w:sz w:val="21"/>
          <w:szCs w:val="21"/>
        </w:rPr>
      </w:pPr>
    </w:p>
    <w:p>
      <w:pPr>
        <w:pStyle w:val="BodyText"/>
        <w:spacing w:line="304" w:lineRule="auto" w:before="26"/>
        <w:ind w:right="232"/>
        <w:jc w:val="both"/>
      </w:pPr>
      <w:r>
        <w:rPr>
          <w:spacing w:val="2"/>
        </w:rPr>
        <w:t>不能可靠计量的长期股权投资，采用成本法核算；对被投资单位具有共同控制或重大</w:t>
      </w:r>
      <w:r>
        <w:rPr>
          <w:spacing w:val="-97"/>
        </w:rPr>
        <w:t> </w:t>
      </w:r>
      <w:r>
        <w:rPr>
          <w:spacing w:val="-97"/>
        </w:rPr>
      </w:r>
      <w:r>
        <w:rPr>
          <w:spacing w:val="2"/>
        </w:rPr>
        <w:t>影响的长期股权投资，采用权益法核算；对被投资单位不具有控制、共同控制或重大</w:t>
      </w:r>
      <w:r>
        <w:rPr>
          <w:spacing w:val="-97"/>
        </w:rPr>
        <w:t> </w:t>
      </w:r>
      <w:r>
        <w:rPr>
          <w:spacing w:val="-97"/>
        </w:rPr>
      </w:r>
      <w:r>
        <w:rPr/>
        <w:t>影响并且公允价值能够可靠计量的长期股权投资，作为可供出售金融资产核算。</w:t>
      </w:r>
    </w:p>
    <w:p>
      <w:pPr>
        <w:pStyle w:val="BodyText"/>
        <w:spacing w:line="240" w:lineRule="auto"/>
        <w:ind w:left="622" w:right="50"/>
        <w:jc w:val="left"/>
      </w:pPr>
      <w:r>
        <w:rPr/>
        <w:t>此外，公司财务报表采用成本法核算能够对被投资单位实施控制的长期股权投资。</w:t>
      </w:r>
    </w:p>
    <w:p>
      <w:pPr>
        <w:pStyle w:val="BodyText"/>
        <w:spacing w:line="304" w:lineRule="auto" w:before="86"/>
        <w:ind w:left="622" w:right="50"/>
        <w:jc w:val="left"/>
      </w:pPr>
      <w:r>
        <w:rPr>
          <w:rFonts w:ascii="宋体" w:hAnsi="宋体" w:cs="宋体" w:eastAsia="宋体" w:hint="default"/>
        </w:rPr>
        <w:t>①</w:t>
      </w:r>
      <w:r>
        <w:rPr/>
        <w:t>成本法核算的长期股权投资 </w:t>
      </w:r>
      <w:r>
        <w:rPr>
          <w:spacing w:val="2"/>
        </w:rPr>
        <w:t>采用成本法核算时，长期股权投资按初始投资成本计价，除取得投资时实际支付</w:t>
      </w:r>
    </w:p>
    <w:p>
      <w:pPr>
        <w:pStyle w:val="BodyText"/>
        <w:spacing w:line="307" w:lineRule="auto"/>
        <w:ind w:right="232"/>
        <w:jc w:val="both"/>
      </w:pPr>
      <w:r>
        <w:rPr>
          <w:spacing w:val="2"/>
        </w:rPr>
        <w:t>的价款或者对价中包含的已宣告但尚未发放的现金股利或者利润外，当期投资收益按</w:t>
      </w:r>
      <w:r>
        <w:rPr>
          <w:spacing w:val="-97"/>
        </w:rPr>
        <w:t> </w:t>
      </w:r>
      <w:r>
        <w:rPr>
          <w:spacing w:val="-97"/>
        </w:rPr>
      </w:r>
      <w:r>
        <w:rPr/>
        <w:t>照享有被投资单位宣告发放的现金股利或利润确认。</w:t>
      </w:r>
    </w:p>
    <w:p>
      <w:pPr>
        <w:pStyle w:val="BodyText"/>
        <w:spacing w:line="307" w:lineRule="auto" w:before="17"/>
        <w:ind w:left="622" w:right="50"/>
        <w:jc w:val="left"/>
      </w:pPr>
      <w:r>
        <w:rPr>
          <w:rFonts w:ascii="宋体" w:hAnsi="宋体" w:cs="宋体" w:eastAsia="宋体" w:hint="default"/>
        </w:rPr>
        <w:t>②</w:t>
      </w:r>
      <w:r>
        <w:rPr/>
        <w:t>权益法核算的长期股权投资 </w:t>
      </w:r>
      <w:r>
        <w:rPr>
          <w:spacing w:val="2"/>
        </w:rPr>
        <w:t>采用权益法核算时，长期股权投资的初始投资成本大于投资时应享有被投资单位</w:t>
      </w:r>
    </w:p>
    <w:p>
      <w:pPr>
        <w:pStyle w:val="BodyText"/>
        <w:spacing w:line="304" w:lineRule="auto" w:before="19"/>
        <w:ind w:right="232"/>
        <w:jc w:val="both"/>
      </w:pPr>
      <w:r>
        <w:rPr>
          <w:spacing w:val="2"/>
        </w:rPr>
        <w:t>可辨认净资产公允价值份额的，不调整长期股权投资的初始投资成本；初始投资成本</w:t>
      </w:r>
      <w:r>
        <w:rPr>
          <w:spacing w:val="-97"/>
        </w:rPr>
        <w:t> </w:t>
      </w:r>
      <w:r>
        <w:rPr>
          <w:spacing w:val="-97"/>
        </w:rPr>
      </w:r>
      <w:r>
        <w:rPr>
          <w:spacing w:val="2"/>
        </w:rPr>
        <w:t>小于投资时应享有被投资单位可辨认净资产公允价值份额的，其差额计入当期损益，</w:t>
      </w:r>
      <w:r>
        <w:rPr>
          <w:spacing w:val="-97"/>
        </w:rPr>
        <w:t> </w:t>
      </w:r>
      <w:r>
        <w:rPr>
          <w:spacing w:val="-97"/>
        </w:rPr>
      </w:r>
      <w:r>
        <w:rPr/>
        <w:t>同时调整长期股权投资的成本。</w:t>
      </w:r>
    </w:p>
    <w:p>
      <w:pPr>
        <w:pStyle w:val="BodyText"/>
        <w:spacing w:line="302" w:lineRule="auto"/>
        <w:ind w:right="50" w:firstLine="479"/>
        <w:jc w:val="left"/>
      </w:pPr>
      <w:r>
        <w:rPr>
          <w:spacing w:val="2"/>
        </w:rPr>
        <w:t>采用权益法核算时，当期投资损益为应享有或应分担的被投资单位当年实现的净</w:t>
      </w:r>
      <w:r>
        <w:rPr/>
        <w:t> </w:t>
      </w:r>
      <w:r>
        <w:rPr>
          <w:spacing w:val="2"/>
        </w:rPr>
        <w:t>损益的份额。在确认应享有被投资单位净损益的份额时，以取得投资时被投资单位各</w:t>
      </w:r>
      <w:r>
        <w:rPr>
          <w:spacing w:val="-97"/>
        </w:rPr>
        <w:t> </w:t>
      </w:r>
      <w:r>
        <w:rPr>
          <w:spacing w:val="-97"/>
        </w:rPr>
      </w:r>
      <w:r>
        <w:rPr>
          <w:spacing w:val="2"/>
        </w:rPr>
        <w:t>项可辨认资产等的公允价值为基础，并按照本集团的会计政策及会计期间，对被投资</w:t>
      </w:r>
      <w:r>
        <w:rPr>
          <w:spacing w:val="-88"/>
        </w:rPr>
        <w:t> </w:t>
      </w:r>
      <w:r>
        <w:rPr>
          <w:spacing w:val="-88"/>
        </w:rPr>
      </w:r>
      <w:r>
        <w:rPr>
          <w:spacing w:val="2"/>
        </w:rPr>
        <w:t>单位的净利润进行调整后确认。对于本集团与联营企业及合营之间发生的未实现内部</w:t>
      </w:r>
      <w:r>
        <w:rPr>
          <w:spacing w:val="-97"/>
        </w:rPr>
        <w:t> </w:t>
      </w:r>
      <w:r>
        <w:rPr>
          <w:spacing w:val="-97"/>
        </w:rPr>
      </w:r>
      <w:r>
        <w:rPr>
          <w:spacing w:val="-1"/>
        </w:rPr>
        <w:t>交易损益，按照持股比例计算属于本集团的部分予以抵销，在此基础上确认投资损益。</w:t>
      </w:r>
      <w:r>
        <w:rPr>
          <w:spacing w:val="-88"/>
        </w:rPr>
        <w:t> </w:t>
      </w:r>
      <w:r>
        <w:rPr>
          <w:spacing w:val="-88"/>
        </w:rPr>
      </w:r>
      <w:r>
        <w:rPr/>
        <w:t>但本集团与被投资单位发生的未实现内部交易损失，按照《企业会计准则第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 </w:t>
      </w:r>
      <w:r>
        <w:rPr>
          <w:spacing w:val="2"/>
        </w:rPr>
        <w:t>资产减值》等规定属于所转让资产减值损失的，不予以抵销。对被投资单位的其他综</w:t>
      </w:r>
      <w:r>
        <w:rPr>
          <w:spacing w:val="-97"/>
        </w:rPr>
        <w:t> </w:t>
      </w:r>
      <w:r>
        <w:rPr>
          <w:spacing w:val="-97"/>
        </w:rPr>
      </w:r>
      <w:r>
        <w:rPr/>
        <w:t>合收益，相应调整长期股权投资的账面价值确认为其他综合收益并计入资本公积。</w:t>
      </w:r>
    </w:p>
    <w:p>
      <w:pPr>
        <w:pStyle w:val="BodyText"/>
        <w:spacing w:line="304" w:lineRule="auto" w:before="24"/>
        <w:ind w:right="84" w:firstLine="479"/>
        <w:jc w:val="left"/>
      </w:pPr>
      <w:r>
        <w:rPr>
          <w:spacing w:val="2"/>
        </w:rPr>
        <w:t>在确认应分担被投资单位发生的净亏损时，以长期股权投资的账面价值和其他实</w:t>
      </w:r>
      <w:r>
        <w:rPr/>
        <w:t> </w:t>
      </w:r>
      <w:r>
        <w:rPr>
          <w:spacing w:val="2"/>
        </w:rPr>
        <w:t>质上构成对被投资单位净投资的长期权益减记至零为限。此外，如本集团对被投资单</w:t>
      </w:r>
      <w:r>
        <w:rPr>
          <w:spacing w:val="-88"/>
        </w:rPr>
        <w:t> </w:t>
      </w:r>
      <w:r>
        <w:rPr>
          <w:spacing w:val="-88"/>
        </w:rPr>
      </w:r>
      <w:r>
        <w:rPr/>
        <w:t>位负有承担额外损失的义务，则按预计承担的义务确认预计负债，计入当期投资损失。</w:t>
      </w:r>
      <w:r>
        <w:rPr/>
        <w:t> 被投资单位以后期间实现净利润的，本集团在收益分享额弥补未确认的亏损分担额后， 恢复确认收益分享额。</w:t>
      </w:r>
    </w:p>
    <w:p>
      <w:pPr>
        <w:pStyle w:val="BodyText"/>
        <w:spacing w:line="307" w:lineRule="auto" w:before="19"/>
        <w:ind w:left="622" w:right="50"/>
        <w:jc w:val="left"/>
      </w:pPr>
      <w:r>
        <w:rPr>
          <w:rFonts w:ascii="宋体" w:hAnsi="宋体" w:cs="宋体" w:eastAsia="宋体" w:hint="default"/>
        </w:rPr>
        <w:t>③</w:t>
      </w:r>
      <w:r>
        <w:rPr/>
        <w:t>收购少数股权 </w:t>
      </w:r>
      <w:r>
        <w:rPr>
          <w:spacing w:val="2"/>
        </w:rPr>
        <w:t>在编制合并财务报表时，因购买少数股权新增的长期股权投资与按照新增持股比</w:t>
      </w:r>
    </w:p>
    <w:p>
      <w:pPr>
        <w:pStyle w:val="BodyText"/>
        <w:spacing w:line="304" w:lineRule="auto" w:before="19"/>
        <w:ind w:right="232"/>
        <w:jc w:val="both"/>
      </w:pPr>
      <w:r>
        <w:rPr>
          <w:spacing w:val="2"/>
        </w:rPr>
        <w:t>例计算应享有子公司自购买日（或合并日）开始持续计算的净资产份额之间的差额，</w:t>
      </w:r>
      <w:r>
        <w:rPr>
          <w:spacing w:val="-97"/>
        </w:rPr>
        <w:t> </w:t>
      </w:r>
      <w:r>
        <w:rPr>
          <w:spacing w:val="-97"/>
        </w:rPr>
      </w:r>
      <w:r>
        <w:rPr/>
        <w:t>调整资本公积，资本公积不足冲减的，调整留存收益。</w:t>
      </w:r>
    </w:p>
    <w:p>
      <w:pPr>
        <w:pStyle w:val="BodyText"/>
        <w:spacing w:line="307" w:lineRule="auto"/>
        <w:ind w:left="622" w:right="50"/>
        <w:jc w:val="left"/>
      </w:pPr>
      <w:r>
        <w:rPr>
          <w:rFonts w:ascii="宋体" w:hAnsi="宋体" w:cs="宋体" w:eastAsia="宋体" w:hint="default"/>
        </w:rPr>
        <w:t>④</w:t>
      </w:r>
      <w:r>
        <w:rPr/>
        <w:t>处臵长期股权投资 </w:t>
      </w:r>
      <w:r>
        <w:rPr>
          <w:spacing w:val="2"/>
        </w:rPr>
        <w:t>在合并财务报表中，母公司在不丧失控制权的情况下部分处臵对子公司的长期股</w:t>
      </w:r>
    </w:p>
    <w:p>
      <w:pPr>
        <w:pStyle w:val="BodyText"/>
        <w:spacing w:line="307" w:lineRule="auto" w:before="17"/>
        <w:ind w:right="228"/>
        <w:jc w:val="both"/>
      </w:pPr>
      <w:r>
        <w:rPr>
          <w:spacing w:val="2"/>
        </w:rPr>
        <w:t>权投资，处臵价款与处臵长期股权投资相对应享有子公司净资产的差额计入所有者权</w:t>
      </w:r>
      <w:r>
        <w:rPr>
          <w:spacing w:val="-94"/>
        </w:rPr>
        <w:t> </w:t>
      </w:r>
      <w:r>
        <w:rPr>
          <w:spacing w:val="-94"/>
        </w:rPr>
      </w:r>
      <w:r>
        <w:rPr>
          <w:spacing w:val="2"/>
        </w:rPr>
        <w:t>益；母公司部分处臵对子公司的长期股权投资导致丧失对子公司控制权的，按本附注</w:t>
      </w:r>
    </w:p>
    <w:p>
      <w:pPr>
        <w:spacing w:after="0" w:line="307"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290" w:lineRule="auto" w:before="26"/>
        <w:ind w:left="622" w:right="145" w:hanging="480"/>
        <w:jc w:val="left"/>
      </w:pPr>
      <w:r>
        <w:rPr/>
        <w:t>四、</w:t>
      </w:r>
      <w:r>
        <w:rPr>
          <w:rFonts w:ascii="Times New Roman" w:hAnsi="Times New Roman" w:cs="Times New Roman" w:eastAsia="Times New Roman" w:hint="default"/>
        </w:rPr>
        <w:t>4</w:t>
      </w:r>
      <w:r>
        <w:rPr/>
        <w:t>、⑵“合并财务报表编制的方法”中所述的相关会计政策处理。 </w:t>
      </w:r>
      <w:r>
        <w:rPr>
          <w:spacing w:val="2"/>
        </w:rPr>
        <w:t>其他情形下的长期股权投资处臵，对于处臵的股权，其账面价值与实际取得价款</w:t>
      </w:r>
    </w:p>
    <w:p>
      <w:pPr>
        <w:pStyle w:val="BodyText"/>
        <w:spacing w:line="304" w:lineRule="auto" w:before="34"/>
        <w:ind w:right="146"/>
        <w:jc w:val="both"/>
      </w:pPr>
      <w:r>
        <w:rPr>
          <w:spacing w:val="2"/>
        </w:rPr>
        <w:t>的差额，计入当期损益；采用权益法核算的长期股权投资，在处臵时将原计入股东权</w:t>
      </w:r>
      <w:r>
        <w:rPr>
          <w:spacing w:val="-94"/>
        </w:rPr>
        <w:t> </w:t>
      </w:r>
      <w:r>
        <w:rPr>
          <w:spacing w:val="-94"/>
        </w:rPr>
      </w:r>
      <w:r>
        <w:rPr>
          <w:spacing w:val="2"/>
        </w:rPr>
        <w:t>益的其他综合收益部分按相应的比例转入当期损益。对于剩余股权，按其账面价值确</w:t>
      </w:r>
      <w:r>
        <w:rPr>
          <w:spacing w:val="-91"/>
        </w:rPr>
        <w:t> </w:t>
      </w:r>
      <w:r>
        <w:rPr>
          <w:spacing w:val="-91"/>
        </w:rPr>
      </w:r>
      <w:r>
        <w:rPr>
          <w:spacing w:val="2"/>
        </w:rPr>
        <w:t>认为长期股权投资或其他相关金融资产，并按前述长期股权投资或金融资产的会计政</w:t>
      </w:r>
      <w:r>
        <w:rPr>
          <w:spacing w:val="-93"/>
        </w:rPr>
        <w:t> </w:t>
      </w:r>
      <w:r>
        <w:rPr>
          <w:spacing w:val="-93"/>
        </w:rPr>
      </w:r>
      <w:r>
        <w:rPr>
          <w:spacing w:val="2"/>
        </w:rPr>
        <w:t>策进行后续计量。涉及对剩余股权由成本法转为权益法核算的，按相关规定进行追溯</w:t>
      </w:r>
      <w:r>
        <w:rPr>
          <w:spacing w:val="-93"/>
        </w:rPr>
        <w:t> </w:t>
      </w:r>
      <w:r>
        <w:rPr>
          <w:spacing w:val="-93"/>
        </w:rPr>
      </w:r>
      <w:r>
        <w:rPr/>
        <w:t>调整。</w:t>
      </w:r>
    </w:p>
    <w:p>
      <w:pPr>
        <w:pStyle w:val="BodyText"/>
        <w:tabs>
          <w:tab w:pos="1102" w:val="left" w:leader="none"/>
        </w:tabs>
        <w:spacing w:line="304" w:lineRule="auto"/>
        <w:ind w:left="622" w:right="156"/>
        <w:jc w:val="left"/>
      </w:pPr>
      <w:r>
        <w:rPr/>
        <w:t>⑶</w:t>
        <w:tab/>
        <w:t>确定对被投资单位具有共同控制、重大影响的依据 </w:t>
      </w:r>
      <w:r>
        <w:rPr>
          <w:spacing w:val="2"/>
        </w:rPr>
        <w:t>控制是指有权决定一个企业的财务和经营政策，并能据以从该企业的经营活动中</w:t>
      </w:r>
    </w:p>
    <w:p>
      <w:pPr>
        <w:pStyle w:val="BodyText"/>
        <w:spacing w:line="304" w:lineRule="auto"/>
        <w:ind w:right="145"/>
        <w:jc w:val="both"/>
      </w:pPr>
      <w:r>
        <w:rPr>
          <w:spacing w:val="2"/>
        </w:rPr>
        <w:t>获取利益。共同控制是指按照合同约定对某项经济活动所共有的控制，仅在与该项经</w:t>
      </w:r>
      <w:r>
        <w:rPr>
          <w:spacing w:val="-97"/>
        </w:rPr>
        <w:t> </w:t>
      </w:r>
      <w:r>
        <w:rPr>
          <w:spacing w:val="-97"/>
        </w:rPr>
      </w:r>
      <w:r>
        <w:rPr>
          <w:spacing w:val="2"/>
        </w:rPr>
        <w:t>济活动相关的重要财务和经营决策需要分享控制权的投资方一致同意时存在。重大影</w:t>
      </w:r>
      <w:r>
        <w:rPr>
          <w:spacing w:val="-97"/>
        </w:rPr>
        <w:t> </w:t>
      </w:r>
      <w:r>
        <w:rPr>
          <w:spacing w:val="-97"/>
        </w:rPr>
      </w:r>
      <w:r>
        <w:rPr>
          <w:spacing w:val="2"/>
        </w:rPr>
        <w:t>响是指对一个企业的财务和经营政策有参与决策的权力，但并不能够控制或者与其他</w:t>
      </w:r>
      <w:r>
        <w:rPr>
          <w:spacing w:val="-97"/>
        </w:rPr>
        <w:t> </w:t>
      </w:r>
      <w:r>
        <w:rPr>
          <w:spacing w:val="-97"/>
        </w:rPr>
      </w:r>
      <w:r>
        <w:rPr>
          <w:spacing w:val="2"/>
        </w:rPr>
        <w:t>方一起共同控制这些政策的制定。在确定能否对被投资单位实施控制或施加重大影响</w:t>
      </w:r>
      <w:r>
        <w:rPr>
          <w:spacing w:val="-97"/>
        </w:rPr>
        <w:t> </w:t>
      </w:r>
      <w:r>
        <w:rPr>
          <w:spacing w:val="-97"/>
        </w:rPr>
      </w:r>
      <w:r>
        <w:rPr>
          <w:spacing w:val="2"/>
        </w:rPr>
        <w:t>时，已考虑投资企业和其他持有的被投资单位当期可转换公司债券、当期可执行认股</w:t>
      </w:r>
      <w:r>
        <w:rPr>
          <w:spacing w:val="-90"/>
        </w:rPr>
        <w:t> </w:t>
      </w:r>
      <w:r>
        <w:rPr>
          <w:spacing w:val="-90"/>
        </w:rPr>
      </w:r>
      <w:r>
        <w:rPr/>
        <w:t>权证等潜在表决权因素。</w:t>
      </w:r>
    </w:p>
    <w:p>
      <w:pPr>
        <w:pStyle w:val="BodyText"/>
        <w:tabs>
          <w:tab w:pos="1102" w:val="left" w:leader="none"/>
        </w:tabs>
        <w:spacing w:line="307" w:lineRule="auto"/>
        <w:ind w:left="622" w:right="156"/>
        <w:jc w:val="left"/>
      </w:pPr>
      <w:r>
        <w:rPr/>
        <w:t>⑷</w:t>
        <w:tab/>
        <w:t>减值测试方法及减值准备计提方法 </w:t>
      </w:r>
      <w:r>
        <w:rPr>
          <w:spacing w:val="2"/>
        </w:rPr>
        <w:t>本集团在每一个资产负债表日检查长期股权投资是否存在可能发生减值的迹象。</w:t>
      </w:r>
    </w:p>
    <w:p>
      <w:pPr>
        <w:pStyle w:val="BodyText"/>
        <w:spacing w:line="307" w:lineRule="auto" w:before="17"/>
        <w:ind w:right="152"/>
        <w:jc w:val="both"/>
      </w:pPr>
      <w:r>
        <w:rPr>
          <w:spacing w:val="2"/>
        </w:rPr>
        <w:t>如果该资产存在减值迹象，则估计其可收回金额。如果资产的可收回金额低于其账面</w:t>
      </w:r>
      <w:r>
        <w:rPr>
          <w:spacing w:val="-97"/>
        </w:rPr>
        <w:t> </w:t>
      </w:r>
      <w:r>
        <w:rPr>
          <w:spacing w:val="-97"/>
        </w:rPr>
      </w:r>
      <w:r>
        <w:rPr/>
        <w:t>价值，按其差额计提资产减值准备，并计入当期损益。</w:t>
      </w:r>
    </w:p>
    <w:p>
      <w:pPr>
        <w:tabs>
          <w:tab w:pos="1402" w:val="left" w:leader="none"/>
        </w:tabs>
        <w:spacing w:line="247" w:lineRule="auto" w:before="19"/>
        <w:ind w:left="675" w:right="1941" w:hanging="5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长期股权投资的减值损失一经确认，在以后会计期间不予转回。 </w:t>
      </w:r>
      <w:r>
        <w:rPr>
          <w:rFonts w:ascii="Times New Roman" w:hAnsi="Times New Roman" w:cs="Times New Roman" w:eastAsia="Times New Roman" w:hint="default"/>
          <w:b/>
          <w:bCs/>
          <w:sz w:val="24"/>
          <w:szCs w:val="24"/>
        </w:rPr>
        <w:t>11</w:t>
      </w:r>
      <w:r>
        <w:rPr>
          <w:rFonts w:ascii="Microsoft JhengHei" w:hAnsi="Microsoft JhengHei" w:cs="Microsoft JhengHei" w:eastAsia="Microsoft JhengHei" w:hint="default"/>
          <w:b/>
          <w:bCs/>
          <w:sz w:val="24"/>
          <w:szCs w:val="24"/>
        </w:rPr>
        <w:t>、</w:t>
        <w:tab/>
        <w:t>投资性房地产</w:t>
      </w:r>
      <w:r>
        <w:rPr>
          <w:rFonts w:ascii="Microsoft JhengHei" w:hAnsi="Microsoft JhengHei" w:cs="Microsoft JhengHei" w:eastAsia="Microsoft JhengHei" w:hint="default"/>
          <w:sz w:val="24"/>
          <w:szCs w:val="24"/>
        </w:rPr>
      </w:r>
    </w:p>
    <w:p>
      <w:pPr>
        <w:pStyle w:val="BodyText"/>
        <w:spacing w:line="307" w:lineRule="auto" w:before="50"/>
        <w:ind w:right="156" w:firstLine="479"/>
        <w:jc w:val="both"/>
      </w:pPr>
      <w:r>
        <w:rPr>
          <w:spacing w:val="2"/>
        </w:rPr>
        <w:t>投资性房地产是指为赚取租金或资本增值，或两者兼有而持有的房地产。包括已</w:t>
      </w:r>
      <w:r>
        <w:rPr/>
        <w:t> 出租的土地使用权、持有并准备增值后转让的土地使用权、已出租的建筑物等。</w:t>
      </w:r>
    </w:p>
    <w:p>
      <w:pPr>
        <w:pStyle w:val="BodyText"/>
        <w:spacing w:line="307" w:lineRule="auto" w:before="17"/>
        <w:ind w:right="152" w:firstLine="479"/>
        <w:jc w:val="both"/>
      </w:pPr>
      <w:r>
        <w:rPr>
          <w:spacing w:val="2"/>
        </w:rPr>
        <w:t>投资性房地产按成本进行初始计量。与投资性房地产有关的后续支出，如果与该</w:t>
      </w:r>
      <w:r>
        <w:rPr/>
        <w:t> </w:t>
      </w:r>
      <w:r>
        <w:rPr>
          <w:spacing w:val="2"/>
        </w:rPr>
        <w:t>资产有关的经济利益很可能流入且其成本能可靠地计量，则计入投资性房地产成本。</w:t>
      </w:r>
      <w:r>
        <w:rPr>
          <w:spacing w:val="-97"/>
        </w:rPr>
        <w:t> </w:t>
      </w:r>
      <w:r>
        <w:rPr>
          <w:spacing w:val="-97"/>
        </w:rPr>
      </w:r>
      <w:r>
        <w:rPr/>
        <w:t>其他后续支出，在发生时计入当期损益。</w:t>
      </w:r>
    </w:p>
    <w:p>
      <w:pPr>
        <w:pStyle w:val="BodyText"/>
        <w:spacing w:line="307" w:lineRule="auto" w:before="17"/>
        <w:ind w:right="156" w:firstLine="479"/>
        <w:jc w:val="both"/>
      </w:pPr>
      <w:r>
        <w:rPr>
          <w:spacing w:val="2"/>
        </w:rPr>
        <w:t>本集团采用成本模式对投资性房地产进行后续计量，并按照与房屋建筑物或土地</w:t>
      </w:r>
      <w:r>
        <w:rPr/>
        <w:t> 使用权一致的政策进行折旧或摊销。</w:t>
      </w:r>
    </w:p>
    <w:p>
      <w:pPr>
        <w:pStyle w:val="BodyText"/>
        <w:spacing w:line="288" w:lineRule="auto" w:before="19"/>
        <w:ind w:right="144" w:firstLine="479"/>
        <w:jc w:val="both"/>
      </w:pPr>
      <w:r>
        <w:rPr/>
        <w:t>投资性房地产的减值测试方法和减值准备计提方法详见附注四、</w:t>
      </w:r>
      <w:r>
        <w:rPr>
          <w:rFonts w:ascii="Times New Roman" w:hAnsi="Times New Roman" w:cs="Times New Roman" w:eastAsia="Times New Roman" w:hint="default"/>
        </w:rPr>
        <w:t>17“</w:t>
      </w:r>
      <w:r>
        <w:rPr/>
        <w:t>非流动非金融 资产减值</w:t>
      </w:r>
      <w:r>
        <w:rPr>
          <w:rFonts w:ascii="Times New Roman" w:hAnsi="Times New Roman" w:cs="Times New Roman" w:eastAsia="Times New Roman" w:hint="default"/>
        </w:rPr>
        <w:t>”</w:t>
      </w:r>
      <w:r>
        <w:rPr/>
        <w:t>。</w:t>
      </w:r>
    </w:p>
    <w:p>
      <w:pPr>
        <w:pStyle w:val="BodyText"/>
        <w:spacing w:line="307" w:lineRule="auto" w:before="15"/>
        <w:ind w:right="156" w:firstLine="479"/>
        <w:jc w:val="both"/>
      </w:pPr>
      <w:r>
        <w:rPr>
          <w:spacing w:val="2"/>
        </w:rPr>
        <w:t>自用房地产或存货转换为投资性房地产或投资性房地产转换为自用房地产时，按</w:t>
      </w:r>
      <w:r>
        <w:rPr/>
        <w:t> 转换前的账面价值作为转换后的入账价值。</w:t>
      </w:r>
    </w:p>
    <w:p>
      <w:pPr>
        <w:pStyle w:val="BodyText"/>
        <w:spacing w:line="307" w:lineRule="auto" w:before="17"/>
        <w:ind w:right="149" w:firstLine="479"/>
        <w:jc w:val="both"/>
      </w:pPr>
      <w:r>
        <w:rPr>
          <w:spacing w:val="2"/>
        </w:rPr>
        <w:t>当投资性房地产被处臵、或者永久退出使用且预计不能从其处臵中取得经济利益</w:t>
      </w:r>
      <w:r>
        <w:rPr/>
        <w:t> </w:t>
      </w:r>
      <w:r>
        <w:rPr>
          <w:spacing w:val="2"/>
        </w:rPr>
        <w:t>时，终止确认该项投资性房地产。投资性房地产出售、转让、报废或毁损的处臵收入</w:t>
      </w:r>
    </w:p>
    <w:p>
      <w:pPr>
        <w:spacing w:after="0" w:line="307" w:lineRule="auto"/>
        <w:jc w:val="both"/>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tabs>
          <w:tab w:pos="1402" w:val="left" w:leader="none"/>
        </w:tabs>
        <w:spacing w:line="247" w:lineRule="auto" w:before="26"/>
        <w:ind w:left="675" w:right="4421" w:hanging="53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扣除其账面价值和相关税费后计入当期损益。 </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w:t>
        <w:tab/>
        <w:t>固定资产</w:t>
      </w:r>
      <w:r>
        <w:rPr>
          <w:rFonts w:ascii="Microsoft JhengHei" w:hAnsi="Microsoft JhengHei" w:cs="Microsoft JhengHei" w:eastAsia="Microsoft JhengHei" w:hint="default"/>
          <w:sz w:val="24"/>
          <w:szCs w:val="24"/>
        </w:rPr>
      </w:r>
    </w:p>
    <w:p>
      <w:pPr>
        <w:pStyle w:val="BodyText"/>
        <w:tabs>
          <w:tab w:pos="1102" w:val="left" w:leader="none"/>
        </w:tabs>
        <w:spacing w:line="307" w:lineRule="auto" w:before="47"/>
        <w:ind w:left="622" w:right="236"/>
        <w:jc w:val="left"/>
      </w:pPr>
      <w:r>
        <w:rPr/>
        <w:t>⑴</w:t>
        <w:tab/>
        <w:t>固定资产确认条件 </w:t>
      </w:r>
      <w:r>
        <w:rPr>
          <w:spacing w:val="2"/>
        </w:rPr>
        <w:t>固定资产是指为生产商品、提供劳务、出租或经营管理而持有的，使用寿命超过</w:t>
      </w:r>
    </w:p>
    <w:p>
      <w:pPr>
        <w:pStyle w:val="BodyText"/>
        <w:spacing w:line="240" w:lineRule="auto" w:before="19"/>
        <w:ind w:right="3093"/>
        <w:jc w:val="left"/>
      </w:pPr>
      <w:r>
        <w:rPr/>
        <w:t>一个会计年度的有形资产。</w:t>
      </w:r>
    </w:p>
    <w:p>
      <w:pPr>
        <w:pStyle w:val="BodyText"/>
        <w:tabs>
          <w:tab w:pos="1102" w:val="left" w:leader="none"/>
        </w:tabs>
        <w:spacing w:line="307" w:lineRule="auto" w:before="84"/>
        <w:ind w:left="622" w:right="236"/>
        <w:jc w:val="left"/>
      </w:pPr>
      <w:r>
        <w:rPr/>
        <w:t>⑵</w:t>
        <w:tab/>
        <w:t>各类固定资产的折旧方法 </w:t>
      </w:r>
      <w:r>
        <w:rPr>
          <w:spacing w:val="2"/>
        </w:rPr>
        <w:t>固定资产按成本并考虑预计弃臵费用因素的影响进行初始计量。固定资产从达到</w:t>
      </w:r>
    </w:p>
    <w:p>
      <w:pPr>
        <w:pStyle w:val="BodyText"/>
        <w:spacing w:line="304" w:lineRule="auto" w:before="19"/>
        <w:ind w:right="50"/>
        <w:jc w:val="left"/>
      </w:pPr>
      <w:r>
        <w:rPr>
          <w:spacing w:val="2"/>
        </w:rPr>
        <w:t>预定可使用状态的次月起，采用年限平均法在使用寿命内计提折旧。各类固定资产的</w:t>
      </w:r>
      <w:r>
        <w:rPr>
          <w:spacing w:val="-97"/>
        </w:rPr>
        <w:t> </w:t>
      </w:r>
      <w:r>
        <w:rPr>
          <w:spacing w:val="-97"/>
        </w:rPr>
      </w:r>
      <w:r>
        <w:rPr/>
        <w:t>使用寿命、预计净残值和年折旧率如下：</w:t>
      </w:r>
    </w:p>
    <w:p>
      <w:pPr>
        <w:spacing w:line="240" w:lineRule="auto" w:before="6"/>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926"/>
        <w:gridCol w:w="240"/>
        <w:gridCol w:w="1858"/>
        <w:gridCol w:w="242"/>
        <w:gridCol w:w="1740"/>
        <w:gridCol w:w="353"/>
        <w:gridCol w:w="1663"/>
      </w:tblGrid>
      <w:tr>
        <w:trPr>
          <w:trHeight w:val="284"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类 别</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4"/>
                <w:szCs w:val="24"/>
              </w:rPr>
            </w:pPr>
            <w:r>
              <w:rPr>
                <w:rFonts w:ascii="宋体" w:hAnsi="宋体" w:cs="宋体" w:eastAsia="宋体" w:hint="default"/>
                <w:sz w:val="24"/>
                <w:szCs w:val="24"/>
              </w:rPr>
              <w:t>折旧年限</w:t>
            </w:r>
            <w:r>
              <w:rPr>
                <w:rFonts w:ascii="宋体" w:hAnsi="宋体" w:cs="宋体" w:eastAsia="宋体" w:hint="default"/>
                <w:sz w:val="24"/>
                <w:szCs w:val="24"/>
              </w:rPr>
              <w:t>(</w:t>
            </w:r>
            <w:r>
              <w:rPr>
                <w:rFonts w:ascii="宋体" w:hAnsi="宋体" w:cs="宋体" w:eastAsia="宋体" w:hint="default"/>
                <w:sz w:val="24"/>
                <w:szCs w:val="24"/>
              </w:rPr>
              <w:t>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w:t>
            </w:r>
            <w:r>
              <w:rPr>
                <w:rFonts w:ascii="宋体" w:hAnsi="宋体" w:cs="宋体" w:eastAsia="宋体" w:hint="default"/>
                <w:sz w:val="24"/>
                <w:szCs w:val="24"/>
              </w:rPr>
              <w:t>）</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center"/>
              <w:rPr>
                <w:rFonts w:ascii="宋体" w:hAnsi="宋体" w:cs="宋体" w:eastAsia="宋体" w:hint="default"/>
                <w:sz w:val="24"/>
                <w:szCs w:val="24"/>
              </w:rPr>
            </w:pPr>
            <w:r>
              <w:rPr>
                <w:rFonts w:ascii="宋体" w:hAnsi="宋体" w:cs="宋体" w:eastAsia="宋体" w:hint="default"/>
                <w:spacing w:val="-1"/>
                <w:sz w:val="24"/>
                <w:szCs w:val="24"/>
              </w:rPr>
              <w:t>年折旧率（</w:t>
            </w:r>
            <w:r>
              <w:rPr>
                <w:rFonts w:ascii="宋体" w:hAnsi="宋体" w:cs="宋体" w:eastAsia="宋体" w:hint="default"/>
                <w:spacing w:val="-1"/>
                <w:sz w:val="24"/>
                <w:szCs w:val="24"/>
              </w:rPr>
              <w:t>%</w:t>
            </w:r>
            <w:r>
              <w:rPr>
                <w:rFonts w:ascii="宋体" w:hAnsi="宋体" w:cs="宋体" w:eastAsia="宋体" w:hint="default"/>
                <w:spacing w:val="-1"/>
                <w:sz w:val="24"/>
                <w:szCs w:val="24"/>
              </w:rPr>
              <w:t>）</w:t>
            </w:r>
          </w:p>
        </w:tc>
      </w:tr>
      <w:tr>
        <w:trPr>
          <w:trHeight w:val="335"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83" w:lineRule="exact"/>
              <w:ind w:left="10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83" w:lineRule="exact"/>
              <w:ind w:right="3"/>
              <w:jc w:val="center"/>
              <w:rPr>
                <w:rFonts w:ascii="宋体" w:hAnsi="宋体" w:cs="宋体" w:eastAsia="宋体" w:hint="default"/>
                <w:sz w:val="24"/>
                <w:szCs w:val="24"/>
              </w:rPr>
            </w:pPr>
            <w:r>
              <w:rPr>
                <w:rFonts w:ascii="宋体"/>
                <w:sz w:val="24"/>
              </w:rPr>
              <w:t>20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83" w:lineRule="exact"/>
              <w:ind w:right="11"/>
              <w:jc w:val="center"/>
              <w:rPr>
                <w:rFonts w:ascii="宋体" w:hAnsi="宋体" w:cs="宋体" w:eastAsia="宋体" w:hint="default"/>
                <w:sz w:val="24"/>
                <w:szCs w:val="24"/>
              </w:rPr>
            </w:pPr>
            <w:r>
              <w:rPr>
                <w:rFonts w:ascii="宋体"/>
                <w:sz w:val="24"/>
              </w:rPr>
              <w:t>4.50</w:t>
            </w:r>
          </w:p>
        </w:tc>
      </w:tr>
      <w:tr>
        <w:trPr>
          <w:trHeight w:val="33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87" w:lineRule="exact"/>
              <w:ind w:left="107"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87" w:lineRule="exact"/>
              <w:ind w:right="3"/>
              <w:jc w:val="center"/>
              <w:rPr>
                <w:rFonts w:ascii="宋体" w:hAnsi="宋体" w:cs="宋体" w:eastAsia="宋体" w:hint="default"/>
                <w:sz w:val="24"/>
                <w:szCs w:val="24"/>
              </w:rPr>
            </w:pPr>
            <w:r>
              <w:rPr>
                <w:rFonts w:ascii="宋体"/>
                <w:sz w:val="24"/>
              </w:rPr>
              <w:t>10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87"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87" w:lineRule="exact"/>
              <w:ind w:right="11"/>
              <w:jc w:val="center"/>
              <w:rPr>
                <w:rFonts w:ascii="宋体" w:hAnsi="宋体" w:cs="宋体" w:eastAsia="宋体" w:hint="default"/>
                <w:sz w:val="24"/>
                <w:szCs w:val="24"/>
              </w:rPr>
            </w:pPr>
            <w:r>
              <w:rPr>
                <w:rFonts w:ascii="宋体"/>
                <w:sz w:val="24"/>
              </w:rPr>
              <w:t>9.00</w:t>
            </w:r>
          </w:p>
        </w:tc>
      </w:tr>
      <w:tr>
        <w:trPr>
          <w:trHeight w:val="34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90" w:lineRule="exact"/>
              <w:ind w:left="107"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90" w:lineRule="exact"/>
              <w:ind w:right="3"/>
              <w:jc w:val="center"/>
              <w:rPr>
                <w:rFonts w:ascii="宋体" w:hAnsi="宋体" w:cs="宋体" w:eastAsia="宋体" w:hint="default"/>
                <w:sz w:val="24"/>
                <w:szCs w:val="24"/>
              </w:rPr>
            </w:pPr>
            <w:r>
              <w:rPr>
                <w:rFonts w:ascii="宋体"/>
                <w:sz w:val="24"/>
              </w:rPr>
              <w:t>5</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90" w:lineRule="exact"/>
              <w:ind w:right="11"/>
              <w:jc w:val="center"/>
              <w:rPr>
                <w:rFonts w:ascii="宋体" w:hAnsi="宋体" w:cs="宋体" w:eastAsia="宋体" w:hint="default"/>
                <w:sz w:val="24"/>
                <w:szCs w:val="24"/>
              </w:rPr>
            </w:pPr>
            <w:r>
              <w:rPr>
                <w:rFonts w:ascii="宋体"/>
                <w:sz w:val="24"/>
              </w:rPr>
              <w:t>18.00</w:t>
            </w:r>
          </w:p>
        </w:tc>
      </w:tr>
      <w:tr>
        <w:trPr>
          <w:trHeight w:val="290"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90" w:lineRule="exact"/>
              <w:ind w:left="107" w:right="0"/>
              <w:jc w:val="left"/>
              <w:rPr>
                <w:rFonts w:ascii="宋体" w:hAnsi="宋体" w:cs="宋体" w:eastAsia="宋体" w:hint="default"/>
                <w:sz w:val="24"/>
                <w:szCs w:val="24"/>
              </w:rPr>
            </w:pPr>
            <w:r>
              <w:rPr>
                <w:rFonts w:ascii="宋体" w:hAnsi="宋体" w:cs="宋体" w:eastAsia="宋体" w:hint="default"/>
                <w:sz w:val="24"/>
                <w:szCs w:val="24"/>
              </w:rPr>
              <w:t>办公设备及其他</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90" w:lineRule="exact"/>
              <w:ind w:right="3"/>
              <w:jc w:val="center"/>
              <w:rPr>
                <w:rFonts w:ascii="宋体" w:hAnsi="宋体" w:cs="宋体" w:eastAsia="宋体" w:hint="default"/>
                <w:sz w:val="24"/>
                <w:szCs w:val="24"/>
              </w:rPr>
            </w:pPr>
            <w:r>
              <w:rPr>
                <w:rFonts w:ascii="宋体"/>
                <w:sz w:val="24"/>
              </w:rPr>
              <w:t>5</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90" w:lineRule="exact"/>
              <w:ind w:right="11"/>
              <w:jc w:val="center"/>
              <w:rPr>
                <w:rFonts w:ascii="宋体" w:hAnsi="宋体" w:cs="宋体" w:eastAsia="宋体" w:hint="default"/>
                <w:sz w:val="24"/>
                <w:szCs w:val="24"/>
              </w:rPr>
            </w:pPr>
            <w:r>
              <w:rPr>
                <w:rFonts w:ascii="宋体"/>
                <w:sz w:val="24"/>
              </w:rPr>
              <w:t>18.00</w:t>
            </w:r>
          </w:p>
        </w:tc>
      </w:tr>
    </w:tbl>
    <w:p>
      <w:pPr>
        <w:spacing w:line="240" w:lineRule="auto" w:before="11"/>
        <w:rPr>
          <w:rFonts w:ascii="宋体" w:hAnsi="宋体" w:cs="宋体" w:eastAsia="宋体" w:hint="default"/>
          <w:sz w:val="4"/>
          <w:szCs w:val="4"/>
        </w:rPr>
      </w:pPr>
    </w:p>
    <w:p>
      <w:pPr>
        <w:pStyle w:val="BodyText"/>
        <w:spacing w:line="307" w:lineRule="auto" w:before="26"/>
        <w:ind w:right="50" w:firstLine="479"/>
        <w:jc w:val="left"/>
      </w:pPr>
      <w:r>
        <w:rPr>
          <w:spacing w:val="2"/>
        </w:rPr>
        <w:t>预计净残值是指假定固定资产预计使用寿命已满并处于使用寿命终了时的预期状</w:t>
      </w:r>
      <w:r>
        <w:rPr/>
        <w:t> 态，本集团目前从该项资产处臵中获得的扣除预计处臵费用后的金额。</w:t>
      </w:r>
    </w:p>
    <w:p>
      <w:pPr>
        <w:pStyle w:val="BodyText"/>
        <w:tabs>
          <w:tab w:pos="1102" w:val="left" w:leader="none"/>
        </w:tabs>
        <w:spacing w:line="304" w:lineRule="auto" w:before="19"/>
        <w:ind w:left="622" w:right="225"/>
        <w:jc w:val="left"/>
      </w:pPr>
      <w:r>
        <w:rPr/>
        <w:t>⑶</w:t>
        <w:tab/>
        <w:t>固定资产的减值测试方法及减值准备计提方法 固定资产的减值测试方法和减值准备计提方法详见附注四、</w:t>
      </w:r>
      <w:r>
        <w:rPr>
          <w:rFonts w:ascii="Times New Roman" w:hAnsi="Times New Roman" w:cs="Times New Roman" w:eastAsia="Times New Roman" w:hint="default"/>
        </w:rPr>
        <w:t>17“</w:t>
      </w:r>
      <w:r>
        <w:rPr/>
        <w:t>非流动非金融资产</w:t>
      </w:r>
    </w:p>
    <w:p>
      <w:pPr>
        <w:pStyle w:val="BodyText"/>
        <w:spacing w:line="329" w:lineRule="exact" w:before="0"/>
        <w:ind w:right="3093"/>
        <w:jc w:val="left"/>
      </w:pPr>
      <w:r>
        <w:rPr/>
        <w:t>减值</w:t>
      </w:r>
      <w:r>
        <w:rPr>
          <w:rFonts w:ascii="Times New Roman" w:hAnsi="Times New Roman" w:cs="Times New Roman" w:eastAsia="Times New Roman" w:hint="default"/>
        </w:rPr>
        <w:t>”</w:t>
      </w:r>
      <w:r>
        <w:rPr/>
        <w:t>。</w:t>
      </w:r>
    </w:p>
    <w:p>
      <w:pPr>
        <w:pStyle w:val="BodyText"/>
        <w:tabs>
          <w:tab w:pos="1102" w:val="left" w:leader="none"/>
        </w:tabs>
        <w:spacing w:line="304" w:lineRule="auto" w:before="69"/>
        <w:ind w:left="622" w:right="233"/>
        <w:jc w:val="left"/>
      </w:pPr>
      <w:r>
        <w:rPr/>
        <w:t>⑷</w:t>
        <w:tab/>
        <w:t>融资租入固定资产的认定依据及计价方法 </w:t>
      </w:r>
      <w:r>
        <w:rPr>
          <w:spacing w:val="2"/>
        </w:rPr>
        <w:t>融资租赁为实质上转移了与资产所有权有关的全部风险和报酬的租赁，其所有权</w:t>
      </w:r>
    </w:p>
    <w:p>
      <w:pPr>
        <w:pStyle w:val="BodyText"/>
        <w:spacing w:line="304" w:lineRule="auto"/>
        <w:ind w:right="84"/>
        <w:jc w:val="left"/>
      </w:pPr>
      <w:r>
        <w:rPr>
          <w:spacing w:val="2"/>
        </w:rPr>
        <w:t>最终可能转移，也可能不转移。以融资租赁方式租入的固定资产采用与自有固定资产</w:t>
      </w:r>
      <w:r>
        <w:rPr>
          <w:spacing w:val="-97"/>
        </w:rPr>
        <w:t> </w:t>
      </w:r>
      <w:r>
        <w:rPr>
          <w:spacing w:val="-97"/>
        </w:rPr>
      </w:r>
      <w:r>
        <w:rPr>
          <w:spacing w:val="2"/>
        </w:rPr>
        <w:t>一致的政策计提租赁资产折旧。能够合理确定租赁期届满时取得租赁资产所有权的在</w:t>
      </w:r>
      <w:r>
        <w:rPr>
          <w:spacing w:val="-97"/>
        </w:rPr>
        <w:t> </w:t>
      </w:r>
      <w:r>
        <w:rPr>
          <w:spacing w:val="-97"/>
        </w:rPr>
      </w:r>
      <w:r>
        <w:rPr/>
        <w:t>租赁资产使用寿命内计提折旧，无法合理确定租赁期届满能够取得租赁资产所有权的，</w:t>
      </w:r>
      <w:r>
        <w:rPr/>
        <w:t> 在租赁期与租赁资产使用寿命两者中较短的期间内计提折旧。</w:t>
      </w:r>
    </w:p>
    <w:p>
      <w:pPr>
        <w:pStyle w:val="BodyText"/>
        <w:tabs>
          <w:tab w:pos="1102" w:val="left" w:leader="none"/>
        </w:tabs>
        <w:spacing w:line="304" w:lineRule="auto"/>
        <w:ind w:left="622" w:right="236"/>
        <w:jc w:val="left"/>
      </w:pPr>
      <w:r>
        <w:rPr/>
        <w:t>⑸</w:t>
        <w:tab/>
        <w:t>其他说明 </w:t>
      </w:r>
      <w:r>
        <w:rPr>
          <w:spacing w:val="2"/>
        </w:rPr>
        <w:t>与固定资产有关的后续支出，如果与该固定资产有关的经济利益很可能流入且其</w:t>
      </w:r>
    </w:p>
    <w:p>
      <w:pPr>
        <w:pStyle w:val="BodyText"/>
        <w:spacing w:line="307" w:lineRule="auto"/>
        <w:ind w:right="50"/>
        <w:jc w:val="left"/>
      </w:pPr>
      <w:r>
        <w:rPr>
          <w:spacing w:val="2"/>
        </w:rPr>
        <w:t>成本能可靠地计量，则计入固定资产成本，并终止确认被替换部分的账面价值。除此</w:t>
      </w:r>
      <w:r>
        <w:rPr>
          <w:spacing w:val="-97"/>
        </w:rPr>
        <w:t> </w:t>
      </w:r>
      <w:r>
        <w:rPr>
          <w:spacing w:val="-97"/>
        </w:rPr>
      </w:r>
      <w:r>
        <w:rPr/>
        <w:t>以外的其他后续支出，在发生时计入当期损益。</w:t>
      </w:r>
    </w:p>
    <w:p>
      <w:pPr>
        <w:pStyle w:val="BodyText"/>
        <w:spacing w:line="307" w:lineRule="auto" w:before="17"/>
        <w:ind w:right="50" w:firstLine="479"/>
        <w:jc w:val="left"/>
      </w:pPr>
      <w:r>
        <w:rPr>
          <w:spacing w:val="2"/>
        </w:rPr>
        <w:t>固定资产出售、转让、报废或毁损的处臵收入扣除其账面价值和相关税费后的差</w:t>
      </w:r>
      <w:r>
        <w:rPr/>
        <w:t> 额计入当期损益。</w:t>
      </w:r>
    </w:p>
    <w:p>
      <w:pPr>
        <w:pStyle w:val="BodyText"/>
        <w:spacing w:line="304" w:lineRule="auto" w:before="19"/>
        <w:ind w:right="85" w:firstLine="479"/>
        <w:jc w:val="left"/>
      </w:pPr>
      <w:r>
        <w:rPr/>
        <w:t>本集团至少于年度终了对固定资产的使用寿命、预计净残值和折旧方法进行复核， 如发生改变则作为会计估计变更处理。</w:t>
      </w:r>
    </w:p>
    <w:p>
      <w:pPr>
        <w:pStyle w:val="Heading2"/>
        <w:tabs>
          <w:tab w:pos="1402" w:val="left" w:leader="none"/>
        </w:tabs>
        <w:spacing w:line="363" w:lineRule="exact"/>
        <w:ind w:left="675" w:right="3093"/>
        <w:jc w:val="left"/>
        <w:rPr>
          <w:b w:val="0"/>
          <w:bCs w:val="0"/>
        </w:rPr>
      </w:pPr>
      <w:r>
        <w:rPr>
          <w:rFonts w:ascii="Times New Roman" w:hAnsi="Times New Roman" w:cs="Times New Roman" w:eastAsia="Times New Roman" w:hint="default"/>
        </w:rPr>
        <w:t>13</w:t>
      </w:r>
      <w:r>
        <w:rPr/>
        <w:t>、</w:t>
        <w:tab/>
        <w:t>在建工程</w:t>
      </w:r>
      <w:r>
        <w:rPr>
          <w:b w:val="0"/>
          <w:bCs w:val="0"/>
        </w:rPr>
      </w:r>
    </w:p>
    <w:p>
      <w:pPr>
        <w:pStyle w:val="BodyText"/>
        <w:spacing w:line="240" w:lineRule="auto" w:before="59"/>
        <w:ind w:left="622" w:right="50"/>
        <w:jc w:val="left"/>
      </w:pPr>
      <w:r>
        <w:rPr>
          <w:spacing w:val="2"/>
        </w:rPr>
        <w:t>在建工程成本按实际工程支出确定，包括在建期间发生的各项工程支出以及其他</w:t>
      </w:r>
    </w:p>
    <w:p>
      <w:pPr>
        <w:spacing w:after="0" w:line="240" w:lineRule="auto"/>
        <w:jc w:val="left"/>
        <w:sectPr>
          <w:footerReference w:type="default" r:id="rId30"/>
          <w:pgSz w:w="11910" w:h="16840"/>
          <w:pgMar w:footer="1239" w:header="840" w:top="1160" w:bottom="1420" w:left="1480" w:right="1060"/>
          <w:pgNumType w:start="68"/>
        </w:sectPr>
      </w:pPr>
    </w:p>
    <w:p>
      <w:pPr>
        <w:spacing w:line="240" w:lineRule="auto" w:before="12"/>
        <w:rPr>
          <w:rFonts w:ascii="宋体" w:hAnsi="宋体" w:cs="宋体" w:eastAsia="宋体" w:hint="default"/>
          <w:sz w:val="21"/>
          <w:szCs w:val="21"/>
        </w:rPr>
      </w:pPr>
    </w:p>
    <w:p>
      <w:pPr>
        <w:pStyle w:val="BodyText"/>
        <w:spacing w:line="307" w:lineRule="auto" w:before="26"/>
        <w:ind w:left="622" w:right="217" w:hanging="480"/>
        <w:jc w:val="left"/>
      </w:pPr>
      <w:r>
        <w:rPr/>
        <w:t>相关费用等。在建工程在达到预定可使用状态后结转为固定资产。 在建工程的减值测试方法和减值准备计提方法详见附注四、</w:t>
      </w:r>
      <w:r>
        <w:rPr>
          <w:rFonts w:ascii="Times New Roman" w:hAnsi="Times New Roman" w:cs="Times New Roman" w:eastAsia="Times New Roman" w:hint="default"/>
        </w:rPr>
        <w:t>17“</w:t>
      </w:r>
      <w:r>
        <w:rPr/>
        <w:t>非流动非金融资产</w:t>
      </w:r>
    </w:p>
    <w:p>
      <w:pPr>
        <w:pStyle w:val="BodyText"/>
        <w:spacing w:line="320" w:lineRule="exact" w:before="0"/>
        <w:ind w:right="0"/>
        <w:jc w:val="both"/>
      </w:pPr>
      <w:r>
        <w:rPr/>
        <w:t>减值</w:t>
      </w:r>
      <w:r>
        <w:rPr>
          <w:rFonts w:ascii="Times New Roman" w:hAnsi="Times New Roman" w:cs="Times New Roman" w:eastAsia="Times New Roman" w:hint="default"/>
        </w:rPr>
        <w:t>”</w:t>
      </w:r>
      <w:r>
        <w:rPr/>
        <w:t>。</w:t>
      </w:r>
    </w:p>
    <w:p>
      <w:pPr>
        <w:tabs>
          <w:tab w:pos="1402" w:val="left" w:leader="none"/>
        </w:tabs>
        <w:spacing w:line="273" w:lineRule="auto" w:before="0"/>
        <w:ind w:left="622" w:right="233" w:firstLine="5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Microsoft JhengHei" w:hAnsi="Microsoft JhengHei" w:cs="Microsoft JhengHei" w:eastAsia="Microsoft JhengHei" w:hint="default"/>
          <w:b/>
          <w:bCs/>
          <w:sz w:val="24"/>
          <w:szCs w:val="24"/>
        </w:rPr>
        <w:t>、</w:t>
        <w:tab/>
        <w:t>借款费用 </w:t>
      </w:r>
      <w:r>
        <w:rPr>
          <w:rFonts w:ascii="宋体" w:hAnsi="宋体" w:cs="宋体" w:eastAsia="宋体" w:hint="default"/>
          <w:spacing w:val="2"/>
          <w:sz w:val="24"/>
          <w:szCs w:val="24"/>
        </w:rPr>
        <w:t>借款费用包括借款利息、折价或溢价的摊销、辅助费用以及因外币借款而发生的</w:t>
      </w:r>
    </w:p>
    <w:p>
      <w:pPr>
        <w:pStyle w:val="BodyText"/>
        <w:spacing w:line="304" w:lineRule="auto" w:before="50"/>
        <w:ind w:right="232"/>
        <w:jc w:val="both"/>
      </w:pPr>
      <w:r>
        <w:rPr>
          <w:spacing w:val="2"/>
        </w:rPr>
        <w:t>汇兑差额等。可直接归属于符合资本化条件的资产的购建或者生产的借款费用，在资</w:t>
      </w:r>
      <w:r>
        <w:rPr>
          <w:spacing w:val="-97"/>
        </w:rPr>
        <w:t> </w:t>
      </w:r>
      <w:r>
        <w:rPr>
          <w:spacing w:val="-97"/>
        </w:rPr>
      </w:r>
      <w:r>
        <w:rPr>
          <w:spacing w:val="2"/>
        </w:rPr>
        <w:t>产支出已经发生、借款费用已经发生、为使资产达到预定可使用或可销售状态所必要</w:t>
      </w:r>
      <w:r>
        <w:rPr>
          <w:spacing w:val="-97"/>
        </w:rPr>
        <w:t> </w:t>
      </w:r>
      <w:r>
        <w:rPr>
          <w:spacing w:val="-97"/>
        </w:rPr>
      </w:r>
      <w:r>
        <w:rPr>
          <w:spacing w:val="2"/>
        </w:rPr>
        <w:t>的购建或生产活动已经开始时，开始资本化；构建或者生产的符合资本化条件的资产</w:t>
      </w:r>
      <w:r>
        <w:rPr>
          <w:spacing w:val="-97"/>
        </w:rPr>
        <w:t> </w:t>
      </w:r>
      <w:r>
        <w:rPr>
          <w:spacing w:val="-97"/>
        </w:rPr>
      </w:r>
      <w:r>
        <w:rPr>
          <w:spacing w:val="2"/>
        </w:rPr>
        <w:t>达到预定可使用状态或者可销售状态时，停止资本化。其余借款费用在发生当期确认</w:t>
      </w:r>
      <w:r>
        <w:rPr>
          <w:spacing w:val="-97"/>
        </w:rPr>
        <w:t> </w:t>
      </w:r>
      <w:r>
        <w:rPr>
          <w:spacing w:val="-97"/>
        </w:rPr>
      </w:r>
      <w:r>
        <w:rPr/>
        <w:t>为费用。</w:t>
      </w:r>
    </w:p>
    <w:p>
      <w:pPr>
        <w:pStyle w:val="BodyText"/>
        <w:spacing w:line="304" w:lineRule="auto"/>
        <w:ind w:right="224" w:firstLine="479"/>
        <w:jc w:val="both"/>
      </w:pPr>
      <w:r>
        <w:rPr>
          <w:spacing w:val="2"/>
        </w:rPr>
        <w:t>专门借款当期实际发生的利息费用，减去尚未动用的借款资金存入银行取得的利</w:t>
      </w:r>
      <w:r>
        <w:rPr/>
        <w:t> </w:t>
      </w:r>
      <w:r>
        <w:rPr>
          <w:spacing w:val="2"/>
        </w:rPr>
        <w:t>息收入或进行暂时性投资取得的投资收益后的金额予以资本化；一般借款根据累计资</w:t>
      </w:r>
      <w:r>
        <w:rPr>
          <w:spacing w:val="-97"/>
        </w:rPr>
        <w:t> </w:t>
      </w:r>
      <w:r>
        <w:rPr>
          <w:spacing w:val="-97"/>
        </w:rPr>
      </w:r>
      <w:r>
        <w:rPr>
          <w:spacing w:val="2"/>
        </w:rPr>
        <w:t>产支出超过专门借款部分的资产支出加权平均数乘以所占用一般借款的资本化率，确</w:t>
      </w:r>
      <w:r>
        <w:rPr>
          <w:spacing w:val="-90"/>
        </w:rPr>
        <w:t> </w:t>
      </w:r>
      <w:r>
        <w:rPr>
          <w:spacing w:val="-90"/>
        </w:rPr>
      </w:r>
      <w:r>
        <w:rPr/>
        <w:t>定资本化金额。资本化率根据一般借款的加权平均利率计算确定。</w:t>
      </w:r>
    </w:p>
    <w:p>
      <w:pPr>
        <w:pStyle w:val="BodyText"/>
        <w:spacing w:line="307" w:lineRule="auto" w:before="19"/>
        <w:ind w:right="50" w:firstLine="479"/>
        <w:jc w:val="left"/>
      </w:pPr>
      <w:r>
        <w:rPr>
          <w:spacing w:val="2"/>
        </w:rPr>
        <w:t>资本化期间内，外币专门借款的汇兑差额全部予以资本化；外币一般借款的汇兑</w:t>
      </w:r>
      <w:r>
        <w:rPr/>
        <w:t> 差额计入当期损益。</w:t>
      </w:r>
    </w:p>
    <w:p>
      <w:pPr>
        <w:pStyle w:val="BodyText"/>
        <w:spacing w:line="304" w:lineRule="auto" w:before="19"/>
        <w:ind w:right="50" w:firstLine="479"/>
        <w:jc w:val="left"/>
      </w:pPr>
      <w:r>
        <w:rPr>
          <w:spacing w:val="2"/>
        </w:rPr>
        <w:t>符合资本化条件的资产指需要经过相当长时间的购建或者生产活动才能达到预定</w:t>
      </w:r>
      <w:r>
        <w:rPr/>
        <w:t> 可使用或可销售状态的固定资产、投资性房地产和存货等资产。</w:t>
      </w:r>
    </w:p>
    <w:p>
      <w:pPr>
        <w:pStyle w:val="BodyText"/>
        <w:spacing w:line="307" w:lineRule="auto"/>
        <w:ind w:right="50" w:firstLine="479"/>
        <w:jc w:val="left"/>
      </w:pPr>
      <w:r>
        <w:rPr>
          <w:spacing w:val="2"/>
        </w:rPr>
        <w:t>如果符合资本化条件的资产在购建或生产过程中发生非正常中断、并且中断时间</w:t>
      </w:r>
      <w:r>
        <w:rPr/>
        <w:t> 连续超过</w:t>
      </w:r>
      <w:r>
        <w:rPr>
          <w:spacing w:val="-61"/>
        </w:rPr>
        <w:t> </w:t>
      </w:r>
      <w:r>
        <w:rPr>
          <w:rFonts w:ascii="Times New Roman" w:hAnsi="Times New Roman" w:cs="Times New Roman" w:eastAsia="Times New Roman" w:hint="default"/>
        </w:rPr>
        <w:t>3 </w:t>
      </w:r>
      <w:r>
        <w:rPr/>
        <w:t>个月的，暂停借款费用的资本化，直至资产的购建或生产活动重新开始。</w:t>
      </w:r>
    </w:p>
    <w:p>
      <w:pPr>
        <w:pStyle w:val="Heading2"/>
        <w:tabs>
          <w:tab w:pos="1402" w:val="left" w:leader="none"/>
        </w:tabs>
        <w:spacing w:line="333" w:lineRule="exact"/>
        <w:ind w:left="675" w:right="3093"/>
        <w:jc w:val="left"/>
        <w:rPr>
          <w:b w:val="0"/>
          <w:bCs w:val="0"/>
        </w:rPr>
      </w:pPr>
      <w:r>
        <w:rPr>
          <w:rFonts w:ascii="Times New Roman" w:hAnsi="Times New Roman" w:cs="Times New Roman" w:eastAsia="Times New Roman" w:hint="default"/>
        </w:rPr>
        <w:t>15</w:t>
      </w:r>
      <w:r>
        <w:rPr/>
        <w:t>、</w:t>
        <w:tab/>
        <w:t>无形资产</w:t>
      </w:r>
      <w:r>
        <w:rPr>
          <w:b w:val="0"/>
          <w:bCs w:val="0"/>
        </w:rPr>
      </w:r>
    </w:p>
    <w:p>
      <w:pPr>
        <w:pStyle w:val="BodyText"/>
        <w:tabs>
          <w:tab w:pos="1102" w:val="left" w:leader="none"/>
        </w:tabs>
        <w:spacing w:line="304" w:lineRule="auto" w:before="59"/>
        <w:ind w:left="622" w:right="236"/>
        <w:jc w:val="left"/>
      </w:pPr>
      <w:r>
        <w:rPr/>
        <w:t>⑴</w:t>
        <w:tab/>
        <w:t>无形资产 无形资产是指本集团拥有或者控制的没有实物形态的可辨认非货币性资产。 </w:t>
      </w:r>
      <w:r>
        <w:rPr>
          <w:spacing w:val="2"/>
        </w:rPr>
        <w:t>无形资产按成本进行初始计量。与无形资产有关的支出，如果相关的经济利益很</w:t>
      </w:r>
    </w:p>
    <w:p>
      <w:pPr>
        <w:pStyle w:val="BodyText"/>
        <w:spacing w:line="307" w:lineRule="auto"/>
        <w:ind w:right="232"/>
        <w:jc w:val="both"/>
      </w:pPr>
      <w:r>
        <w:rPr>
          <w:spacing w:val="2"/>
        </w:rPr>
        <w:t>可能流入本集团且其成本能可靠地计量，则计入无形资产成本。除此以外的其他项目</w:t>
      </w:r>
      <w:r>
        <w:rPr>
          <w:spacing w:val="-97"/>
        </w:rPr>
        <w:t> </w:t>
      </w:r>
      <w:r>
        <w:rPr>
          <w:spacing w:val="-97"/>
        </w:rPr>
      </w:r>
      <w:r>
        <w:rPr/>
        <w:t>的支出，在发生时计入当期损益。</w:t>
      </w:r>
    </w:p>
    <w:p>
      <w:pPr>
        <w:pStyle w:val="BodyText"/>
        <w:spacing w:line="304" w:lineRule="auto" w:before="17"/>
        <w:ind w:right="50" w:firstLine="479"/>
        <w:jc w:val="left"/>
      </w:pPr>
      <w:r>
        <w:rPr>
          <w:spacing w:val="2"/>
        </w:rPr>
        <w:t>取得的土地使用权通常作为无形资产核算。自行开发建造厂房等建筑物，相关的</w:t>
      </w:r>
      <w:r>
        <w:rPr/>
        <w:t> </w:t>
      </w:r>
      <w:r>
        <w:rPr>
          <w:spacing w:val="2"/>
        </w:rPr>
        <w:t>土地使用权支出和建筑物建造成本则分别作为无形资产和固定资产核算。如为外购的</w:t>
      </w:r>
      <w:r>
        <w:rPr>
          <w:spacing w:val="-97"/>
        </w:rPr>
        <w:t> </w:t>
      </w:r>
      <w:r>
        <w:rPr>
          <w:spacing w:val="-97"/>
        </w:rPr>
      </w:r>
      <w:r>
        <w:rPr>
          <w:spacing w:val="-1"/>
        </w:rPr>
        <w:t>房屋及建筑物，则将有关价款在土地使用权和建筑物之间进行分配，难以合理分配的，</w:t>
      </w:r>
      <w:r>
        <w:rPr>
          <w:spacing w:val="-88"/>
        </w:rPr>
        <w:t> </w:t>
      </w:r>
      <w:r>
        <w:rPr>
          <w:spacing w:val="-88"/>
        </w:rPr>
      </w:r>
      <w:r>
        <w:rPr/>
        <w:t>全部作为固定资产处理。</w:t>
      </w:r>
    </w:p>
    <w:p>
      <w:pPr>
        <w:pStyle w:val="BodyText"/>
        <w:spacing w:line="307" w:lineRule="auto"/>
        <w:ind w:right="50" w:firstLine="479"/>
        <w:jc w:val="left"/>
      </w:pPr>
      <w:r>
        <w:rPr>
          <w:spacing w:val="2"/>
        </w:rPr>
        <w:t>使用寿命有限的无形资产自可供使用时起，对其原值在其预计使用寿命内采用直</w:t>
      </w:r>
      <w:r>
        <w:rPr/>
        <w:t> 线法分期平均摊销。使用寿命不确定的无形资产不予摊销。</w:t>
      </w:r>
    </w:p>
    <w:p>
      <w:pPr>
        <w:pStyle w:val="BodyText"/>
        <w:spacing w:line="307" w:lineRule="auto" w:before="17"/>
        <w:ind w:right="50" w:firstLine="479"/>
        <w:jc w:val="left"/>
      </w:pPr>
      <w:r>
        <w:rPr>
          <w:spacing w:val="2"/>
        </w:rPr>
        <w:t>期末，对使用寿命有限的无形资产的使用寿命和摊销方法进行复核，如发生变更</w:t>
      </w:r>
      <w:r>
        <w:rPr/>
        <w:t> </w:t>
      </w:r>
      <w:r>
        <w:rPr>
          <w:spacing w:val="2"/>
        </w:rPr>
        <w:t>则作为会计估计变更处理。此外，还对使用寿命不确定的无形资产的使用寿命进行复</w:t>
      </w:r>
    </w:p>
    <w:p>
      <w:pPr>
        <w:spacing w:after="0" w:line="307" w:lineRule="auto"/>
        <w:jc w:val="left"/>
        <w:sectPr>
          <w:footerReference w:type="default" r:id="rId31"/>
          <w:pgSz w:w="11910" w:h="16840"/>
          <w:pgMar w:footer="1239" w:header="840" w:top="1160" w:bottom="1420" w:left="1480" w:right="1060"/>
          <w:pgNumType w:start="69"/>
        </w:sectPr>
      </w:pPr>
    </w:p>
    <w:p>
      <w:pPr>
        <w:spacing w:line="240" w:lineRule="auto" w:before="12"/>
        <w:rPr>
          <w:rFonts w:ascii="宋体" w:hAnsi="宋体" w:cs="宋体" w:eastAsia="宋体" w:hint="default"/>
          <w:sz w:val="21"/>
          <w:szCs w:val="21"/>
        </w:rPr>
      </w:pPr>
    </w:p>
    <w:p>
      <w:pPr>
        <w:pStyle w:val="BodyText"/>
        <w:spacing w:line="307" w:lineRule="auto" w:before="26"/>
        <w:ind w:right="50"/>
        <w:jc w:val="left"/>
      </w:pPr>
      <w:r>
        <w:rPr>
          <w:spacing w:val="2"/>
        </w:rPr>
        <w:t>核，如果有证据表明该无形资产为企业带来经济利益的期限是可预见的，则估计其使</w:t>
      </w:r>
      <w:r>
        <w:rPr>
          <w:spacing w:val="-97"/>
        </w:rPr>
        <w:t> </w:t>
      </w:r>
      <w:r>
        <w:rPr>
          <w:spacing w:val="-97"/>
        </w:rPr>
      </w:r>
      <w:r>
        <w:rPr/>
        <w:t>用寿命并按照使用寿命有限的无形资产的摊销政策进行摊销。</w:t>
      </w:r>
    </w:p>
    <w:p>
      <w:pPr>
        <w:pStyle w:val="BodyText"/>
        <w:tabs>
          <w:tab w:pos="1102" w:val="left" w:leader="none"/>
        </w:tabs>
        <w:spacing w:line="304" w:lineRule="auto" w:before="17"/>
        <w:ind w:left="622" w:right="224"/>
        <w:jc w:val="left"/>
      </w:pPr>
      <w:r>
        <w:rPr/>
        <w:t>⑵</w:t>
        <w:tab/>
        <w:t>研究与开发支出 本集团内部研究开发项目的支出分为研究阶段支出与开发阶段支出。 研究阶段的支出，于发生时计入当期损益。 </w:t>
      </w:r>
      <w:r>
        <w:rPr>
          <w:spacing w:val="3"/>
        </w:rPr>
        <w:t>开发阶段的支出同时满足下列条件的，确认为无形资产，不能满足下述条件的开</w:t>
      </w:r>
      <w:r>
        <w:rPr/>
      </w:r>
    </w:p>
    <w:p>
      <w:pPr>
        <w:pStyle w:val="BodyText"/>
        <w:spacing w:line="240" w:lineRule="auto"/>
        <w:ind w:right="3093"/>
        <w:jc w:val="left"/>
      </w:pPr>
      <w:r>
        <w:rPr/>
        <w:t>发阶段的支出计入当期损益：</w:t>
      </w:r>
    </w:p>
    <w:p>
      <w:pPr>
        <w:pStyle w:val="BodyText"/>
        <w:spacing w:line="240" w:lineRule="auto" w:before="86"/>
        <w:ind w:left="622" w:right="50"/>
        <w:jc w:val="left"/>
      </w:pPr>
      <w:r>
        <w:rPr>
          <w:rFonts w:ascii="宋体" w:hAnsi="宋体" w:cs="宋体" w:eastAsia="宋体" w:hint="default"/>
        </w:rPr>
        <w:t>①</w:t>
      </w:r>
      <w:r>
        <w:rPr/>
        <w:t>完成该无形资产以使其能够使用或出售在技术上具有可行性；</w:t>
      </w:r>
    </w:p>
    <w:p>
      <w:pPr>
        <w:pStyle w:val="BodyText"/>
        <w:spacing w:line="240" w:lineRule="auto" w:before="84"/>
        <w:ind w:left="622" w:right="3093"/>
        <w:jc w:val="left"/>
      </w:pPr>
      <w:r>
        <w:rPr>
          <w:rFonts w:ascii="宋体" w:hAnsi="宋体" w:cs="宋体" w:eastAsia="宋体" w:hint="default"/>
        </w:rPr>
        <w:t>②</w:t>
      </w:r>
      <w:r>
        <w:rPr/>
        <w:t>具有完成该无形资产并使用或出售的意图；</w:t>
      </w:r>
    </w:p>
    <w:p>
      <w:pPr>
        <w:pStyle w:val="BodyText"/>
        <w:spacing w:line="307" w:lineRule="auto" w:before="87"/>
        <w:ind w:right="50" w:firstLine="479"/>
        <w:jc w:val="left"/>
      </w:pPr>
      <w:r>
        <w:rPr>
          <w:rFonts w:ascii="宋体" w:hAnsi="宋体" w:cs="宋体" w:eastAsia="宋体" w:hint="default"/>
          <w:spacing w:val="2"/>
        </w:rPr>
        <w:t>③</w:t>
      </w:r>
      <w:r>
        <w:rPr>
          <w:spacing w:val="2"/>
        </w:rPr>
        <w:t>无形资产产生经济利益的方式，包括能够证明运用该无形资产生产的产品存在</w:t>
      </w:r>
      <w:r>
        <w:rPr/>
        <w:t> 市场或无形资产自身存在市场，无形资产将在内部使用的，能够证明其有用性；</w:t>
      </w:r>
    </w:p>
    <w:p>
      <w:pPr>
        <w:pStyle w:val="BodyText"/>
        <w:spacing w:line="307" w:lineRule="auto" w:before="17"/>
        <w:ind w:right="50" w:firstLine="479"/>
        <w:jc w:val="left"/>
      </w:pPr>
      <w:r>
        <w:rPr>
          <w:rFonts w:ascii="宋体" w:hAnsi="宋体" w:cs="宋体" w:eastAsia="宋体" w:hint="default"/>
          <w:spacing w:val="2"/>
        </w:rPr>
        <w:t>④</w:t>
      </w:r>
      <w:r>
        <w:rPr>
          <w:spacing w:val="2"/>
        </w:rPr>
        <w:t>有足够的技术、财务资源和其他资源支持，以完成该无形资产的开发，并有能</w:t>
      </w:r>
      <w:r>
        <w:rPr/>
        <w:t> 力使用或出售该无形资产；</w:t>
      </w:r>
    </w:p>
    <w:p>
      <w:pPr>
        <w:pStyle w:val="BodyText"/>
        <w:spacing w:line="304" w:lineRule="auto" w:before="19"/>
        <w:ind w:left="622" w:right="84"/>
        <w:jc w:val="left"/>
      </w:pPr>
      <w:r>
        <w:rPr>
          <w:rFonts w:ascii="宋体" w:hAnsi="宋体" w:cs="宋体" w:eastAsia="宋体" w:hint="default"/>
        </w:rPr>
        <w:t>⑤</w:t>
      </w:r>
      <w:r>
        <w:rPr/>
        <w:t>归属于该无形资产开发阶段的支出能够可靠地计量。 无法区分研究阶段支出和开发阶段支出的，将发生的研发支出全部计入当期损益。</w:t>
      </w:r>
    </w:p>
    <w:p>
      <w:pPr>
        <w:pStyle w:val="BodyText"/>
        <w:tabs>
          <w:tab w:pos="1102" w:val="left" w:leader="none"/>
        </w:tabs>
        <w:spacing w:line="307" w:lineRule="auto"/>
        <w:ind w:left="622" w:right="225"/>
        <w:jc w:val="left"/>
      </w:pPr>
      <w:r>
        <w:rPr/>
        <w:t>⑶</w:t>
        <w:tab/>
        <w:t>无形资产的减值测试方法及减值准备计提方法 无形资产的减值测试方法和减值准备计提方法详见附注四、</w:t>
      </w:r>
      <w:r>
        <w:rPr>
          <w:rFonts w:ascii="Times New Roman" w:hAnsi="Times New Roman" w:cs="Times New Roman" w:eastAsia="Times New Roman" w:hint="default"/>
        </w:rPr>
        <w:t>17“</w:t>
      </w:r>
      <w:r>
        <w:rPr/>
        <w:t>非流动非金融资产</w:t>
      </w:r>
    </w:p>
    <w:p>
      <w:pPr>
        <w:pStyle w:val="BodyText"/>
        <w:spacing w:line="320" w:lineRule="exact" w:before="0"/>
        <w:ind w:right="3093"/>
        <w:jc w:val="left"/>
      </w:pPr>
      <w:r>
        <w:rPr/>
        <w:t>减值</w:t>
      </w:r>
      <w:r>
        <w:rPr>
          <w:rFonts w:ascii="Times New Roman" w:hAnsi="Times New Roman" w:cs="Times New Roman" w:eastAsia="Times New Roman" w:hint="default"/>
        </w:rPr>
        <w:t>”</w:t>
      </w:r>
      <w:r>
        <w:rPr/>
        <w:t>。</w:t>
      </w:r>
    </w:p>
    <w:p>
      <w:pPr>
        <w:tabs>
          <w:tab w:pos="1402" w:val="left" w:leader="none"/>
        </w:tabs>
        <w:spacing w:line="273" w:lineRule="auto" w:before="0"/>
        <w:ind w:left="622" w:right="233" w:firstLine="5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w:t>
      </w:r>
      <w:r>
        <w:rPr>
          <w:rFonts w:ascii="Microsoft JhengHei" w:hAnsi="Microsoft JhengHei" w:cs="Microsoft JhengHei" w:eastAsia="Microsoft JhengHei" w:hint="default"/>
          <w:b/>
          <w:bCs/>
          <w:sz w:val="24"/>
          <w:szCs w:val="24"/>
        </w:rPr>
        <w:t>、</w:t>
        <w:tab/>
        <w:t>长期待摊费用 </w:t>
      </w:r>
      <w:r>
        <w:rPr>
          <w:rFonts w:ascii="宋体" w:hAnsi="宋体" w:cs="宋体" w:eastAsia="宋体" w:hint="default"/>
          <w:spacing w:val="2"/>
          <w:sz w:val="24"/>
          <w:szCs w:val="24"/>
        </w:rPr>
        <w:t>长期待摊费用为已经发生但应由报告期和以后各期负担的分摊期限在一年以上的</w:t>
      </w:r>
    </w:p>
    <w:p>
      <w:pPr>
        <w:tabs>
          <w:tab w:pos="1402" w:val="left" w:leader="none"/>
        </w:tabs>
        <w:spacing w:line="247" w:lineRule="auto" w:before="50"/>
        <w:ind w:left="675" w:right="3221" w:hanging="53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各项费用。长期待摊费用在预计受益期间按直线法摊销。 </w:t>
      </w:r>
      <w:r>
        <w:rPr>
          <w:rFonts w:ascii="Times New Roman" w:hAnsi="Times New Roman" w:cs="Times New Roman" w:eastAsia="Times New Roman" w:hint="default"/>
          <w:b/>
          <w:bCs/>
          <w:sz w:val="24"/>
          <w:szCs w:val="24"/>
        </w:rPr>
        <w:t>17</w:t>
      </w:r>
      <w:r>
        <w:rPr>
          <w:rFonts w:ascii="Microsoft JhengHei" w:hAnsi="Microsoft JhengHei" w:cs="Microsoft JhengHei" w:eastAsia="Microsoft JhengHei" w:hint="default"/>
          <w:b/>
          <w:bCs/>
          <w:sz w:val="24"/>
          <w:szCs w:val="24"/>
        </w:rPr>
        <w:t>、</w:t>
        <w:tab/>
        <w:t>非流动非金融资产减值</w:t>
      </w:r>
      <w:r>
        <w:rPr>
          <w:rFonts w:ascii="Microsoft JhengHei" w:hAnsi="Microsoft JhengHei" w:cs="Microsoft JhengHei" w:eastAsia="Microsoft JhengHei" w:hint="default"/>
          <w:sz w:val="24"/>
          <w:szCs w:val="24"/>
        </w:rPr>
      </w:r>
    </w:p>
    <w:p>
      <w:pPr>
        <w:pStyle w:val="BodyText"/>
        <w:spacing w:line="304" w:lineRule="auto" w:before="50"/>
        <w:ind w:right="84" w:firstLine="479"/>
        <w:jc w:val="left"/>
      </w:pPr>
      <w:r>
        <w:rPr>
          <w:spacing w:val="2"/>
        </w:rPr>
        <w:t>对于固定资产、在建工程、使用寿命有限的无形资产、以成本模式计量的投资性</w:t>
      </w:r>
      <w:r>
        <w:rPr/>
        <w:t> </w:t>
      </w:r>
      <w:r>
        <w:rPr>
          <w:spacing w:val="2"/>
        </w:rPr>
        <w:t>房地产及对子公司、合营企业、联营企业的长期股权投资等非流动非金融资产，本集</w:t>
      </w:r>
      <w:r>
        <w:rPr>
          <w:spacing w:val="-97"/>
        </w:rPr>
        <w:t> </w:t>
      </w:r>
      <w:r>
        <w:rPr>
          <w:spacing w:val="-97"/>
        </w:rPr>
      </w:r>
      <w:r>
        <w:rPr/>
        <w:t>团于资产负债表日判断是否存在减值迹象。如存在减值迹象的，则估计其可收回金额，</w:t>
      </w:r>
      <w:r>
        <w:rPr/>
        <w:t> 进行减值测试。商誉、使用寿命不确定的无形资产和尚未达到可使用状态的无形资产， 无论是否存在减值迹象，每年均进行减值测试。</w:t>
      </w:r>
    </w:p>
    <w:p>
      <w:pPr>
        <w:pStyle w:val="BodyText"/>
        <w:spacing w:line="304" w:lineRule="auto"/>
        <w:ind w:right="50" w:firstLine="479"/>
        <w:jc w:val="left"/>
      </w:pPr>
      <w:r>
        <w:rPr>
          <w:spacing w:val="2"/>
        </w:rPr>
        <w:t>减值测试结果表明资产的可收回金额低于其账面价值的，按其差额计提减值准备</w:t>
      </w:r>
      <w:r>
        <w:rPr/>
        <w:t> </w:t>
      </w:r>
      <w:r>
        <w:rPr>
          <w:spacing w:val="2"/>
        </w:rPr>
        <w:t>并计入减值损失。可收回金额为资产的公允价值减去处臵费用后的净额与资产预计未</w:t>
      </w:r>
      <w:r>
        <w:rPr>
          <w:spacing w:val="-97"/>
        </w:rPr>
        <w:t> </w:t>
      </w:r>
      <w:r>
        <w:rPr>
          <w:spacing w:val="-97"/>
        </w:rPr>
      </w:r>
      <w:r>
        <w:rPr>
          <w:spacing w:val="2"/>
        </w:rPr>
        <w:t>来现金流量的现值两者之间的较高者。资产的公允价值根据公平交易中销售协议价格</w:t>
      </w:r>
      <w:r>
        <w:rPr>
          <w:spacing w:val="-97"/>
        </w:rPr>
        <w:t> </w:t>
      </w:r>
      <w:r>
        <w:rPr>
          <w:spacing w:val="-97"/>
        </w:rPr>
      </w:r>
      <w:r>
        <w:rPr>
          <w:spacing w:val="-1"/>
        </w:rPr>
        <w:t>确定；不存在销售协议但存在资产活跃市场的，公允价值按照该资产的买方出价确定；</w:t>
      </w:r>
      <w:r>
        <w:rPr>
          <w:spacing w:val="-88"/>
        </w:rPr>
        <w:t> </w:t>
      </w:r>
      <w:r>
        <w:rPr>
          <w:spacing w:val="-88"/>
        </w:rPr>
      </w:r>
      <w:r>
        <w:rPr>
          <w:spacing w:val="2"/>
        </w:rPr>
        <w:t>不存在销售协议和资产活跃市场的，则以可获取的最佳信息为基础估计资产的公允价</w:t>
      </w:r>
      <w:r>
        <w:rPr>
          <w:spacing w:val="-97"/>
        </w:rPr>
        <w:t> </w:t>
      </w:r>
      <w:r>
        <w:rPr>
          <w:spacing w:val="-97"/>
        </w:rPr>
      </w:r>
      <w:r>
        <w:rPr>
          <w:spacing w:val="2"/>
        </w:rPr>
        <w:t>值。处臵费用包括与资产处臵有关的法律费用、相关税费、搬运费以及为使资产达到</w:t>
      </w:r>
      <w:r>
        <w:rPr>
          <w:spacing w:val="-90"/>
        </w:rPr>
        <w:t> </w:t>
      </w:r>
      <w:r>
        <w:rPr>
          <w:spacing w:val="-90"/>
        </w:rPr>
      </w:r>
      <w:r>
        <w:rPr>
          <w:spacing w:val="2"/>
        </w:rPr>
        <w:t>可销售状态所发生的直接费用。资产预计未来现金流量的现值，按照资产在持续使用</w:t>
      </w:r>
    </w:p>
    <w:p>
      <w:pPr>
        <w:spacing w:after="0" w:line="304" w:lineRule="auto"/>
        <w:jc w:val="left"/>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304" w:lineRule="auto" w:before="26"/>
        <w:ind w:right="232"/>
        <w:jc w:val="both"/>
      </w:pPr>
      <w:r>
        <w:rPr>
          <w:spacing w:val="2"/>
        </w:rPr>
        <w:t>过程中和最终处臵时所产生的预计未来现金流量，选择恰当的折现率对其进行折现后</w:t>
      </w:r>
      <w:r>
        <w:rPr>
          <w:spacing w:val="-97"/>
        </w:rPr>
        <w:t> </w:t>
      </w:r>
      <w:r>
        <w:rPr>
          <w:spacing w:val="-97"/>
        </w:rPr>
      </w:r>
      <w:r>
        <w:rPr>
          <w:spacing w:val="2"/>
        </w:rPr>
        <w:t>的金额加以确定。资产减值准备按单项资产为基础计算并确认，如果难以对单项资产</w:t>
      </w:r>
      <w:r>
        <w:rPr>
          <w:spacing w:val="-97"/>
        </w:rPr>
        <w:t> </w:t>
      </w:r>
      <w:r>
        <w:rPr>
          <w:spacing w:val="-97"/>
        </w:rPr>
      </w:r>
      <w:r>
        <w:rPr>
          <w:spacing w:val="2"/>
        </w:rPr>
        <w:t>的可收回金额进行估计的，以该资产所属的资产组确定资产组的可收回金额。资产组</w:t>
      </w:r>
      <w:r>
        <w:rPr>
          <w:spacing w:val="-97"/>
        </w:rPr>
        <w:t> </w:t>
      </w:r>
      <w:r>
        <w:rPr>
          <w:spacing w:val="-97"/>
        </w:rPr>
      </w:r>
      <w:r>
        <w:rPr/>
        <w:t>是能够独立产生现金流入的最小资产组合。</w:t>
      </w:r>
    </w:p>
    <w:p>
      <w:pPr>
        <w:pStyle w:val="BodyText"/>
        <w:spacing w:line="304" w:lineRule="auto"/>
        <w:ind w:right="231" w:firstLine="479"/>
        <w:jc w:val="both"/>
      </w:pPr>
      <w:r>
        <w:rPr>
          <w:spacing w:val="2"/>
        </w:rPr>
        <w:t>在财务报表中单独列示的商誉，在进行减值测试时，将商誉的账面价值分摊至预</w:t>
      </w:r>
      <w:r>
        <w:rPr/>
        <w:t> </w:t>
      </w:r>
      <w:r>
        <w:rPr>
          <w:spacing w:val="2"/>
        </w:rPr>
        <w:t>期从企业合并的协同效应中受益的资产组或资产组组合。测试结果表明包含分摊的商</w:t>
      </w:r>
      <w:r>
        <w:rPr>
          <w:spacing w:val="-97"/>
        </w:rPr>
        <w:t> </w:t>
      </w:r>
      <w:r>
        <w:rPr>
          <w:spacing w:val="-97"/>
        </w:rPr>
      </w:r>
      <w:r>
        <w:rPr>
          <w:spacing w:val="2"/>
        </w:rPr>
        <w:t>誉的资产组或资产组组合的可收回金额低于其账面价值的，确认相应的减值损失。减</w:t>
      </w:r>
      <w:r>
        <w:rPr>
          <w:spacing w:val="-97"/>
        </w:rPr>
        <w:t> </w:t>
      </w:r>
      <w:r>
        <w:rPr>
          <w:spacing w:val="-97"/>
        </w:rPr>
      </w:r>
      <w:r>
        <w:rPr>
          <w:spacing w:val="2"/>
        </w:rPr>
        <w:t>值损失金额先抵减分摊至该资产组或资产组组合的商誉的账面价值，再根据资产组或</w:t>
      </w:r>
      <w:r>
        <w:rPr>
          <w:spacing w:val="-97"/>
        </w:rPr>
        <w:t> </w:t>
      </w:r>
      <w:r>
        <w:rPr>
          <w:spacing w:val="-97"/>
        </w:rPr>
      </w:r>
      <w:r>
        <w:rPr>
          <w:spacing w:val="2"/>
        </w:rPr>
        <w:t>资产组组合中除商誉以外的其他各项资产的账面价值所占比重，按比例抵减其他各项</w:t>
      </w:r>
      <w:r>
        <w:rPr>
          <w:spacing w:val="-97"/>
        </w:rPr>
        <w:t> </w:t>
      </w:r>
      <w:r>
        <w:rPr>
          <w:spacing w:val="-97"/>
        </w:rPr>
      </w:r>
      <w:r>
        <w:rPr/>
        <w:t>资产的账面价值。</w:t>
      </w:r>
    </w:p>
    <w:p>
      <w:pPr>
        <w:pStyle w:val="BodyText"/>
        <w:tabs>
          <w:tab w:pos="1402" w:val="left" w:leader="none"/>
        </w:tabs>
        <w:spacing w:line="247" w:lineRule="auto"/>
        <w:ind w:left="675" w:right="1301" w:hanging="53"/>
        <w:jc w:val="left"/>
        <w:rPr>
          <w:rFonts w:ascii="Microsoft JhengHei" w:hAnsi="Microsoft JhengHei" w:cs="Microsoft JhengHei" w:eastAsia="Microsoft JhengHei" w:hint="default"/>
        </w:rPr>
      </w:pPr>
      <w:r>
        <w:rPr/>
        <w:t>上述资产减值损失一经确认，以后期间不予转回价值得以恢复的部分。 </w:t>
      </w:r>
      <w:r>
        <w:rPr>
          <w:rFonts w:ascii="Times New Roman" w:hAnsi="Times New Roman" w:cs="Times New Roman" w:eastAsia="Times New Roman" w:hint="default"/>
          <w:b/>
          <w:bCs/>
        </w:rPr>
        <w:t>18</w:t>
      </w:r>
      <w:r>
        <w:rPr>
          <w:rFonts w:ascii="Microsoft JhengHei" w:hAnsi="Microsoft JhengHei" w:cs="Microsoft JhengHei" w:eastAsia="Microsoft JhengHei" w:hint="default"/>
          <w:b/>
          <w:bCs/>
        </w:rPr>
        <w:t>、</w:t>
        <w:tab/>
        <w:t>预计负债</w:t>
      </w:r>
      <w:r>
        <w:rPr>
          <w:rFonts w:ascii="Microsoft JhengHei" w:hAnsi="Microsoft JhengHei" w:cs="Microsoft JhengHei" w:eastAsia="Microsoft JhengHei" w:hint="default"/>
        </w:rPr>
      </w:r>
    </w:p>
    <w:p>
      <w:pPr>
        <w:pStyle w:val="BodyText"/>
        <w:spacing w:line="304" w:lineRule="auto" w:before="50"/>
        <w:ind w:right="224" w:firstLine="479"/>
        <w:jc w:val="both"/>
      </w:pPr>
      <w:r>
        <w:rPr>
          <w:spacing w:val="2"/>
        </w:rPr>
        <w:t>当与或有事项相关的义务同时符合以下条件，确认为预计负债：⑴该义务是本集</w:t>
      </w:r>
      <w:r>
        <w:rPr/>
        <w:t> </w:t>
      </w:r>
      <w:r>
        <w:rPr>
          <w:spacing w:val="2"/>
        </w:rPr>
        <w:t>团承担的现时义务；⑵履行该义务很可能导致经济利益流出；⑶该义务的金额能够可</w:t>
      </w:r>
      <w:r>
        <w:rPr>
          <w:spacing w:val="-90"/>
        </w:rPr>
        <w:t> </w:t>
      </w:r>
      <w:r>
        <w:rPr>
          <w:spacing w:val="-90"/>
        </w:rPr>
      </w:r>
      <w:r>
        <w:rPr/>
        <w:t>靠地计量。</w:t>
      </w:r>
    </w:p>
    <w:p>
      <w:pPr>
        <w:pStyle w:val="BodyText"/>
        <w:spacing w:line="307" w:lineRule="auto"/>
        <w:ind w:right="85" w:firstLine="479"/>
        <w:jc w:val="left"/>
      </w:pPr>
      <w:r>
        <w:rPr/>
        <w:t>在资产负债表日，考虑与或有事项有关的风险、不确定性和货币时间价值等因素， 按照履行相关现时义务所需支出的最佳估计数对预计负债进行计量。</w:t>
      </w:r>
    </w:p>
    <w:p>
      <w:pPr>
        <w:pStyle w:val="BodyText"/>
        <w:spacing w:line="307" w:lineRule="auto" w:before="17"/>
        <w:ind w:right="236" w:firstLine="479"/>
        <w:jc w:val="both"/>
      </w:pPr>
      <w:r>
        <w:rPr>
          <w:spacing w:val="2"/>
        </w:rPr>
        <w:t>如果清偿预计负债所需支出全部或部分预期由第三方补偿的，补偿金额在基本确</w:t>
      </w:r>
      <w:r>
        <w:rPr/>
        <w:t> 定能够收到时，作为资产单独确认，且确认的补偿金额不超过预计负债的账面价值。</w:t>
      </w:r>
    </w:p>
    <w:p>
      <w:pPr>
        <w:pStyle w:val="Heading2"/>
        <w:tabs>
          <w:tab w:pos="1402" w:val="left" w:leader="none"/>
        </w:tabs>
        <w:spacing w:line="361" w:lineRule="exact"/>
        <w:ind w:left="675" w:right="3093"/>
        <w:jc w:val="left"/>
        <w:rPr>
          <w:b w:val="0"/>
          <w:bCs w:val="0"/>
        </w:rPr>
      </w:pPr>
      <w:r>
        <w:rPr>
          <w:rFonts w:ascii="Times New Roman" w:hAnsi="Times New Roman" w:cs="Times New Roman" w:eastAsia="Times New Roman" w:hint="default"/>
        </w:rPr>
        <w:t>19</w:t>
      </w:r>
      <w:r>
        <w:rPr/>
        <w:t>、</w:t>
        <w:tab/>
        <w:t>收入</w:t>
      </w:r>
      <w:r>
        <w:rPr>
          <w:b w:val="0"/>
          <w:bCs w:val="0"/>
        </w:rPr>
      </w:r>
    </w:p>
    <w:p>
      <w:pPr>
        <w:pStyle w:val="BodyText"/>
        <w:tabs>
          <w:tab w:pos="1102" w:val="left" w:leader="none"/>
        </w:tabs>
        <w:spacing w:line="307" w:lineRule="auto" w:before="57"/>
        <w:ind w:left="622" w:right="236"/>
        <w:jc w:val="left"/>
      </w:pPr>
      <w:r>
        <w:rPr/>
        <w:t>⑴</w:t>
        <w:tab/>
        <w:t>商品销售收入 </w:t>
      </w:r>
      <w:r>
        <w:rPr>
          <w:spacing w:val="2"/>
        </w:rPr>
        <w:t>在已将商品所有权上的主要风险和报酬转移给买方，既没有保留通常与所有权相</w:t>
      </w:r>
    </w:p>
    <w:p>
      <w:pPr>
        <w:pStyle w:val="BodyText"/>
        <w:spacing w:line="304" w:lineRule="auto" w:before="19"/>
        <w:ind w:right="232"/>
        <w:jc w:val="both"/>
      </w:pPr>
      <w:r>
        <w:rPr>
          <w:spacing w:val="2"/>
        </w:rPr>
        <w:t>联系的继续管理权，也没有对已售商品实施有效控制，收入的金额能够可靠地计量，</w:t>
      </w:r>
      <w:r>
        <w:rPr>
          <w:spacing w:val="-97"/>
        </w:rPr>
        <w:t> </w:t>
      </w:r>
      <w:r>
        <w:rPr>
          <w:spacing w:val="-97"/>
        </w:rPr>
      </w:r>
      <w:r>
        <w:rPr>
          <w:spacing w:val="2"/>
        </w:rPr>
        <w:t>相关的经济利益很可能流入企业，相关的已发生或将发生的成本能够可靠地计量时，</w:t>
      </w:r>
      <w:r>
        <w:rPr>
          <w:spacing w:val="-97"/>
        </w:rPr>
        <w:t> </w:t>
      </w:r>
      <w:r>
        <w:rPr>
          <w:spacing w:val="-97"/>
        </w:rPr>
      </w:r>
      <w:r>
        <w:rPr/>
        <w:t>确认商品销售收入的实现。</w:t>
      </w:r>
    </w:p>
    <w:p>
      <w:pPr>
        <w:pStyle w:val="BodyText"/>
        <w:tabs>
          <w:tab w:pos="1102" w:val="left" w:leader="none"/>
        </w:tabs>
        <w:spacing w:line="304" w:lineRule="auto"/>
        <w:ind w:left="622" w:right="236"/>
        <w:jc w:val="left"/>
      </w:pPr>
      <w:r>
        <w:rPr/>
        <w:t>⑵</w:t>
        <w:tab/>
        <w:t>提供劳务收入 </w:t>
      </w:r>
      <w:r>
        <w:rPr>
          <w:spacing w:val="2"/>
        </w:rPr>
        <w:t>在提供劳务交易的结果能够可靠估计的情况下，于资产负债表日按照完工百分比</w:t>
      </w:r>
    </w:p>
    <w:p>
      <w:pPr>
        <w:pStyle w:val="BodyText"/>
        <w:spacing w:line="307" w:lineRule="auto"/>
        <w:ind w:left="622" w:right="84" w:hanging="480"/>
        <w:jc w:val="left"/>
      </w:pPr>
      <w:r>
        <w:rPr/>
        <w:t>法确认提供的劳务收入。劳务交易的完工进度按已完工作的测量确定。 提供劳务交易的结果能够可靠估计是指同时满足：</w:t>
      </w:r>
      <w:r>
        <w:rPr>
          <w:rFonts w:ascii="宋体" w:hAnsi="宋体" w:cs="宋体" w:eastAsia="宋体" w:hint="default"/>
        </w:rPr>
        <w:t>⑴</w:t>
      </w:r>
      <w:r>
        <w:rPr/>
        <w:t>收入的金额能够可靠地计量；</w:t>
      </w:r>
    </w:p>
    <w:p>
      <w:pPr>
        <w:pStyle w:val="BodyText"/>
        <w:spacing w:line="307" w:lineRule="auto" w:before="17"/>
        <w:ind w:right="223"/>
        <w:jc w:val="both"/>
      </w:pPr>
      <w:r>
        <w:rPr>
          <w:rFonts w:ascii="宋体" w:hAnsi="宋体" w:cs="宋体" w:eastAsia="宋体" w:hint="default"/>
          <w:spacing w:val="2"/>
        </w:rPr>
        <w:t>⑵</w:t>
      </w:r>
      <w:r>
        <w:rPr>
          <w:spacing w:val="2"/>
        </w:rPr>
        <w:t>相关的经济利益很可能流入企业；</w:t>
      </w:r>
      <w:r>
        <w:rPr>
          <w:rFonts w:ascii="宋体" w:hAnsi="宋体" w:cs="宋体" w:eastAsia="宋体" w:hint="default"/>
          <w:spacing w:val="2"/>
        </w:rPr>
        <w:t>⑶</w:t>
      </w:r>
      <w:r>
        <w:rPr>
          <w:spacing w:val="2"/>
        </w:rPr>
        <w:t>交易的完工程度能够可靠地确定；</w:t>
      </w:r>
      <w:r>
        <w:rPr>
          <w:rFonts w:ascii="宋体" w:hAnsi="宋体" w:cs="宋体" w:eastAsia="宋体" w:hint="default"/>
          <w:spacing w:val="2"/>
        </w:rPr>
        <w:t>⑷</w:t>
      </w:r>
      <w:r>
        <w:rPr>
          <w:spacing w:val="2"/>
        </w:rPr>
        <w:t>交易中已</w:t>
      </w:r>
      <w:r>
        <w:rPr>
          <w:spacing w:val="-89"/>
        </w:rPr>
        <w:t> </w:t>
      </w:r>
      <w:r>
        <w:rPr>
          <w:spacing w:val="-89"/>
        </w:rPr>
      </w:r>
      <w:r>
        <w:rPr/>
        <w:t>发生和将发生的成本能够可靠地计量。</w:t>
      </w:r>
    </w:p>
    <w:p>
      <w:pPr>
        <w:pStyle w:val="BodyText"/>
        <w:spacing w:line="304" w:lineRule="auto" w:before="19"/>
        <w:ind w:right="232" w:firstLine="479"/>
        <w:jc w:val="both"/>
      </w:pPr>
      <w:r>
        <w:rPr>
          <w:spacing w:val="2"/>
        </w:rPr>
        <w:t>如果提供劳务交易的结果不能够可靠估计，则按已经发生并预计能够得到补偿的</w:t>
      </w:r>
      <w:r>
        <w:rPr/>
        <w:t> </w:t>
      </w:r>
      <w:r>
        <w:rPr>
          <w:spacing w:val="2"/>
        </w:rPr>
        <w:t>劳务成本金额确认提供的劳务收入，并将已发生的劳务成本作为当期费用。已经发生</w:t>
      </w:r>
      <w:r>
        <w:rPr>
          <w:spacing w:val="-97"/>
        </w:rPr>
        <w:t> </w:t>
      </w:r>
      <w:r>
        <w:rPr>
          <w:spacing w:val="-97"/>
        </w:rPr>
      </w:r>
      <w:r>
        <w:rPr/>
        <w:t>的劳务成本如预计不能得到补偿的，则不确认收入。</w:t>
      </w:r>
    </w:p>
    <w:p>
      <w:pPr>
        <w:spacing w:after="0" w:line="304"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304" w:lineRule="auto" w:before="26"/>
        <w:ind w:right="84" w:firstLine="479"/>
        <w:jc w:val="left"/>
      </w:pPr>
      <w:r>
        <w:rPr>
          <w:spacing w:val="2"/>
        </w:rPr>
        <w:t>本集团与其他企业签订的合同或协议包括销售商品和提供劳务时，如销售商品部</w:t>
      </w:r>
      <w:r>
        <w:rPr/>
        <w:t> 分和提供劳务部分能够区分并单独计量的，将销售商品部分和提供劳务部分分别处理； </w:t>
      </w:r>
      <w:r>
        <w:rPr>
          <w:spacing w:val="2"/>
        </w:rPr>
        <w:t>如销售商品部分和提供劳务部分不能够区分，或虽能区分但不能够单独计量的，将该</w:t>
      </w:r>
      <w:r>
        <w:rPr>
          <w:spacing w:val="-97"/>
        </w:rPr>
        <w:t> </w:t>
      </w:r>
      <w:r>
        <w:rPr>
          <w:spacing w:val="-97"/>
        </w:rPr>
      </w:r>
      <w:r>
        <w:rPr/>
        <w:t>合同全部作为销售商品处理。</w:t>
      </w:r>
    </w:p>
    <w:p>
      <w:pPr>
        <w:pStyle w:val="BodyText"/>
        <w:tabs>
          <w:tab w:pos="1102" w:val="left" w:leader="none"/>
        </w:tabs>
        <w:spacing w:line="304" w:lineRule="auto"/>
        <w:ind w:left="622" w:right="3701"/>
        <w:jc w:val="left"/>
      </w:pPr>
      <w:r>
        <w:rPr/>
        <w:t>⑶</w:t>
        <w:tab/>
        <w:t>使用费收入 根据有关合同或协议，按权责发生制确认收入。</w:t>
      </w:r>
    </w:p>
    <w:p>
      <w:pPr>
        <w:pStyle w:val="BodyText"/>
        <w:tabs>
          <w:tab w:pos="1102" w:val="left" w:leader="none"/>
        </w:tabs>
        <w:spacing w:line="240" w:lineRule="auto"/>
        <w:ind w:left="622" w:right="3093"/>
        <w:jc w:val="left"/>
      </w:pPr>
      <w:r>
        <w:rPr/>
        <w:t>⑷</w:t>
        <w:tab/>
        <w:t>利息收入</w:t>
      </w:r>
    </w:p>
    <w:p>
      <w:pPr>
        <w:tabs>
          <w:tab w:pos="1402" w:val="left" w:leader="none"/>
        </w:tabs>
        <w:spacing w:line="247" w:lineRule="auto" w:before="86"/>
        <w:ind w:left="675" w:right="2741" w:hanging="5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按照他人使用本集团货币资金的时间和实际利率计算确定 </w:t>
      </w:r>
      <w:r>
        <w:rPr>
          <w:rFonts w:ascii="Times New Roman" w:hAnsi="Times New Roman" w:cs="Times New Roman" w:eastAsia="Times New Roman" w:hint="default"/>
          <w:b/>
          <w:bCs/>
          <w:sz w:val="24"/>
          <w:szCs w:val="24"/>
        </w:rPr>
        <w:t>20</w:t>
      </w:r>
      <w:r>
        <w:rPr>
          <w:rFonts w:ascii="Microsoft JhengHei" w:hAnsi="Microsoft JhengHei" w:cs="Microsoft JhengHei" w:eastAsia="Microsoft JhengHei" w:hint="default"/>
          <w:b/>
          <w:bCs/>
          <w:sz w:val="24"/>
          <w:szCs w:val="24"/>
        </w:rPr>
        <w:t>、</w:t>
        <w:tab/>
        <w:t>政府补助</w:t>
      </w:r>
      <w:r>
        <w:rPr>
          <w:rFonts w:ascii="Microsoft JhengHei" w:hAnsi="Microsoft JhengHei" w:cs="Microsoft JhengHei" w:eastAsia="Microsoft JhengHei" w:hint="default"/>
          <w:sz w:val="24"/>
          <w:szCs w:val="24"/>
        </w:rPr>
      </w:r>
    </w:p>
    <w:p>
      <w:pPr>
        <w:pStyle w:val="BodyText"/>
        <w:spacing w:line="307" w:lineRule="auto" w:before="50"/>
        <w:ind w:right="84" w:firstLine="479"/>
        <w:jc w:val="left"/>
      </w:pPr>
      <w:r>
        <w:rPr>
          <w:spacing w:val="2"/>
        </w:rPr>
        <w:t>政府补助是指本集团从政府无偿取得货币性资产和非货币性资产，不包括政府作</w:t>
      </w:r>
      <w:r>
        <w:rPr/>
        <w:t> 为所有者投入的资本。政府补助分为与资产相关的政府补助和与收益相关的政府补助。</w:t>
      </w:r>
    </w:p>
    <w:p>
      <w:pPr>
        <w:pStyle w:val="BodyText"/>
        <w:spacing w:line="307" w:lineRule="auto" w:before="17"/>
        <w:ind w:right="232" w:firstLine="479"/>
        <w:jc w:val="both"/>
      </w:pPr>
      <w:r>
        <w:rPr>
          <w:spacing w:val="2"/>
        </w:rPr>
        <w:t>政府补助为货币性资产的，按照收到或应收的金额计量。政府补助为非货币性资</w:t>
      </w:r>
      <w:r>
        <w:rPr/>
        <w:t> </w:t>
      </w:r>
      <w:r>
        <w:rPr>
          <w:spacing w:val="2"/>
        </w:rPr>
        <w:t>产的，按照公允价值计量；公允价值不能够可靠取得的，按照名义金额计量。按照名</w:t>
      </w:r>
      <w:r>
        <w:rPr>
          <w:spacing w:val="-97"/>
        </w:rPr>
        <w:t> </w:t>
      </w:r>
      <w:r>
        <w:rPr>
          <w:spacing w:val="-97"/>
        </w:rPr>
      </w:r>
      <w:r>
        <w:rPr/>
        <w:t>义金额计量的政府补助，直接计入当期损益。</w:t>
      </w:r>
    </w:p>
    <w:p>
      <w:pPr>
        <w:pStyle w:val="BodyText"/>
        <w:spacing w:line="304" w:lineRule="auto" w:before="17"/>
        <w:ind w:right="232" w:firstLine="479"/>
        <w:jc w:val="both"/>
      </w:pPr>
      <w:r>
        <w:rPr>
          <w:spacing w:val="2"/>
        </w:rPr>
        <w:t>与资产相关的政府补助，确认为递延收益，并在相关资产的使用寿命内平均分配</w:t>
      </w:r>
      <w:r>
        <w:rPr/>
        <w:t> </w:t>
      </w:r>
      <w:r>
        <w:rPr>
          <w:spacing w:val="2"/>
        </w:rPr>
        <w:t>计入当期损益。与收益相关的政府补助，用于补偿以后期间的相关费用和损失的，确</w:t>
      </w:r>
      <w:r>
        <w:rPr>
          <w:spacing w:val="-97"/>
        </w:rPr>
        <w:t> </w:t>
      </w:r>
      <w:r>
        <w:rPr>
          <w:spacing w:val="-97"/>
        </w:rPr>
      </w:r>
      <w:r>
        <w:rPr>
          <w:spacing w:val="2"/>
        </w:rPr>
        <w:t>认为递延收益，并在确认相关费用的期间计入当期损益；用于补偿已经发生的相关费</w:t>
      </w:r>
      <w:r>
        <w:rPr>
          <w:spacing w:val="-97"/>
        </w:rPr>
        <w:t> </w:t>
      </w:r>
      <w:r>
        <w:rPr>
          <w:spacing w:val="-97"/>
        </w:rPr>
      </w:r>
      <w:r>
        <w:rPr/>
        <w:t>用和损失的，直接计入当期损益。</w:t>
      </w:r>
    </w:p>
    <w:p>
      <w:pPr>
        <w:pStyle w:val="BodyText"/>
        <w:spacing w:line="307" w:lineRule="auto"/>
        <w:ind w:right="227" w:firstLine="479"/>
        <w:jc w:val="both"/>
      </w:pPr>
      <w:r>
        <w:rPr>
          <w:spacing w:val="2"/>
        </w:rPr>
        <w:t>已确认的政府补助需要返还时，存在相关递延收益余额的，冲减相关递延收益账</w:t>
      </w:r>
      <w:r>
        <w:rPr/>
        <w:t> 面余额，超出部分计入当期损益；不存在相关递延收益的，直接计入当期损益。</w:t>
      </w:r>
    </w:p>
    <w:p>
      <w:pPr>
        <w:pStyle w:val="Heading2"/>
        <w:tabs>
          <w:tab w:pos="1402" w:val="left" w:leader="none"/>
        </w:tabs>
        <w:spacing w:line="359" w:lineRule="exact"/>
        <w:ind w:left="675" w:right="3093"/>
        <w:jc w:val="left"/>
        <w:rPr>
          <w:b w:val="0"/>
          <w:bCs w:val="0"/>
        </w:rPr>
      </w:pPr>
      <w:r>
        <w:rPr>
          <w:rFonts w:ascii="Times New Roman" w:hAnsi="Times New Roman" w:cs="Times New Roman" w:eastAsia="Times New Roman" w:hint="default"/>
        </w:rPr>
        <w:t>21</w:t>
      </w:r>
      <w:r>
        <w:rPr/>
        <w:t>、</w:t>
        <w:tab/>
        <w:t>递延所得税资产</w:t>
      </w:r>
      <w:r>
        <w:rPr>
          <w:rFonts w:ascii="Times New Roman" w:hAnsi="Times New Roman" w:cs="Times New Roman" w:eastAsia="Times New Roman" w:hint="default"/>
        </w:rPr>
        <w:t>/</w:t>
      </w:r>
      <w:r>
        <w:rPr/>
        <w:t>递延所得税负债</w:t>
      </w:r>
      <w:r>
        <w:rPr>
          <w:b w:val="0"/>
          <w:bCs w:val="0"/>
        </w:rPr>
      </w:r>
    </w:p>
    <w:p>
      <w:pPr>
        <w:pStyle w:val="BodyText"/>
        <w:tabs>
          <w:tab w:pos="1102" w:val="left" w:leader="none"/>
        </w:tabs>
        <w:spacing w:line="307" w:lineRule="auto" w:before="59"/>
        <w:ind w:left="622" w:right="221"/>
        <w:jc w:val="left"/>
      </w:pPr>
      <w:r>
        <w:rPr/>
        <w:t>⑴</w:t>
        <w:tab/>
        <w:t>当期所得税 </w:t>
      </w:r>
      <w:r>
        <w:rPr>
          <w:spacing w:val="-4"/>
        </w:rPr>
        <w:t>资产负债表日，对于当期和以前期间形成的当期所得税负债（或资产），以按照税</w:t>
      </w:r>
    </w:p>
    <w:p>
      <w:pPr>
        <w:pStyle w:val="BodyText"/>
        <w:spacing w:line="307" w:lineRule="auto" w:before="17"/>
        <w:ind w:right="50"/>
        <w:jc w:val="left"/>
      </w:pPr>
      <w:r>
        <w:rPr>
          <w:spacing w:val="2"/>
        </w:rPr>
        <w:t>法规定计算的预期应交纳（或返还）的所得税金额计量。计算当期所得税费用所依据</w:t>
      </w:r>
      <w:r>
        <w:rPr>
          <w:spacing w:val="-97"/>
        </w:rPr>
        <w:t> </w:t>
      </w:r>
      <w:r>
        <w:rPr>
          <w:spacing w:val="-97"/>
        </w:rPr>
      </w:r>
      <w:r>
        <w:rPr/>
        <w:t>的应纳税所得额系根据有关税法规定对本年度税前会计利润作相应调整后计算得出。</w:t>
      </w:r>
    </w:p>
    <w:p>
      <w:pPr>
        <w:pStyle w:val="BodyText"/>
        <w:tabs>
          <w:tab w:pos="1102" w:val="left" w:leader="none"/>
        </w:tabs>
        <w:spacing w:line="304" w:lineRule="auto" w:before="19"/>
        <w:ind w:left="622" w:right="236"/>
        <w:jc w:val="left"/>
      </w:pPr>
      <w:r>
        <w:rPr/>
        <w:t>⑵</w:t>
        <w:tab/>
        <w:t>递延所得税资产及递延所得税负债 </w:t>
      </w:r>
      <w:r>
        <w:rPr>
          <w:spacing w:val="2"/>
        </w:rPr>
        <w:t>某些资产、负债项目的账面价值与其计税基础之间的差额，以及未作为资产和负</w:t>
      </w:r>
    </w:p>
    <w:p>
      <w:pPr>
        <w:pStyle w:val="BodyText"/>
        <w:spacing w:line="307" w:lineRule="auto"/>
        <w:ind w:right="50"/>
        <w:jc w:val="left"/>
      </w:pPr>
      <w:r>
        <w:rPr>
          <w:spacing w:val="2"/>
        </w:rPr>
        <w:t>债确认但按照税法规定可以确定其计税基础的项目的账面价值与计税基础之间的差额</w:t>
      </w:r>
      <w:r>
        <w:rPr>
          <w:spacing w:val="-88"/>
        </w:rPr>
        <w:t> </w:t>
      </w:r>
      <w:r>
        <w:rPr>
          <w:spacing w:val="-88"/>
        </w:rPr>
      </w:r>
      <w:r>
        <w:rPr/>
        <w:t>产生的暂时性差异，采用资产负债表债务法确认递延所得税资产及递延所得税负债。</w:t>
      </w:r>
    </w:p>
    <w:p>
      <w:pPr>
        <w:pStyle w:val="BodyText"/>
        <w:spacing w:line="304" w:lineRule="auto" w:before="17"/>
        <w:ind w:right="232" w:firstLine="479"/>
        <w:jc w:val="both"/>
      </w:pPr>
      <w:r>
        <w:rPr>
          <w:spacing w:val="2"/>
        </w:rPr>
        <w:t>与商誉的初始确认有关，以及与既不是企业合并、发生时也不影响会计利润和应</w:t>
      </w:r>
      <w:r>
        <w:rPr/>
        <w:t> </w:t>
      </w:r>
      <w:r>
        <w:rPr>
          <w:spacing w:val="2"/>
        </w:rPr>
        <w:t>纳税所得额（或可抵扣亏损）的交易中产生的资产或负债的初始确认有关的应纳税暂</w:t>
      </w:r>
      <w:r>
        <w:rPr>
          <w:spacing w:val="-97"/>
        </w:rPr>
        <w:t> </w:t>
      </w:r>
      <w:r>
        <w:rPr>
          <w:spacing w:val="-97"/>
        </w:rPr>
      </w:r>
      <w:r>
        <w:rPr>
          <w:spacing w:val="2"/>
        </w:rPr>
        <w:t>时性差异，不予确认有关的递延所得税负债。此外，对与子公司、联营企业及合营企</w:t>
      </w:r>
      <w:r>
        <w:rPr>
          <w:spacing w:val="-97"/>
        </w:rPr>
        <w:t> </w:t>
      </w:r>
      <w:r>
        <w:rPr>
          <w:spacing w:val="-97"/>
        </w:rPr>
      </w:r>
      <w:r>
        <w:rPr>
          <w:spacing w:val="2"/>
        </w:rPr>
        <w:t>业投资相关的应纳税暂时性差异，如果本集团能够控制暂时性差异转回的时间，而且</w:t>
      </w:r>
      <w:r>
        <w:rPr>
          <w:spacing w:val="-97"/>
        </w:rPr>
        <w:t> </w:t>
      </w:r>
      <w:r>
        <w:rPr>
          <w:spacing w:val="-97"/>
        </w:rPr>
      </w:r>
      <w:r>
        <w:rPr>
          <w:spacing w:val="2"/>
        </w:rPr>
        <w:t>该暂时性差异在可预见的未来很可能不会转回，也不予确认有关的递延所得税负债。</w:t>
      </w:r>
    </w:p>
    <w:p>
      <w:pPr>
        <w:spacing w:after="0" w:line="304"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307" w:lineRule="auto" w:before="26"/>
        <w:ind w:left="622" w:right="145" w:hanging="480"/>
        <w:jc w:val="left"/>
      </w:pPr>
      <w:r>
        <w:rPr/>
        <w:t>除上述例外情况，本集团确认其他所有应纳税暂时性差异产生的递延所得税负债。 </w:t>
      </w:r>
      <w:r>
        <w:rPr>
          <w:spacing w:val="2"/>
        </w:rPr>
        <w:t>与既不是企业合并、发生时也不影响会计利润和应纳税所得额（或可抵扣亏损）</w:t>
      </w:r>
    </w:p>
    <w:p>
      <w:pPr>
        <w:pStyle w:val="BodyText"/>
        <w:spacing w:line="304" w:lineRule="auto" w:before="17"/>
        <w:ind w:right="152"/>
        <w:jc w:val="both"/>
      </w:pPr>
      <w:r>
        <w:rPr>
          <w:spacing w:val="2"/>
        </w:rPr>
        <w:t>的交易中产生的资产或负债的初始确认有关的可抵扣暂时性差异，不予确认有关的递</w:t>
      </w:r>
      <w:r>
        <w:rPr>
          <w:spacing w:val="-97"/>
        </w:rPr>
        <w:t> </w:t>
      </w:r>
      <w:r>
        <w:rPr>
          <w:spacing w:val="-97"/>
        </w:rPr>
      </w:r>
      <w:r>
        <w:rPr>
          <w:spacing w:val="2"/>
        </w:rPr>
        <w:t>延所得税资产。此外，对与子公司、联营企业及合营企业投资相关的可抵扣暂时性差</w:t>
      </w:r>
      <w:r>
        <w:rPr>
          <w:spacing w:val="-97"/>
        </w:rPr>
        <w:t> </w:t>
      </w:r>
      <w:r>
        <w:rPr>
          <w:spacing w:val="-97"/>
        </w:rPr>
      </w:r>
      <w:r>
        <w:rPr>
          <w:spacing w:val="2"/>
        </w:rPr>
        <w:t>异，如果暂时性差异在可预见的未来不是很可能转回，或者未来不是很可能获得用来</w:t>
      </w:r>
      <w:r>
        <w:rPr>
          <w:spacing w:val="-97"/>
        </w:rPr>
        <w:t> </w:t>
      </w:r>
      <w:r>
        <w:rPr>
          <w:spacing w:val="-97"/>
        </w:rPr>
      </w:r>
      <w:r>
        <w:rPr>
          <w:spacing w:val="2"/>
        </w:rPr>
        <w:t>抵扣可抵扣暂时性差异的应纳税所得额，不予确认有关的递延所得税资产。除上述例</w:t>
      </w:r>
      <w:r>
        <w:rPr>
          <w:spacing w:val="-97"/>
        </w:rPr>
        <w:t> </w:t>
      </w:r>
      <w:r>
        <w:rPr>
          <w:spacing w:val="-97"/>
        </w:rPr>
      </w:r>
      <w:r>
        <w:rPr>
          <w:spacing w:val="2"/>
        </w:rPr>
        <w:t>外情况，本集团以很可能取得用来抵扣可抵扣暂时性差异的应纳税所得额为限，确认</w:t>
      </w:r>
      <w:r>
        <w:rPr>
          <w:spacing w:val="-97"/>
        </w:rPr>
        <w:t> </w:t>
      </w:r>
      <w:r>
        <w:rPr>
          <w:spacing w:val="-97"/>
        </w:rPr>
      </w:r>
      <w:r>
        <w:rPr/>
        <w:t>其他可抵扣暂时性差异产生的递延所得税资产。</w:t>
      </w:r>
    </w:p>
    <w:p>
      <w:pPr>
        <w:pStyle w:val="BodyText"/>
        <w:spacing w:line="307" w:lineRule="auto" w:before="19"/>
        <w:ind w:right="155" w:firstLine="479"/>
        <w:jc w:val="both"/>
      </w:pPr>
      <w:r>
        <w:rPr>
          <w:spacing w:val="2"/>
        </w:rPr>
        <w:t>对于能够结转以后年度的可抵扣亏损和税款抵减，以很可能获得用来抵扣可抵扣</w:t>
      </w:r>
      <w:r>
        <w:rPr/>
        <w:t> 亏损和税款抵减的未来应纳税所得额为限，确认相应的递延所得税资产。</w:t>
      </w:r>
    </w:p>
    <w:p>
      <w:pPr>
        <w:pStyle w:val="BodyText"/>
        <w:spacing w:line="304" w:lineRule="auto" w:before="19"/>
        <w:ind w:right="156" w:firstLine="479"/>
        <w:jc w:val="both"/>
      </w:pPr>
      <w:r>
        <w:rPr>
          <w:spacing w:val="2"/>
        </w:rPr>
        <w:t>资产负债表日，对于递延所得税资产和递延所得税负债，根据税法规定，按照预</w:t>
      </w:r>
      <w:r>
        <w:rPr/>
        <w:t> 期收回相关资产或清偿相关负债期间的适用税率计量。</w:t>
      </w:r>
    </w:p>
    <w:p>
      <w:pPr>
        <w:pStyle w:val="BodyText"/>
        <w:spacing w:line="304" w:lineRule="auto"/>
        <w:ind w:right="152" w:firstLine="479"/>
        <w:jc w:val="both"/>
      </w:pPr>
      <w:r>
        <w:rPr>
          <w:spacing w:val="2"/>
        </w:rPr>
        <w:t>于资产负债表日，对递延所得税资产的账面价值进行复核，如果未来很可能无法</w:t>
      </w:r>
      <w:r>
        <w:rPr/>
        <w:t> </w:t>
      </w:r>
      <w:r>
        <w:rPr>
          <w:spacing w:val="2"/>
        </w:rPr>
        <w:t>获得足够的应纳税所得额用以抵扣递延所得税资产的利益，则减记递延所得税资产的</w:t>
      </w:r>
      <w:r>
        <w:rPr>
          <w:spacing w:val="-97"/>
        </w:rPr>
        <w:t> </w:t>
      </w:r>
      <w:r>
        <w:rPr>
          <w:spacing w:val="-97"/>
        </w:rPr>
      </w:r>
      <w:r>
        <w:rPr/>
        <w:t>账面价值。在很可能获得足够的应纳税所得额时，减记的金额予以转回。</w:t>
      </w:r>
    </w:p>
    <w:p>
      <w:pPr>
        <w:pStyle w:val="BodyText"/>
        <w:tabs>
          <w:tab w:pos="1102" w:val="left" w:leader="none"/>
        </w:tabs>
        <w:spacing w:line="307" w:lineRule="auto"/>
        <w:ind w:left="622" w:right="4101"/>
        <w:jc w:val="left"/>
      </w:pPr>
      <w:r>
        <w:rPr/>
        <w:t>⑶</w:t>
        <w:tab/>
        <w:t>所得税费用 所得税费用包括当期所得税和递延所得税。</w:t>
      </w:r>
    </w:p>
    <w:p>
      <w:pPr>
        <w:pStyle w:val="BodyText"/>
        <w:spacing w:line="307" w:lineRule="auto" w:before="17"/>
        <w:ind w:right="152" w:firstLine="479"/>
        <w:jc w:val="both"/>
      </w:pPr>
      <w:r>
        <w:rPr>
          <w:spacing w:val="2"/>
        </w:rPr>
        <w:t>除确认为其他综合收益或直接计入所有者权益的交易和事项相关的当期所得税和</w:t>
      </w:r>
      <w:r>
        <w:rPr/>
        <w:t> </w:t>
      </w:r>
      <w:r>
        <w:rPr>
          <w:spacing w:val="2"/>
        </w:rPr>
        <w:t>递延所得税计入其他综合收益或所有者权益，以及企业合并产生的递延所得税调整商</w:t>
      </w:r>
      <w:r>
        <w:rPr>
          <w:spacing w:val="-97"/>
        </w:rPr>
        <w:t> </w:t>
      </w:r>
      <w:r>
        <w:rPr>
          <w:spacing w:val="-97"/>
        </w:rPr>
      </w:r>
      <w:r>
        <w:rPr/>
        <w:t>誉的账面价值外，其余当期所得税和递延所得税费用或收益计入当期损益。</w:t>
      </w:r>
    </w:p>
    <w:p>
      <w:pPr>
        <w:pStyle w:val="BodyText"/>
        <w:tabs>
          <w:tab w:pos="1102" w:val="left" w:leader="none"/>
        </w:tabs>
        <w:spacing w:line="307" w:lineRule="auto" w:before="17"/>
        <w:ind w:left="622" w:right="156"/>
        <w:jc w:val="left"/>
      </w:pPr>
      <w:r>
        <w:rPr/>
        <w:t>⑷</w:t>
        <w:tab/>
        <w:t>所得税的抵销 </w:t>
      </w:r>
      <w:r>
        <w:rPr>
          <w:spacing w:val="2"/>
        </w:rPr>
        <w:t>当拥有以净额结算的法定权利，且意图以净额结算或取得资产、清偿负债同时进</w:t>
      </w:r>
    </w:p>
    <w:p>
      <w:pPr>
        <w:pStyle w:val="BodyText"/>
        <w:spacing w:line="304" w:lineRule="auto" w:before="19"/>
        <w:ind w:left="622" w:right="145" w:hanging="480"/>
        <w:jc w:val="left"/>
      </w:pPr>
      <w:r>
        <w:rPr/>
        <w:t>行时，本集团当期所得税资产及当期所得税负债以抵销后的净额列报。 </w:t>
      </w:r>
      <w:r>
        <w:rPr>
          <w:spacing w:val="2"/>
        </w:rPr>
        <w:t>当拥有以净额结算当期所得税资产及当期所得税负债的法定权利，且递延所得税</w:t>
      </w:r>
    </w:p>
    <w:p>
      <w:pPr>
        <w:pStyle w:val="BodyText"/>
        <w:spacing w:line="304" w:lineRule="auto"/>
        <w:ind w:right="151"/>
        <w:jc w:val="both"/>
      </w:pPr>
      <w:r>
        <w:rPr>
          <w:spacing w:val="2"/>
        </w:rPr>
        <w:t>资产及递延所得税负债是与同一税收征管部门对同一纳税主体征收的所得税相关或者</w:t>
      </w:r>
      <w:r>
        <w:rPr>
          <w:spacing w:val="-97"/>
        </w:rPr>
        <w:t> </w:t>
      </w:r>
      <w:r>
        <w:rPr>
          <w:spacing w:val="-97"/>
        </w:rPr>
      </w:r>
      <w:r>
        <w:rPr>
          <w:spacing w:val="2"/>
        </w:rPr>
        <w:t>是对不同的纳税主体相关，但在未来每一具有重要性的递延所得税资产及负债转回的</w:t>
      </w:r>
      <w:r>
        <w:rPr>
          <w:spacing w:val="-97"/>
        </w:rPr>
        <w:t> </w:t>
      </w:r>
      <w:r>
        <w:rPr>
          <w:spacing w:val="-97"/>
        </w:rPr>
      </w:r>
      <w:r>
        <w:rPr>
          <w:spacing w:val="2"/>
        </w:rPr>
        <w:t>期间内，涉及的纳税主体意图以净额结算当期所得税资产和负债或是同时取得资产、</w:t>
      </w:r>
      <w:r>
        <w:rPr>
          <w:spacing w:val="-97"/>
        </w:rPr>
        <w:t> </w:t>
      </w:r>
      <w:r>
        <w:rPr>
          <w:spacing w:val="-97"/>
        </w:rPr>
      </w:r>
      <w:r>
        <w:rPr/>
        <w:t>清偿负债时，本集团递延所得税资产及递延所得税负债以抵销后的净额列报。</w:t>
      </w:r>
    </w:p>
    <w:p>
      <w:pPr>
        <w:pStyle w:val="Heading2"/>
        <w:tabs>
          <w:tab w:pos="1402" w:val="left" w:leader="none"/>
        </w:tabs>
        <w:spacing w:line="363" w:lineRule="exact"/>
        <w:ind w:left="675" w:right="145"/>
        <w:jc w:val="left"/>
        <w:rPr>
          <w:b w:val="0"/>
          <w:bCs w:val="0"/>
        </w:rPr>
      </w:pPr>
      <w:r>
        <w:rPr>
          <w:rFonts w:ascii="Times New Roman" w:hAnsi="Times New Roman" w:cs="Times New Roman" w:eastAsia="Times New Roman" w:hint="default"/>
        </w:rPr>
        <w:t>22</w:t>
      </w:r>
      <w:r>
        <w:rPr/>
        <w:t>、</w:t>
        <w:tab/>
        <w:t>租赁</w:t>
      </w:r>
      <w:r>
        <w:rPr>
          <w:b w:val="0"/>
          <w:bCs w:val="0"/>
        </w:rPr>
      </w:r>
    </w:p>
    <w:p>
      <w:pPr>
        <w:pStyle w:val="BodyText"/>
        <w:spacing w:line="307" w:lineRule="auto" w:before="57"/>
        <w:ind w:right="156" w:firstLine="479"/>
        <w:jc w:val="both"/>
      </w:pPr>
      <w:r>
        <w:rPr>
          <w:spacing w:val="2"/>
        </w:rPr>
        <w:t>融资租赁为实质上转移了与资产所有权有关的全部风险和报酬的租赁，其所有权</w:t>
      </w:r>
      <w:r>
        <w:rPr/>
        <w:t> 最终可能转移，也可能不转移。融资租赁以外的其他租赁为经营租赁。</w:t>
      </w:r>
    </w:p>
    <w:p>
      <w:pPr>
        <w:pStyle w:val="BodyText"/>
        <w:tabs>
          <w:tab w:pos="1102" w:val="left" w:leader="none"/>
        </w:tabs>
        <w:spacing w:line="304" w:lineRule="auto" w:before="19"/>
        <w:ind w:left="622" w:right="156"/>
        <w:jc w:val="left"/>
      </w:pPr>
      <w:r>
        <w:rPr/>
        <w:t>⑴</w:t>
        <w:tab/>
        <w:t>本集团作为承租人记录经营租赁业务 </w:t>
      </w:r>
      <w:r>
        <w:rPr>
          <w:spacing w:val="2"/>
        </w:rPr>
        <w:t>经营租赁的租金支出在租赁期内的各个期间按直线法计入相关资产成本或当期损</w:t>
      </w:r>
    </w:p>
    <w:p>
      <w:pPr>
        <w:pStyle w:val="BodyText"/>
        <w:spacing w:line="240" w:lineRule="auto"/>
        <w:ind w:right="0"/>
        <w:jc w:val="both"/>
      </w:pPr>
      <w:r>
        <w:rPr/>
        <w:t>益。初始直接费用计入当期损益。或有租金于实际发生时计入当期损益。</w:t>
      </w:r>
    </w:p>
    <w:p>
      <w:pPr>
        <w:spacing w:after="0" w:line="240" w:lineRule="auto"/>
        <w:jc w:val="both"/>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pStyle w:val="BodyText"/>
        <w:tabs>
          <w:tab w:pos="1102" w:val="left" w:leader="none"/>
        </w:tabs>
        <w:spacing w:line="307" w:lineRule="auto" w:before="26"/>
        <w:ind w:left="622" w:right="236"/>
        <w:jc w:val="left"/>
      </w:pPr>
      <w:r>
        <w:rPr/>
        <w:t>⑵</w:t>
        <w:tab/>
        <w:t>本集团作为出租人记录经营租赁业务 </w:t>
      </w:r>
      <w:r>
        <w:rPr>
          <w:spacing w:val="2"/>
        </w:rPr>
        <w:t>经营租赁的租金收入在租赁期内的各个期间按直线法确认为当期损益。对金额较</w:t>
      </w:r>
    </w:p>
    <w:p>
      <w:pPr>
        <w:pStyle w:val="BodyText"/>
        <w:spacing w:line="307" w:lineRule="auto" w:before="17"/>
        <w:ind w:right="232"/>
        <w:jc w:val="both"/>
      </w:pPr>
      <w:r>
        <w:rPr>
          <w:spacing w:val="2"/>
        </w:rPr>
        <w:t>大的初始直接费用于发生时予以资本化，在整个租赁期间内按照与确认租金收入相同</w:t>
      </w:r>
      <w:r>
        <w:rPr>
          <w:spacing w:val="-97"/>
        </w:rPr>
        <w:t> </w:t>
      </w:r>
      <w:r>
        <w:rPr>
          <w:spacing w:val="-97"/>
        </w:rPr>
      </w:r>
      <w:r>
        <w:rPr>
          <w:spacing w:val="2"/>
        </w:rPr>
        <w:t>的基础分期计入当期损益；其他金额较小的初始直接费用于发生时计入当期损益。或</w:t>
      </w:r>
      <w:r>
        <w:rPr>
          <w:spacing w:val="-97"/>
        </w:rPr>
        <w:t> </w:t>
      </w:r>
      <w:r>
        <w:rPr>
          <w:spacing w:val="-97"/>
        </w:rPr>
      </w:r>
      <w:r>
        <w:rPr/>
        <w:t>有租金于实际发生时计入当期损益。</w:t>
      </w:r>
    </w:p>
    <w:p>
      <w:pPr>
        <w:pStyle w:val="BodyText"/>
        <w:tabs>
          <w:tab w:pos="1102" w:val="left" w:leader="none"/>
        </w:tabs>
        <w:spacing w:line="307" w:lineRule="auto" w:before="17"/>
        <w:ind w:left="622" w:right="236"/>
        <w:jc w:val="left"/>
      </w:pPr>
      <w:r>
        <w:rPr/>
        <w:t>⑶</w:t>
        <w:tab/>
        <w:t>本集团作为承租人记录融资租赁业务 </w:t>
      </w:r>
      <w:r>
        <w:rPr>
          <w:spacing w:val="2"/>
        </w:rPr>
        <w:t>于租赁期开始日，将租赁开始日租赁资产的公允价值与最低租赁付款额现值两者</w:t>
      </w:r>
    </w:p>
    <w:p>
      <w:pPr>
        <w:pStyle w:val="BodyText"/>
        <w:spacing w:line="304" w:lineRule="auto" w:before="19"/>
        <w:ind w:right="227"/>
        <w:jc w:val="both"/>
      </w:pPr>
      <w:r>
        <w:rPr>
          <w:spacing w:val="2"/>
        </w:rPr>
        <w:t>中较低者作为租入资产的入账价值，将最低租赁付款额作为长期应付款的入账价值，</w:t>
      </w:r>
      <w:r>
        <w:rPr>
          <w:spacing w:val="-97"/>
        </w:rPr>
        <w:t> </w:t>
      </w:r>
      <w:r>
        <w:rPr>
          <w:spacing w:val="-97"/>
        </w:rPr>
      </w:r>
      <w:r>
        <w:rPr>
          <w:spacing w:val="2"/>
        </w:rPr>
        <w:t>其差额作为未确认融资费用。此外，在租赁谈判和签订租赁合同过程中发生的，可归</w:t>
      </w:r>
      <w:r>
        <w:rPr>
          <w:spacing w:val="-93"/>
        </w:rPr>
        <w:t> </w:t>
      </w:r>
      <w:r>
        <w:rPr>
          <w:spacing w:val="-93"/>
        </w:rPr>
      </w:r>
      <w:r>
        <w:rPr>
          <w:spacing w:val="2"/>
        </w:rPr>
        <w:t>属于租赁项目的初始直接费用也计入租入资产价值。最低租赁付款额扣除未确认融资</w:t>
      </w:r>
      <w:r>
        <w:rPr>
          <w:spacing w:val="-97"/>
        </w:rPr>
        <w:t> </w:t>
      </w:r>
      <w:r>
        <w:rPr>
          <w:spacing w:val="-97"/>
        </w:rPr>
      </w:r>
      <w:r>
        <w:rPr/>
        <w:t>费用后的余额分别长期负债和一年内到期的长期负债列示。</w:t>
      </w:r>
    </w:p>
    <w:p>
      <w:pPr>
        <w:pStyle w:val="BodyText"/>
        <w:spacing w:line="307" w:lineRule="auto" w:before="19"/>
        <w:ind w:right="50" w:firstLine="479"/>
        <w:jc w:val="left"/>
      </w:pPr>
      <w:r>
        <w:rPr>
          <w:spacing w:val="2"/>
        </w:rPr>
        <w:t>未确认融资费用在租赁期内采用实际利率法计算确认当期的融资费用。或有租金</w:t>
      </w:r>
      <w:r>
        <w:rPr/>
        <w:t> 于实际发生时计入当期损益。</w:t>
      </w:r>
    </w:p>
    <w:p>
      <w:pPr>
        <w:pStyle w:val="BodyText"/>
        <w:tabs>
          <w:tab w:pos="1102" w:val="left" w:leader="none"/>
        </w:tabs>
        <w:spacing w:line="304" w:lineRule="auto" w:before="19"/>
        <w:ind w:left="622" w:right="236"/>
        <w:jc w:val="left"/>
      </w:pPr>
      <w:r>
        <w:rPr/>
        <w:t>⑷</w:t>
        <w:tab/>
        <w:t>本集团作为出租人记录融资租赁业务 </w:t>
      </w:r>
      <w:r>
        <w:rPr>
          <w:spacing w:val="2"/>
        </w:rPr>
        <w:t>于租赁期开始日，将租赁开始日最低租赁收款额与初始直接费用之和作为应收融</w:t>
      </w:r>
    </w:p>
    <w:p>
      <w:pPr>
        <w:pStyle w:val="BodyText"/>
        <w:spacing w:line="304" w:lineRule="auto"/>
        <w:ind w:right="223"/>
        <w:jc w:val="both"/>
      </w:pPr>
      <w:r>
        <w:rPr>
          <w:spacing w:val="2"/>
        </w:rPr>
        <w:t>资租赁款的入账价值，同时记录未担保余值；将最低租赁收款额、初始直接费用及未</w:t>
      </w:r>
      <w:r>
        <w:rPr>
          <w:spacing w:val="-97"/>
        </w:rPr>
        <w:t> </w:t>
      </w:r>
      <w:r>
        <w:rPr>
          <w:spacing w:val="-97"/>
        </w:rPr>
      </w:r>
      <w:r>
        <w:rPr>
          <w:spacing w:val="2"/>
        </w:rPr>
        <w:t>担保余值之和与其现值之和的差额确认为未实现融资收益。应收融资租赁款扣除未实</w:t>
      </w:r>
      <w:r>
        <w:rPr>
          <w:spacing w:val="-88"/>
        </w:rPr>
        <w:t> </w:t>
      </w:r>
      <w:r>
        <w:rPr>
          <w:spacing w:val="-88"/>
        </w:rPr>
      </w:r>
      <w:r>
        <w:rPr/>
        <w:t>现融资收益后的余额分别长期债权和一年内到期的长期债权列示。</w:t>
      </w:r>
    </w:p>
    <w:p>
      <w:pPr>
        <w:pStyle w:val="BodyText"/>
        <w:spacing w:line="307" w:lineRule="auto"/>
        <w:ind w:right="50" w:firstLine="479"/>
        <w:jc w:val="left"/>
      </w:pPr>
      <w:r>
        <w:rPr>
          <w:spacing w:val="2"/>
        </w:rPr>
        <w:t>未实现融资收益在租赁期内采用实际利率法计算确认当期的融资收入。或有租金</w:t>
      </w:r>
      <w:r>
        <w:rPr/>
        <w:t> 于实际发生时计入当期损益。</w:t>
      </w:r>
    </w:p>
    <w:p>
      <w:pPr>
        <w:pStyle w:val="Heading2"/>
        <w:tabs>
          <w:tab w:pos="1402" w:val="left" w:leader="none"/>
        </w:tabs>
        <w:spacing w:line="359" w:lineRule="exact"/>
        <w:ind w:left="675" w:right="3093"/>
        <w:jc w:val="left"/>
        <w:rPr>
          <w:b w:val="0"/>
          <w:bCs w:val="0"/>
        </w:rPr>
      </w:pPr>
      <w:r>
        <w:rPr>
          <w:rFonts w:ascii="Times New Roman" w:hAnsi="Times New Roman" w:cs="Times New Roman" w:eastAsia="Times New Roman" w:hint="default"/>
        </w:rPr>
        <w:t>23</w:t>
      </w:r>
      <w:r>
        <w:rPr/>
        <w:t>、</w:t>
        <w:tab/>
        <w:t>持有待售资产</w:t>
      </w:r>
      <w:r>
        <w:rPr>
          <w:b w:val="0"/>
          <w:bCs w:val="0"/>
        </w:rPr>
      </w:r>
    </w:p>
    <w:p>
      <w:pPr>
        <w:pStyle w:val="BodyText"/>
        <w:spacing w:line="302" w:lineRule="auto" w:before="59"/>
        <w:ind w:right="224" w:firstLine="479"/>
        <w:jc w:val="both"/>
      </w:pPr>
      <w:r>
        <w:rPr>
          <w:spacing w:val="2"/>
        </w:rPr>
        <w:t>若本集团已就处臵某项非流动资产作出决议，已经与受让方签订了不可撤销的转</w:t>
      </w:r>
      <w:r>
        <w:rPr/>
        <w:t> </w:t>
      </w:r>
      <w:r>
        <w:rPr>
          <w:spacing w:val="2"/>
        </w:rPr>
        <w:t>让协议，且该项转让很可能在一年内完成，则该非流动资产作为持有待售非流动资产</w:t>
      </w:r>
      <w:r>
        <w:rPr>
          <w:spacing w:val="-97"/>
        </w:rPr>
        <w:t> </w:t>
      </w:r>
      <w:r>
        <w:rPr>
          <w:spacing w:val="-97"/>
        </w:rPr>
      </w:r>
      <w:r>
        <w:rPr>
          <w:spacing w:val="2"/>
        </w:rPr>
        <w:t>核算，不计提折旧或进行摊销，按照账面价值与公允价值减去处臵费用后的净额孰低</w:t>
      </w:r>
      <w:r>
        <w:rPr>
          <w:spacing w:val="-97"/>
        </w:rPr>
        <w:t> </w:t>
      </w:r>
      <w:r>
        <w:rPr>
          <w:spacing w:val="-97"/>
        </w:rPr>
      </w:r>
      <w:r>
        <w:rPr>
          <w:spacing w:val="2"/>
        </w:rPr>
        <w:t>计量。持有待售的非流动资产包括单项资产和处臵组。如果处臵组是一组资产组，并</w:t>
      </w:r>
      <w:r>
        <w:rPr>
          <w:spacing w:val="-97"/>
        </w:rPr>
        <w:t> </w:t>
      </w:r>
      <w:r>
        <w:rPr>
          <w:spacing w:val="-97"/>
        </w:rPr>
      </w:r>
      <w:r>
        <w:rPr/>
        <w:t>且按照《企业会计准则第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w:t>
      </w:r>
      <w:r>
        <w:rPr/>
        <w:t>资产减值》的规定将企业合并中取得的商誉分摊至 </w:t>
      </w:r>
      <w:r>
        <w:rPr>
          <w:spacing w:val="2"/>
        </w:rPr>
        <w:t>该资产组，或者该处臵组是这种资产组中一项经营，则该处臵组包括企业合并中的商</w:t>
      </w:r>
      <w:r>
        <w:rPr>
          <w:spacing w:val="-97"/>
        </w:rPr>
        <w:t> </w:t>
      </w:r>
      <w:r>
        <w:rPr>
          <w:spacing w:val="-97"/>
        </w:rPr>
      </w:r>
      <w:r>
        <w:rPr/>
        <w:t>誉。</w:t>
      </w:r>
    </w:p>
    <w:p>
      <w:pPr>
        <w:pStyle w:val="BodyText"/>
        <w:spacing w:line="304" w:lineRule="auto" w:before="24"/>
        <w:ind w:right="50" w:firstLine="479"/>
        <w:jc w:val="left"/>
      </w:pPr>
      <w:r>
        <w:rPr>
          <w:spacing w:val="2"/>
        </w:rPr>
        <w:t>某项资产或处臵组被划归为持有待售，但后来不再满足持有待售的非流动资产的</w:t>
      </w:r>
      <w:r>
        <w:rPr/>
        <w:t> </w:t>
      </w:r>
      <w:r>
        <w:rPr>
          <w:spacing w:val="-1"/>
        </w:rPr>
        <w:t>确认条件，本集团停止将其划归为持有待售，并按照下列两项金额中较低者进行计量：</w:t>
      </w:r>
    </w:p>
    <w:p>
      <w:pPr>
        <w:pStyle w:val="BodyText"/>
        <w:spacing w:line="304" w:lineRule="auto"/>
        <w:ind w:right="223"/>
        <w:jc w:val="both"/>
      </w:pPr>
      <w:r>
        <w:rPr>
          <w:rFonts w:ascii="宋体" w:hAnsi="宋体" w:cs="宋体" w:eastAsia="宋体" w:hint="default"/>
          <w:spacing w:val="2"/>
        </w:rPr>
        <w:t>⑴</w:t>
      </w:r>
      <w:r>
        <w:rPr>
          <w:spacing w:val="2"/>
        </w:rPr>
        <w:t>该资产或处臵组被划归为持有待售之前的账面价值，按照其假定在没有被划归为持</w:t>
      </w:r>
      <w:r>
        <w:rPr>
          <w:spacing w:val="-97"/>
        </w:rPr>
        <w:t> </w:t>
      </w:r>
      <w:r>
        <w:rPr>
          <w:spacing w:val="-97"/>
        </w:rPr>
      </w:r>
      <w:r>
        <w:rPr>
          <w:spacing w:val="2"/>
        </w:rPr>
        <w:t>有待售的情况下原应确认的折旧、摊销或减值进行调整后的金额；</w:t>
      </w:r>
      <w:r>
        <w:rPr>
          <w:rFonts w:ascii="宋体" w:hAnsi="宋体" w:cs="宋体" w:eastAsia="宋体" w:hint="default"/>
          <w:spacing w:val="2"/>
        </w:rPr>
        <w:t>⑵</w:t>
      </w:r>
      <w:r>
        <w:rPr>
          <w:spacing w:val="2"/>
        </w:rPr>
        <w:t>决定不再出售之</w:t>
      </w:r>
      <w:r>
        <w:rPr>
          <w:spacing w:val="-88"/>
        </w:rPr>
        <w:t> </w:t>
      </w:r>
      <w:r>
        <w:rPr>
          <w:spacing w:val="-88"/>
        </w:rPr>
      </w:r>
      <w:r>
        <w:rPr/>
        <w:t>日的可收回金额。</w:t>
      </w:r>
    </w:p>
    <w:p>
      <w:pPr>
        <w:spacing w:after="0" w:line="304"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Heading2"/>
        <w:tabs>
          <w:tab w:pos="1402" w:val="left" w:leader="none"/>
        </w:tabs>
        <w:spacing w:line="367" w:lineRule="exact"/>
        <w:ind w:left="675" w:right="145"/>
        <w:jc w:val="left"/>
        <w:rPr>
          <w:b w:val="0"/>
          <w:bCs w:val="0"/>
        </w:rPr>
      </w:pPr>
      <w:r>
        <w:rPr>
          <w:rFonts w:ascii="Times New Roman" w:hAnsi="Times New Roman" w:cs="Times New Roman" w:eastAsia="Times New Roman" w:hint="default"/>
        </w:rPr>
        <w:t>24</w:t>
      </w:r>
      <w:r>
        <w:rPr/>
        <w:t>、</w:t>
        <w:tab/>
        <w:t>职工薪酬</w:t>
      </w:r>
      <w:r>
        <w:rPr>
          <w:b w:val="0"/>
          <w:bCs w:val="0"/>
        </w:rPr>
      </w:r>
    </w:p>
    <w:p>
      <w:pPr>
        <w:pStyle w:val="BodyText"/>
        <w:spacing w:line="304" w:lineRule="auto" w:before="60"/>
        <w:ind w:left="622" w:right="145"/>
        <w:jc w:val="left"/>
      </w:pPr>
      <w:r>
        <w:rPr/>
        <w:t>本集团在职工提供服务的会计期间，将应付的职工薪酬确认为负债。 </w:t>
      </w:r>
      <w:r>
        <w:rPr>
          <w:spacing w:val="2"/>
        </w:rPr>
        <w:t>本集团按规定参加由政府机构设立的职工社会保障体系，包括基本养老保险、医</w:t>
      </w:r>
    </w:p>
    <w:p>
      <w:pPr>
        <w:pStyle w:val="BodyText"/>
        <w:spacing w:line="307" w:lineRule="auto"/>
        <w:ind w:right="152"/>
        <w:jc w:val="both"/>
      </w:pPr>
      <w:r>
        <w:rPr>
          <w:spacing w:val="2"/>
        </w:rPr>
        <w:t>疗保险、住房公积金及其他社会保障制度，相应的支出于发生时计入相关资产成本或</w:t>
      </w:r>
      <w:r>
        <w:rPr>
          <w:spacing w:val="-97"/>
        </w:rPr>
        <w:t> </w:t>
      </w:r>
      <w:r>
        <w:rPr>
          <w:spacing w:val="-97"/>
        </w:rPr>
      </w:r>
      <w:r>
        <w:rPr/>
        <w:t>当期损益。</w:t>
      </w:r>
    </w:p>
    <w:p>
      <w:pPr>
        <w:pStyle w:val="BodyText"/>
        <w:spacing w:line="304" w:lineRule="auto" w:before="17"/>
        <w:ind w:right="152" w:firstLine="479"/>
        <w:jc w:val="both"/>
      </w:pPr>
      <w:r>
        <w:rPr>
          <w:spacing w:val="2"/>
        </w:rPr>
        <w:t>在职工劳动合同到期之前解除与职工的劳动关系，或为鼓励职工自愿接受裁减而</w:t>
      </w:r>
      <w:r>
        <w:rPr/>
        <w:t> </w:t>
      </w:r>
      <w:r>
        <w:rPr>
          <w:spacing w:val="2"/>
        </w:rPr>
        <w:t>提出给予补偿的建议，如果本集团已经制定正式的解除劳动关系计划或提出自愿裁减</w:t>
      </w:r>
      <w:r>
        <w:rPr>
          <w:spacing w:val="-97"/>
        </w:rPr>
        <w:t> </w:t>
      </w:r>
      <w:r>
        <w:rPr>
          <w:spacing w:val="-97"/>
        </w:rPr>
      </w:r>
      <w:r>
        <w:rPr>
          <w:spacing w:val="2"/>
        </w:rPr>
        <w:t>建议并即将实施，同时本集团不能单方面撤回解除劳动关系计划或裁减建议的，确认</w:t>
      </w:r>
      <w:r>
        <w:rPr>
          <w:spacing w:val="-97"/>
        </w:rPr>
        <w:t> </w:t>
      </w:r>
      <w:r>
        <w:rPr>
          <w:spacing w:val="-97"/>
        </w:rPr>
      </w:r>
      <w:r>
        <w:rPr/>
        <w:t>因解除与职工劳动关系给予补偿产生的预计负债，并计入当期损益。</w:t>
      </w:r>
    </w:p>
    <w:p>
      <w:pPr>
        <w:pStyle w:val="BodyText"/>
        <w:spacing w:line="304" w:lineRule="auto"/>
        <w:ind w:right="149" w:firstLine="479"/>
        <w:jc w:val="both"/>
      </w:pPr>
      <w:r>
        <w:rPr>
          <w:spacing w:val="2"/>
        </w:rPr>
        <w:t>职工内部退休计划采用上述辞退福利相同的原则处理。本集团将自职工停止提供</w:t>
      </w:r>
      <w:r>
        <w:rPr/>
        <w:t> </w:t>
      </w:r>
      <w:r>
        <w:rPr>
          <w:spacing w:val="2"/>
        </w:rPr>
        <w:t>服务日至正常退休日的期间拟支付的内退人员工资和缴纳的社会保险费等，在符合预</w:t>
      </w:r>
      <w:r>
        <w:rPr>
          <w:spacing w:val="-94"/>
        </w:rPr>
        <w:t> </w:t>
      </w:r>
      <w:r>
        <w:rPr>
          <w:spacing w:val="-94"/>
        </w:rPr>
      </w:r>
      <w:r>
        <w:rPr>
          <w:spacing w:val="-6"/>
        </w:rPr>
        <w:t>计负债确认条件时，计入当期损益（辞退福利）。</w:t>
      </w:r>
    </w:p>
    <w:p>
      <w:pPr>
        <w:tabs>
          <w:tab w:pos="1402" w:val="left" w:leader="none"/>
        </w:tabs>
        <w:spacing w:line="273" w:lineRule="auto" w:before="92"/>
        <w:ind w:left="622" w:right="981" w:firstLine="5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25</w:t>
      </w:r>
      <w:r>
        <w:rPr>
          <w:rFonts w:ascii="Microsoft JhengHei" w:hAnsi="Microsoft JhengHei" w:cs="Microsoft JhengHei" w:eastAsia="Microsoft JhengHei" w:hint="default"/>
          <w:b/>
          <w:bCs/>
          <w:sz w:val="24"/>
          <w:szCs w:val="24"/>
        </w:rPr>
        <w:t>、</w:t>
        <w:tab/>
        <w:t>其他主要会计政策、会计估计和财务报表编制方法 </w:t>
      </w:r>
      <w:r>
        <w:rPr>
          <w:rFonts w:ascii="宋体" w:hAnsi="宋体" w:cs="宋体" w:eastAsia="宋体" w:hint="default"/>
          <w:sz w:val="24"/>
          <w:szCs w:val="24"/>
        </w:rPr>
        <w:t>本公司无需要披露的其他主要会计政策、会计估计和财务报表编制方法。</w:t>
      </w:r>
    </w:p>
    <w:p>
      <w:pPr>
        <w:tabs>
          <w:tab w:pos="1402" w:val="left" w:leader="none"/>
        </w:tabs>
        <w:spacing w:line="273" w:lineRule="auto" w:before="123"/>
        <w:ind w:left="622" w:right="3621" w:firstLine="5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r>
      <w:r>
        <w:rPr>
          <w:rFonts w:ascii="Microsoft JhengHei" w:hAnsi="Microsoft JhengHei" w:cs="Microsoft JhengHei" w:eastAsia="Microsoft JhengHei" w:hint="default"/>
          <w:b/>
          <w:bCs/>
          <w:sz w:val="24"/>
          <w:szCs w:val="24"/>
        </w:rPr>
        <w:t>、</w:t>
        <w:tab/>
        <w:t>主要会计政策、会计估计的变更 </w:t>
      </w:r>
      <w:r>
        <w:rPr>
          <w:rFonts w:ascii="宋体" w:hAnsi="宋体" w:cs="宋体" w:eastAsia="宋体" w:hint="default"/>
          <w:sz w:val="24"/>
          <w:szCs w:val="24"/>
        </w:rPr>
        <w:t>本公司无需要披露的会计政策、会计估计变更。</w:t>
      </w:r>
    </w:p>
    <w:p>
      <w:pPr>
        <w:tabs>
          <w:tab w:pos="1402" w:val="left" w:leader="none"/>
        </w:tabs>
        <w:spacing w:line="273" w:lineRule="auto" w:before="123"/>
        <w:ind w:left="625" w:right="4339" w:firstLine="5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r>
      <w:r>
        <w:rPr>
          <w:rFonts w:ascii="Microsoft JhengHei" w:hAnsi="Microsoft JhengHei" w:cs="Microsoft JhengHei" w:eastAsia="Microsoft JhengHei" w:hint="default"/>
          <w:b/>
          <w:bCs/>
          <w:sz w:val="24"/>
          <w:szCs w:val="24"/>
        </w:rPr>
        <w:t>、</w:t>
        <w:tab/>
        <w:t>前期会计差错更正 </w:t>
      </w:r>
      <w:r>
        <w:rPr>
          <w:rFonts w:ascii="宋体" w:hAnsi="宋体" w:cs="宋体" w:eastAsia="宋体" w:hint="default"/>
          <w:sz w:val="24"/>
          <w:szCs w:val="24"/>
        </w:rPr>
        <w:t>本公司无需要披露的前期会计差错更正。</w:t>
      </w:r>
    </w:p>
    <w:p>
      <w:pPr>
        <w:tabs>
          <w:tab w:pos="1402" w:val="left" w:leader="none"/>
        </w:tabs>
        <w:spacing w:line="273" w:lineRule="auto" w:before="120"/>
        <w:ind w:left="622" w:right="156" w:firstLine="5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28</w:t>
      </w:r>
      <w:r>
        <w:rPr>
          <w:rFonts w:ascii="Microsoft JhengHei" w:hAnsi="Microsoft JhengHei" w:cs="Microsoft JhengHei" w:eastAsia="Microsoft JhengHei" w:hint="default"/>
          <w:b/>
          <w:bCs/>
          <w:sz w:val="24"/>
          <w:szCs w:val="24"/>
        </w:rPr>
        <w:t>、</w:t>
        <w:tab/>
        <w:t>重大会计判断和估计 </w:t>
      </w:r>
      <w:r>
        <w:rPr>
          <w:rFonts w:ascii="宋体" w:hAnsi="宋体" w:cs="宋体" w:eastAsia="宋体" w:hint="default"/>
          <w:spacing w:val="2"/>
          <w:sz w:val="24"/>
          <w:szCs w:val="24"/>
        </w:rPr>
        <w:t>本集团在运用会计政策过程中，由于经营活动内在的不确定性，本集团需要对无</w:t>
      </w:r>
    </w:p>
    <w:p>
      <w:pPr>
        <w:pStyle w:val="BodyText"/>
        <w:spacing w:line="304" w:lineRule="auto" w:before="53"/>
        <w:ind w:right="151"/>
        <w:jc w:val="both"/>
      </w:pPr>
      <w:r>
        <w:rPr>
          <w:spacing w:val="2"/>
        </w:rPr>
        <w:t>法准确计量的报表项目的账面价值进行判断、估计和假设。这些判断、估计和假设是</w:t>
      </w:r>
      <w:r>
        <w:rPr>
          <w:spacing w:val="-97"/>
        </w:rPr>
        <w:t> </w:t>
      </w:r>
      <w:r>
        <w:rPr>
          <w:spacing w:val="-97"/>
        </w:rPr>
      </w:r>
      <w:r>
        <w:rPr>
          <w:spacing w:val="2"/>
        </w:rPr>
        <w:t>基于本集团管理层过去的历史经验，并在考虑其他相关因素的基础上做出的。这些判</w:t>
      </w:r>
      <w:r>
        <w:rPr>
          <w:spacing w:val="-97"/>
        </w:rPr>
        <w:t> </w:t>
      </w:r>
      <w:r>
        <w:rPr>
          <w:spacing w:val="-97"/>
        </w:rPr>
      </w:r>
      <w:r>
        <w:rPr>
          <w:spacing w:val="2"/>
        </w:rPr>
        <w:t>断、估计和假设会影响收入、费用、资产和负债的报告金额以及资产负债表日或有负</w:t>
      </w:r>
      <w:r>
        <w:rPr>
          <w:spacing w:val="-97"/>
        </w:rPr>
        <w:t> </w:t>
      </w:r>
      <w:r>
        <w:rPr>
          <w:spacing w:val="-97"/>
        </w:rPr>
      </w:r>
      <w:r>
        <w:rPr>
          <w:spacing w:val="2"/>
        </w:rPr>
        <w:t>债的披露。然而，这些估计的不确定性所导致的结果可能造成对未来受影响的资产或</w:t>
      </w:r>
      <w:r>
        <w:rPr>
          <w:spacing w:val="-97"/>
        </w:rPr>
        <w:t> </w:t>
      </w:r>
      <w:r>
        <w:rPr>
          <w:spacing w:val="-97"/>
        </w:rPr>
      </w:r>
      <w:r>
        <w:rPr/>
        <w:t>负债的账面金额进行重大调整。</w:t>
      </w:r>
    </w:p>
    <w:p>
      <w:pPr>
        <w:pStyle w:val="BodyText"/>
        <w:spacing w:line="307" w:lineRule="auto" w:before="19"/>
        <w:ind w:right="152" w:firstLine="479"/>
        <w:jc w:val="both"/>
      </w:pPr>
      <w:r>
        <w:rPr>
          <w:spacing w:val="2"/>
        </w:rPr>
        <w:t>本集团对前述判断、估计和假设在持续经营的基础上进行定期复核，会计估计的</w:t>
      </w:r>
      <w:r>
        <w:rPr/>
        <w:t> </w:t>
      </w:r>
      <w:r>
        <w:rPr>
          <w:spacing w:val="2"/>
        </w:rPr>
        <w:t>变更仅影响变更当期的，其影响数在变更当期予以确认；既影响变更当期又影响未来</w:t>
      </w:r>
      <w:r>
        <w:rPr>
          <w:spacing w:val="-97"/>
        </w:rPr>
        <w:t> </w:t>
      </w:r>
      <w:r>
        <w:rPr>
          <w:spacing w:val="-97"/>
        </w:rPr>
      </w:r>
      <w:r>
        <w:rPr/>
        <w:t>期间的，其影响数在变更当期和未来期间予以确认。</w:t>
      </w:r>
    </w:p>
    <w:p>
      <w:pPr>
        <w:pStyle w:val="BodyText"/>
        <w:spacing w:line="307" w:lineRule="auto" w:before="17"/>
        <w:ind w:right="156" w:firstLine="479"/>
        <w:jc w:val="both"/>
      </w:pPr>
      <w:r>
        <w:rPr>
          <w:spacing w:val="2"/>
        </w:rPr>
        <w:t>于资产负债表日，本集团需对财务报表项目金额进行判断、估计和假设的重要领</w:t>
      </w:r>
      <w:r>
        <w:rPr/>
        <w:t> 域如下：</w:t>
      </w:r>
    </w:p>
    <w:p>
      <w:pPr>
        <w:pStyle w:val="BodyText"/>
        <w:tabs>
          <w:tab w:pos="1102" w:val="left" w:leader="none"/>
        </w:tabs>
        <w:spacing w:line="304" w:lineRule="auto" w:before="19"/>
        <w:ind w:left="622" w:right="156"/>
        <w:jc w:val="left"/>
      </w:pPr>
      <w:r>
        <w:rPr/>
        <w:t>⑴</w:t>
        <w:tab/>
        <w:t>坏账准备计提 </w:t>
      </w:r>
      <w:r>
        <w:rPr>
          <w:spacing w:val="2"/>
        </w:rPr>
        <w:t>本集团根据应收款项的会计政策，采用备抵法核算坏账损失。应收账款减值是基</w:t>
      </w:r>
    </w:p>
    <w:p>
      <w:pPr>
        <w:pStyle w:val="BodyText"/>
        <w:spacing w:line="240" w:lineRule="auto"/>
        <w:ind w:right="0"/>
        <w:jc w:val="both"/>
      </w:pPr>
      <w:r>
        <w:rPr>
          <w:spacing w:val="2"/>
        </w:rPr>
        <w:t>于评估应收账款的可收回性。鉴定应收账款减值要求管理层的判断和估计。实际的结</w:t>
      </w:r>
    </w:p>
    <w:p>
      <w:pPr>
        <w:spacing w:after="0" w:line="240" w:lineRule="auto"/>
        <w:jc w:val="both"/>
        <w:sectPr>
          <w:pgSz w:w="11910" w:h="16840"/>
          <w:pgMar w:header="840" w:footer="1239" w:top="1160" w:bottom="1420" w:left="1480" w:right="1140"/>
        </w:sectPr>
      </w:pPr>
    </w:p>
    <w:p>
      <w:pPr>
        <w:spacing w:line="240" w:lineRule="auto" w:before="12"/>
        <w:rPr>
          <w:rFonts w:ascii="宋体" w:hAnsi="宋体" w:cs="宋体" w:eastAsia="宋体" w:hint="default"/>
          <w:sz w:val="21"/>
          <w:szCs w:val="21"/>
        </w:rPr>
      </w:pPr>
    </w:p>
    <w:p>
      <w:pPr>
        <w:pStyle w:val="BodyText"/>
        <w:spacing w:line="307" w:lineRule="auto" w:before="26"/>
        <w:ind w:right="152"/>
        <w:jc w:val="both"/>
      </w:pPr>
      <w:r>
        <w:rPr>
          <w:spacing w:val="2"/>
        </w:rPr>
        <w:t>果与原先估计的差异将在估计被改变的期间影响应收账款的账面价值及应收账款坏账</w:t>
      </w:r>
      <w:r>
        <w:rPr>
          <w:spacing w:val="-97"/>
        </w:rPr>
        <w:t> </w:t>
      </w:r>
      <w:r>
        <w:rPr>
          <w:spacing w:val="-97"/>
        </w:rPr>
      </w:r>
      <w:r>
        <w:rPr/>
        <w:t>准备的计提或转回。</w:t>
      </w:r>
    </w:p>
    <w:p>
      <w:pPr>
        <w:pStyle w:val="BodyText"/>
        <w:tabs>
          <w:tab w:pos="1102" w:val="left" w:leader="none"/>
        </w:tabs>
        <w:spacing w:line="307" w:lineRule="auto" w:before="17"/>
        <w:ind w:left="622" w:right="156"/>
        <w:jc w:val="left"/>
      </w:pPr>
      <w:r>
        <w:rPr/>
        <w:t>⑵</w:t>
        <w:tab/>
        <w:t>存货跌价准备 </w:t>
      </w:r>
      <w:r>
        <w:rPr>
          <w:spacing w:val="2"/>
        </w:rPr>
        <w:t>本集团根据存货会计政策，按照成本与可变现净值孰低计量，对成本高于可变现</w:t>
      </w:r>
    </w:p>
    <w:p>
      <w:pPr>
        <w:pStyle w:val="BodyText"/>
        <w:spacing w:line="304" w:lineRule="auto" w:before="19"/>
        <w:ind w:right="149"/>
        <w:jc w:val="both"/>
      </w:pPr>
      <w:r>
        <w:rPr>
          <w:spacing w:val="2"/>
        </w:rPr>
        <w:t>净值及陈旧和滞销的存货，计提存货跌价准备。存货减值至可变现净值是基于评估存</w:t>
      </w:r>
      <w:r>
        <w:rPr>
          <w:spacing w:val="-97"/>
        </w:rPr>
        <w:t> </w:t>
      </w:r>
      <w:r>
        <w:rPr>
          <w:spacing w:val="-97"/>
        </w:rPr>
      </w:r>
      <w:r>
        <w:rPr>
          <w:spacing w:val="2"/>
        </w:rPr>
        <w:t>货的可售性及其可变现净值。鉴定存货减值要求管理层在取得确凿证据，并且考虑持</w:t>
      </w:r>
      <w:r>
        <w:rPr>
          <w:spacing w:val="-97"/>
        </w:rPr>
        <w:t> </w:t>
      </w:r>
      <w:r>
        <w:rPr>
          <w:spacing w:val="-97"/>
        </w:rPr>
      </w:r>
      <w:r>
        <w:rPr>
          <w:spacing w:val="2"/>
        </w:rPr>
        <w:t>有存货的目的、资产负债表日后事项的影响等因素的基础上作出判断和估计。实际的</w:t>
      </w:r>
      <w:r>
        <w:rPr>
          <w:spacing w:val="-94"/>
        </w:rPr>
        <w:t> </w:t>
      </w:r>
      <w:r>
        <w:rPr>
          <w:spacing w:val="-94"/>
        </w:rPr>
      </w:r>
      <w:r>
        <w:rPr>
          <w:spacing w:val="2"/>
        </w:rPr>
        <w:t>结果与原先估计的差异将在估计被改变的期间影响存货的账面价值及存货跌价准备的</w:t>
      </w:r>
      <w:r>
        <w:rPr>
          <w:spacing w:val="-97"/>
        </w:rPr>
        <w:t> </w:t>
      </w:r>
      <w:r>
        <w:rPr>
          <w:spacing w:val="-97"/>
        </w:rPr>
      </w:r>
      <w:r>
        <w:rPr/>
        <w:t>计提或转回。</w:t>
      </w:r>
    </w:p>
    <w:p>
      <w:pPr>
        <w:pStyle w:val="BodyText"/>
        <w:tabs>
          <w:tab w:pos="1102" w:val="left" w:leader="none"/>
        </w:tabs>
        <w:spacing w:line="307" w:lineRule="auto"/>
        <w:ind w:left="622" w:right="156"/>
        <w:jc w:val="left"/>
      </w:pPr>
      <w:r>
        <w:rPr/>
        <w:t>⑶</w:t>
        <w:tab/>
        <w:t>非金融非流动资产减值准备 </w:t>
      </w:r>
      <w:r>
        <w:rPr>
          <w:spacing w:val="2"/>
        </w:rPr>
        <w:t>本集团于资产负债表日对除金融资产之外的非流动资产判断是否存在可能发生减</w:t>
      </w:r>
    </w:p>
    <w:p>
      <w:pPr>
        <w:pStyle w:val="BodyText"/>
        <w:spacing w:line="307" w:lineRule="auto" w:before="17"/>
        <w:ind w:right="152"/>
        <w:jc w:val="both"/>
      </w:pPr>
      <w:r>
        <w:rPr>
          <w:spacing w:val="2"/>
        </w:rPr>
        <w:t>值的迹象。对使用寿命不确定的无形资产，除每年进行的减值测试外，当其存在减值</w:t>
      </w:r>
      <w:r>
        <w:rPr>
          <w:spacing w:val="-97"/>
        </w:rPr>
        <w:t> </w:t>
      </w:r>
      <w:r>
        <w:rPr>
          <w:spacing w:val="-97"/>
        </w:rPr>
      </w:r>
      <w:r>
        <w:rPr>
          <w:spacing w:val="2"/>
        </w:rPr>
        <w:t>迹象时，也进行减值测试。其他除金融资产之外的非流动资产，当存在迹象表明其账</w:t>
      </w:r>
      <w:r>
        <w:rPr>
          <w:spacing w:val="-97"/>
        </w:rPr>
        <w:t> </w:t>
      </w:r>
      <w:r>
        <w:rPr>
          <w:spacing w:val="-97"/>
        </w:rPr>
      </w:r>
      <w:r>
        <w:rPr/>
        <w:t>面金额不可收回时，进行减值测试。</w:t>
      </w:r>
    </w:p>
    <w:p>
      <w:pPr>
        <w:pStyle w:val="BodyText"/>
        <w:spacing w:line="307" w:lineRule="auto" w:before="17"/>
        <w:ind w:right="156" w:firstLine="479"/>
        <w:jc w:val="both"/>
      </w:pPr>
      <w:r>
        <w:rPr>
          <w:spacing w:val="2"/>
        </w:rPr>
        <w:t>当资产或资产组的账面价值高于可收回金额，即公允价值减去处臵费用后的净额</w:t>
      </w:r>
      <w:r>
        <w:rPr/>
        <w:t> 和预计未来现金流量的现值中的较高者，表明发生了减值。</w:t>
      </w:r>
    </w:p>
    <w:p>
      <w:pPr>
        <w:pStyle w:val="BodyText"/>
        <w:spacing w:line="304" w:lineRule="auto" w:before="19"/>
        <w:ind w:right="156" w:firstLine="479"/>
        <w:jc w:val="both"/>
      </w:pPr>
      <w:r>
        <w:rPr>
          <w:spacing w:val="2"/>
        </w:rPr>
        <w:t>公允价值减去处臵费用后的净额，参考公平交易中类似资产的销售协议价格或可</w:t>
      </w:r>
      <w:r>
        <w:rPr/>
        <w:t> 观察到的市场价格，减去可直接归属于该资产处臵的增量成本确定。</w:t>
      </w:r>
    </w:p>
    <w:p>
      <w:pPr>
        <w:pStyle w:val="BodyText"/>
        <w:spacing w:line="304" w:lineRule="auto"/>
        <w:ind w:right="152" w:firstLine="479"/>
        <w:jc w:val="both"/>
      </w:pPr>
      <w:r>
        <w:rPr>
          <w:spacing w:val="2"/>
        </w:rPr>
        <w:t>在预计未来现金流量现值时，需要对该资产（或资产组）的产量、售价、相关经</w:t>
      </w:r>
      <w:r>
        <w:rPr/>
        <w:t> </w:t>
      </w:r>
      <w:r>
        <w:rPr>
          <w:spacing w:val="2"/>
        </w:rPr>
        <w:t>营成本以及计算现值时使用的折现率等作出重大判断。本集团在估计可收回金额时会</w:t>
      </w:r>
      <w:r>
        <w:rPr>
          <w:spacing w:val="-97"/>
        </w:rPr>
        <w:t> </w:t>
      </w:r>
      <w:r>
        <w:rPr>
          <w:spacing w:val="-97"/>
        </w:rPr>
      </w:r>
      <w:r>
        <w:rPr>
          <w:spacing w:val="2"/>
        </w:rPr>
        <w:t>采用所有能够获得的相关资料，包括根据合理和可支持的假设所作出有关产量、售价</w:t>
      </w:r>
      <w:r>
        <w:rPr>
          <w:spacing w:val="-97"/>
        </w:rPr>
        <w:t> </w:t>
      </w:r>
      <w:r>
        <w:rPr>
          <w:spacing w:val="-97"/>
        </w:rPr>
      </w:r>
      <w:r>
        <w:rPr/>
        <w:t>和相关经营成本的预测。</w:t>
      </w:r>
    </w:p>
    <w:p>
      <w:pPr>
        <w:pStyle w:val="BodyText"/>
        <w:tabs>
          <w:tab w:pos="1102" w:val="left" w:leader="none"/>
        </w:tabs>
        <w:spacing w:line="304" w:lineRule="auto"/>
        <w:ind w:left="622" w:right="156"/>
        <w:jc w:val="left"/>
      </w:pPr>
      <w:r>
        <w:rPr/>
        <w:t>⑷</w:t>
        <w:tab/>
        <w:t>折旧和摊销 </w:t>
      </w:r>
      <w:r>
        <w:rPr>
          <w:spacing w:val="2"/>
        </w:rPr>
        <w:t>本集团对投资性房地产、固定资产和无形资产在考虑其残值后，在使用寿命内按</w:t>
      </w:r>
    </w:p>
    <w:p>
      <w:pPr>
        <w:pStyle w:val="BodyText"/>
        <w:spacing w:line="304" w:lineRule="auto"/>
        <w:ind w:right="149"/>
        <w:jc w:val="both"/>
      </w:pPr>
      <w:r>
        <w:rPr>
          <w:spacing w:val="2"/>
        </w:rPr>
        <w:t>直线法计提折旧和摊销。本集团定期复核使用寿命，以决定将计入每个报告期的折旧</w:t>
      </w:r>
      <w:r>
        <w:rPr>
          <w:spacing w:val="-94"/>
        </w:rPr>
        <w:t> </w:t>
      </w:r>
      <w:r>
        <w:rPr>
          <w:spacing w:val="-94"/>
        </w:rPr>
      </w:r>
      <w:r>
        <w:rPr>
          <w:spacing w:val="2"/>
        </w:rPr>
        <w:t>和摊销费用数额。使用寿命是本集团根据对同类资产的已往经验并结合预期的技术更</w:t>
      </w:r>
      <w:r>
        <w:rPr>
          <w:spacing w:val="-97"/>
        </w:rPr>
        <w:t> </w:t>
      </w:r>
      <w:r>
        <w:rPr>
          <w:spacing w:val="-97"/>
        </w:rPr>
      </w:r>
      <w:r>
        <w:rPr>
          <w:spacing w:val="2"/>
        </w:rPr>
        <w:t>新而确定的。如果以前的估计发生重大变化，则会在未来期间对折旧和摊销费用进行</w:t>
      </w:r>
      <w:r>
        <w:rPr>
          <w:spacing w:val="-97"/>
        </w:rPr>
        <w:t> </w:t>
      </w:r>
      <w:r>
        <w:rPr>
          <w:spacing w:val="-97"/>
        </w:rPr>
      </w:r>
      <w:r>
        <w:rPr/>
        <w:t>调整。</w:t>
      </w:r>
    </w:p>
    <w:p>
      <w:pPr>
        <w:pStyle w:val="BodyText"/>
        <w:tabs>
          <w:tab w:pos="1102" w:val="left" w:leader="none"/>
        </w:tabs>
        <w:spacing w:line="304" w:lineRule="auto"/>
        <w:ind w:left="622" w:right="156"/>
        <w:jc w:val="left"/>
      </w:pPr>
      <w:r>
        <w:rPr/>
        <w:t>⑸</w:t>
        <w:tab/>
        <w:t>开发支出 </w:t>
      </w:r>
      <w:r>
        <w:rPr>
          <w:spacing w:val="2"/>
        </w:rPr>
        <w:t>确定资本化的金额时，本集团管理层需要作出有关资产的预计未来现金流量、适</w:t>
      </w:r>
    </w:p>
    <w:p>
      <w:pPr>
        <w:pStyle w:val="BodyText"/>
        <w:spacing w:line="240" w:lineRule="auto"/>
        <w:ind w:right="0"/>
        <w:jc w:val="both"/>
      </w:pPr>
      <w:r>
        <w:rPr/>
        <w:t>用的折现率以及预计受益期间的假设。</w:t>
      </w:r>
    </w:p>
    <w:p>
      <w:pPr>
        <w:pStyle w:val="BodyText"/>
        <w:tabs>
          <w:tab w:pos="1102" w:val="left" w:leader="none"/>
        </w:tabs>
        <w:spacing w:line="304" w:lineRule="auto" w:before="86"/>
        <w:ind w:left="622" w:right="156"/>
        <w:jc w:val="left"/>
      </w:pPr>
      <w:r>
        <w:rPr/>
        <w:t>⑹</w:t>
        <w:tab/>
        <w:t>递延所得税资产 </w:t>
      </w:r>
      <w:r>
        <w:rPr>
          <w:spacing w:val="2"/>
        </w:rPr>
        <w:t>在很有可能有足够的应纳税利润来抵扣亏损的限度内，本集团就所有未利用的税</w:t>
      </w:r>
    </w:p>
    <w:p>
      <w:pPr>
        <w:pStyle w:val="BodyText"/>
        <w:spacing w:line="240" w:lineRule="auto"/>
        <w:ind w:right="0"/>
        <w:jc w:val="both"/>
      </w:pPr>
      <w:r>
        <w:rPr>
          <w:spacing w:val="2"/>
        </w:rPr>
        <w:t>务亏损确认递延所得税资产。这需要本集团管理层运用大量的判断来估计未来应纳税</w:t>
      </w:r>
    </w:p>
    <w:p>
      <w:pPr>
        <w:spacing w:after="0" w:line="240" w:lineRule="auto"/>
        <w:jc w:val="both"/>
        <w:sectPr>
          <w:footerReference w:type="default" r:id="rId32"/>
          <w:pgSz w:w="11910" w:h="16840"/>
          <w:pgMar w:footer="1239" w:header="840" w:top="1160" w:bottom="1420" w:left="1480" w:right="1140"/>
          <w:pgNumType w:start="76"/>
        </w:sectPr>
      </w:pPr>
    </w:p>
    <w:p>
      <w:pPr>
        <w:spacing w:line="240" w:lineRule="auto" w:before="12"/>
        <w:rPr>
          <w:rFonts w:ascii="宋体" w:hAnsi="宋体" w:cs="宋体" w:eastAsia="宋体" w:hint="default"/>
          <w:sz w:val="21"/>
          <w:szCs w:val="21"/>
        </w:rPr>
      </w:pPr>
    </w:p>
    <w:p>
      <w:pPr>
        <w:pStyle w:val="BodyText"/>
        <w:spacing w:line="240" w:lineRule="auto" w:before="26"/>
        <w:ind w:right="0"/>
        <w:jc w:val="both"/>
      </w:pPr>
      <w:r>
        <w:rPr/>
        <w:t>利润发生的时间和金额，结合纳税筹划策略，以决定应确认的递延所得税资产的金额。</w:t>
      </w:r>
    </w:p>
    <w:p>
      <w:pPr>
        <w:pStyle w:val="BodyText"/>
        <w:tabs>
          <w:tab w:pos="1102" w:val="left" w:leader="none"/>
        </w:tabs>
        <w:spacing w:line="304" w:lineRule="auto" w:before="87"/>
        <w:ind w:left="622" w:right="236"/>
        <w:jc w:val="left"/>
      </w:pPr>
      <w:r>
        <w:rPr/>
        <w:t>⑺</w:t>
        <w:tab/>
        <w:t>所得税 </w:t>
      </w:r>
      <w:r>
        <w:rPr>
          <w:spacing w:val="2"/>
        </w:rPr>
        <w:t>本集团在正常的经营活动中，有部分交易其最终的税务处理和计算存在一定的不</w:t>
      </w:r>
    </w:p>
    <w:p>
      <w:pPr>
        <w:pStyle w:val="BodyText"/>
        <w:spacing w:line="304" w:lineRule="auto"/>
        <w:ind w:right="232"/>
        <w:jc w:val="both"/>
      </w:pPr>
      <w:r>
        <w:rPr>
          <w:spacing w:val="2"/>
        </w:rPr>
        <w:t>确定性。部分项目是否能够在税前列支需要税收主管机关的审批。如果这些税务事项</w:t>
      </w:r>
      <w:r>
        <w:rPr>
          <w:spacing w:val="-97"/>
        </w:rPr>
        <w:t> </w:t>
      </w:r>
      <w:r>
        <w:rPr>
          <w:spacing w:val="-97"/>
        </w:rPr>
      </w:r>
      <w:r>
        <w:rPr>
          <w:spacing w:val="2"/>
        </w:rPr>
        <w:t>的最终认定结果同最初估计的金额存在差异，则该差异将对其最终认定期间的当期所</w:t>
      </w:r>
      <w:r>
        <w:rPr>
          <w:spacing w:val="-97"/>
        </w:rPr>
        <w:t> </w:t>
      </w:r>
      <w:r>
        <w:rPr>
          <w:spacing w:val="-97"/>
        </w:rPr>
      </w:r>
      <w:r>
        <w:rPr/>
        <w:t>得税和递延所得税产生影响。</w:t>
      </w:r>
    </w:p>
    <w:p>
      <w:pPr>
        <w:spacing w:line="240" w:lineRule="auto" w:before="2"/>
        <w:rPr>
          <w:rFonts w:ascii="宋体" w:hAnsi="宋体" w:cs="宋体" w:eastAsia="宋体" w:hint="default"/>
          <w:sz w:val="19"/>
          <w:szCs w:val="19"/>
        </w:rPr>
      </w:pPr>
    </w:p>
    <w:p>
      <w:pPr>
        <w:pStyle w:val="Heading2"/>
        <w:spacing w:line="240" w:lineRule="auto"/>
        <w:ind w:left="622" w:right="3093"/>
        <w:jc w:val="left"/>
        <w:rPr>
          <w:b w:val="0"/>
          <w:bCs w:val="0"/>
        </w:rPr>
      </w:pPr>
      <w:r>
        <w:rPr/>
        <w:t>五、</w:t>
      </w:r>
      <w:r>
        <w:rPr>
          <w:spacing w:val="-26"/>
        </w:rPr>
        <w:t> </w:t>
      </w:r>
      <w:r>
        <w:rPr/>
        <w:t>税项</w:t>
      </w:r>
      <w:r>
        <w:rPr>
          <w:b w:val="0"/>
          <w:bCs w:val="0"/>
        </w:rPr>
      </w:r>
    </w:p>
    <w:p>
      <w:pPr>
        <w:pStyle w:val="Heading2"/>
        <w:spacing w:line="240" w:lineRule="auto" w:before="168"/>
        <w:ind w:left="622" w:right="3093"/>
        <w:jc w:val="left"/>
        <w:rPr>
          <w:b w:val="0"/>
          <w:bCs w:val="0"/>
        </w:rPr>
      </w:pPr>
      <w:r>
        <w:rPr>
          <w:rFonts w:ascii="Times New Roman" w:hAnsi="Times New Roman" w:cs="Times New Roman" w:eastAsia="Times New Roman" w:hint="default"/>
        </w:rPr>
        <w:t>1</w:t>
      </w:r>
      <w:r>
        <w:rPr/>
        <w:t>、</w:t>
      </w:r>
      <w:r>
        <w:rPr>
          <w:spacing w:val="5"/>
        </w:rPr>
        <w:t> </w:t>
      </w:r>
      <w:r>
        <w:rPr/>
        <w:t>主要税种及税率</w:t>
      </w:r>
      <w:r>
        <w:rPr>
          <w:b w:val="0"/>
          <w:bCs w:val="0"/>
        </w:rPr>
      </w:r>
    </w:p>
    <w:p>
      <w:pPr>
        <w:spacing w:line="240" w:lineRule="auto" w:before="15"/>
        <w:rPr>
          <w:rFonts w:ascii="Microsoft JhengHei" w:hAnsi="Microsoft JhengHei" w:cs="Microsoft JhengHei" w:eastAsia="Microsoft JhengHei" w:hint="default"/>
          <w:b/>
          <w:bCs/>
          <w:sz w:val="3"/>
          <w:szCs w:val="3"/>
        </w:rPr>
      </w:pPr>
    </w:p>
    <w:tbl>
      <w:tblPr>
        <w:tblW w:w="0" w:type="auto"/>
        <w:jc w:val="left"/>
        <w:tblInd w:w="159" w:type="dxa"/>
        <w:tblLayout w:type="fixed"/>
        <w:tblCellMar>
          <w:top w:w="0" w:type="dxa"/>
          <w:left w:w="0" w:type="dxa"/>
          <w:bottom w:w="0" w:type="dxa"/>
          <w:right w:w="0" w:type="dxa"/>
        </w:tblCellMar>
        <w:tblLook w:val="01E0"/>
      </w:tblPr>
      <w:tblGrid>
        <w:gridCol w:w="2979"/>
        <w:gridCol w:w="235"/>
        <w:gridCol w:w="5751"/>
      </w:tblGrid>
      <w:tr>
        <w:trPr>
          <w:trHeight w:val="297" w:hRule="exact"/>
        </w:trPr>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税种</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4"/>
                <w:szCs w:val="24"/>
              </w:rPr>
            </w:pPr>
            <w:r>
              <w:rPr>
                <w:rFonts w:ascii="宋体" w:hAnsi="宋体" w:cs="宋体" w:eastAsia="宋体" w:hint="default"/>
                <w:sz w:val="24"/>
                <w:szCs w:val="24"/>
              </w:rPr>
              <w:t>具体税率情况</w:t>
            </w:r>
          </w:p>
        </w:tc>
      </w:tr>
      <w:tr>
        <w:trPr>
          <w:trHeight w:val="655"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single" w:sz="4"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应税收入按</w:t>
            </w:r>
            <w:r>
              <w:rPr>
                <w:rFonts w:ascii="宋体" w:hAnsi="宋体" w:cs="宋体" w:eastAsia="宋体" w:hint="default"/>
                <w:sz w:val="24"/>
                <w:szCs w:val="24"/>
              </w:rPr>
              <w:t>17%</w:t>
            </w:r>
            <w:r>
              <w:rPr>
                <w:rFonts w:ascii="宋体" w:hAnsi="宋体" w:cs="宋体" w:eastAsia="宋体" w:hint="default"/>
                <w:sz w:val="24"/>
                <w:szCs w:val="24"/>
              </w:rPr>
              <w:t>的税率计算销项税</w:t>
            </w:r>
            <w:r>
              <w:rPr>
                <w:rFonts w:ascii="宋体" w:hAnsi="宋体" w:cs="宋体" w:eastAsia="宋体" w:hint="default"/>
                <w:spacing w:val="-108"/>
                <w:sz w:val="24"/>
                <w:szCs w:val="24"/>
              </w:rPr>
              <w:t>，</w:t>
            </w:r>
            <w:r>
              <w:rPr>
                <w:rFonts w:ascii="宋体" w:hAnsi="宋体" w:cs="宋体" w:eastAsia="宋体" w:hint="default"/>
                <w:sz w:val="24"/>
                <w:szCs w:val="24"/>
              </w:rPr>
              <w:t>并按扣除当期允许</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抵扣的进项税额后的差额计缴增值税。</w:t>
            </w:r>
          </w:p>
        </w:tc>
      </w:tr>
      <w:tr>
        <w:trPr>
          <w:trHeight w:val="362"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按应税营业额的</w:t>
            </w:r>
            <w:r>
              <w:rPr>
                <w:rFonts w:ascii="宋体" w:hAnsi="宋体" w:cs="宋体" w:eastAsia="宋体" w:hint="default"/>
                <w:sz w:val="24"/>
                <w:szCs w:val="24"/>
              </w:rPr>
              <w:t>5%</w:t>
            </w:r>
            <w:r>
              <w:rPr>
                <w:rFonts w:ascii="宋体" w:hAnsi="宋体" w:cs="宋体" w:eastAsia="宋体" w:hint="default"/>
                <w:sz w:val="24"/>
                <w:szCs w:val="24"/>
              </w:rPr>
              <w:t>计缴营业税。</w:t>
            </w:r>
          </w:p>
        </w:tc>
      </w:tr>
      <w:tr>
        <w:trPr>
          <w:trHeight w:val="35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98" w:lineRule="exact"/>
              <w:ind w:left="108"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98" w:lineRule="exact"/>
              <w:ind w:left="108" w:right="0"/>
              <w:jc w:val="left"/>
              <w:rPr>
                <w:rFonts w:ascii="宋体" w:hAnsi="宋体" w:cs="宋体" w:eastAsia="宋体" w:hint="default"/>
                <w:sz w:val="24"/>
                <w:szCs w:val="24"/>
              </w:rPr>
            </w:pPr>
            <w:r>
              <w:rPr>
                <w:rFonts w:ascii="宋体" w:hAnsi="宋体" w:cs="宋体" w:eastAsia="宋体" w:hint="default"/>
                <w:sz w:val="24"/>
                <w:szCs w:val="24"/>
              </w:rPr>
              <w:t>按实际缴纳的流转税的</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计缴。</w:t>
            </w:r>
          </w:p>
        </w:tc>
      </w:tr>
      <w:tr>
        <w:trPr>
          <w:trHeight w:val="299"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按应纳税所得额的</w:t>
            </w:r>
            <w:r>
              <w:rPr>
                <w:rFonts w:ascii="宋体" w:hAnsi="宋体" w:cs="宋体" w:eastAsia="宋体" w:hint="default"/>
                <w:sz w:val="24"/>
                <w:szCs w:val="24"/>
              </w:rPr>
              <w:t>25%</w:t>
            </w:r>
            <w:r>
              <w:rPr>
                <w:rFonts w:ascii="宋体" w:hAnsi="宋体" w:cs="宋体" w:eastAsia="宋体" w:hint="default"/>
                <w:sz w:val="24"/>
                <w:szCs w:val="24"/>
              </w:rPr>
              <w:t>计缴。</w:t>
            </w:r>
          </w:p>
        </w:tc>
      </w:tr>
    </w:tbl>
    <w:p>
      <w:pPr>
        <w:spacing w:line="240" w:lineRule="auto" w:before="7"/>
        <w:rPr>
          <w:rFonts w:ascii="Microsoft JhengHei" w:hAnsi="Microsoft JhengHei" w:cs="Microsoft JhengHei" w:eastAsia="Microsoft JhengHei" w:hint="default"/>
          <w:b/>
          <w:bCs/>
          <w:sz w:val="18"/>
          <w:szCs w:val="18"/>
        </w:rPr>
      </w:pPr>
    </w:p>
    <w:p>
      <w:pPr>
        <w:pStyle w:val="Heading2"/>
        <w:spacing w:line="367" w:lineRule="exact"/>
        <w:ind w:left="622" w:right="3093"/>
        <w:jc w:val="left"/>
        <w:rPr>
          <w:b w:val="0"/>
          <w:bCs w:val="0"/>
        </w:rPr>
      </w:pPr>
      <w:r>
        <w:rPr>
          <w:rFonts w:ascii="Times New Roman" w:hAnsi="Times New Roman" w:cs="Times New Roman" w:eastAsia="Times New Roman" w:hint="default"/>
        </w:rPr>
        <w:t>2</w:t>
      </w:r>
      <w:r>
        <w:rPr/>
        <w:t>、</w:t>
      </w:r>
      <w:r>
        <w:rPr>
          <w:spacing w:val="5"/>
        </w:rPr>
        <w:t> </w:t>
      </w:r>
      <w:r>
        <w:rPr/>
        <w:t>税收优惠及批文</w:t>
      </w:r>
      <w:r>
        <w:rPr>
          <w:b w:val="0"/>
          <w:bCs w:val="0"/>
        </w:rPr>
      </w:r>
    </w:p>
    <w:p>
      <w:pPr>
        <w:pStyle w:val="BodyText"/>
        <w:spacing w:line="304" w:lineRule="auto" w:before="57"/>
        <w:ind w:right="223" w:firstLine="479"/>
        <w:jc w:val="both"/>
      </w:pPr>
      <w:r>
        <w:rPr>
          <w:spacing w:val="2"/>
        </w:rPr>
        <w:t>根据山东省科学技术厅、山东省财政厅、山东省国家税务局以及山东省地方税务</w:t>
      </w:r>
      <w:r>
        <w:rPr/>
        <w:t> 局联名签发的鲁科高字（</w:t>
      </w:r>
      <w:r>
        <w:rPr>
          <w:rFonts w:ascii="宋体" w:hAnsi="宋体" w:cs="宋体" w:eastAsia="宋体" w:hint="default"/>
        </w:rPr>
        <w:t>2009</w:t>
      </w:r>
      <w:r>
        <w:rPr/>
        <w:t>）</w:t>
      </w:r>
      <w:r>
        <w:rPr>
          <w:rFonts w:ascii="宋体" w:hAnsi="宋体" w:cs="宋体" w:eastAsia="宋体" w:hint="default"/>
        </w:rPr>
        <w:t>11</w:t>
      </w:r>
      <w:r>
        <w:rPr>
          <w:rFonts w:ascii="宋体" w:hAnsi="宋体" w:cs="宋体" w:eastAsia="宋体" w:hint="default"/>
          <w:spacing w:val="-3"/>
        </w:rPr>
        <w:t> </w:t>
      </w:r>
      <w:r>
        <w:rPr/>
        <w:t>号批文，本公司被认定为高新技术企业，取得了编 号为</w:t>
      </w:r>
      <w:r>
        <w:rPr>
          <w:spacing w:val="-41"/>
        </w:rPr>
        <w:t> </w:t>
      </w:r>
      <w:r>
        <w:rPr>
          <w:rFonts w:ascii="宋体" w:hAnsi="宋体" w:cs="宋体" w:eastAsia="宋体" w:hint="default"/>
        </w:rPr>
        <w:t>GR200837000020</w:t>
      </w:r>
      <w:r>
        <w:rPr>
          <w:rFonts w:ascii="宋体" w:hAnsi="宋体" w:cs="宋体" w:eastAsia="宋体" w:hint="default"/>
          <w:spacing w:val="-41"/>
        </w:rPr>
        <w:t> </w:t>
      </w:r>
      <w:r>
        <w:rPr/>
        <w:t>的高新技术企业证书，</w:t>
      </w:r>
      <w:r>
        <w:rPr>
          <w:rFonts w:ascii="宋体" w:hAnsi="宋体" w:cs="宋体" w:eastAsia="宋体" w:hint="default"/>
        </w:rPr>
        <w:t>2008</w:t>
      </w:r>
      <w:r>
        <w:rPr>
          <w:rFonts w:ascii="宋体" w:hAnsi="宋体" w:cs="宋体" w:eastAsia="宋体" w:hint="default"/>
          <w:spacing w:val="-41"/>
        </w:rPr>
        <w:t> </w:t>
      </w:r>
      <w:r>
        <w:rPr/>
        <w:t>年度至</w:t>
      </w:r>
      <w:r>
        <w:rPr>
          <w:spacing w:val="-41"/>
        </w:rPr>
        <w:t> </w:t>
      </w:r>
      <w:r>
        <w:rPr>
          <w:rFonts w:ascii="宋体" w:hAnsi="宋体" w:cs="宋体" w:eastAsia="宋体" w:hint="default"/>
        </w:rPr>
        <w:t>2010</w:t>
      </w:r>
      <w:r>
        <w:rPr>
          <w:rFonts w:ascii="宋体" w:hAnsi="宋体" w:cs="宋体" w:eastAsia="宋体" w:hint="default"/>
          <w:spacing w:val="-41"/>
        </w:rPr>
        <w:t> </w:t>
      </w:r>
      <w:r>
        <w:rPr/>
        <w:t>年度减按</w:t>
      </w:r>
      <w:r>
        <w:rPr>
          <w:spacing w:val="-41"/>
        </w:rPr>
        <w:t> </w:t>
      </w:r>
      <w:r>
        <w:rPr>
          <w:rFonts w:ascii="宋体" w:hAnsi="宋体" w:cs="宋体" w:eastAsia="宋体" w:hint="default"/>
        </w:rPr>
        <w:t>15%</w:t>
      </w:r>
      <w:r>
        <w:rPr/>
        <w:t>的税率缴 纳企业所得税。</w:t>
      </w:r>
    </w:p>
    <w:p>
      <w:pPr>
        <w:pStyle w:val="BodyText"/>
        <w:spacing w:line="304" w:lineRule="auto" w:before="19"/>
        <w:ind w:right="102" w:firstLine="479"/>
        <w:jc w:val="both"/>
      </w:pPr>
      <w:r>
        <w:rPr/>
        <w:t>本公司之控股子公司北京东港安全印刷有限公司根据</w:t>
      </w:r>
      <w:r>
        <w:rPr>
          <w:spacing w:val="-41"/>
        </w:rPr>
        <w:t> </w:t>
      </w: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19</w:t>
      </w:r>
      <w:r>
        <w:rPr>
          <w:rFonts w:ascii="宋体" w:hAnsi="宋体" w:cs="宋体" w:eastAsia="宋体" w:hint="default"/>
          <w:spacing w:val="-41"/>
        </w:rPr>
        <w:t> </w:t>
      </w:r>
      <w:r>
        <w:rPr/>
        <w:t>日北京市科 </w:t>
      </w:r>
      <w:r>
        <w:rPr>
          <w:spacing w:val="9"/>
        </w:rPr>
        <w:t>学技术委员会、北京市财政局、北京市国家税务局、北京市地方税务局以“京科发</w:t>
      </w:r>
      <w:r>
        <w:rPr>
          <w:spacing w:val="-98"/>
        </w:rPr>
        <w:t> </w:t>
      </w:r>
      <w:r>
        <w:rPr>
          <w:spacing w:val="-98"/>
        </w:rPr>
      </w:r>
      <w:r>
        <w:rPr>
          <w:rFonts w:ascii="宋体" w:hAnsi="宋体" w:cs="宋体" w:eastAsia="宋体" w:hint="default"/>
        </w:rPr>
        <w:t>[2010]490</w:t>
      </w:r>
      <w:r>
        <w:rPr>
          <w:rFonts w:ascii="宋体" w:hAnsi="宋体" w:cs="宋体" w:eastAsia="宋体" w:hint="default"/>
          <w:spacing w:val="-58"/>
        </w:rPr>
        <w:t> </w:t>
      </w:r>
      <w:r>
        <w:rPr>
          <w:spacing w:val="-16"/>
        </w:rPr>
        <w:t>号”《关于公示北京市</w:t>
      </w:r>
      <w:r>
        <w:rPr>
          <w:spacing w:val="-57"/>
        </w:rPr>
        <w:t> </w:t>
      </w:r>
      <w:r>
        <w:rPr>
          <w:rFonts w:ascii="宋体" w:hAnsi="宋体" w:cs="宋体" w:eastAsia="宋体" w:hint="default"/>
        </w:rPr>
        <w:t>2010</w:t>
      </w:r>
      <w:r>
        <w:rPr>
          <w:rFonts w:ascii="宋体" w:hAnsi="宋体" w:cs="宋体" w:eastAsia="宋体" w:hint="default"/>
          <w:spacing w:val="-57"/>
        </w:rPr>
        <w:t> </w:t>
      </w:r>
      <w:r>
        <w:rPr>
          <w:spacing w:val="-2"/>
        </w:rPr>
        <w:t>年度第一批拟认定高新技术企业名单的通知》公</w:t>
      </w:r>
      <w:r>
        <w:rPr>
          <w:spacing w:val="-113"/>
        </w:rPr>
        <w:t> </w:t>
      </w:r>
      <w:r>
        <w:rPr>
          <w:spacing w:val="-113"/>
        </w:rPr>
      </w:r>
      <w:r>
        <w:rPr/>
        <w:t>示拟认定本公司符合高新技术企业的要求，</w:t>
      </w:r>
      <w:r>
        <w:rPr>
          <w:rFonts w:ascii="宋体" w:hAnsi="宋体" w:cs="宋体" w:eastAsia="宋体" w:hint="default"/>
        </w:rPr>
        <w:t>2010</w:t>
      </w:r>
      <w:r>
        <w:rPr>
          <w:rFonts w:ascii="宋体" w:hAnsi="宋体" w:cs="宋体" w:eastAsia="宋体" w:hint="default"/>
          <w:spacing w:val="-61"/>
        </w:rPr>
        <w:t> </w:t>
      </w:r>
      <w:r>
        <w:rPr/>
        <w:t>年度减按</w:t>
      </w:r>
      <w:r>
        <w:rPr>
          <w:spacing w:val="-62"/>
        </w:rPr>
        <w:t> </w:t>
      </w:r>
      <w:r>
        <w:rPr>
          <w:rFonts w:ascii="宋体" w:hAnsi="宋体" w:cs="宋体" w:eastAsia="宋体" w:hint="default"/>
        </w:rPr>
        <w:t>15%</w:t>
      </w:r>
      <w:r>
        <w:rPr/>
        <w:t>的税率缴纳企业所得税。</w:t>
      </w:r>
    </w:p>
    <w:p>
      <w:pPr>
        <w:pStyle w:val="BodyText"/>
        <w:spacing w:line="307" w:lineRule="auto"/>
        <w:ind w:right="103" w:firstLine="479"/>
        <w:jc w:val="both"/>
      </w:pPr>
      <w:r>
        <w:rPr/>
        <w:t>本公司之控股子公司新疆东港安全印刷有限公司</w:t>
      </w:r>
      <w:r>
        <w:rPr>
          <w:spacing w:val="-59"/>
        </w:rPr>
        <w:t> </w:t>
      </w:r>
      <w:r>
        <w:rPr>
          <w:rFonts w:ascii="宋体" w:hAnsi="宋体" w:cs="宋体" w:eastAsia="宋体" w:hint="default"/>
        </w:rPr>
        <w:t>2009</w:t>
      </w:r>
      <w:r>
        <w:rPr>
          <w:rFonts w:ascii="宋体" w:hAnsi="宋体" w:cs="宋体" w:eastAsia="宋体" w:hint="default"/>
          <w:spacing w:val="-60"/>
        </w:rPr>
        <w:t> </w:t>
      </w:r>
      <w:r>
        <w:rPr/>
        <w:t>年被认定为高新技术企业， 取得了编号为</w:t>
      </w:r>
      <w:r>
        <w:rPr>
          <w:spacing w:val="-59"/>
        </w:rPr>
        <w:t> </w:t>
      </w:r>
      <w:r>
        <w:rPr>
          <w:rFonts w:ascii="宋体" w:hAnsi="宋体" w:cs="宋体" w:eastAsia="宋体" w:hint="default"/>
        </w:rPr>
        <w:t>GR200965000056</w:t>
      </w:r>
      <w:r>
        <w:rPr>
          <w:rFonts w:ascii="宋体" w:hAnsi="宋体" w:cs="宋体" w:eastAsia="宋体" w:hint="default"/>
          <w:spacing w:val="-57"/>
        </w:rPr>
        <w:t> </w:t>
      </w:r>
      <w:r>
        <w:rPr>
          <w:spacing w:val="-6"/>
        </w:rPr>
        <w:t>的高新技术企业证书，减按</w:t>
      </w:r>
      <w:r>
        <w:rPr>
          <w:spacing w:val="-57"/>
        </w:rPr>
        <w:t> </w:t>
      </w:r>
      <w:r>
        <w:rPr>
          <w:rFonts w:ascii="宋体" w:hAnsi="宋体" w:cs="宋体" w:eastAsia="宋体" w:hint="default"/>
        </w:rPr>
        <w:t>15%</w:t>
      </w:r>
      <w:r>
        <w:rPr/>
        <w:t>的税率缴纳企业所得税。</w:t>
      </w:r>
    </w:p>
    <w:p>
      <w:pPr>
        <w:pStyle w:val="BodyText"/>
        <w:spacing w:line="307" w:lineRule="auto" w:before="17"/>
        <w:ind w:right="223" w:firstLine="479"/>
        <w:jc w:val="both"/>
      </w:pPr>
      <w:r>
        <w:rPr>
          <w:spacing w:val="2"/>
        </w:rPr>
        <w:t>本公司之控股子公司上海东港安全印刷有限公司根据上海市高新技术企业认定办</w:t>
      </w:r>
      <w:r>
        <w:rPr/>
        <w:t> 公室签发的沪高企认办（</w:t>
      </w:r>
      <w:r>
        <w:rPr>
          <w:rFonts w:ascii="宋体" w:hAnsi="宋体" w:cs="宋体" w:eastAsia="宋体" w:hint="default"/>
        </w:rPr>
        <w:t>2008</w:t>
      </w:r>
      <w:r>
        <w:rPr/>
        <w:t>）第 </w:t>
      </w:r>
      <w:r>
        <w:rPr>
          <w:rFonts w:ascii="宋体" w:hAnsi="宋体" w:cs="宋体" w:eastAsia="宋体" w:hint="default"/>
        </w:rPr>
        <w:t>004</w:t>
      </w:r>
      <w:r>
        <w:rPr>
          <w:rFonts w:ascii="宋体" w:hAnsi="宋体" w:cs="宋体" w:eastAsia="宋体" w:hint="default"/>
          <w:spacing w:val="-5"/>
        </w:rPr>
        <w:t> </w:t>
      </w:r>
      <w:r>
        <w:rPr/>
        <w:t>号批文被认定为高新技术企业，取得了编号为 </w:t>
      </w:r>
      <w:r>
        <w:rPr>
          <w:rFonts w:ascii="宋体" w:hAnsi="宋体" w:cs="宋体" w:eastAsia="宋体" w:hint="default"/>
        </w:rPr>
        <w:t>GR200831001510</w:t>
      </w:r>
      <w:r>
        <w:rPr>
          <w:rFonts w:ascii="宋体" w:hAnsi="宋体" w:cs="宋体" w:eastAsia="宋体" w:hint="default"/>
          <w:spacing w:val="-61"/>
        </w:rPr>
        <w:t> </w:t>
      </w:r>
      <w:r>
        <w:rPr/>
        <w:t>的高新技术企业证书，</w:t>
      </w:r>
      <w:r>
        <w:rPr>
          <w:rFonts w:ascii="宋体" w:hAnsi="宋体" w:cs="宋体" w:eastAsia="宋体" w:hint="default"/>
        </w:rPr>
        <w:t>2010</w:t>
      </w:r>
      <w:r>
        <w:rPr>
          <w:rFonts w:ascii="宋体" w:hAnsi="宋体" w:cs="宋体" w:eastAsia="宋体" w:hint="default"/>
          <w:spacing w:val="-61"/>
        </w:rPr>
        <w:t> </w:t>
      </w:r>
      <w:r>
        <w:rPr/>
        <w:t>年度减按</w:t>
      </w:r>
      <w:r>
        <w:rPr>
          <w:spacing w:val="-61"/>
        </w:rPr>
        <w:t> </w:t>
      </w:r>
      <w:r>
        <w:rPr>
          <w:rFonts w:ascii="宋体" w:hAnsi="宋体" w:cs="宋体" w:eastAsia="宋体" w:hint="default"/>
        </w:rPr>
        <w:t>15%</w:t>
      </w:r>
      <w:r>
        <w:rPr/>
        <w:t>的税率缴纳企业所得税。</w:t>
      </w:r>
    </w:p>
    <w:p>
      <w:pPr>
        <w:pStyle w:val="BodyText"/>
        <w:spacing w:line="307" w:lineRule="auto" w:before="17"/>
        <w:ind w:right="105" w:firstLine="479"/>
        <w:jc w:val="both"/>
      </w:pPr>
      <w:r>
        <w:rPr>
          <w:spacing w:val="2"/>
        </w:rPr>
        <w:t>本公司之控股子公司郑州东港安全印刷有限公司，被河南省科学技术厅、河南省</w:t>
      </w:r>
      <w:r>
        <w:rPr/>
        <w:t> </w:t>
      </w:r>
      <w:r>
        <w:rPr>
          <w:spacing w:val="2"/>
        </w:rPr>
        <w:t>财政厅、河南省国家税务局以及河南省地方税务局批准为高新技术企业，并取得了编</w:t>
      </w:r>
      <w:r>
        <w:rPr>
          <w:spacing w:val="-97"/>
        </w:rPr>
        <w:t> </w:t>
      </w:r>
      <w:r>
        <w:rPr>
          <w:spacing w:val="-97"/>
        </w:rPr>
      </w:r>
      <w:r>
        <w:rPr/>
        <w:t>号为</w:t>
      </w:r>
      <w:r>
        <w:rPr>
          <w:spacing w:val="-57"/>
        </w:rPr>
        <w:t> </w:t>
      </w:r>
      <w:r>
        <w:rPr>
          <w:rFonts w:ascii="宋体" w:hAnsi="宋体" w:cs="宋体" w:eastAsia="宋体" w:hint="default"/>
        </w:rPr>
        <w:t>GR201041000094</w:t>
      </w:r>
      <w:r>
        <w:rPr>
          <w:rFonts w:ascii="宋体" w:hAnsi="宋体" w:cs="宋体" w:eastAsia="宋体" w:hint="default"/>
          <w:spacing w:val="-58"/>
        </w:rPr>
        <w:t> </w:t>
      </w:r>
      <w:r>
        <w:rPr>
          <w:spacing w:val="-9"/>
        </w:rPr>
        <w:t>号高新技术企业证书，</w:t>
      </w:r>
      <w:r>
        <w:rPr>
          <w:rFonts w:ascii="宋体" w:hAnsi="宋体" w:cs="宋体" w:eastAsia="宋体" w:hint="default"/>
          <w:spacing w:val="-9"/>
        </w:rPr>
        <w:t>2010</w:t>
      </w:r>
      <w:r>
        <w:rPr>
          <w:rFonts w:ascii="宋体" w:hAnsi="宋体" w:cs="宋体" w:eastAsia="宋体" w:hint="default"/>
          <w:spacing w:val="-56"/>
        </w:rPr>
        <w:t> </w:t>
      </w:r>
      <w:r>
        <w:rPr/>
        <w:t>年度减按</w:t>
      </w:r>
      <w:r>
        <w:rPr>
          <w:spacing w:val="-56"/>
        </w:rPr>
        <w:t> </w:t>
      </w:r>
      <w:r>
        <w:rPr>
          <w:rFonts w:ascii="宋体" w:hAnsi="宋体" w:cs="宋体" w:eastAsia="宋体" w:hint="default"/>
          <w:spacing w:val="-1"/>
        </w:rPr>
        <w:t>15%</w:t>
      </w:r>
      <w:r>
        <w:rPr>
          <w:spacing w:val="-1"/>
        </w:rPr>
        <w:t>的税率缴纳企业所得税。</w:t>
      </w:r>
    </w:p>
    <w:p>
      <w:pPr>
        <w:pStyle w:val="BodyText"/>
        <w:spacing w:line="307" w:lineRule="auto" w:before="17"/>
        <w:ind w:right="224" w:firstLine="479"/>
        <w:jc w:val="both"/>
      </w:pPr>
      <w:r>
        <w:rPr>
          <w:spacing w:val="2"/>
        </w:rPr>
        <w:t>本公司之控股子公司广州东港安全印刷有限公司按应纳税所得额的</w:t>
      </w:r>
      <w:r>
        <w:rPr>
          <w:spacing w:val="40"/>
        </w:rPr>
        <w:t> </w:t>
      </w:r>
      <w:r>
        <w:rPr>
          <w:rFonts w:ascii="宋体" w:hAnsi="宋体" w:cs="宋体" w:eastAsia="宋体" w:hint="default"/>
        </w:rPr>
        <w:t>25%</w:t>
      </w:r>
      <w:r>
        <w:rPr/>
        <w:t>计缴企业 所得税，从</w:t>
      </w:r>
      <w:r>
        <w:rPr>
          <w:spacing w:val="-63"/>
        </w:rPr>
        <w:t> </w:t>
      </w:r>
      <w:r>
        <w:rPr>
          <w:rFonts w:ascii="宋体" w:hAnsi="宋体" w:cs="宋体" w:eastAsia="宋体" w:hint="default"/>
        </w:rPr>
        <w:t>2008</w:t>
      </w:r>
      <w:r>
        <w:rPr>
          <w:rFonts w:ascii="宋体" w:hAnsi="宋体" w:cs="宋体" w:eastAsia="宋体" w:hint="default"/>
          <w:spacing w:val="-62"/>
        </w:rPr>
        <w:t> </w:t>
      </w:r>
      <w:r>
        <w:rPr/>
        <w:t>年度开始享受两免三减半政策。</w:t>
      </w:r>
      <w:r>
        <w:rPr>
          <w:rFonts w:ascii="宋体" w:hAnsi="宋体" w:cs="宋体" w:eastAsia="宋体" w:hint="default"/>
        </w:rPr>
        <w:t>2010</w:t>
      </w:r>
      <w:r>
        <w:rPr>
          <w:rFonts w:ascii="宋体" w:hAnsi="宋体" w:cs="宋体" w:eastAsia="宋体" w:hint="default"/>
          <w:spacing w:val="-62"/>
        </w:rPr>
        <w:t> </w:t>
      </w:r>
      <w:r>
        <w:rPr/>
        <w:t>年度减按</w:t>
      </w:r>
      <w:r>
        <w:rPr>
          <w:spacing w:val="-62"/>
        </w:rPr>
        <w:t> </w:t>
      </w:r>
      <w:r>
        <w:rPr>
          <w:rFonts w:ascii="宋体" w:hAnsi="宋体" w:cs="宋体" w:eastAsia="宋体" w:hint="default"/>
        </w:rPr>
        <w:t>12.5%</w:t>
      </w:r>
      <w:r>
        <w:rPr/>
        <w:t>的税率缴纳企业</w:t>
      </w:r>
    </w:p>
    <w:p>
      <w:pPr>
        <w:spacing w:after="0" w:line="307" w:lineRule="auto"/>
        <w:jc w:val="both"/>
        <w:sectPr>
          <w:pgSz w:w="11910" w:h="16840"/>
          <w:pgMar w:header="840" w:footer="1239" w:top="1160" w:bottom="1420" w:left="1480" w:right="1060"/>
        </w:sectPr>
      </w:pPr>
    </w:p>
    <w:p>
      <w:pPr>
        <w:spacing w:line="240" w:lineRule="auto" w:before="12"/>
        <w:rPr>
          <w:rFonts w:ascii="宋体" w:hAnsi="宋体" w:cs="宋体" w:eastAsia="宋体" w:hint="default"/>
          <w:sz w:val="21"/>
          <w:szCs w:val="21"/>
        </w:rPr>
      </w:pPr>
    </w:p>
    <w:p>
      <w:pPr>
        <w:pStyle w:val="BodyText"/>
        <w:spacing w:line="240" w:lineRule="auto" w:before="26"/>
        <w:ind w:right="0"/>
        <w:jc w:val="both"/>
      </w:pPr>
      <w:r>
        <w:rPr/>
        <w:t>所得税。</w:t>
      </w:r>
    </w:p>
    <w:p>
      <w:pPr>
        <w:pStyle w:val="BodyText"/>
        <w:spacing w:line="240" w:lineRule="auto" w:before="87"/>
        <w:ind w:left="622" w:right="0"/>
        <w:jc w:val="left"/>
      </w:pPr>
      <w:r>
        <w:rPr/>
        <w:t>本公司之控股子公司北京东港嘉华安全信息技术有限公司根据</w:t>
      </w:r>
      <w:r>
        <w:rPr>
          <w:spacing w:val="-41"/>
        </w:rPr>
        <w:t> </w:t>
      </w:r>
      <w:r>
        <w:rPr>
          <w:rFonts w:ascii="宋体" w:hAnsi="宋体" w:cs="宋体" w:eastAsia="宋体" w:hint="default"/>
        </w:rPr>
        <w:t>2009</w:t>
      </w:r>
      <w:r>
        <w:rPr>
          <w:rFonts w:ascii="宋体" w:hAnsi="宋体" w:cs="宋体" w:eastAsia="宋体" w:hint="default"/>
          <w:spacing w:val="-41"/>
        </w:rPr>
        <w:t> </w:t>
      </w:r>
      <w:r>
        <w:rPr/>
        <w:t>年</w:t>
      </w:r>
      <w:r>
        <w:rPr>
          <w:spacing w:val="-41"/>
        </w:rPr>
        <w:t> </w:t>
      </w:r>
      <w:r>
        <w:rPr>
          <w:rFonts w:ascii="宋体" w:hAnsi="宋体" w:cs="宋体" w:eastAsia="宋体" w:hint="default"/>
        </w:rPr>
        <w:t>5</w:t>
      </w:r>
      <w:r>
        <w:rPr>
          <w:rFonts w:ascii="宋体" w:hAnsi="宋体" w:cs="宋体" w:eastAsia="宋体" w:hint="default"/>
          <w:spacing w:val="-41"/>
        </w:rPr>
        <w:t> </w:t>
      </w:r>
      <w:r>
        <w:rPr/>
        <w:t>月</w:t>
      </w:r>
      <w:r>
        <w:rPr>
          <w:spacing w:val="-41"/>
        </w:rPr>
        <w:t> </w:t>
      </w:r>
      <w:r>
        <w:rPr>
          <w:rFonts w:ascii="宋体" w:hAnsi="宋体" w:cs="宋体" w:eastAsia="宋体" w:hint="default"/>
        </w:rPr>
        <w:t>15</w:t>
      </w:r>
      <w:r>
        <w:rPr>
          <w:rFonts w:ascii="宋体" w:hAnsi="宋体" w:cs="宋体" w:eastAsia="宋体" w:hint="default"/>
          <w:spacing w:val="-41"/>
        </w:rPr>
        <w:t> </w:t>
      </w:r>
      <w:r>
        <w:rPr/>
        <w:t>日</w:t>
      </w:r>
    </w:p>
    <w:p>
      <w:pPr>
        <w:pStyle w:val="BodyText"/>
        <w:spacing w:line="240" w:lineRule="auto" w:before="84"/>
        <w:ind w:right="0"/>
        <w:jc w:val="both"/>
        <w:rPr>
          <w:rFonts w:ascii="宋体" w:hAnsi="宋体" w:cs="宋体" w:eastAsia="宋体" w:hint="default"/>
        </w:rPr>
      </w:pPr>
      <w:r>
        <w:rPr/>
        <w:t>北京经济技术开发区国家税务局印发的开国税所函（</w:t>
      </w:r>
      <w:r>
        <w:rPr>
          <w:rFonts w:ascii="宋体" w:hAnsi="宋体" w:cs="宋体" w:eastAsia="宋体" w:hint="default"/>
        </w:rPr>
        <w:t>2005</w:t>
      </w:r>
      <w:r>
        <w:rPr/>
        <w:t>）</w:t>
      </w:r>
      <w:r>
        <w:rPr>
          <w:rFonts w:ascii="宋体" w:hAnsi="宋体" w:cs="宋体" w:eastAsia="宋体" w:hint="default"/>
        </w:rPr>
        <w:t>38</w:t>
      </w:r>
      <w:r>
        <w:rPr>
          <w:rFonts w:ascii="宋体" w:hAnsi="宋体" w:cs="宋体" w:eastAsia="宋体" w:hint="default"/>
          <w:spacing w:val="-61"/>
        </w:rPr>
        <w:t> </w:t>
      </w:r>
      <w:r>
        <w:rPr/>
        <w:t>号的批复，自</w:t>
      </w:r>
      <w:r>
        <w:rPr>
          <w:spacing w:val="-61"/>
        </w:rPr>
        <w:t> </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1</w:t>
      </w:r>
    </w:p>
    <w:p>
      <w:pPr>
        <w:pStyle w:val="BodyText"/>
        <w:spacing w:line="304" w:lineRule="auto" w:before="86"/>
        <w:ind w:right="140"/>
        <w:jc w:val="both"/>
      </w:pPr>
      <w:r>
        <w:rPr/>
        <w:t>月</w:t>
      </w:r>
      <w:r>
        <w:rPr>
          <w:spacing w:val="-60"/>
        </w:rPr>
        <w:t> </w:t>
      </w:r>
      <w:r>
        <w:rPr>
          <w:rFonts w:ascii="宋体" w:hAnsi="宋体" w:cs="宋体" w:eastAsia="宋体" w:hint="default"/>
        </w:rPr>
        <w:t>1</w:t>
      </w:r>
      <w:r>
        <w:rPr>
          <w:rFonts w:ascii="宋体" w:hAnsi="宋体" w:cs="宋体" w:eastAsia="宋体" w:hint="default"/>
          <w:spacing w:val="-61"/>
        </w:rPr>
        <w:t> </w:t>
      </w: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日止享受过渡期生产性外商投资企业免征</w:t>
      </w:r>
      <w:r>
        <w:rPr>
          <w:rFonts w:ascii="宋体" w:hAnsi="宋体" w:cs="宋体" w:eastAsia="宋体" w:hint="default"/>
        </w:rPr>
        <w:t>(</w:t>
      </w:r>
      <w:r>
        <w:rPr/>
        <w:t>或减征</w:t>
      </w:r>
      <w:r>
        <w:rPr>
          <w:rFonts w:ascii="宋体" w:hAnsi="宋体" w:cs="宋体" w:eastAsia="宋体" w:hint="default"/>
        </w:rPr>
        <w:t>)</w:t>
      </w:r>
      <w:r>
        <w:rPr/>
        <w:t>企业所得 税优惠政策，</w:t>
      </w:r>
      <w:r>
        <w:rPr>
          <w:rFonts w:ascii="宋体" w:hAnsi="宋体" w:cs="宋体" w:eastAsia="宋体" w:hint="default"/>
        </w:rPr>
        <w:t>2008</w:t>
      </w:r>
      <w:r>
        <w:rPr>
          <w:rFonts w:ascii="宋体" w:hAnsi="宋体" w:cs="宋体" w:eastAsia="宋体" w:hint="default"/>
          <w:spacing w:val="-35"/>
        </w:rPr>
        <w:t> </w:t>
      </w:r>
      <w:r>
        <w:rPr/>
        <w:t>年和</w:t>
      </w:r>
      <w:r>
        <w:rPr>
          <w:spacing w:val="-34"/>
        </w:rPr>
        <w:t> </w:t>
      </w:r>
      <w:r>
        <w:rPr>
          <w:rFonts w:ascii="宋体" w:hAnsi="宋体" w:cs="宋体" w:eastAsia="宋体" w:hint="default"/>
        </w:rPr>
        <w:t>2009</w:t>
      </w:r>
      <w:r>
        <w:rPr>
          <w:rFonts w:ascii="宋体" w:hAnsi="宋体" w:cs="宋体" w:eastAsia="宋体" w:hint="default"/>
          <w:spacing w:val="-35"/>
        </w:rPr>
        <w:t> </w:t>
      </w:r>
      <w:r>
        <w:rPr/>
        <w:t>年免税，</w:t>
      </w:r>
      <w:r>
        <w:rPr>
          <w:rFonts w:ascii="宋体" w:hAnsi="宋体" w:cs="宋体" w:eastAsia="宋体" w:hint="default"/>
        </w:rPr>
        <w:t>2010</w:t>
      </w:r>
      <w:r>
        <w:rPr>
          <w:rFonts w:ascii="宋体" w:hAnsi="宋体" w:cs="宋体" w:eastAsia="宋体" w:hint="default"/>
          <w:spacing w:val="-37"/>
        </w:rPr>
        <w:t> </w:t>
      </w:r>
      <w:r>
        <w:rPr/>
        <w:t>年税率为</w:t>
      </w:r>
      <w:r>
        <w:rPr>
          <w:spacing w:val="-35"/>
        </w:rPr>
        <w:t> </w:t>
      </w:r>
      <w:r>
        <w:rPr>
          <w:rFonts w:ascii="宋体" w:hAnsi="宋体" w:cs="宋体" w:eastAsia="宋体" w:hint="default"/>
        </w:rPr>
        <w:t>11%</w:t>
      </w:r>
      <w:r>
        <w:rPr/>
        <w:t>，</w:t>
      </w:r>
      <w:r>
        <w:rPr>
          <w:rFonts w:ascii="宋体" w:hAnsi="宋体" w:cs="宋体" w:eastAsia="宋体" w:hint="default"/>
        </w:rPr>
        <w:t>2011</w:t>
      </w:r>
      <w:r>
        <w:rPr>
          <w:rFonts w:ascii="宋体" w:hAnsi="宋体" w:cs="宋体" w:eastAsia="宋体" w:hint="default"/>
          <w:spacing w:val="-35"/>
        </w:rPr>
        <w:t> </w:t>
      </w:r>
      <w:r>
        <w:rPr/>
        <w:t>年税率为</w:t>
      </w:r>
      <w:r>
        <w:rPr>
          <w:spacing w:val="-34"/>
        </w:rPr>
        <w:t> </w:t>
      </w:r>
      <w:r>
        <w:rPr>
          <w:rFonts w:ascii="宋体" w:hAnsi="宋体" w:cs="宋体" w:eastAsia="宋体" w:hint="default"/>
        </w:rPr>
        <w:t>12%</w:t>
      </w:r>
      <w:r>
        <w:rPr/>
        <w:t>，</w:t>
      </w:r>
      <w:r>
        <w:rPr>
          <w:rFonts w:ascii="宋体" w:hAnsi="宋体" w:cs="宋体" w:eastAsia="宋体" w:hint="default"/>
        </w:rPr>
        <w:t>2012 </w:t>
      </w:r>
      <w:r>
        <w:rPr/>
        <w:t>年税率为</w:t>
      </w:r>
      <w:r>
        <w:rPr>
          <w:spacing w:val="-61"/>
        </w:rPr>
        <w:t> </w:t>
      </w:r>
      <w:r>
        <w:rPr>
          <w:rFonts w:ascii="宋体" w:hAnsi="宋体" w:cs="宋体" w:eastAsia="宋体" w:hint="default"/>
        </w:rPr>
        <w:t>12.5%</w:t>
      </w:r>
      <w:r>
        <w:rPr/>
        <w:t>。</w:t>
      </w:r>
    </w:p>
    <w:p>
      <w:pPr>
        <w:pStyle w:val="BodyText"/>
        <w:spacing w:line="307" w:lineRule="auto"/>
        <w:ind w:right="145" w:firstLine="479"/>
        <w:jc w:val="left"/>
      </w:pPr>
      <w:r>
        <w:rPr>
          <w:spacing w:val="2"/>
        </w:rPr>
        <w:t>本公司之子公司山东东港数据处理有限公司、成都东港安全印刷有限公司按应纳</w:t>
      </w:r>
      <w:r>
        <w:rPr/>
        <w:t> 税所得额的</w:t>
      </w:r>
      <w:r>
        <w:rPr>
          <w:spacing w:val="-61"/>
        </w:rPr>
        <w:t> </w:t>
      </w:r>
      <w:r>
        <w:rPr>
          <w:rFonts w:ascii="宋体" w:hAnsi="宋体" w:cs="宋体" w:eastAsia="宋体" w:hint="default"/>
        </w:rPr>
        <w:t>25%</w:t>
      </w:r>
      <w:r>
        <w:rPr/>
        <w:t>计缴企业所得税。</w:t>
      </w:r>
    </w:p>
    <w:p>
      <w:pPr>
        <w:spacing w:after="0" w:line="307" w:lineRule="auto"/>
        <w:jc w:val="left"/>
        <w:sectPr>
          <w:pgSz w:w="11910" w:h="16840"/>
          <w:pgMar w:header="840" w:footer="1239" w:top="1160" w:bottom="1420" w:left="1480" w:right="1140"/>
        </w:sectPr>
      </w:pPr>
    </w:p>
    <w:p>
      <w:pPr>
        <w:spacing w:line="240" w:lineRule="auto" w:before="2"/>
        <w:rPr>
          <w:rFonts w:ascii="宋体" w:hAnsi="宋体" w:cs="宋体" w:eastAsia="宋体" w:hint="default"/>
          <w:sz w:val="19"/>
          <w:szCs w:val="19"/>
        </w:rPr>
      </w:pPr>
    </w:p>
    <w:p>
      <w:pPr>
        <w:pStyle w:val="Heading2"/>
        <w:spacing w:line="367" w:lineRule="exact"/>
        <w:ind w:right="0"/>
        <w:jc w:val="left"/>
        <w:rPr>
          <w:b w:val="0"/>
          <w:bCs w:val="0"/>
        </w:rPr>
      </w:pPr>
      <w:r>
        <w:rPr/>
        <w:t>六、</w:t>
      </w:r>
      <w:r>
        <w:rPr>
          <w:spacing w:val="-23"/>
        </w:rPr>
        <w:t> </w:t>
      </w:r>
      <w:r>
        <w:rPr/>
        <w:t>企业合并及合并财务报表</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tabs>
          <w:tab w:pos="1400" w:val="left" w:leader="none"/>
        </w:tabs>
        <w:spacing w:line="240" w:lineRule="auto" w:before="0"/>
        <w:ind w:left="622" w:right="0"/>
        <w:jc w:val="left"/>
      </w:pPr>
      <w:r>
        <w:rPr>
          <w:rFonts w:ascii="Times New Roman" w:hAnsi="Times New Roman" w:cs="Times New Roman" w:eastAsia="Times New Roman" w:hint="default"/>
          <w:spacing w:val="-1"/>
        </w:rPr>
        <w:t>1</w:t>
      </w:r>
      <w:r>
        <w:rPr>
          <w:spacing w:val="-1"/>
        </w:rPr>
        <w:t>、</w:t>
        <w:tab/>
      </w:r>
      <w:r>
        <w:rPr/>
        <w:t>子公司情况</w:t>
      </w:r>
    </w:p>
    <w:p>
      <w:pPr>
        <w:pStyle w:val="BodyText"/>
        <w:spacing w:line="240" w:lineRule="auto" w:before="66"/>
        <w:ind w:left="622" w:right="0"/>
        <w:jc w:val="left"/>
      </w:pPr>
      <w:r>
        <w:rPr/>
        <w:t>⑴通过设立或投资等方式取得的子公司</w:t>
      </w:r>
    </w:p>
    <w:p>
      <w:pPr>
        <w:spacing w:line="240" w:lineRule="auto" w:before="12"/>
        <w:rPr>
          <w:rFonts w:ascii="宋体" w:hAnsi="宋体" w:cs="宋体" w:eastAsia="宋体" w:hint="default"/>
          <w:sz w:val="5"/>
          <w:szCs w:val="5"/>
        </w:rPr>
      </w:pPr>
    </w:p>
    <w:tbl>
      <w:tblPr>
        <w:tblW w:w="0" w:type="auto"/>
        <w:jc w:val="left"/>
        <w:tblInd w:w="486" w:type="dxa"/>
        <w:tblLayout w:type="fixed"/>
        <w:tblCellMar>
          <w:top w:w="0" w:type="dxa"/>
          <w:left w:w="0" w:type="dxa"/>
          <w:bottom w:w="0" w:type="dxa"/>
          <w:right w:w="0" w:type="dxa"/>
        </w:tblCellMar>
        <w:tblLook w:val="01E0"/>
      </w:tblPr>
      <w:tblGrid>
        <w:gridCol w:w="3598"/>
        <w:gridCol w:w="135"/>
        <w:gridCol w:w="1421"/>
        <w:gridCol w:w="134"/>
        <w:gridCol w:w="986"/>
        <w:gridCol w:w="134"/>
        <w:gridCol w:w="1052"/>
        <w:gridCol w:w="134"/>
        <w:gridCol w:w="1145"/>
        <w:gridCol w:w="142"/>
        <w:gridCol w:w="4755"/>
      </w:tblGrid>
      <w:tr>
        <w:trPr>
          <w:trHeight w:val="525" w:hRule="exact"/>
        </w:trPr>
        <w:tc>
          <w:tcPr>
            <w:tcW w:w="3598"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8" w:space="0" w:color="000000"/>
              <w:right w:val="nil" w:sz="6" w:space="0" w:color="auto"/>
            </w:tcBorders>
          </w:tcPr>
          <w:p>
            <w:pPr>
              <w:pStyle w:val="TableParagraph"/>
              <w:spacing w:line="210" w:lineRule="exact"/>
              <w:ind w:left="15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5"/>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687" w:hRule="exact"/>
        </w:trPr>
        <w:tc>
          <w:tcPr>
            <w:tcW w:w="3598" w:type="dxa"/>
            <w:tcBorders>
              <w:top w:val="single" w:sz="8" w:space="0" w:color="000000"/>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single" w:sz="8" w:space="0" w:color="000000"/>
              <w:left w:val="nil" w:sz="6" w:space="0" w:color="auto"/>
              <w:bottom w:val="nil" w:sz="6" w:space="0" w:color="auto"/>
              <w:right w:val="nil" w:sz="6" w:space="0" w:color="auto"/>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single" w:sz="8" w:space="0" w:color="000000"/>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single" w:sz="8" w:space="0" w:color="000000"/>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z w:val="21"/>
              </w:rPr>
              <w:t>3,000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single" w:sz="8" w:space="0" w:color="000000"/>
              <w:left w:val="nil" w:sz="6" w:space="0" w:color="auto"/>
              <w:bottom w:val="nil" w:sz="6" w:space="0" w:color="auto"/>
              <w:right w:val="nil" w:sz="6" w:space="0" w:color="auto"/>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pacing w:val="-12"/>
                <w:sz w:val="21"/>
                <w:szCs w:val="21"/>
              </w:rPr>
              <w:t>高档纸（不含新闻纸）及纸制品生产加工、印刷（不</w:t>
            </w:r>
          </w:p>
          <w:p>
            <w:pPr>
              <w:pStyle w:val="TableParagraph"/>
              <w:spacing w:line="275" w:lineRule="exact"/>
              <w:ind w:left="57" w:right="0"/>
              <w:jc w:val="left"/>
              <w:rPr>
                <w:rFonts w:ascii="宋体" w:hAnsi="宋体" w:cs="宋体" w:eastAsia="宋体" w:hint="default"/>
                <w:sz w:val="21"/>
                <w:szCs w:val="21"/>
              </w:rPr>
            </w:pPr>
            <w:r>
              <w:rPr>
                <w:rFonts w:ascii="宋体" w:hAnsi="宋体" w:cs="宋体" w:eastAsia="宋体" w:hint="default"/>
                <w:sz w:val="21"/>
                <w:szCs w:val="21"/>
              </w:rPr>
              <w:t>含期刊、报纸），销售本公司产品。</w:t>
            </w:r>
          </w:p>
        </w:tc>
      </w:tr>
      <w:tr>
        <w:trPr>
          <w:trHeight w:val="719"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7"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
              <w:jc w:val="right"/>
              <w:rPr>
                <w:rFonts w:ascii="宋体" w:hAnsi="宋体" w:cs="宋体" w:eastAsia="宋体" w:hint="default"/>
                <w:sz w:val="21"/>
                <w:szCs w:val="21"/>
              </w:rPr>
            </w:pPr>
            <w:r>
              <w:rPr>
                <w:rFonts w:ascii="宋体"/>
                <w:sz w:val="21"/>
              </w:rPr>
              <w:t>5,200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7" w:right="103"/>
              <w:jc w:val="left"/>
              <w:rPr>
                <w:rFonts w:ascii="宋体" w:hAnsi="宋体" w:cs="宋体" w:eastAsia="宋体" w:hint="default"/>
                <w:sz w:val="21"/>
                <w:szCs w:val="21"/>
              </w:rPr>
            </w:pPr>
            <w:r>
              <w:rPr>
                <w:rFonts w:ascii="宋体" w:hAnsi="宋体" w:cs="宋体" w:eastAsia="宋体" w:hint="default"/>
                <w:spacing w:val="-3"/>
                <w:sz w:val="21"/>
                <w:szCs w:val="21"/>
              </w:rPr>
              <w:t>包装装潢印刷品印刷，其他印刷品印刷；软件产品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的开发生产。</w:t>
            </w:r>
          </w:p>
        </w:tc>
      </w:tr>
      <w:tr>
        <w:trPr>
          <w:trHeight w:val="1132"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 w:right="0"/>
              <w:jc w:val="left"/>
              <w:rPr>
                <w:rFonts w:ascii="宋体" w:hAnsi="宋体" w:cs="宋体" w:eastAsia="宋体" w:hint="default"/>
                <w:sz w:val="21"/>
                <w:szCs w:val="21"/>
              </w:rPr>
            </w:pPr>
            <w:r>
              <w:rPr>
                <w:rFonts w:ascii="宋体" w:hAnsi="宋体" w:cs="宋体" w:eastAsia="宋体" w:hint="default"/>
                <w:sz w:val="21"/>
                <w:szCs w:val="21"/>
              </w:rPr>
              <w:t>乌鲁木齐</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right"/>
              <w:rPr>
                <w:rFonts w:ascii="宋体" w:hAnsi="宋体" w:cs="宋体" w:eastAsia="宋体" w:hint="default"/>
                <w:sz w:val="21"/>
                <w:szCs w:val="21"/>
              </w:rPr>
            </w:pPr>
            <w:r>
              <w:rPr>
                <w:rFonts w:ascii="宋体"/>
                <w:sz w:val="21"/>
              </w:rPr>
              <w:t>500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37" w:lineRule="auto" w:before="10"/>
              <w:ind w:left="57" w:right="0"/>
              <w:jc w:val="left"/>
              <w:rPr>
                <w:rFonts w:ascii="宋体" w:hAnsi="宋体" w:cs="宋体" w:eastAsia="宋体" w:hint="default"/>
                <w:sz w:val="21"/>
                <w:szCs w:val="21"/>
              </w:rPr>
            </w:pPr>
            <w:r>
              <w:rPr>
                <w:rFonts w:ascii="宋体" w:hAnsi="宋体" w:cs="宋体" w:eastAsia="宋体" w:hint="default"/>
                <w:spacing w:val="-3"/>
                <w:sz w:val="21"/>
                <w:szCs w:val="21"/>
              </w:rPr>
              <w:t>印刷品印刷（票证）。纸制品的生产、销售；高档</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sz w:val="21"/>
                <w:szCs w:val="21"/>
              </w:rPr>
              <w:t>纸的防伪处理、销售；数据打印系统的开发、生产；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科技信息咨询服务；</w:t>
            </w:r>
            <w:r>
              <w:rPr>
                <w:rFonts w:ascii="宋体" w:hAnsi="宋体" w:cs="宋体" w:eastAsia="宋体" w:hint="default"/>
                <w:spacing w:val="-5"/>
                <w:sz w:val="21"/>
                <w:szCs w:val="21"/>
              </w:rPr>
              <w:t>IC</w:t>
            </w:r>
            <w:r>
              <w:rPr>
                <w:rFonts w:ascii="宋体" w:hAnsi="宋体" w:cs="宋体" w:eastAsia="宋体" w:hint="default"/>
                <w:spacing w:val="-46"/>
                <w:sz w:val="21"/>
                <w:szCs w:val="21"/>
              </w:rPr>
              <w:t> </w:t>
            </w:r>
            <w:r>
              <w:rPr>
                <w:rFonts w:ascii="宋体" w:hAnsi="宋体" w:cs="宋体" w:eastAsia="宋体" w:hint="default"/>
                <w:spacing w:val="-5"/>
                <w:sz w:val="21"/>
                <w:szCs w:val="21"/>
              </w:rPr>
              <w:t>卡产品、智能标签产品的生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产、销售。</w:t>
            </w:r>
          </w:p>
        </w:tc>
      </w:tr>
      <w:tr>
        <w:trPr>
          <w:trHeight w:val="376"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z w:val="21"/>
              </w:rPr>
              <w:t>3,000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包装装潢印刷，零件印刷，计算机软件开发。</w:t>
            </w:r>
          </w:p>
        </w:tc>
      </w:tr>
      <w:tr>
        <w:trPr>
          <w:trHeight w:val="99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hAnsi="宋体" w:cs="宋体" w:eastAsia="宋体" w:hint="default"/>
                <w:sz w:val="21"/>
                <w:szCs w:val="21"/>
              </w:rPr>
              <w:t>700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37" w:lineRule="auto" w:before="73"/>
              <w:ind w:left="57" w:right="103"/>
              <w:jc w:val="both"/>
              <w:rPr>
                <w:rFonts w:ascii="宋体" w:hAnsi="宋体" w:cs="宋体" w:eastAsia="宋体" w:hint="default"/>
                <w:sz w:val="21"/>
                <w:szCs w:val="21"/>
              </w:rPr>
            </w:pPr>
            <w:r>
              <w:rPr>
                <w:rFonts w:ascii="宋体" w:hAnsi="宋体" w:cs="宋体" w:eastAsia="宋体" w:hint="default"/>
                <w:spacing w:val="-3"/>
                <w:sz w:val="21"/>
                <w:szCs w:val="21"/>
              </w:rPr>
              <w:t>开发、生产喷墨打印设备、智能电子标签及专用计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算机软件；销售资产产品；提供数据处理服务及自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产产品技术咨询、技术服务。</w:t>
            </w:r>
          </w:p>
        </w:tc>
      </w:tr>
      <w:tr>
        <w:trPr>
          <w:trHeight w:val="737"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5"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
              <w:jc w:val="right"/>
              <w:rPr>
                <w:rFonts w:ascii="宋体" w:hAnsi="宋体" w:cs="宋体" w:eastAsia="宋体" w:hint="default"/>
                <w:sz w:val="21"/>
                <w:szCs w:val="21"/>
              </w:rPr>
            </w:pPr>
            <w:r>
              <w:rPr>
                <w:rFonts w:ascii="宋体"/>
                <w:sz w:val="21"/>
              </w:rPr>
              <w:t>4,200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72" w:lineRule="exact" w:before="68"/>
              <w:ind w:left="57" w:right="105"/>
              <w:jc w:val="left"/>
              <w:rPr>
                <w:rFonts w:ascii="宋体" w:hAnsi="宋体" w:cs="宋体" w:eastAsia="宋体" w:hint="default"/>
                <w:sz w:val="21"/>
                <w:szCs w:val="21"/>
              </w:rPr>
            </w:pPr>
            <w:r>
              <w:rPr>
                <w:rFonts w:ascii="宋体" w:hAnsi="宋体" w:cs="宋体" w:eastAsia="宋体" w:hint="default"/>
                <w:spacing w:val="5"/>
                <w:sz w:val="21"/>
                <w:szCs w:val="21"/>
              </w:rPr>
              <w:t>包装装潢及其他类印刷品印刷，软件的开发及生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w:t>
            </w:r>
          </w:p>
        </w:tc>
      </w:tr>
      <w:tr>
        <w:trPr>
          <w:trHeight w:val="1023"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7"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7"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3"/>
              <w:jc w:val="right"/>
              <w:rPr>
                <w:rFonts w:ascii="宋体" w:hAnsi="宋体" w:cs="宋体" w:eastAsia="宋体" w:hint="default"/>
                <w:sz w:val="21"/>
                <w:szCs w:val="21"/>
              </w:rPr>
            </w:pPr>
            <w:r>
              <w:rPr>
                <w:rFonts w:ascii="宋体"/>
                <w:sz w:val="21"/>
              </w:rPr>
              <w:t>500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37" w:lineRule="auto" w:before="88"/>
              <w:ind w:left="57" w:right="103"/>
              <w:jc w:val="both"/>
              <w:rPr>
                <w:rFonts w:ascii="宋体" w:hAnsi="宋体" w:cs="宋体" w:eastAsia="宋体" w:hint="default"/>
                <w:sz w:val="21"/>
                <w:szCs w:val="21"/>
              </w:rPr>
            </w:pPr>
            <w:r>
              <w:rPr>
                <w:rFonts w:ascii="宋体" w:hAnsi="宋体" w:cs="宋体" w:eastAsia="宋体" w:hint="default"/>
                <w:spacing w:val="-3"/>
                <w:sz w:val="21"/>
                <w:szCs w:val="21"/>
              </w:rPr>
              <w:t>其他印刷品印刷；计算机软件的开发、生产；销售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电子标签、纸制品、纸张、印刷器材；印刷技术咨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询服务。</w:t>
            </w:r>
          </w:p>
        </w:tc>
      </w:tr>
      <w:tr>
        <w:trPr>
          <w:trHeight w:val="87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7"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135"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7"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34"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5" w:right="0"/>
              <w:jc w:val="left"/>
              <w:rPr>
                <w:rFonts w:ascii="宋体" w:hAnsi="宋体" w:cs="宋体" w:eastAsia="宋体" w:hint="default"/>
                <w:sz w:val="21"/>
                <w:szCs w:val="21"/>
              </w:rPr>
            </w:pPr>
            <w:r>
              <w:rPr>
                <w:rFonts w:ascii="宋体" w:hAnsi="宋体" w:cs="宋体" w:eastAsia="宋体" w:hint="default"/>
                <w:sz w:val="21"/>
                <w:szCs w:val="21"/>
              </w:rPr>
              <w:t>济南</w:t>
            </w:r>
          </w:p>
        </w:tc>
        <w:tc>
          <w:tcPr>
            <w:tcW w:w="134"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3"/>
              <w:jc w:val="right"/>
              <w:rPr>
                <w:rFonts w:ascii="宋体" w:hAnsi="宋体" w:cs="宋体" w:eastAsia="宋体" w:hint="default"/>
                <w:sz w:val="21"/>
                <w:szCs w:val="21"/>
              </w:rPr>
            </w:pPr>
            <w:r>
              <w:rPr>
                <w:rFonts w:ascii="宋体"/>
                <w:sz w:val="21"/>
              </w:rPr>
              <w:t>3,000</w:t>
            </w:r>
          </w:p>
        </w:tc>
        <w:tc>
          <w:tcPr>
            <w:tcW w:w="142" w:type="dxa"/>
            <w:tcBorders>
              <w:top w:val="nil" w:sz="6" w:space="0" w:color="auto"/>
              <w:left w:val="nil" w:sz="6" w:space="0" w:color="auto"/>
              <w:bottom w:val="nil" w:sz="6" w:space="0" w:color="auto"/>
              <w:right w:val="nil" w:sz="6" w:space="0" w:color="auto"/>
            </w:tcBorders>
          </w:tcPr>
          <w:p>
            <w:pPr/>
          </w:p>
        </w:tc>
        <w:tc>
          <w:tcPr>
            <w:tcW w:w="4755" w:type="dxa"/>
            <w:tcBorders>
              <w:top w:val="nil" w:sz="6" w:space="0" w:color="auto"/>
              <w:left w:val="nil" w:sz="6" w:space="0" w:color="auto"/>
              <w:bottom w:val="nil" w:sz="6" w:space="0" w:color="auto"/>
              <w:right w:val="nil" w:sz="6" w:space="0" w:color="auto"/>
            </w:tcBorders>
          </w:tcPr>
          <w:p>
            <w:pPr>
              <w:pStyle w:val="TableParagraph"/>
              <w:spacing w:line="237" w:lineRule="auto" w:before="57"/>
              <w:ind w:left="57" w:right="0"/>
              <w:jc w:val="left"/>
              <w:rPr>
                <w:rFonts w:ascii="宋体" w:hAnsi="宋体" w:cs="宋体" w:eastAsia="宋体" w:hint="default"/>
                <w:sz w:val="21"/>
                <w:szCs w:val="21"/>
              </w:rPr>
            </w:pPr>
            <w:r>
              <w:rPr>
                <w:rFonts w:ascii="宋体" w:hAnsi="宋体" w:cs="宋体" w:eastAsia="宋体" w:hint="default"/>
                <w:spacing w:val="-8"/>
                <w:sz w:val="21"/>
                <w:szCs w:val="21"/>
              </w:rPr>
              <w:t>包装装潢印刷品印刷，其他印刷品印刷；软件开发、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生产销售；纸制品加工、销售；纸张油墨、油墨、</w:t>
            </w:r>
            <w:r>
              <w:rPr>
                <w:rFonts w:ascii="宋体" w:hAnsi="宋体" w:cs="宋体" w:eastAsia="宋体" w:hint="default"/>
                <w:w w:val="100"/>
                <w:sz w:val="21"/>
                <w:szCs w:val="21"/>
              </w:rPr>
              <w:t> </w:t>
            </w:r>
            <w:r>
              <w:rPr>
                <w:rFonts w:ascii="宋体" w:hAnsi="宋体" w:cs="宋体" w:eastAsia="宋体" w:hint="default"/>
                <w:sz w:val="21"/>
                <w:szCs w:val="21"/>
              </w:rPr>
              <w:t>印刷机械的销售；科技信息咨询服务。</w:t>
            </w:r>
          </w:p>
        </w:tc>
      </w:tr>
    </w:tbl>
    <w:p>
      <w:pPr>
        <w:spacing w:after="0" w:line="237" w:lineRule="auto"/>
        <w:jc w:val="left"/>
        <w:rPr>
          <w:rFonts w:ascii="宋体" w:hAnsi="宋体" w:cs="宋体" w:eastAsia="宋体" w:hint="default"/>
          <w:sz w:val="21"/>
          <w:szCs w:val="21"/>
        </w:rPr>
        <w:sectPr>
          <w:headerReference w:type="default" r:id="rId33"/>
          <w:footerReference w:type="default" r:id="rId34"/>
          <w:pgSz w:w="16840" w:h="11910" w:orient="landscape"/>
          <w:pgMar w:header="840" w:footer="1239" w:top="1160" w:bottom="1420" w:left="1300" w:right="1300"/>
          <w:pgNumType w:start="79"/>
        </w:sectPr>
      </w:pPr>
    </w:p>
    <w:p>
      <w:pPr>
        <w:pStyle w:val="BodyText"/>
        <w:spacing w:line="240" w:lineRule="auto" w:before="116"/>
        <w:ind w:left="622" w:right="0"/>
        <w:jc w:val="left"/>
        <w:rPr>
          <w:rFonts w:ascii="Times New Roman" w:hAnsi="Times New Roman" w:cs="Times New Roman" w:eastAsia="Times New Roman" w:hint="default"/>
        </w:rPr>
      </w:pPr>
      <w:r>
        <w:rPr/>
        <w:t>⑴通过设立或投资等方式取得的子公司</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tbl>
      <w:tblPr>
        <w:tblW w:w="0" w:type="auto"/>
        <w:jc w:val="left"/>
        <w:tblInd w:w="471" w:type="dxa"/>
        <w:tblLayout w:type="fixed"/>
        <w:tblCellMar>
          <w:top w:w="0" w:type="dxa"/>
          <w:left w:w="0" w:type="dxa"/>
          <w:bottom w:w="0" w:type="dxa"/>
          <w:right w:w="0" w:type="dxa"/>
        </w:tblCellMar>
        <w:tblLook w:val="01E0"/>
      </w:tblPr>
      <w:tblGrid>
        <w:gridCol w:w="3485"/>
        <w:gridCol w:w="135"/>
        <w:gridCol w:w="1092"/>
        <w:gridCol w:w="137"/>
        <w:gridCol w:w="1020"/>
        <w:gridCol w:w="134"/>
        <w:gridCol w:w="1239"/>
        <w:gridCol w:w="142"/>
        <w:gridCol w:w="1073"/>
        <w:gridCol w:w="134"/>
        <w:gridCol w:w="1622"/>
        <w:gridCol w:w="137"/>
        <w:gridCol w:w="1421"/>
        <w:gridCol w:w="245"/>
        <w:gridCol w:w="1154"/>
      </w:tblGrid>
      <w:tr>
        <w:trPr>
          <w:trHeight w:val="796" w:hRule="exact"/>
        </w:trPr>
        <w:tc>
          <w:tcPr>
            <w:tcW w:w="348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05" w:right="86" w:hanging="315"/>
              <w:jc w:val="left"/>
              <w:rPr>
                <w:rFonts w:ascii="宋体" w:hAnsi="宋体" w:cs="宋体" w:eastAsia="宋体" w:hint="default"/>
                <w:sz w:val="21"/>
                <w:szCs w:val="21"/>
              </w:rPr>
            </w:pPr>
            <w:r>
              <w:rPr>
                <w:rFonts w:ascii="宋体" w:hAnsi="宋体" w:cs="宋体" w:eastAsia="宋体" w:hint="default"/>
                <w:spacing w:val="-2"/>
                <w:sz w:val="21"/>
                <w:szCs w:val="21"/>
              </w:rPr>
              <w:t>法定代表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人</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13" w:right="89" w:hanging="420"/>
              <w:jc w:val="left"/>
              <w:rPr>
                <w:rFonts w:ascii="宋体" w:hAnsi="宋体" w:cs="宋体" w:eastAsia="宋体" w:hint="default"/>
                <w:sz w:val="21"/>
                <w:szCs w:val="21"/>
              </w:rPr>
            </w:pPr>
            <w:r>
              <w:rPr>
                <w:rFonts w:ascii="宋体" w:hAnsi="宋体" w:cs="宋体" w:eastAsia="宋体" w:hint="default"/>
                <w:spacing w:val="-1"/>
                <w:sz w:val="21"/>
                <w:szCs w:val="21"/>
              </w:rPr>
              <w:t>组织机构代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码</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0" w:right="110" w:hanging="104"/>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8" w:space="0" w:color="000000"/>
              <w:right w:val="nil" w:sz="6" w:space="0" w:color="auto"/>
            </w:tcBorders>
          </w:tcPr>
          <w:p>
            <w:pPr>
              <w:pStyle w:val="TableParagraph"/>
              <w:spacing w:line="209" w:lineRule="exact"/>
              <w:ind w:left="74" w:right="0"/>
              <w:jc w:val="left"/>
              <w:rPr>
                <w:rFonts w:ascii="宋体" w:hAnsi="宋体" w:cs="宋体" w:eastAsia="宋体" w:hint="default"/>
                <w:sz w:val="21"/>
                <w:szCs w:val="21"/>
              </w:rPr>
            </w:pPr>
            <w:r>
              <w:rPr>
                <w:rFonts w:ascii="宋体" w:hAnsi="宋体" w:cs="宋体" w:eastAsia="宋体" w:hint="default"/>
                <w:sz w:val="21"/>
                <w:szCs w:val="21"/>
              </w:rPr>
              <w:t>实质上构成对子</w:t>
            </w:r>
          </w:p>
          <w:p>
            <w:pPr>
              <w:pStyle w:val="TableParagraph"/>
              <w:spacing w:line="240" w:lineRule="auto"/>
              <w:ind w:left="283" w:right="72" w:hanging="209"/>
              <w:jc w:val="left"/>
              <w:rPr>
                <w:rFonts w:ascii="宋体" w:hAnsi="宋体" w:cs="宋体" w:eastAsia="宋体" w:hint="default"/>
                <w:sz w:val="21"/>
                <w:szCs w:val="21"/>
              </w:rPr>
            </w:pPr>
            <w:r>
              <w:rPr>
                <w:rFonts w:ascii="宋体" w:hAnsi="宋体" w:cs="宋体" w:eastAsia="宋体" w:hint="default"/>
                <w:spacing w:val="-1"/>
                <w:sz w:val="21"/>
                <w:szCs w:val="21"/>
              </w:rPr>
              <w:t>公司净投资的其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他项目余额</w:t>
            </w: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70" w:right="153" w:hanging="315"/>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491" w:hRule="exact"/>
        </w:trPr>
        <w:tc>
          <w:tcPr>
            <w:tcW w:w="3485"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58"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谷望宁</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1" w:right="0"/>
              <w:jc w:val="center"/>
              <w:rPr>
                <w:rFonts w:ascii="宋体" w:hAnsi="宋体" w:cs="宋体" w:eastAsia="宋体" w:hint="default"/>
                <w:sz w:val="21"/>
                <w:szCs w:val="21"/>
              </w:rPr>
            </w:pPr>
            <w:r>
              <w:rPr>
                <w:rFonts w:ascii="宋体"/>
                <w:sz w:val="21"/>
              </w:rPr>
              <w:t>74579116-9</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50"/>
              <w:jc w:val="right"/>
              <w:rPr>
                <w:rFonts w:ascii="宋体" w:hAnsi="宋体" w:cs="宋体" w:eastAsia="宋体" w:hint="default"/>
                <w:sz w:val="21"/>
                <w:szCs w:val="21"/>
              </w:rPr>
            </w:pPr>
            <w:r>
              <w:rPr>
                <w:rFonts w:ascii="宋体"/>
                <w:spacing w:val="-1"/>
                <w:sz w:val="21"/>
              </w:rPr>
              <w:t>2,812.50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single" w:sz="8"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sz w:val="21"/>
              </w:rPr>
              <w:t>93.75%</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spacing w:val="-1"/>
                <w:sz w:val="21"/>
              </w:rPr>
              <w:t>100.00%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71785190-2</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3,900.00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8"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宋体" w:hAnsi="宋体" w:cs="宋体" w:eastAsia="宋体" w:hint="default"/>
                <w:sz w:val="21"/>
                <w:szCs w:val="21"/>
              </w:rPr>
            </w:pPr>
            <w:r>
              <w:rPr>
                <w:rFonts w:ascii="宋体"/>
                <w:sz w:val="21"/>
              </w:rPr>
              <w:t>77606809-6</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
              <w:jc w:val="right"/>
              <w:rPr>
                <w:rFonts w:ascii="宋体" w:hAnsi="宋体" w:cs="宋体" w:eastAsia="宋体" w:hint="default"/>
                <w:sz w:val="21"/>
                <w:szCs w:val="21"/>
              </w:rPr>
            </w:pPr>
            <w:r>
              <w:rPr>
                <w:rFonts w:ascii="宋体"/>
                <w:sz w:val="21"/>
              </w:rPr>
              <w:t>468.80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sz w:val="21"/>
              </w:rPr>
              <w:t>93.75%</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spacing w:val="-1"/>
                <w:sz w:val="21"/>
              </w:rPr>
              <w:t>100.00%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74265815-1</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2,812.50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93.75%</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pacing w:val="-1"/>
                <w:sz w:val="21"/>
              </w:rPr>
              <w:t>100.00%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79755702-4</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3,669.50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79739514-1</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3,150.00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r>
      <w:tr>
        <w:trPr>
          <w:trHeight w:val="473"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66966012-3</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z w:val="21"/>
              </w:rPr>
              <w:t>500.00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pacing w:val="-1"/>
                <w:sz w:val="21"/>
              </w:rPr>
              <w:t>100.00%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pacing w:val="-1"/>
                <w:sz w:val="21"/>
              </w:rPr>
              <w:t>100.00%</w:t>
            </w:r>
          </w:p>
        </w:tc>
      </w:tr>
      <w:tr>
        <w:trPr>
          <w:trHeight w:val="367"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8"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21"/>
                <w:szCs w:val="21"/>
              </w:rPr>
            </w:pPr>
            <w:r>
              <w:rPr>
                <w:rFonts w:ascii="宋体" w:hAnsi="宋体" w:cs="宋体" w:eastAsia="宋体" w:hint="default"/>
                <w:sz w:val="21"/>
                <w:szCs w:val="21"/>
              </w:rPr>
              <w:t>王爱先</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24"/>
                <w:szCs w:val="24"/>
              </w:rPr>
            </w:pPr>
            <w:r>
              <w:rPr>
                <w:rFonts w:ascii="宋体"/>
                <w:sz w:val="21"/>
              </w:rPr>
              <w:t>66670371</w:t>
            </w:r>
            <w:r>
              <w:rPr>
                <w:rFonts w:ascii="宋体"/>
                <w:sz w:val="24"/>
              </w:rPr>
              <w:t>-4</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0"/>
              <w:jc w:val="right"/>
              <w:rPr>
                <w:rFonts w:ascii="宋体" w:hAnsi="宋体" w:cs="宋体" w:eastAsia="宋体" w:hint="default"/>
                <w:sz w:val="21"/>
                <w:szCs w:val="21"/>
              </w:rPr>
            </w:pPr>
            <w:r>
              <w:rPr>
                <w:rFonts w:ascii="宋体"/>
                <w:spacing w:val="-1"/>
                <w:sz w:val="21"/>
              </w:rPr>
              <w:t>3,000.00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3"/>
              <w:jc w:val="right"/>
              <w:rPr>
                <w:rFonts w:ascii="宋体" w:hAnsi="宋体" w:cs="宋体" w:eastAsia="宋体" w:hint="default"/>
                <w:sz w:val="21"/>
                <w:szCs w:val="21"/>
              </w:rPr>
            </w:pPr>
            <w:r>
              <w:rPr>
                <w:rFonts w:ascii="宋体"/>
                <w:spacing w:val="-1"/>
                <w:sz w:val="21"/>
              </w:rPr>
              <w:t>100.00%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3"/>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pgSz w:w="16840" w:h="11910" w:orient="landscape"/>
          <w:pgMar w:header="840" w:footer="1239" w:top="1160" w:bottom="142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766"/>
        <w:gridCol w:w="262"/>
        <w:gridCol w:w="1800"/>
        <w:gridCol w:w="221"/>
        <w:gridCol w:w="948"/>
        <w:gridCol w:w="223"/>
        <w:gridCol w:w="1726"/>
        <w:gridCol w:w="223"/>
        <w:gridCol w:w="1370"/>
        <w:gridCol w:w="221"/>
        <w:gridCol w:w="3147"/>
      </w:tblGrid>
      <w:tr>
        <w:trPr>
          <w:trHeight w:val="1069" w:hRule="exact"/>
        </w:trPr>
        <w:tc>
          <w:tcPr>
            <w:tcW w:w="376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37" w:lineRule="auto"/>
              <w:ind w:left="59" w:right="55"/>
              <w:jc w:val="center"/>
              <w:rPr>
                <w:rFonts w:ascii="宋体" w:hAnsi="宋体" w:cs="宋体" w:eastAsia="宋体" w:hint="default"/>
                <w:sz w:val="21"/>
                <w:szCs w:val="21"/>
              </w:rPr>
            </w:pPr>
            <w:r>
              <w:rPr>
                <w:rFonts w:ascii="宋体" w:hAnsi="宋体" w:cs="宋体" w:eastAsia="宋体" w:hint="default"/>
                <w:spacing w:val="-2"/>
                <w:sz w:val="21"/>
                <w:szCs w:val="21"/>
              </w:rPr>
              <w:t>实质上构成对子公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司净投资的其他项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目余额</w:t>
            </w: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72" w:lineRule="exact"/>
              <w:ind w:left="263" w:right="50" w:hanging="212"/>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8" w:space="0" w:color="000000"/>
              <w:right w:val="nil" w:sz="6" w:space="0" w:color="auto"/>
            </w:tcBorders>
          </w:tcPr>
          <w:p>
            <w:pPr>
              <w:pStyle w:val="TableParagraph"/>
              <w:spacing w:line="209" w:lineRule="exact"/>
              <w:ind w:left="2" w:right="0"/>
              <w:jc w:val="center"/>
              <w:rPr>
                <w:rFonts w:ascii="宋体" w:hAnsi="宋体" w:cs="宋体" w:eastAsia="宋体" w:hint="default"/>
                <w:sz w:val="21"/>
                <w:szCs w:val="21"/>
              </w:rPr>
            </w:pPr>
            <w:r>
              <w:rPr>
                <w:rFonts w:ascii="宋体" w:hAnsi="宋体" w:cs="宋体" w:eastAsia="宋体" w:hint="default"/>
                <w:sz w:val="21"/>
                <w:szCs w:val="21"/>
              </w:rPr>
              <w:t>少数股东权益</w:t>
            </w:r>
          </w:p>
          <w:p>
            <w:pPr>
              <w:pStyle w:val="TableParagraph"/>
              <w:spacing w:line="237" w:lineRule="auto"/>
              <w:ind w:left="55" w:right="50"/>
              <w:jc w:val="center"/>
              <w:rPr>
                <w:rFonts w:ascii="宋体" w:hAnsi="宋体" w:cs="宋体" w:eastAsia="宋体" w:hint="default"/>
                <w:sz w:val="21"/>
                <w:szCs w:val="21"/>
              </w:rPr>
            </w:pPr>
            <w:r>
              <w:rPr>
                <w:rFonts w:ascii="宋体" w:hAnsi="宋体" w:cs="宋体" w:eastAsia="宋体" w:hint="default"/>
                <w:spacing w:val="-1"/>
                <w:sz w:val="21"/>
                <w:szCs w:val="21"/>
              </w:rPr>
              <w:t>中用于冲减少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数股东损益的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金额</w:t>
            </w: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single" w:sz="8" w:space="0" w:color="000000"/>
              <w:right w:val="nil" w:sz="6" w:space="0" w:color="auto"/>
            </w:tcBorders>
          </w:tcPr>
          <w:p>
            <w:pPr>
              <w:pStyle w:val="TableParagraph"/>
              <w:spacing w:line="209" w:lineRule="exact"/>
              <w:ind w:right="0"/>
              <w:jc w:val="center"/>
              <w:rPr>
                <w:rFonts w:ascii="宋体" w:hAnsi="宋体" w:cs="宋体" w:eastAsia="宋体" w:hint="default"/>
                <w:sz w:val="21"/>
                <w:szCs w:val="21"/>
              </w:rPr>
            </w:pPr>
            <w:r>
              <w:rPr>
                <w:rFonts w:ascii="宋体" w:hAnsi="宋体" w:cs="宋体" w:eastAsia="宋体" w:hint="default"/>
                <w:sz w:val="21"/>
                <w:szCs w:val="21"/>
              </w:rPr>
              <w:t>从母公司所有者权益冲减子公司</w:t>
            </w:r>
          </w:p>
          <w:p>
            <w:pPr>
              <w:pStyle w:val="TableParagraph"/>
              <w:spacing w:line="237" w:lineRule="auto"/>
              <w:ind w:left="100" w:right="98"/>
              <w:jc w:val="center"/>
              <w:rPr>
                <w:rFonts w:ascii="宋体" w:hAnsi="宋体" w:cs="宋体" w:eastAsia="宋体" w:hint="default"/>
                <w:sz w:val="21"/>
                <w:szCs w:val="21"/>
              </w:rPr>
            </w:pPr>
            <w:r>
              <w:rPr>
                <w:rFonts w:ascii="宋体" w:hAnsi="宋体" w:cs="宋体" w:eastAsia="宋体" w:hint="default"/>
                <w:spacing w:val="-2"/>
                <w:sz w:val="21"/>
                <w:szCs w:val="21"/>
              </w:rPr>
              <w:t>少数股东分担的本期亏损超过少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数股东在该子公司期初所有者权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益中所享有份额后的余额</w:t>
            </w:r>
          </w:p>
        </w:tc>
      </w:tr>
      <w:tr>
        <w:trPr>
          <w:trHeight w:val="383" w:hRule="exact"/>
        </w:trPr>
        <w:tc>
          <w:tcPr>
            <w:tcW w:w="3766"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single" w:sz="8"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single" w:sz="8"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single" w:sz="8" w:space="0" w:color="000000"/>
              <w:left w:val="nil" w:sz="6" w:space="0" w:color="auto"/>
              <w:bottom w:val="nil" w:sz="6" w:space="0" w:color="auto"/>
              <w:right w:val="nil" w:sz="6" w:space="0" w:color="auto"/>
            </w:tcBorders>
          </w:tcPr>
          <w:p>
            <w:pPr/>
          </w:p>
        </w:tc>
      </w:tr>
      <w:tr>
        <w:trPr>
          <w:trHeight w:val="341"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4" w:right="0"/>
              <w:jc w:val="left"/>
              <w:rPr>
                <w:rFonts w:ascii="宋体" w:hAnsi="宋体" w:cs="宋体" w:eastAsia="宋体" w:hint="default"/>
                <w:sz w:val="21"/>
                <w:szCs w:val="21"/>
              </w:rPr>
            </w:pPr>
            <w:r>
              <w:rPr>
                <w:rFonts w:ascii="宋体"/>
                <w:sz w:val="21"/>
              </w:rPr>
              <w:t>19,933,630.66</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1"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4" w:right="0"/>
              <w:jc w:val="left"/>
              <w:rPr>
                <w:rFonts w:ascii="宋体" w:hAnsi="宋体" w:cs="宋体" w:eastAsia="宋体" w:hint="default"/>
                <w:sz w:val="21"/>
                <w:szCs w:val="21"/>
              </w:rPr>
            </w:pPr>
            <w:r>
              <w:rPr>
                <w:rFonts w:ascii="宋体"/>
                <w:sz w:val="21"/>
              </w:rPr>
              <w:t>14,625,705.25</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4" w:right="0"/>
              <w:jc w:val="left"/>
              <w:rPr>
                <w:rFonts w:ascii="宋体" w:hAnsi="宋体" w:cs="宋体" w:eastAsia="宋体" w:hint="default"/>
                <w:sz w:val="21"/>
                <w:szCs w:val="21"/>
              </w:rPr>
            </w:pPr>
            <w:r>
              <w:rPr>
                <w:rFonts w:ascii="宋体"/>
                <w:sz w:val="21"/>
              </w:rPr>
              <w:t>11,788,056.09</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276"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1400" w:val="left" w:leader="none"/>
        </w:tabs>
        <w:spacing w:line="288" w:lineRule="auto" w:before="157"/>
        <w:ind w:left="620" w:right="9295" w:firstLine="2"/>
        <w:jc w:val="left"/>
      </w:pPr>
      <w:r>
        <w:rPr>
          <w:rFonts w:ascii="Times New Roman" w:hAnsi="Times New Roman" w:cs="Times New Roman" w:eastAsia="Times New Roman" w:hint="default"/>
          <w:spacing w:val="-1"/>
        </w:rPr>
        <w:t>2</w:t>
      </w:r>
      <w:r>
        <w:rPr>
          <w:spacing w:val="-1"/>
        </w:rPr>
        <w:t>、</w:t>
        <w:tab/>
      </w:r>
      <w:r>
        <w:rPr/>
        <w:t>合并范围发生变更的说明 本集团本年度未发生合并范围变更事项。</w:t>
      </w:r>
    </w:p>
    <w:p>
      <w:pPr>
        <w:spacing w:after="0" w:line="288" w:lineRule="auto"/>
        <w:jc w:val="left"/>
        <w:sectPr>
          <w:pgSz w:w="16840" w:h="11910" w:orient="landscape"/>
          <w:pgMar w:header="840" w:footer="1239" w:top="1160" w:bottom="1420" w:left="130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2"/>
        <w:spacing w:line="367" w:lineRule="exact"/>
        <w:ind w:left="622" w:right="0"/>
        <w:jc w:val="left"/>
        <w:rPr>
          <w:b w:val="0"/>
          <w:bCs w:val="0"/>
        </w:rPr>
      </w:pPr>
      <w:r>
        <w:rPr/>
        <w:t>七、</w:t>
      </w:r>
      <w:r>
        <w:rPr>
          <w:spacing w:val="-23"/>
        </w:rPr>
        <w:t> </w:t>
      </w:r>
      <w:r>
        <w:rPr/>
        <w:t>合并财务报表项目注释</w:t>
      </w:r>
      <w:r>
        <w:rPr>
          <w:b w:val="0"/>
          <w:bCs w:val="0"/>
        </w:rPr>
      </w:r>
    </w:p>
    <w:p>
      <w:pPr>
        <w:pStyle w:val="BodyText"/>
        <w:spacing w:line="240" w:lineRule="auto" w:before="98"/>
        <w:ind w:left="625" w:right="0"/>
        <w:jc w:val="left"/>
        <w:rPr>
          <w:rFonts w:ascii="宋体" w:hAnsi="宋体" w:cs="宋体" w:eastAsia="宋体" w:hint="default"/>
        </w:rPr>
      </w:pPr>
      <w:r>
        <w:rPr/>
        <w:t>以下注释项目（含公司财务报表主要项目注释）除非特别指出，期初指</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1</w:t>
      </w:r>
    </w:p>
    <w:p>
      <w:pPr>
        <w:pStyle w:val="BodyText"/>
        <w:spacing w:line="494" w:lineRule="auto" w:before="86"/>
        <w:ind w:left="622" w:right="5125" w:hanging="480"/>
        <w:jc w:val="left"/>
        <w:rPr>
          <w:rFonts w:ascii="Microsoft JhengHei" w:hAnsi="Microsoft JhengHei" w:cs="Microsoft JhengHei" w:eastAsia="Microsoft JhengHei" w:hint="default"/>
        </w:rPr>
      </w:pPr>
      <w:r>
        <w:rPr/>
        <w:pict>
          <v:shape style="position:absolute;margin-left:82.944pt;margin-top:65.421265pt;width:443.5pt;height:287.7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4"/>
                    <w:gridCol w:w="134"/>
                    <w:gridCol w:w="994"/>
                    <w:gridCol w:w="139"/>
                    <w:gridCol w:w="881"/>
                    <w:gridCol w:w="1443"/>
                    <w:gridCol w:w="307"/>
                    <w:gridCol w:w="1068"/>
                    <w:gridCol w:w="134"/>
                    <w:gridCol w:w="686"/>
                    <w:gridCol w:w="128"/>
                    <w:gridCol w:w="1610"/>
                  </w:tblGrid>
                  <w:tr>
                    <w:trPr>
                      <w:trHeight w:val="219" w:hRule="exact"/>
                    </w:trPr>
                    <w:tc>
                      <w:tcPr>
                        <w:tcW w:w="134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8" w:space="0" w:color="000000"/>
                          <w:right w:val="nil" w:sz="6" w:space="0" w:color="auto"/>
                        </w:tcBorders>
                      </w:tcPr>
                      <w:p>
                        <w:pPr/>
                      </w:p>
                    </w:tc>
                    <w:tc>
                      <w:tcPr>
                        <w:tcW w:w="139" w:type="dxa"/>
                        <w:tcBorders>
                          <w:top w:val="nil" w:sz="6" w:space="0" w:color="auto"/>
                          <w:left w:val="nil" w:sz="6" w:space="0" w:color="auto"/>
                          <w:bottom w:val="single" w:sz="8" w:space="0" w:color="000000"/>
                          <w:right w:val="nil" w:sz="6" w:space="0" w:color="auto"/>
                        </w:tcBorders>
                      </w:tcPr>
                      <w:p>
                        <w:pPr/>
                      </w:p>
                    </w:tc>
                    <w:tc>
                      <w:tcPr>
                        <w:tcW w:w="881" w:type="dxa"/>
                        <w:tcBorders>
                          <w:top w:val="nil" w:sz="6" w:space="0" w:color="auto"/>
                          <w:left w:val="nil" w:sz="6" w:space="0" w:color="auto"/>
                          <w:bottom w:val="single" w:sz="8" w:space="0" w:color="000000"/>
                          <w:right w:val="nil" w:sz="6" w:space="0" w:color="auto"/>
                        </w:tcBorders>
                      </w:tcPr>
                      <w:p>
                        <w:pPr>
                          <w:pStyle w:val="TableParagraph"/>
                          <w:spacing w:line="180" w:lineRule="exact"/>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3" w:type="dxa"/>
                        <w:tcBorders>
                          <w:top w:val="nil" w:sz="6" w:space="0" w:color="auto"/>
                          <w:left w:val="nil" w:sz="6" w:space="0" w:color="auto"/>
                          <w:bottom w:val="single" w:sz="8" w:space="0" w:color="000000"/>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8" w:space="0" w:color="000000"/>
                          <w:right w:val="nil" w:sz="6" w:space="0" w:color="auto"/>
                        </w:tcBorders>
                      </w:tcPr>
                      <w:p>
                        <w:pPr/>
                      </w:p>
                    </w:tc>
                    <w:tc>
                      <w:tcPr>
                        <w:tcW w:w="134" w:type="dxa"/>
                        <w:tcBorders>
                          <w:top w:val="nil" w:sz="6" w:space="0" w:color="auto"/>
                          <w:left w:val="nil" w:sz="6" w:space="0" w:color="auto"/>
                          <w:bottom w:val="single" w:sz="8" w:space="0" w:color="000000"/>
                          <w:right w:val="nil" w:sz="6" w:space="0" w:color="auto"/>
                        </w:tcBorders>
                      </w:tcPr>
                      <w:p>
                        <w:pPr/>
                      </w:p>
                    </w:tc>
                    <w:tc>
                      <w:tcPr>
                        <w:tcW w:w="686" w:type="dxa"/>
                        <w:tcBorders>
                          <w:top w:val="nil" w:sz="6" w:space="0" w:color="auto"/>
                          <w:left w:val="nil" w:sz="6" w:space="0" w:color="auto"/>
                          <w:bottom w:val="single" w:sz="8" w:space="0" w:color="000000"/>
                          <w:right w:val="nil" w:sz="6" w:space="0" w:color="auto"/>
                        </w:tcBorders>
                      </w:tcPr>
                      <w:p>
                        <w:pPr>
                          <w:pStyle w:val="TableParagraph"/>
                          <w:spacing w:line="180" w:lineRule="exact"/>
                          <w:ind w:left="340" w:right="-15"/>
                          <w:jc w:val="left"/>
                          <w:rPr>
                            <w:rFonts w:ascii="宋体" w:hAnsi="宋体" w:cs="宋体" w:eastAsia="宋体" w:hint="default"/>
                            <w:sz w:val="18"/>
                            <w:szCs w:val="18"/>
                          </w:rPr>
                        </w:pPr>
                        <w:r>
                          <w:rPr>
                            <w:rFonts w:ascii="宋体" w:hAnsi="宋体" w:cs="宋体" w:eastAsia="宋体" w:hint="default"/>
                            <w:sz w:val="18"/>
                            <w:szCs w:val="18"/>
                          </w:rPr>
                          <w:t>期初</w:t>
                        </w:r>
                      </w:p>
                    </w:tc>
                    <w:tc>
                      <w:tcPr>
                        <w:tcW w:w="128" w:type="dxa"/>
                        <w:tcBorders>
                          <w:top w:val="nil" w:sz="6" w:space="0" w:color="auto"/>
                          <w:left w:val="nil" w:sz="6" w:space="0" w:color="auto"/>
                          <w:bottom w:val="single" w:sz="8" w:space="0" w:color="000000"/>
                          <w:right w:val="nil" w:sz="6" w:space="0" w:color="auto"/>
                        </w:tcBorders>
                      </w:tcPr>
                      <w:p>
                        <w:pPr/>
                      </w:p>
                    </w:tc>
                    <w:tc>
                      <w:tcPr>
                        <w:tcW w:w="1610" w:type="dxa"/>
                        <w:tcBorders>
                          <w:top w:val="nil" w:sz="6" w:space="0" w:color="auto"/>
                          <w:left w:val="nil" w:sz="6" w:space="0" w:color="auto"/>
                          <w:bottom w:val="single" w:sz="8" w:space="0" w:color="000000"/>
                          <w:right w:val="nil" w:sz="6" w:space="0" w:color="auto"/>
                        </w:tcBorders>
                      </w:tcPr>
                      <w:p>
                        <w:pPr>
                          <w:pStyle w:val="TableParagraph"/>
                          <w:spacing w:line="180" w:lineRule="exact"/>
                          <w:ind w:left="-114" w:right="0"/>
                          <w:jc w:val="left"/>
                          <w:rPr>
                            <w:rFonts w:ascii="宋体" w:hAnsi="宋体" w:cs="宋体" w:eastAsia="宋体" w:hint="default"/>
                            <w:sz w:val="18"/>
                            <w:szCs w:val="18"/>
                          </w:rPr>
                        </w:pPr>
                        <w:r>
                          <w:rPr>
                            <w:rFonts w:ascii="宋体" w:hAnsi="宋体" w:cs="宋体" w:eastAsia="宋体" w:hint="default"/>
                            <w:sz w:val="18"/>
                            <w:szCs w:val="18"/>
                          </w:rPr>
                          <w:t>数</w:t>
                        </w:r>
                      </w:p>
                    </w:tc>
                  </w:tr>
                  <w:tr>
                    <w:trPr>
                      <w:trHeight w:val="360" w:hRule="exact"/>
                    </w:trPr>
                    <w:tc>
                      <w:tcPr>
                        <w:tcW w:w="1344" w:type="dxa"/>
                        <w:tcBorders>
                          <w:top w:val="nil" w:sz="6" w:space="0" w:color="auto"/>
                          <w:left w:val="nil" w:sz="6" w:space="0" w:color="auto"/>
                          <w:bottom w:val="single" w:sz="8" w:space="0" w:color="000000"/>
                          <w:right w:val="nil" w:sz="6" w:space="0" w:color="auto"/>
                        </w:tcBorders>
                      </w:tcPr>
                      <w:p>
                        <w:pPr>
                          <w:pStyle w:val="TableParagraph"/>
                          <w:spacing w:line="240" w:lineRule="auto" w:before="85"/>
                          <w:ind w:left="44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3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9" w:type="dxa"/>
                        <w:tcBorders>
                          <w:top w:val="single" w:sz="8" w:space="0" w:color="000000"/>
                          <w:left w:val="nil" w:sz="6" w:space="0" w:color="auto"/>
                          <w:bottom w:val="nil" w:sz="6" w:space="0" w:color="auto"/>
                          <w:right w:val="nil" w:sz="6" w:space="0" w:color="auto"/>
                        </w:tcBorders>
                      </w:tcPr>
                      <w:p>
                        <w:pPr/>
                      </w:p>
                    </w:tc>
                    <w:tc>
                      <w:tcPr>
                        <w:tcW w:w="88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80"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4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271"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7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4" w:type="dxa"/>
                        <w:tcBorders>
                          <w:top w:val="single" w:sz="8" w:space="0" w:color="000000"/>
                          <w:left w:val="nil" w:sz="6" w:space="0" w:color="auto"/>
                          <w:bottom w:val="nil" w:sz="6" w:space="0" w:color="auto"/>
                          <w:right w:val="nil" w:sz="6" w:space="0" w:color="auto"/>
                        </w:tcBorders>
                      </w:tcPr>
                      <w:p>
                        <w:pPr/>
                      </w:p>
                    </w:tc>
                    <w:tc>
                      <w:tcPr>
                        <w:tcW w:w="686"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60"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28" w:type="dxa"/>
                        <w:tcBorders>
                          <w:top w:val="single" w:sz="8" w:space="0" w:color="000000"/>
                          <w:left w:val="nil" w:sz="6" w:space="0" w:color="auto"/>
                          <w:bottom w:val="nil" w:sz="6" w:space="0" w:color="auto"/>
                          <w:right w:val="nil" w:sz="6" w:space="0" w:color="auto"/>
                        </w:tcBorders>
                      </w:tcPr>
                      <w:p>
                        <w:pPr/>
                      </w:p>
                    </w:tc>
                    <w:tc>
                      <w:tcPr>
                        <w:tcW w:w="1610"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1" w:hRule="exact"/>
                    </w:trPr>
                    <w:tc>
                      <w:tcPr>
                        <w:tcW w:w="134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single" w:sz="8"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single" w:sz="8" w:space="0" w:color="000000"/>
                          <w:left w:val="nil" w:sz="6" w:space="0" w:color="auto"/>
                          <w:bottom w:val="nil" w:sz="6" w:space="0" w:color="auto"/>
                          <w:right w:val="nil" w:sz="6" w:space="0" w:color="auto"/>
                        </w:tcBorders>
                      </w:tcPr>
                      <w:p>
                        <w:pPr/>
                      </w:p>
                    </w:tc>
                    <w:tc>
                      <w:tcPr>
                        <w:tcW w:w="1443"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212,580.57</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single" w:sz="8"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single" w:sz="8" w:space="0" w:color="000000"/>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7"/>
                          <w:jc w:val="right"/>
                          <w:rPr>
                            <w:rFonts w:ascii="宋体" w:hAnsi="宋体" w:cs="宋体" w:eastAsia="宋体" w:hint="default"/>
                            <w:sz w:val="18"/>
                            <w:szCs w:val="18"/>
                          </w:rPr>
                        </w:pPr>
                        <w:r>
                          <w:rPr>
                            <w:rFonts w:ascii="宋体"/>
                            <w:spacing w:val="-1"/>
                            <w:sz w:val="18"/>
                          </w:rPr>
                          <w:t>295,038.50</w:t>
                        </w:r>
                      </w:p>
                    </w:tc>
                  </w:tr>
                  <w:tr>
                    <w:trPr>
                      <w:trHeight w:val="341"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人民币</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center"/>
                          <w:rPr>
                            <w:rFonts w:ascii="宋体" w:hAnsi="宋体" w:cs="宋体" w:eastAsia="宋体" w:hint="default"/>
                            <w:sz w:val="18"/>
                            <w:szCs w:val="18"/>
                          </w:rPr>
                        </w:pPr>
                        <w:r>
                          <w:rPr>
                            <w:rFonts w:ascii="宋体" w:hAnsi="宋体" w:cs="宋体" w:eastAsia="宋体" w:hint="default"/>
                            <w:sz w:val="18"/>
                            <w:szCs w:val="18"/>
                          </w:rPr>
                          <w:t>—</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122,427.55</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center"/>
                          <w:rPr>
                            <w:rFonts w:ascii="宋体" w:hAnsi="宋体" w:cs="宋体" w:eastAsia="宋体" w:hint="default"/>
                            <w:sz w:val="18"/>
                            <w:szCs w:val="18"/>
                          </w:rPr>
                        </w:pPr>
                        <w:r>
                          <w:rPr>
                            <w:rFonts w:ascii="宋体" w:hAnsi="宋体" w:cs="宋体" w:eastAsia="宋体" w:hint="default"/>
                            <w:sz w:val="18"/>
                            <w:szCs w:val="18"/>
                          </w:rPr>
                          <w:t>—</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216,870.59</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美元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7,899.50</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left"/>
                          <w:rPr>
                            <w:rFonts w:ascii="宋体" w:hAnsi="宋体" w:cs="宋体" w:eastAsia="宋体" w:hint="default"/>
                            <w:sz w:val="18"/>
                            <w:szCs w:val="18"/>
                          </w:rPr>
                        </w:pPr>
                        <w:r>
                          <w:rPr>
                            <w:rFonts w:ascii="宋体"/>
                            <w:sz w:val="18"/>
                          </w:rPr>
                          <w:t>6.6227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52,316.02</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5,251.50</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8" w:right="0"/>
                          <w:jc w:val="left"/>
                          <w:rPr>
                            <w:rFonts w:ascii="宋体" w:hAnsi="宋体" w:cs="宋体" w:eastAsia="宋体" w:hint="default"/>
                            <w:sz w:val="18"/>
                            <w:szCs w:val="18"/>
                          </w:rPr>
                        </w:pPr>
                        <w:r>
                          <w:rPr>
                            <w:rFonts w:ascii="宋体"/>
                            <w:sz w:val="18"/>
                          </w:rPr>
                          <w:t>6.8282</w:t>
                        </w: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35,858.29</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日元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190,358.00</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7" w:right="0"/>
                          <w:jc w:val="left"/>
                          <w:rPr>
                            <w:rFonts w:ascii="宋体" w:hAnsi="宋体" w:cs="宋体" w:eastAsia="宋体" w:hint="default"/>
                            <w:sz w:val="18"/>
                            <w:szCs w:val="18"/>
                          </w:rPr>
                        </w:pPr>
                        <w:r>
                          <w:rPr>
                            <w:rFonts w:ascii="宋体"/>
                            <w:sz w:val="18"/>
                          </w:rPr>
                          <w:t>0.0813</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15,468.49</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190,358.00</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18"/>
                            <w:szCs w:val="18"/>
                          </w:rPr>
                        </w:pPr>
                        <w:r>
                          <w:rPr>
                            <w:rFonts w:ascii="宋体"/>
                            <w:sz w:val="18"/>
                          </w:rPr>
                          <w:t>0.0738</w:t>
                        </w: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宋体" w:hAnsi="宋体" w:cs="宋体" w:eastAsia="宋体" w:hint="default"/>
                            <w:sz w:val="18"/>
                            <w:szCs w:val="18"/>
                          </w:rPr>
                        </w:pPr>
                        <w:r>
                          <w:rPr>
                            <w:rFonts w:ascii="宋体"/>
                            <w:spacing w:val="-1"/>
                            <w:sz w:val="18"/>
                          </w:rPr>
                          <w:t>14,044.99</w:t>
                        </w:r>
                      </w:p>
                    </w:tc>
                  </w:tr>
                  <w:tr>
                    <w:trPr>
                      <w:trHeight w:val="341"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欧元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2,540.00</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left"/>
                          <w:rPr>
                            <w:rFonts w:ascii="宋体" w:hAnsi="宋体" w:cs="宋体" w:eastAsia="宋体" w:hint="default"/>
                            <w:sz w:val="18"/>
                            <w:szCs w:val="18"/>
                          </w:rPr>
                        </w:pPr>
                        <w:r>
                          <w:rPr>
                            <w:rFonts w:ascii="宋体"/>
                            <w:sz w:val="18"/>
                          </w:rPr>
                          <w:t>8.8065</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22,368.51</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2,885.00</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8" w:right="0"/>
                          <w:jc w:val="left"/>
                          <w:rPr>
                            <w:rFonts w:ascii="宋体" w:hAnsi="宋体" w:cs="宋体" w:eastAsia="宋体" w:hint="default"/>
                            <w:sz w:val="18"/>
                            <w:szCs w:val="18"/>
                          </w:rPr>
                        </w:pPr>
                        <w:r>
                          <w:rPr>
                            <w:rFonts w:ascii="宋体"/>
                            <w:sz w:val="18"/>
                          </w:rPr>
                          <w:t>9.8073</w:t>
                        </w: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28,264.63</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pacing w:val="-1"/>
                            <w:sz w:val="18"/>
                          </w:rPr>
                          <w:t>387,327,159.85</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9"/>
                          <w:jc w:val="right"/>
                          <w:rPr>
                            <w:rFonts w:ascii="宋体" w:hAnsi="宋体" w:cs="宋体" w:eastAsia="宋体" w:hint="default"/>
                            <w:sz w:val="18"/>
                            <w:szCs w:val="18"/>
                          </w:rPr>
                        </w:pPr>
                        <w:r>
                          <w:rPr>
                            <w:rFonts w:ascii="宋体"/>
                            <w:spacing w:val="-1"/>
                            <w:sz w:val="18"/>
                          </w:rPr>
                          <w:t>167,248,419.33</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人民币</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center"/>
                          <w:rPr>
                            <w:rFonts w:ascii="宋体" w:hAnsi="宋体" w:cs="宋体" w:eastAsia="宋体" w:hint="default"/>
                            <w:sz w:val="18"/>
                            <w:szCs w:val="18"/>
                          </w:rPr>
                        </w:pPr>
                        <w:r>
                          <w:rPr>
                            <w:rFonts w:ascii="宋体" w:hAnsi="宋体" w:cs="宋体" w:eastAsia="宋体" w:hint="default"/>
                            <w:sz w:val="18"/>
                            <w:szCs w:val="18"/>
                          </w:rPr>
                          <w:t>—</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6"/>
                          <w:jc w:val="right"/>
                          <w:rPr>
                            <w:rFonts w:ascii="宋体" w:hAnsi="宋体" w:cs="宋体" w:eastAsia="宋体" w:hint="default"/>
                            <w:sz w:val="18"/>
                            <w:szCs w:val="18"/>
                          </w:rPr>
                        </w:pPr>
                        <w:r>
                          <w:rPr>
                            <w:rFonts w:ascii="宋体"/>
                            <w:spacing w:val="-1"/>
                            <w:sz w:val="18"/>
                          </w:rPr>
                          <w:t>386,593,539.95</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center"/>
                          <w:rPr>
                            <w:rFonts w:ascii="宋体" w:hAnsi="宋体" w:cs="宋体" w:eastAsia="宋体" w:hint="default"/>
                            <w:sz w:val="18"/>
                            <w:szCs w:val="18"/>
                          </w:rPr>
                        </w:pPr>
                        <w:r>
                          <w:rPr>
                            <w:rFonts w:ascii="宋体" w:hAnsi="宋体" w:cs="宋体" w:eastAsia="宋体" w:hint="default"/>
                            <w:sz w:val="18"/>
                            <w:szCs w:val="18"/>
                          </w:rPr>
                          <w:t>—</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9"/>
                          <w:jc w:val="right"/>
                          <w:rPr>
                            <w:rFonts w:ascii="宋体" w:hAnsi="宋体" w:cs="宋体" w:eastAsia="宋体" w:hint="default"/>
                            <w:sz w:val="18"/>
                            <w:szCs w:val="18"/>
                          </w:rPr>
                        </w:pPr>
                        <w:r>
                          <w:rPr>
                            <w:rFonts w:ascii="宋体"/>
                            <w:spacing w:val="-1"/>
                            <w:sz w:val="18"/>
                          </w:rPr>
                          <w:t>166,151,322.67</w:t>
                        </w:r>
                      </w:p>
                    </w:tc>
                  </w:tr>
                  <w:tr>
                    <w:trPr>
                      <w:trHeight w:val="341"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美元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109,256.40</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left"/>
                          <w:rPr>
                            <w:rFonts w:ascii="宋体" w:hAnsi="宋体" w:cs="宋体" w:eastAsia="宋体" w:hint="default"/>
                            <w:sz w:val="18"/>
                            <w:szCs w:val="18"/>
                          </w:rPr>
                        </w:pPr>
                        <w:r>
                          <w:rPr>
                            <w:rFonts w:ascii="宋体"/>
                            <w:sz w:val="18"/>
                          </w:rPr>
                          <w:t>6.6227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723,572.37</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160,671.43</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8" w:right="0"/>
                          <w:jc w:val="left"/>
                          <w:rPr>
                            <w:rFonts w:ascii="宋体" w:hAnsi="宋体" w:cs="宋体" w:eastAsia="宋体" w:hint="default"/>
                            <w:sz w:val="18"/>
                            <w:szCs w:val="18"/>
                          </w:rPr>
                        </w:pPr>
                        <w:r>
                          <w:rPr>
                            <w:rFonts w:ascii="宋体"/>
                            <w:sz w:val="18"/>
                          </w:rPr>
                          <w:t>6.8282</w:t>
                        </w: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pacing w:val="-1"/>
                            <w:sz w:val="18"/>
                          </w:rPr>
                          <w:t>1,097,096.66</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日元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123,600.00</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left"/>
                          <w:rPr>
                            <w:rFonts w:ascii="宋体" w:hAnsi="宋体" w:cs="宋体" w:eastAsia="宋体" w:hint="default"/>
                            <w:sz w:val="18"/>
                            <w:szCs w:val="18"/>
                          </w:rPr>
                        </w:pPr>
                        <w:r>
                          <w:rPr>
                            <w:rFonts w:ascii="宋体"/>
                            <w:sz w:val="18"/>
                          </w:rPr>
                          <w:t>0.0813</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10,043.74</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新加坡元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z w:val="18"/>
                          </w:rPr>
                          <w:t>0.74</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7" w:right="0"/>
                          <w:jc w:val="left"/>
                          <w:rPr>
                            <w:rFonts w:ascii="宋体" w:hAnsi="宋体" w:cs="宋体" w:eastAsia="宋体" w:hint="default"/>
                            <w:sz w:val="18"/>
                            <w:szCs w:val="18"/>
                          </w:rPr>
                        </w:pPr>
                        <w:r>
                          <w:rPr>
                            <w:rFonts w:ascii="宋体"/>
                            <w:sz w:val="18"/>
                          </w:rPr>
                          <w:t>5.1216</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z w:val="18"/>
                          </w:rPr>
                          <w:t>3.79</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341"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pacing w:val="-1"/>
                            <w:sz w:val="18"/>
                          </w:rPr>
                          <w:t>22,285,075.42</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32,072,629.06</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人民币</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center"/>
                          <w:rPr>
                            <w:rFonts w:ascii="宋体" w:hAnsi="宋体" w:cs="宋体" w:eastAsia="宋体" w:hint="default"/>
                            <w:sz w:val="18"/>
                            <w:szCs w:val="18"/>
                          </w:rPr>
                        </w:pPr>
                        <w:r>
                          <w:rPr>
                            <w:rFonts w:ascii="宋体" w:hAnsi="宋体" w:cs="宋体" w:eastAsia="宋体" w:hint="default"/>
                            <w:sz w:val="18"/>
                            <w:szCs w:val="18"/>
                          </w:rPr>
                          <w:t>—</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pacing w:val="-1"/>
                            <w:sz w:val="18"/>
                          </w:rPr>
                          <w:t>19,060,478.00</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center"/>
                          <w:rPr>
                            <w:rFonts w:ascii="宋体" w:hAnsi="宋体" w:cs="宋体" w:eastAsia="宋体" w:hint="default"/>
                            <w:sz w:val="18"/>
                            <w:szCs w:val="18"/>
                          </w:rPr>
                        </w:pPr>
                        <w:r>
                          <w:rPr>
                            <w:rFonts w:ascii="宋体" w:hAnsi="宋体" w:cs="宋体" w:eastAsia="宋体" w:hint="default"/>
                            <w:sz w:val="18"/>
                            <w:szCs w:val="18"/>
                          </w:rPr>
                          <w:t>—</w:t>
                        </w: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32,072,629.06</w:t>
                        </w:r>
                      </w:p>
                    </w:tc>
                  </w:tr>
                  <w:tr>
                    <w:trPr>
                      <w:trHeight w:val="340"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英镑</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12,118.28</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6" w:right="0"/>
                          <w:jc w:val="left"/>
                          <w:rPr>
                            <w:rFonts w:ascii="宋体" w:hAnsi="宋体" w:cs="宋体" w:eastAsia="宋体" w:hint="default"/>
                            <w:sz w:val="18"/>
                            <w:szCs w:val="18"/>
                          </w:rPr>
                        </w:pPr>
                        <w:r>
                          <w:rPr>
                            <w:rFonts w:ascii="宋体"/>
                            <w:sz w:val="18"/>
                          </w:rPr>
                          <w:t>10.2182</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123,827.01</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298"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欧元</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352,100.20</w:t>
                        </w: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 w:right="0"/>
                          <w:jc w:val="left"/>
                          <w:rPr>
                            <w:rFonts w:ascii="宋体" w:hAnsi="宋体" w:cs="宋体" w:eastAsia="宋体" w:hint="default"/>
                            <w:sz w:val="18"/>
                            <w:szCs w:val="18"/>
                          </w:rPr>
                        </w:pPr>
                        <w:r>
                          <w:rPr>
                            <w:rFonts w:ascii="宋体"/>
                            <w:sz w:val="18"/>
                          </w:rPr>
                          <w:t>8.8065</w:t>
                        </w:r>
                      </w:p>
                    </w:tc>
                    <w:tc>
                      <w:tcPr>
                        <w:tcW w:w="1443"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3,100,770.41</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8" w:space="0" w:color="000000"/>
                          <w:right w:val="nil" w:sz="6" w:space="0" w:color="auto"/>
                        </w:tcBorders>
                      </w:tcPr>
                      <w:p>
                        <w:pPr/>
                      </w:p>
                    </w:tc>
                  </w:tr>
                  <w:tr>
                    <w:trPr>
                      <w:trHeight w:val="374"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1443"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6"/>
                          <w:jc w:val="right"/>
                          <w:rPr>
                            <w:rFonts w:ascii="宋体" w:hAnsi="宋体" w:cs="宋体" w:eastAsia="宋体" w:hint="default"/>
                            <w:sz w:val="18"/>
                            <w:szCs w:val="18"/>
                          </w:rPr>
                        </w:pPr>
                        <w:r>
                          <w:rPr>
                            <w:rFonts w:ascii="宋体"/>
                            <w:spacing w:val="-1"/>
                            <w:sz w:val="18"/>
                          </w:rPr>
                          <w:t>409,824,815.84</w:t>
                        </w:r>
                      </w:p>
                    </w:tc>
                    <w:tc>
                      <w:tcPr>
                        <w:tcW w:w="30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61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9"/>
                          <w:jc w:val="right"/>
                          <w:rPr>
                            <w:rFonts w:ascii="宋体" w:hAnsi="宋体" w:cs="宋体" w:eastAsia="宋体" w:hint="default"/>
                            <w:sz w:val="18"/>
                            <w:szCs w:val="18"/>
                          </w:rPr>
                        </w:pPr>
                        <w:r>
                          <w:rPr>
                            <w:rFonts w:ascii="宋体"/>
                            <w:spacing w:val="-1"/>
                            <w:sz w:val="18"/>
                          </w:rPr>
                          <w:t>199,616,086.89</w:t>
                        </w:r>
                      </w:p>
                    </w:tc>
                  </w:tr>
                </w:tbl>
                <w:p>
                  <w:pPr/>
                </w:p>
              </w:txbxContent>
            </v:textbox>
            <w10:wrap type="none"/>
          </v:shape>
        </w:pict>
      </w:r>
      <w:r>
        <w:rPr/>
        <w:t>月</w:t>
      </w:r>
      <w:r>
        <w:rPr>
          <w:spacing w:val="-60"/>
        </w:rPr>
        <w:t> </w:t>
      </w:r>
      <w:r>
        <w:rPr>
          <w:rFonts w:ascii="宋体" w:hAnsi="宋体" w:cs="宋体" w:eastAsia="宋体" w:hint="default"/>
        </w:rPr>
        <w:t>1</w:t>
      </w:r>
      <w:r>
        <w:rPr>
          <w:rFonts w:ascii="宋体" w:hAnsi="宋体" w:cs="宋体" w:eastAsia="宋体" w:hint="default"/>
          <w:spacing w:val="-61"/>
        </w:rPr>
        <w:t> </w:t>
      </w:r>
      <w:r>
        <w:rPr/>
        <w:t>日，期末指</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w:t>
      </w:r>
      <w:r>
        <w:rPr>
          <w:rFonts w:ascii="Times New Roman" w:hAnsi="Times New Roman" w:cs="Times New Roman" w:eastAsia="Times New Roman" w:hint="default"/>
          <w:b/>
          <w:bCs/>
          <w:spacing w:val="3"/>
        </w:rPr>
        <w:t>1</w:t>
      </w:r>
      <w:r>
        <w:rPr>
          <w:rFonts w:ascii="Microsoft JhengHei" w:hAnsi="Microsoft JhengHei" w:cs="Microsoft JhengHei" w:eastAsia="Microsoft JhengHei" w:hint="default"/>
          <w:b/>
          <w:bCs/>
          <w:spacing w:val="3"/>
        </w:rPr>
        <w:t>、货币资金</w:t>
      </w:r>
      <w:r>
        <w:rPr>
          <w:rFonts w:ascii="Microsoft JhengHei" w:hAnsi="Microsoft JhengHei" w:cs="Microsoft JhengHei" w:eastAsia="Microsoft JhengHei" w:hint="default"/>
          <w:spacing w:val="3"/>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9"/>
          <w:szCs w:val="19"/>
        </w:rPr>
      </w:pPr>
    </w:p>
    <w:p>
      <w:pPr>
        <w:pStyle w:val="Heading2"/>
        <w:spacing w:line="367" w:lineRule="exact"/>
        <w:ind w:left="622" w:right="0"/>
        <w:jc w:val="left"/>
        <w:rPr>
          <w:b w:val="0"/>
          <w:bCs w:val="0"/>
        </w:rPr>
      </w:pPr>
      <w:r>
        <w:rPr>
          <w:rFonts w:ascii="Times New Roman" w:hAnsi="Times New Roman" w:cs="Times New Roman" w:eastAsia="Times New Roman" w:hint="default"/>
          <w:spacing w:val="3"/>
        </w:rPr>
        <w:t>2</w:t>
      </w:r>
      <w:r>
        <w:rPr>
          <w:spacing w:val="3"/>
        </w:rPr>
        <w:t>、应收票据</w:t>
      </w:r>
      <w:r>
        <w:rPr>
          <w:b w:val="0"/>
          <w:bCs w:val="0"/>
          <w:spacing w:val="3"/>
        </w:rPr>
      </w:r>
    </w:p>
    <w:p>
      <w:pPr>
        <w:pStyle w:val="BodyText"/>
        <w:spacing w:line="240" w:lineRule="auto" w:before="64"/>
        <w:ind w:left="622" w:right="0"/>
        <w:jc w:val="left"/>
      </w:pPr>
      <w:r>
        <w:rPr/>
        <w:t>⑴应收票据分类</w:t>
      </w:r>
    </w:p>
    <w:p>
      <w:pPr>
        <w:spacing w:line="240" w:lineRule="auto" w:before="6"/>
        <w:rPr>
          <w:rFonts w:ascii="宋体" w:hAnsi="宋体" w:cs="宋体" w:eastAsia="宋体" w:hint="default"/>
          <w:sz w:val="8"/>
          <w:szCs w:val="8"/>
        </w:rPr>
      </w:pPr>
    </w:p>
    <w:tbl>
      <w:tblPr>
        <w:tblW w:w="0" w:type="auto"/>
        <w:jc w:val="left"/>
        <w:tblInd w:w="142" w:type="dxa"/>
        <w:tblLayout w:type="fixed"/>
        <w:tblCellMar>
          <w:top w:w="0" w:type="dxa"/>
          <w:left w:w="0" w:type="dxa"/>
          <w:bottom w:w="0" w:type="dxa"/>
          <w:right w:w="0" w:type="dxa"/>
        </w:tblCellMar>
        <w:tblLook w:val="01E0"/>
      </w:tblPr>
      <w:tblGrid>
        <w:gridCol w:w="2758"/>
        <w:gridCol w:w="651"/>
        <w:gridCol w:w="2300"/>
        <w:gridCol w:w="794"/>
        <w:gridCol w:w="2374"/>
      </w:tblGrid>
      <w:tr>
        <w:trPr>
          <w:trHeight w:val="287" w:hRule="exact"/>
        </w:trPr>
        <w:tc>
          <w:tcPr>
            <w:tcW w:w="2758" w:type="dxa"/>
            <w:tcBorders>
              <w:top w:val="nil" w:sz="6" w:space="0" w:color="auto"/>
              <w:left w:val="nil" w:sz="6" w:space="0" w:color="auto"/>
              <w:bottom w:val="single" w:sz="8" w:space="0" w:color="000000"/>
              <w:right w:val="nil" w:sz="6" w:space="0" w:color="auto"/>
            </w:tcBorders>
          </w:tcPr>
          <w:p>
            <w:pPr>
              <w:pStyle w:val="TableParagraph"/>
              <w:spacing w:line="211" w:lineRule="exact"/>
              <w:ind w:right="1164"/>
              <w:jc w:val="right"/>
              <w:rPr>
                <w:rFonts w:ascii="宋体" w:hAnsi="宋体" w:cs="宋体" w:eastAsia="宋体" w:hint="default"/>
                <w:sz w:val="21"/>
                <w:szCs w:val="21"/>
              </w:rPr>
            </w:pPr>
            <w:r>
              <w:rPr>
                <w:rFonts w:ascii="宋体" w:hAnsi="宋体" w:cs="宋体" w:eastAsia="宋体" w:hint="default"/>
                <w:sz w:val="21"/>
                <w:szCs w:val="21"/>
              </w:rPr>
              <w:t>种类</w:t>
            </w:r>
          </w:p>
        </w:tc>
        <w:tc>
          <w:tcPr>
            <w:tcW w:w="651"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8" w:space="0" w:color="000000"/>
              <w:right w:val="nil" w:sz="6" w:space="0" w:color="auto"/>
            </w:tcBorders>
          </w:tcPr>
          <w:p>
            <w:pPr>
              <w:pStyle w:val="TableParagraph"/>
              <w:spacing w:line="245"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79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8" w:space="0" w:color="000000"/>
              <w:right w:val="nil" w:sz="6" w:space="0" w:color="auto"/>
            </w:tcBorders>
          </w:tcPr>
          <w:p>
            <w:pPr>
              <w:pStyle w:val="TableParagraph"/>
              <w:spacing w:line="245"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2758"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651" w:type="dxa"/>
            <w:tcBorders>
              <w:top w:val="nil" w:sz="6" w:space="0" w:color="auto"/>
              <w:left w:val="nil" w:sz="6" w:space="0" w:color="auto"/>
              <w:bottom w:val="nil" w:sz="6" w:space="0" w:color="auto"/>
              <w:right w:val="nil" w:sz="6" w:space="0" w:color="auto"/>
            </w:tcBorders>
          </w:tcPr>
          <w:p>
            <w:pPr/>
          </w:p>
        </w:tc>
        <w:tc>
          <w:tcPr>
            <w:tcW w:w="2300"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403,600.00</w:t>
            </w:r>
          </w:p>
        </w:tc>
        <w:tc>
          <w:tcPr>
            <w:tcW w:w="794" w:type="dxa"/>
            <w:tcBorders>
              <w:top w:val="nil" w:sz="6" w:space="0" w:color="auto"/>
              <w:left w:val="nil" w:sz="6" w:space="0" w:color="auto"/>
              <w:bottom w:val="nil" w:sz="6" w:space="0" w:color="auto"/>
              <w:right w:val="nil" w:sz="6" w:space="0" w:color="auto"/>
            </w:tcBorders>
          </w:tcPr>
          <w:p>
            <w:pPr/>
          </w:p>
        </w:tc>
        <w:tc>
          <w:tcPr>
            <w:tcW w:w="2374" w:type="dxa"/>
            <w:tcBorders>
              <w:top w:val="single" w:sz="8" w:space="0" w:color="000000"/>
              <w:left w:val="nil" w:sz="6" w:space="0" w:color="auto"/>
              <w:bottom w:val="single" w:sz="8" w:space="0" w:color="000000"/>
              <w:right w:val="nil" w:sz="6" w:space="0" w:color="auto"/>
            </w:tcBorders>
          </w:tcPr>
          <w:p>
            <w:pPr/>
          </w:p>
        </w:tc>
      </w:tr>
      <w:tr>
        <w:trPr>
          <w:trHeight w:val="372"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4"/>
              <w:jc w:val="right"/>
              <w:rPr>
                <w:rFonts w:ascii="宋体" w:hAnsi="宋体" w:cs="宋体" w:eastAsia="宋体" w:hint="default"/>
                <w:sz w:val="21"/>
                <w:szCs w:val="21"/>
              </w:rPr>
            </w:pPr>
            <w:r>
              <w:rPr>
                <w:rFonts w:ascii="宋体" w:hAnsi="宋体" w:cs="宋体" w:eastAsia="宋体" w:hint="default"/>
                <w:sz w:val="21"/>
                <w:szCs w:val="21"/>
              </w:rPr>
              <w:t>合计</w:t>
            </w:r>
          </w:p>
        </w:tc>
        <w:tc>
          <w:tcPr>
            <w:tcW w:w="651" w:type="dxa"/>
            <w:tcBorders>
              <w:top w:val="nil" w:sz="6" w:space="0" w:color="auto"/>
              <w:left w:val="nil" w:sz="6" w:space="0" w:color="auto"/>
              <w:bottom w:val="nil" w:sz="6" w:space="0" w:color="auto"/>
              <w:right w:val="nil" w:sz="6" w:space="0" w:color="auto"/>
            </w:tcBorders>
          </w:tcPr>
          <w:p>
            <w:pPr/>
          </w:p>
        </w:tc>
        <w:tc>
          <w:tcPr>
            <w:tcW w:w="2300"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403,600.00</w:t>
            </w:r>
          </w:p>
        </w:tc>
        <w:tc>
          <w:tcPr>
            <w:tcW w:w="794" w:type="dxa"/>
            <w:tcBorders>
              <w:top w:val="nil" w:sz="6" w:space="0" w:color="auto"/>
              <w:left w:val="nil" w:sz="6" w:space="0" w:color="auto"/>
              <w:bottom w:val="nil" w:sz="6" w:space="0" w:color="auto"/>
              <w:right w:val="nil" w:sz="6" w:space="0" w:color="auto"/>
            </w:tcBorders>
          </w:tcPr>
          <w:p>
            <w:pPr/>
          </w:p>
        </w:tc>
        <w:tc>
          <w:tcPr>
            <w:tcW w:w="2374" w:type="dxa"/>
            <w:tcBorders>
              <w:top w:val="single" w:sz="8" w:space="0" w:color="000000"/>
              <w:left w:val="nil" w:sz="6" w:space="0" w:color="auto"/>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6"/>
        <w:ind w:left="622" w:right="0"/>
        <w:jc w:val="left"/>
      </w:pPr>
      <w:r>
        <w:rPr/>
        <w:t>⑵期末已经背书给其他方但尚未到期的票据情况（金额最大的前五项）</w:t>
      </w:r>
    </w:p>
    <w:p>
      <w:pPr>
        <w:spacing w:line="240" w:lineRule="auto" w:before="11"/>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717"/>
        <w:gridCol w:w="300"/>
        <w:gridCol w:w="2024"/>
        <w:gridCol w:w="300"/>
        <w:gridCol w:w="1786"/>
        <w:gridCol w:w="253"/>
        <w:gridCol w:w="1498"/>
      </w:tblGrid>
      <w:tr>
        <w:trPr>
          <w:trHeight w:val="287" w:hRule="exact"/>
        </w:trPr>
        <w:tc>
          <w:tcPr>
            <w:tcW w:w="2717"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8" w:space="0" w:color="000000"/>
              <w:right w:val="nil" w:sz="6" w:space="0" w:color="auto"/>
            </w:tcBorders>
          </w:tcPr>
          <w:p>
            <w:pPr>
              <w:pStyle w:val="TableParagraph"/>
              <w:spacing w:line="211" w:lineRule="exact"/>
              <w:ind w:left="590"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8" w:space="0" w:color="000000"/>
              <w:right w:val="nil" w:sz="6" w:space="0" w:color="auto"/>
            </w:tcBorders>
          </w:tcPr>
          <w:p>
            <w:pPr>
              <w:pStyle w:val="TableParagraph"/>
              <w:spacing w:line="211" w:lineRule="exact"/>
              <w:ind w:left="57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9" w:hRule="exact"/>
        </w:trPr>
        <w:tc>
          <w:tcPr>
            <w:tcW w:w="2717"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single" w:sz="8"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single" w:sz="8" w:space="0" w:color="000000"/>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1,700,000.00</w:t>
            </w:r>
          </w:p>
        </w:tc>
      </w:tr>
      <w:tr>
        <w:trPr>
          <w:trHeight w:val="341"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1,270,000.00</w:t>
            </w:r>
          </w:p>
        </w:tc>
      </w:tr>
      <w:tr>
        <w:trPr>
          <w:trHeight w:val="34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715,580.62</w:t>
            </w:r>
          </w:p>
        </w:tc>
      </w:tr>
      <w:tr>
        <w:trPr>
          <w:trHeight w:val="34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600,000.00</w:t>
            </w:r>
          </w:p>
        </w:tc>
      </w:tr>
      <w:tr>
        <w:trPr>
          <w:trHeight w:val="347"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600,000.00</w:t>
            </w:r>
          </w:p>
        </w:tc>
      </w:tr>
      <w:tr>
        <w:trPr>
          <w:trHeight w:val="36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4,885,580.62</w:t>
            </w:r>
          </w:p>
        </w:tc>
      </w:tr>
    </w:tbl>
    <w:p>
      <w:pPr>
        <w:spacing w:after="0" w:line="274" w:lineRule="exact"/>
        <w:jc w:val="right"/>
        <w:rPr>
          <w:rFonts w:ascii="宋体" w:hAnsi="宋体" w:cs="宋体" w:eastAsia="宋体" w:hint="default"/>
          <w:sz w:val="21"/>
          <w:szCs w:val="21"/>
        </w:rPr>
        <w:sectPr>
          <w:headerReference w:type="default" r:id="rId35"/>
          <w:footerReference w:type="default" r:id="rId36"/>
          <w:pgSz w:w="11910" w:h="16840"/>
          <w:pgMar w:header="840" w:footer="1239" w:top="1160" w:bottom="1420" w:left="1480" w:right="1180"/>
          <w:pgNumType w:start="82"/>
        </w:sectPr>
      </w:pPr>
    </w:p>
    <w:p>
      <w:pPr>
        <w:spacing w:line="240" w:lineRule="auto" w:before="6"/>
        <w:rPr>
          <w:rFonts w:ascii="宋体" w:hAnsi="宋体" w:cs="宋体" w:eastAsia="宋体" w:hint="default"/>
          <w:sz w:val="24"/>
          <w:szCs w:val="24"/>
        </w:rPr>
      </w:pPr>
    </w:p>
    <w:p>
      <w:pPr>
        <w:pStyle w:val="Heading2"/>
        <w:spacing w:line="367" w:lineRule="exact"/>
        <w:ind w:left="622" w:right="0"/>
        <w:jc w:val="left"/>
        <w:rPr>
          <w:b w:val="0"/>
          <w:bCs w:val="0"/>
        </w:rPr>
      </w:pPr>
      <w:r>
        <w:rPr>
          <w:rFonts w:ascii="Times New Roman" w:hAnsi="Times New Roman" w:cs="Times New Roman" w:eastAsia="Times New Roman" w:hint="default"/>
          <w:spacing w:val="3"/>
        </w:rPr>
        <w:t>3</w:t>
      </w:r>
      <w:r>
        <w:rPr>
          <w:spacing w:val="3"/>
        </w:rPr>
        <w:t>、应收账款</w:t>
      </w:r>
      <w:r>
        <w:rPr>
          <w:b w:val="0"/>
          <w:bCs w:val="0"/>
          <w:spacing w:val="3"/>
        </w:rPr>
      </w:r>
    </w:p>
    <w:p>
      <w:pPr>
        <w:pStyle w:val="BodyText"/>
        <w:tabs>
          <w:tab w:pos="1102" w:val="left" w:leader="none"/>
        </w:tabs>
        <w:spacing w:line="240" w:lineRule="auto" w:before="210"/>
        <w:ind w:left="622" w:right="0"/>
        <w:jc w:val="left"/>
      </w:pPr>
      <w:r>
        <w:rPr/>
        <w:t>⑴</w:t>
        <w:tab/>
        <w:t>应收账款按种类列示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1170" w:firstLine="0"/>
        <w:jc w:val="right"/>
        <w:rPr>
          <w:rFonts w:ascii="宋体" w:hAnsi="宋体" w:cs="宋体" w:eastAsia="宋体" w:hint="default"/>
          <w:sz w:val="18"/>
          <w:szCs w:val="18"/>
        </w:rPr>
      </w:pPr>
      <w:r>
        <w:rPr/>
        <w:pict>
          <v:shape style="position:absolute;margin-left:80.424004pt;margin-top:-15.222669pt;width:446pt;height:259.9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1"/>
                    <w:gridCol w:w="221"/>
                    <w:gridCol w:w="1608"/>
                    <w:gridCol w:w="847"/>
                    <w:gridCol w:w="228"/>
                    <w:gridCol w:w="1304"/>
                    <w:gridCol w:w="231"/>
                    <w:gridCol w:w="780"/>
                  </w:tblGrid>
                  <w:tr>
                    <w:trPr>
                      <w:trHeight w:val="217" w:hRule="exact"/>
                    </w:trPr>
                    <w:tc>
                      <w:tcPr>
                        <w:tcW w:w="8920"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right="2228"/>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3701"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7" w:type="dxa"/>
                        <w:tcBorders>
                          <w:top w:val="single" w:sz="8" w:space="0" w:color="000000"/>
                          <w:left w:val="nil" w:sz="6" w:space="0" w:color="auto"/>
                          <w:bottom w:val="single" w:sz="8" w:space="0" w:color="000000"/>
                          <w:right w:val="nil" w:sz="6" w:space="0" w:color="auto"/>
                        </w:tcBorders>
                      </w:tcPr>
                      <w:p>
                        <w:pPr/>
                      </w:p>
                    </w:tc>
                    <w:tc>
                      <w:tcPr>
                        <w:tcW w:w="22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99"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3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1"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80" w:type="dxa"/>
                        <w:tcBorders>
                          <w:top w:val="single" w:sz="8" w:space="0" w:color="000000"/>
                          <w:left w:val="nil" w:sz="6" w:space="0" w:color="auto"/>
                          <w:bottom w:val="single" w:sz="8" w:space="0" w:color="000000"/>
                          <w:right w:val="nil" w:sz="6" w:space="0" w:color="auto"/>
                        </w:tcBorders>
                      </w:tcPr>
                      <w:p>
                        <w:pPr/>
                      </w:p>
                    </w:tc>
                  </w:tr>
                  <w:tr>
                    <w:trPr>
                      <w:trHeight w:val="355" w:hRule="exact"/>
                    </w:trPr>
                    <w:tc>
                      <w:tcPr>
                        <w:tcW w:w="3701"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5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1" w:type="dxa"/>
                        <w:tcBorders>
                          <w:top w:val="single" w:sz="8" w:space="0" w:color="000000"/>
                          <w:left w:val="nil" w:sz="6" w:space="0" w:color="auto"/>
                          <w:bottom w:val="nil" w:sz="6" w:space="0" w:color="auto"/>
                          <w:right w:val="nil" w:sz="6" w:space="0" w:color="auto"/>
                        </w:tcBorders>
                      </w:tcPr>
                      <w:p>
                        <w:pPr/>
                      </w:p>
                    </w:tc>
                    <w:tc>
                      <w:tcPr>
                        <w:tcW w:w="78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7" w:hRule="exact"/>
                    </w:trPr>
                    <w:tc>
                      <w:tcPr>
                        <w:tcW w:w="892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34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sz w:val="18"/>
                          </w:rPr>
                          <w:t>63,439,532.71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sz w:val="18"/>
                          </w:rPr>
                          <w:t>100.00%</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3,199,736.81</w:t>
                        </w:r>
                      </w:p>
                    </w:tc>
                    <w:tc>
                      <w:tcPr>
                        <w:tcW w:w="231"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5.04%</w:t>
                        </w:r>
                      </w:p>
                    </w:tc>
                  </w:tr>
                  <w:tr>
                    <w:trPr>
                      <w:trHeight w:val="293" w:hRule="exact"/>
                    </w:trPr>
                    <w:tc>
                      <w:tcPr>
                        <w:tcW w:w="892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67"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211" w:right="0"/>
                          <w:jc w:val="left"/>
                          <w:rPr>
                            <w:rFonts w:ascii="宋体" w:hAnsi="宋体" w:cs="宋体" w:eastAsia="宋体" w:hint="default"/>
                            <w:sz w:val="18"/>
                            <w:szCs w:val="18"/>
                          </w:rPr>
                        </w:pPr>
                        <w:r>
                          <w:rPr>
                            <w:rFonts w:ascii="宋体"/>
                            <w:sz w:val="18"/>
                          </w:rPr>
                          <w:t>63,439,532.71</w:t>
                        </w:r>
                      </w:p>
                    </w:tc>
                    <w:tc>
                      <w:tcPr>
                        <w:tcW w:w="847"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211" w:right="0"/>
                          <w:jc w:val="left"/>
                          <w:rPr>
                            <w:rFonts w:ascii="宋体" w:hAnsi="宋体" w:cs="宋体" w:eastAsia="宋体" w:hint="default"/>
                            <w:sz w:val="18"/>
                            <w:szCs w:val="18"/>
                          </w:rPr>
                        </w:pPr>
                        <w:r>
                          <w:rPr>
                            <w:rFonts w:ascii="宋体"/>
                            <w:sz w:val="18"/>
                          </w:rPr>
                          <w:t>100.00%</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3,199,736.81</w:t>
                        </w:r>
                      </w:p>
                    </w:tc>
                    <w:tc>
                      <w:tcPr>
                        <w:tcW w:w="231" w:type="dxa"/>
                        <w:tcBorders>
                          <w:top w:val="nil" w:sz="6" w:space="0" w:color="auto"/>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2"/>
                          <w:jc w:val="right"/>
                          <w:rPr>
                            <w:rFonts w:ascii="宋体" w:hAnsi="宋体" w:cs="宋体" w:eastAsia="宋体" w:hint="default"/>
                            <w:sz w:val="18"/>
                            <w:szCs w:val="18"/>
                          </w:rPr>
                        </w:pPr>
                        <w:r>
                          <w:rPr>
                            <w:rFonts w:ascii="宋体"/>
                            <w:sz w:val="18"/>
                          </w:rPr>
                          <w:t>5.04%</w:t>
                        </w:r>
                      </w:p>
                    </w:tc>
                  </w:tr>
                  <w:tr>
                    <w:trPr>
                      <w:trHeight w:val="713" w:hRule="exact"/>
                    </w:trPr>
                    <w:tc>
                      <w:tcPr>
                        <w:tcW w:w="8920"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28"/>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3701"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7" w:type="dxa"/>
                        <w:tcBorders>
                          <w:top w:val="single" w:sz="8" w:space="0" w:color="000000"/>
                          <w:left w:val="nil" w:sz="6" w:space="0" w:color="auto"/>
                          <w:bottom w:val="single" w:sz="8" w:space="0" w:color="000000"/>
                          <w:right w:val="nil" w:sz="6" w:space="0" w:color="auto"/>
                        </w:tcBorders>
                      </w:tcPr>
                      <w:p>
                        <w:pPr/>
                      </w:p>
                    </w:tc>
                    <w:tc>
                      <w:tcPr>
                        <w:tcW w:w="22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99"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3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1"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80" w:type="dxa"/>
                        <w:tcBorders>
                          <w:top w:val="single" w:sz="8" w:space="0" w:color="000000"/>
                          <w:left w:val="nil" w:sz="6" w:space="0" w:color="auto"/>
                          <w:bottom w:val="single" w:sz="8" w:space="0" w:color="000000"/>
                          <w:right w:val="nil" w:sz="6" w:space="0" w:color="auto"/>
                        </w:tcBorders>
                      </w:tcPr>
                      <w:p>
                        <w:pPr/>
                      </w:p>
                    </w:tc>
                  </w:tr>
                  <w:tr>
                    <w:trPr>
                      <w:trHeight w:val="355" w:hRule="exact"/>
                    </w:trPr>
                    <w:tc>
                      <w:tcPr>
                        <w:tcW w:w="3701"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5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1" w:type="dxa"/>
                        <w:tcBorders>
                          <w:top w:val="single" w:sz="8" w:space="0" w:color="000000"/>
                          <w:left w:val="nil" w:sz="6" w:space="0" w:color="auto"/>
                          <w:bottom w:val="nil" w:sz="6" w:space="0" w:color="auto"/>
                          <w:right w:val="nil" w:sz="6" w:space="0" w:color="auto"/>
                        </w:tcBorders>
                      </w:tcPr>
                      <w:p>
                        <w:pPr/>
                      </w:p>
                    </w:tc>
                    <w:tc>
                      <w:tcPr>
                        <w:tcW w:w="78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8" w:hRule="exact"/>
                    </w:trPr>
                    <w:tc>
                      <w:tcPr>
                        <w:tcW w:w="892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34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sz w:val="18"/>
                          </w:rPr>
                          <w:t>39,650,994.83</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sz w:val="18"/>
                          </w:rPr>
                          <w:t>100.00%</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2,016,227.14</w:t>
                        </w:r>
                      </w:p>
                    </w:tc>
                    <w:tc>
                      <w:tcPr>
                        <w:tcW w:w="231"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5.08%</w:t>
                        </w:r>
                      </w:p>
                    </w:tc>
                  </w:tr>
                  <w:tr>
                    <w:trPr>
                      <w:trHeight w:val="294" w:hRule="exact"/>
                    </w:trPr>
                    <w:tc>
                      <w:tcPr>
                        <w:tcW w:w="892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67"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11" w:right="0"/>
                          <w:jc w:val="left"/>
                          <w:rPr>
                            <w:rFonts w:ascii="宋体" w:hAnsi="宋体" w:cs="宋体" w:eastAsia="宋体" w:hint="default"/>
                            <w:sz w:val="18"/>
                            <w:szCs w:val="18"/>
                          </w:rPr>
                        </w:pPr>
                        <w:r>
                          <w:rPr>
                            <w:rFonts w:ascii="宋体"/>
                            <w:sz w:val="18"/>
                          </w:rPr>
                          <w:t>39,650,994.83</w:t>
                        </w:r>
                      </w:p>
                    </w:tc>
                    <w:tc>
                      <w:tcPr>
                        <w:tcW w:w="847" w:type="dxa"/>
                        <w:tcBorders>
                          <w:top w:val="single" w:sz="4" w:space="0" w:color="000000"/>
                          <w:left w:val="nil" w:sz="6" w:space="0" w:color="auto"/>
                          <w:bottom w:val="single" w:sz="17" w:space="0" w:color="000000"/>
                          <w:right w:val="nil" w:sz="6" w:space="0" w:color="auto"/>
                        </w:tcBorders>
                      </w:tcPr>
                      <w:p>
                        <w:pPr>
                          <w:pStyle w:val="TableParagraph"/>
                          <w:spacing w:line="240" w:lineRule="auto" w:before="75"/>
                          <w:ind w:left="211" w:right="0"/>
                          <w:jc w:val="left"/>
                          <w:rPr>
                            <w:rFonts w:ascii="宋体" w:hAnsi="宋体" w:cs="宋体" w:eastAsia="宋体" w:hint="default"/>
                            <w:sz w:val="18"/>
                            <w:szCs w:val="18"/>
                          </w:rPr>
                        </w:pPr>
                        <w:r>
                          <w:rPr>
                            <w:rFonts w:ascii="宋体"/>
                            <w:sz w:val="18"/>
                          </w:rPr>
                          <w:t>100.00%</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2,016,227.14</w:t>
                        </w:r>
                      </w:p>
                    </w:tc>
                    <w:tc>
                      <w:tcPr>
                        <w:tcW w:w="231" w:type="dxa"/>
                        <w:tcBorders>
                          <w:top w:val="nil" w:sz="6" w:space="0" w:color="auto"/>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75"/>
                          <w:ind w:right="2"/>
                          <w:jc w:val="right"/>
                          <w:rPr>
                            <w:rFonts w:ascii="宋体" w:hAnsi="宋体" w:cs="宋体" w:eastAsia="宋体" w:hint="default"/>
                            <w:sz w:val="18"/>
                            <w:szCs w:val="18"/>
                          </w:rPr>
                        </w:pPr>
                        <w:r>
                          <w:rPr>
                            <w:rFonts w:ascii="宋体"/>
                            <w:sz w:val="18"/>
                          </w:rPr>
                          <w:t>5.08%</w:t>
                        </w:r>
                      </w:p>
                    </w:tc>
                  </w:tr>
                </w:tbl>
                <w:p>
                  <w:pPr/>
                </w:p>
              </w:txbxContent>
            </v:textbox>
            <w10:wrap type="none"/>
          </v:shape>
        </w:pict>
      </w: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44"/>
        <w:ind w:left="0" w:right="1170" w:firstLine="0"/>
        <w:jc w:val="right"/>
        <w:rPr>
          <w:rFonts w:ascii="宋体" w:hAnsi="宋体" w:cs="宋体" w:eastAsia="宋体" w:hint="default"/>
          <w:sz w:val="18"/>
          <w:szCs w:val="18"/>
        </w:rPr>
      </w:pP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40" w:footer="1239" w:top="1160" w:bottom="1420" w:left="1480" w:right="1180"/>
        </w:sectPr>
      </w:pPr>
    </w:p>
    <w:p>
      <w:pPr>
        <w:pStyle w:val="BodyText"/>
        <w:tabs>
          <w:tab w:pos="1102" w:val="left" w:leader="none"/>
        </w:tabs>
        <w:spacing w:line="240" w:lineRule="auto" w:before="176"/>
        <w:ind w:left="622" w:right="-20"/>
        <w:jc w:val="left"/>
      </w:pPr>
      <w:r>
        <w:rPr/>
        <w:t>⑵</w:t>
        <w:tab/>
        <w:t>应收账款按账龄列示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0"/>
          <w:szCs w:val="20"/>
        </w:rPr>
      </w:pPr>
    </w:p>
    <w:p>
      <w:pPr>
        <w:tabs>
          <w:tab w:pos="3793" w:val="left" w:leader="none"/>
        </w:tabs>
        <w:spacing w:before="0"/>
        <w:ind w:left="212" w:right="0" w:firstLine="0"/>
        <w:jc w:val="left"/>
        <w:rPr>
          <w:rFonts w:ascii="宋体" w:hAnsi="宋体" w:cs="宋体" w:eastAsia="宋体" w:hint="default"/>
          <w:sz w:val="21"/>
          <w:szCs w:val="21"/>
        </w:rPr>
      </w:pPr>
      <w:r>
        <w:rPr/>
        <w:pict>
          <v:shape style="position:absolute;margin-left:80.424004pt;margin-top:12.188685pt;width:444.2pt;height:113.3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1"/>
                    <w:gridCol w:w="931"/>
                    <w:gridCol w:w="216"/>
                    <w:gridCol w:w="1849"/>
                    <w:gridCol w:w="223"/>
                    <w:gridCol w:w="1174"/>
                    <w:gridCol w:w="360"/>
                    <w:gridCol w:w="1908"/>
                    <w:gridCol w:w="228"/>
                    <w:gridCol w:w="1063"/>
                  </w:tblGrid>
                  <w:tr>
                    <w:trPr>
                      <w:trHeight w:val="467" w:hRule="exact"/>
                    </w:trPr>
                    <w:tc>
                      <w:tcPr>
                        <w:tcW w:w="931" w:type="dxa"/>
                        <w:tcBorders>
                          <w:top w:val="nil" w:sz="6" w:space="0" w:color="auto"/>
                          <w:left w:val="nil" w:sz="6" w:space="0" w:color="auto"/>
                          <w:bottom w:val="single" w:sz="8" w:space="0" w:color="000000"/>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w w:val="100"/>
                            <w:sz w:val="21"/>
                            <w:szCs w:val="21"/>
                          </w:rPr>
                          <w:t>项</w:t>
                        </w:r>
                      </w:p>
                    </w:tc>
                    <w:tc>
                      <w:tcPr>
                        <w:tcW w:w="931" w:type="dxa"/>
                        <w:tcBorders>
                          <w:top w:val="nil" w:sz="6" w:space="0" w:color="auto"/>
                          <w:left w:val="nil" w:sz="6" w:space="0" w:color="auto"/>
                          <w:bottom w:val="single" w:sz="8" w:space="0" w:color="000000"/>
                          <w:right w:val="nil" w:sz="6" w:space="0" w:color="auto"/>
                        </w:tcBorders>
                      </w:tcPr>
                      <w:p>
                        <w:pPr>
                          <w:pStyle w:val="TableParagraph"/>
                          <w:spacing w:line="211"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1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single" w:sz="8" w:space="0" w:color="000000"/>
                          <w:right w:val="nil" w:sz="6" w:space="0" w:color="auto"/>
                        </w:tcBorders>
                      </w:tcPr>
                      <w:p>
                        <w:pPr>
                          <w:pStyle w:val="TableParagraph"/>
                          <w:spacing w:line="240" w:lineRule="auto" w:before="152"/>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3"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8" w:space="0" w:color="000000"/>
                          <w:right w:val="nil" w:sz="6" w:space="0" w:color="auto"/>
                        </w:tcBorders>
                      </w:tcPr>
                      <w:p>
                        <w:pPr>
                          <w:pStyle w:val="TableParagraph"/>
                          <w:spacing w:line="240" w:lineRule="auto" w:before="152"/>
                          <w:ind w:left="37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60"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8" w:space="0" w:color="000000"/>
                          <w:right w:val="nil" w:sz="6" w:space="0" w:color="auto"/>
                        </w:tcBorders>
                      </w:tcPr>
                      <w:p>
                        <w:pPr>
                          <w:pStyle w:val="TableParagraph"/>
                          <w:spacing w:line="240" w:lineRule="auto" w:before="152"/>
                          <w:ind w:left="32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32" w:hRule="exact"/>
                    </w:trPr>
                    <w:tc>
                      <w:tcPr>
                        <w:tcW w:w="931" w:type="dxa"/>
                        <w:tcBorders>
                          <w:top w:val="single" w:sz="8" w:space="0" w:color="000000"/>
                          <w:left w:val="nil" w:sz="6" w:space="0" w:color="auto"/>
                          <w:bottom w:val="nil" w:sz="6" w:space="0" w:color="auto"/>
                          <w:right w:val="nil" w:sz="6" w:space="0" w:color="auto"/>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31" w:type="dxa"/>
                        <w:tcBorders>
                          <w:top w:val="single" w:sz="8"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49"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63,075,826.67</w:t>
                        </w:r>
                      </w:p>
                    </w:tc>
                    <w:tc>
                      <w:tcPr>
                        <w:tcW w:w="223" w:type="dxa"/>
                        <w:tcBorders>
                          <w:top w:val="nil" w:sz="6" w:space="0" w:color="auto"/>
                          <w:left w:val="nil" w:sz="6" w:space="0" w:color="auto"/>
                          <w:bottom w:val="nil" w:sz="6" w:space="0" w:color="auto"/>
                          <w:right w:val="nil" w:sz="6" w:space="0" w:color="auto"/>
                        </w:tcBorders>
                      </w:tcPr>
                      <w:p>
                        <w:pPr/>
                      </w:p>
                    </w:tc>
                    <w:tc>
                      <w:tcPr>
                        <w:tcW w:w="1174"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z w:val="21"/>
                          </w:rPr>
                          <w:t>99.43%</w:t>
                        </w:r>
                      </w:p>
                    </w:tc>
                    <w:tc>
                      <w:tcPr>
                        <w:tcW w:w="360" w:type="dxa"/>
                        <w:tcBorders>
                          <w:top w:val="nil" w:sz="6" w:space="0" w:color="auto"/>
                          <w:left w:val="nil" w:sz="6" w:space="0" w:color="auto"/>
                          <w:bottom w:val="nil" w:sz="6" w:space="0" w:color="auto"/>
                          <w:right w:val="nil" w:sz="6" w:space="0" w:color="auto"/>
                        </w:tcBorders>
                      </w:tcPr>
                      <w:p>
                        <w:pPr/>
                      </w:p>
                    </w:tc>
                    <w:tc>
                      <w:tcPr>
                        <w:tcW w:w="1908"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39,029,118.91</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z w:val="21"/>
                          </w:rPr>
                          <w:t>98.43%</w:t>
                        </w:r>
                      </w:p>
                    </w:tc>
                  </w:tr>
                  <w:tr>
                    <w:trPr>
                      <w:trHeight w:val="341"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93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287,307.40</w:t>
                        </w:r>
                      </w:p>
                    </w:tc>
                    <w:tc>
                      <w:tcPr>
                        <w:tcW w:w="223"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0.45%</w:t>
                        </w:r>
                      </w:p>
                    </w:tc>
                    <w:tc>
                      <w:tcPr>
                        <w:tcW w:w="360"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613,049.92</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1.55%</w:t>
                        </w:r>
                      </w:p>
                    </w:tc>
                  </w:tr>
                  <w:tr>
                    <w:trPr>
                      <w:trHeight w:val="340"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93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69,948.64</w:t>
                        </w:r>
                      </w:p>
                    </w:tc>
                    <w:tc>
                      <w:tcPr>
                        <w:tcW w:w="223"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0.11%</w:t>
                        </w:r>
                      </w:p>
                    </w:tc>
                    <w:tc>
                      <w:tcPr>
                        <w:tcW w:w="360"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3,156.00</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0.01%</w:t>
                        </w:r>
                      </w:p>
                    </w:tc>
                  </w:tr>
                  <w:tr>
                    <w:trPr>
                      <w:trHeight w:val="368"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31"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6,450.00</w:t>
                        </w:r>
                      </w:p>
                    </w:tc>
                    <w:tc>
                      <w:tcPr>
                        <w:tcW w:w="223"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z w:val="21"/>
                          </w:rPr>
                          <w:t>0.01%</w:t>
                        </w:r>
                      </w:p>
                    </w:tc>
                    <w:tc>
                      <w:tcPr>
                        <w:tcW w:w="360"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5,670.00</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z w:val="21"/>
                          </w:rPr>
                          <w:t>0.01%</w:t>
                        </w:r>
                      </w:p>
                    </w:tc>
                  </w:tr>
                  <w:tr>
                    <w:trPr>
                      <w:trHeight w:val="374"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16" w:type="dxa"/>
                        <w:tcBorders>
                          <w:top w:val="nil" w:sz="6" w:space="0" w:color="auto"/>
                          <w:left w:val="nil" w:sz="6" w:space="0" w:color="auto"/>
                          <w:bottom w:val="nil" w:sz="6" w:space="0" w:color="auto"/>
                          <w:right w:val="nil" w:sz="6" w:space="0" w:color="auto"/>
                        </w:tcBorders>
                      </w:tcPr>
                      <w:p>
                        <w:pPr/>
                      </w:p>
                    </w:tc>
                    <w:tc>
                      <w:tcPr>
                        <w:tcW w:w="1849"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63,439,532.71</w:t>
                        </w:r>
                      </w:p>
                    </w:tc>
                    <w:tc>
                      <w:tcPr>
                        <w:tcW w:w="223" w:type="dxa"/>
                        <w:tcBorders>
                          <w:top w:val="nil" w:sz="6" w:space="0" w:color="auto"/>
                          <w:left w:val="nil" w:sz="6" w:space="0" w:color="auto"/>
                          <w:bottom w:val="nil" w:sz="6" w:space="0" w:color="auto"/>
                          <w:right w:val="nil" w:sz="6" w:space="0" w:color="auto"/>
                        </w:tcBorders>
                      </w:tcPr>
                      <w:p>
                        <w:pPr/>
                      </w:p>
                    </w:tc>
                    <w:tc>
                      <w:tcPr>
                        <w:tcW w:w="1174"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100.00%</w:t>
                        </w:r>
                      </w:p>
                    </w:tc>
                    <w:tc>
                      <w:tcPr>
                        <w:tcW w:w="360" w:type="dxa"/>
                        <w:tcBorders>
                          <w:top w:val="nil" w:sz="6" w:space="0" w:color="auto"/>
                          <w:left w:val="nil" w:sz="6" w:space="0" w:color="auto"/>
                          <w:bottom w:val="nil" w:sz="6" w:space="0" w:color="auto"/>
                          <w:right w:val="nil" w:sz="6" w:space="0" w:color="auto"/>
                        </w:tcBorders>
                      </w:tcPr>
                      <w:p>
                        <w:pPr/>
                      </w:p>
                    </w:tc>
                    <w:tc>
                      <w:tcPr>
                        <w:tcW w:w="1908"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39,650,994.83</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100.00%</w:t>
                        </w:r>
                      </w:p>
                    </w:tc>
                  </w:tr>
                </w:tbl>
                <w:p>
                  <w:pPr/>
                </w:p>
              </w:txbxContent>
            </v:textbox>
            <w10:wrap type="none"/>
          </v:shape>
        </w:pict>
      </w:r>
      <w:r>
        <w:rPr>
          <w:rFonts w:ascii="宋体" w:hAnsi="宋体" w:cs="宋体" w:eastAsia="宋体" w:hint="default"/>
          <w:sz w:val="21"/>
          <w:szCs w:val="21"/>
        </w:rPr>
        <w:t>期末数</w:t>
        <w:tab/>
        <w:t>期初数</w:t>
      </w:r>
    </w:p>
    <w:p>
      <w:pPr>
        <w:spacing w:after="0"/>
        <w:jc w:val="left"/>
        <w:rPr>
          <w:rFonts w:ascii="宋体" w:hAnsi="宋体" w:cs="宋体" w:eastAsia="宋体" w:hint="default"/>
          <w:sz w:val="21"/>
          <w:szCs w:val="21"/>
        </w:rPr>
        <w:sectPr>
          <w:type w:val="continuous"/>
          <w:pgSz w:w="11910" w:h="16840"/>
          <w:pgMar w:top="1160" w:bottom="1160" w:left="1480" w:right="1180"/>
          <w:cols w:num="2" w:equalWidth="0">
            <w:col w:w="3263" w:space="40"/>
            <w:col w:w="5947"/>
          </w:cols>
        </w:sectPr>
      </w:pPr>
    </w:p>
    <w:p>
      <w:pPr>
        <w:spacing w:line="240" w:lineRule="auto" w:before="1"/>
        <w:rPr>
          <w:rFonts w:ascii="宋体" w:hAnsi="宋体" w:cs="宋体" w:eastAsia="宋体" w:hint="default"/>
          <w:sz w:val="5"/>
          <w:szCs w:val="5"/>
        </w:rPr>
      </w:pPr>
      <w:r>
        <w:rPr/>
        <w:pict>
          <v:group style="position:absolute;margin-left:143.779999pt;margin-top:721.659973pt;width:69.55pt;height:.1pt;mso-position-horizontal-relative:page;mso-position-vertical-relative:page;z-index:-745264" coordorigin="2876,14433" coordsize="1391,2">
            <v:shape style="position:absolute;left:2876;top:14433;width:1391;height:2" coordorigin="2876,14433" coordsize="1391,0" path="m2876,14433l4266,14433e" filled="false" stroked="true" strokeweight=".95996pt" strokecolor="#000000">
              <v:path arrowok="t"/>
            </v:shape>
            <w10:wrap type="none"/>
          </v:group>
        </w:pict>
      </w:r>
    </w:p>
    <w:p>
      <w:pPr>
        <w:tabs>
          <w:tab w:pos="5803" w:val="left" w:leader="none"/>
        </w:tabs>
        <w:spacing w:line="20" w:lineRule="exact"/>
        <w:ind w:left="2204" w:right="0" w:firstLine="0"/>
        <w:rPr>
          <w:rFonts w:ascii="宋体" w:hAnsi="宋体" w:cs="宋体" w:eastAsia="宋体" w:hint="default"/>
          <w:sz w:val="2"/>
          <w:szCs w:val="2"/>
        </w:rPr>
      </w:pPr>
      <w:r>
        <w:rPr>
          <w:rFonts w:ascii="宋体"/>
          <w:sz w:val="2"/>
        </w:rPr>
        <w:pict>
          <v:group style="width:162.9pt;height:1pt;mso-position-horizontal-relative:char;mso-position-vertical-relative:line" coordorigin="0,0" coordsize="3258,20">
            <v:group style="position:absolute;left:10;top:10;width:1842;height:2" coordorigin="10,10" coordsize="1842,2">
              <v:shape style="position:absolute;left:10;top:10;width:1842;height:2" coordorigin="10,10" coordsize="1842,0" path="m10,10l1851,10e" filled="false" stroked="true" strokeweight=".95999pt" strokecolor="#000000">
                <v:path arrowok="t"/>
              </v:shape>
            </v:group>
            <v:group style="position:absolute;left:1851;top:10;width:20;height:2" coordorigin="1851,10" coordsize="20,2">
              <v:shape style="position:absolute;left:1851;top:10;width:20;height:2" coordorigin="1851,10" coordsize="20,0" path="m1851,10l1870,10e" filled="false" stroked="true" strokeweight=".95999pt" strokecolor="#000000">
                <v:path arrowok="t"/>
              </v:shape>
            </v:group>
            <v:group style="position:absolute;left:1870;top:10;width:204;height:2" coordorigin="1870,10" coordsize="204,2">
              <v:shape style="position:absolute;left:1870;top:10;width:204;height:2" coordorigin="1870,10" coordsize="204,0" path="m1870,10l2074,10e" filled="false" stroked="true" strokeweight=".95999pt" strokecolor="#000000">
                <v:path arrowok="t"/>
              </v:shape>
            </v:group>
            <v:group style="position:absolute;left:2074;top:10;width:20;height:2" coordorigin="2074,10" coordsize="20,2">
              <v:shape style="position:absolute;left:2074;top:10;width:20;height:2" coordorigin="2074,10" coordsize="20,0" path="m2074,10l2093,10e" filled="false" stroked="true" strokeweight=".95999pt" strokecolor="#000000">
                <v:path arrowok="t"/>
              </v:shape>
            </v:group>
            <v:group style="position:absolute;left:2093;top:10;width:1155;height:2" coordorigin="2093,10" coordsize="1155,2">
              <v:shape style="position:absolute;left:2093;top:10;width:1155;height:2" coordorigin="2093,10" coordsize="1155,0" path="m2093,10l3248,10e" filled="false" stroked="true" strokeweight=".95999pt" strokecolor="#000000">
                <v:path arrowok="t"/>
              </v:shape>
            </v:group>
          </v:group>
        </w:pict>
      </w:r>
      <w:r>
        <w:rPr>
          <w:rFonts w:ascii="宋体"/>
          <w:sz w:val="2"/>
        </w:rPr>
      </w:r>
      <w:r>
        <w:rPr>
          <w:rFonts w:ascii="宋体"/>
          <w:sz w:val="2"/>
        </w:rPr>
        <w:tab/>
      </w:r>
      <w:r>
        <w:rPr>
          <w:rFonts w:ascii="宋体"/>
          <w:sz w:val="2"/>
        </w:rPr>
        <w:pict>
          <v:group style="width:160.950pt;height:1pt;mso-position-horizontal-relative:char;mso-position-vertical-relative:line" coordorigin="0,0" coordsize="3219,20">
            <v:group style="position:absolute;left:10;top:10;width:1909;height:2" coordorigin="10,10" coordsize="1909,2">
              <v:shape style="position:absolute;left:10;top:10;width:1909;height:2" coordorigin="10,10" coordsize="1909,0" path="m10,10l1918,10e" filled="false" stroked="true" strokeweight=".95999pt" strokecolor="#000000">
                <v:path arrowok="t"/>
              </v:shape>
            </v:group>
            <v:group style="position:absolute;left:1918;top:10;width:20;height:2" coordorigin="1918,10" coordsize="20,2">
              <v:shape style="position:absolute;left:1918;top:10;width:20;height:2" coordorigin="1918,10" coordsize="20,0" path="m1918,10l1937,10e" filled="false" stroked="true" strokeweight=".95999pt" strokecolor="#000000">
                <v:path arrowok="t"/>
              </v:shape>
            </v:group>
            <v:group style="position:absolute;left:1937;top:10;width:216;height:2" coordorigin="1937,10" coordsize="216,2">
              <v:shape style="position:absolute;left:1937;top:10;width:216;height:2" coordorigin="1937,10" coordsize="216,0" path="m1937,10l2153,10e" filled="false" stroked="true" strokeweight=".95999pt" strokecolor="#000000">
                <v:path arrowok="t"/>
              </v:shape>
            </v:group>
            <v:group style="position:absolute;left:2153;top:10;width:20;height:2" coordorigin="2153,10" coordsize="20,2">
              <v:shape style="position:absolute;left:2153;top:10;width:20;height:2" coordorigin="2153,10" coordsize="20,0" path="m2153,10l2173,10e" filled="false" stroked="true" strokeweight=".95999pt" strokecolor="#000000">
                <v:path arrowok="t"/>
              </v:shape>
            </v:group>
            <v:group style="position:absolute;left:2173;top:10;width:1037;height:2" coordorigin="2173,10" coordsize="1037,2">
              <v:shape style="position:absolute;left:2173;top:10;width:1037;height:2" coordorigin="2173,10" coordsize="1037,0" path="m2173,10l3209,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1102" w:val="left" w:leader="none"/>
        </w:tabs>
        <w:spacing w:line="244" w:lineRule="auto" w:before="26"/>
        <w:ind w:left="622" w:right="4301"/>
        <w:jc w:val="left"/>
      </w:pPr>
      <w:r>
        <w:rPr/>
        <w:pict>
          <v:group style="position:absolute;margin-left:143.779999pt;margin-top:88.305626pt;width:69.55pt;height:.1pt;mso-position-horizontal-relative:page;mso-position-vertical-relative:paragraph;z-index:-745288" coordorigin="2876,1766" coordsize="1391,2">
            <v:shape style="position:absolute;left:2876;top:1766;width:1391;height:2" coordorigin="2876,1766" coordsize="1391,0" path="m2876,1766l4266,1766e" filled="false" stroked="true" strokeweight=".96002pt" strokecolor="#000000">
              <v:path arrowok="t"/>
            </v:shape>
            <w10:wrap type="none"/>
          </v:group>
        </w:pict>
      </w:r>
      <w:r>
        <w:rPr/>
        <w:t>⑶</w:t>
        <w:tab/>
        <w:t>坏账准备的计提情况 按账龄分析法计提坏账准备的应收账款：</w:t>
      </w:r>
    </w:p>
    <w:p>
      <w:pPr>
        <w:spacing w:line="240" w:lineRule="auto" w:before="7"/>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996"/>
        <w:gridCol w:w="221"/>
        <w:gridCol w:w="1577"/>
        <w:gridCol w:w="66"/>
        <w:gridCol w:w="738"/>
        <w:gridCol w:w="142"/>
        <w:gridCol w:w="1308"/>
        <w:gridCol w:w="152"/>
        <w:gridCol w:w="1232"/>
        <w:gridCol w:w="161"/>
        <w:gridCol w:w="776"/>
        <w:gridCol w:w="171"/>
        <w:gridCol w:w="1272"/>
      </w:tblGrid>
      <w:tr>
        <w:trPr>
          <w:trHeight w:val="217" w:hRule="exact"/>
        </w:trPr>
        <w:tc>
          <w:tcPr>
            <w:tcW w:w="996"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8" w:space="0" w:color="000000"/>
              <w:right w:val="nil" w:sz="6" w:space="0" w:color="auto"/>
            </w:tcBorders>
          </w:tcPr>
          <w:p>
            <w:pPr/>
          </w:p>
        </w:tc>
        <w:tc>
          <w:tcPr>
            <w:tcW w:w="66" w:type="dxa"/>
            <w:tcBorders>
              <w:top w:val="nil" w:sz="6" w:space="0" w:color="auto"/>
              <w:left w:val="nil" w:sz="6" w:space="0" w:color="auto"/>
              <w:bottom w:val="single" w:sz="8" w:space="0" w:color="000000"/>
              <w:right w:val="nil" w:sz="6" w:space="0" w:color="auto"/>
            </w:tcBorders>
          </w:tcPr>
          <w:p>
            <w:pPr/>
          </w:p>
        </w:tc>
        <w:tc>
          <w:tcPr>
            <w:tcW w:w="738" w:type="dxa"/>
            <w:tcBorders>
              <w:top w:val="nil" w:sz="6" w:space="0" w:color="auto"/>
              <w:left w:val="nil" w:sz="6" w:space="0" w:color="auto"/>
              <w:bottom w:val="single" w:sz="8" w:space="0" w:color="000000"/>
              <w:right w:val="nil" w:sz="6" w:space="0" w:color="auto"/>
            </w:tcBorders>
          </w:tcPr>
          <w:p>
            <w:pPr>
              <w:pStyle w:val="TableParagraph"/>
              <w:spacing w:line="180" w:lineRule="exact"/>
              <w:ind w:left="2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2" w:type="dxa"/>
            <w:tcBorders>
              <w:top w:val="nil" w:sz="6" w:space="0" w:color="auto"/>
              <w:left w:val="nil" w:sz="6" w:space="0" w:color="auto"/>
              <w:bottom w:val="single" w:sz="8" w:space="0" w:color="000000"/>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single" w:sz="8" w:space="0" w:color="000000"/>
              <w:right w:val="nil" w:sz="6" w:space="0" w:color="auto"/>
            </w:tcBorders>
          </w:tcPr>
          <w:p>
            <w:pPr/>
          </w:p>
        </w:tc>
        <w:tc>
          <w:tcPr>
            <w:tcW w:w="776" w:type="dxa"/>
            <w:tcBorders>
              <w:top w:val="nil" w:sz="6" w:space="0" w:color="auto"/>
              <w:left w:val="nil" w:sz="6" w:space="0" w:color="auto"/>
              <w:bottom w:val="single" w:sz="8" w:space="0" w:color="000000"/>
              <w:right w:val="nil" w:sz="6" w:space="0" w:color="auto"/>
            </w:tcBorders>
          </w:tcPr>
          <w:p>
            <w:pPr>
              <w:pStyle w:val="TableParagraph"/>
              <w:spacing w:line="180" w:lineRule="exact"/>
              <w:ind w:right="60"/>
              <w:jc w:val="right"/>
              <w:rPr>
                <w:rFonts w:ascii="宋体" w:hAnsi="宋体" w:cs="宋体" w:eastAsia="宋体" w:hint="default"/>
                <w:sz w:val="18"/>
                <w:szCs w:val="18"/>
              </w:rPr>
            </w:pPr>
            <w:r>
              <w:rPr>
                <w:rFonts w:ascii="宋体" w:hAnsi="宋体" w:cs="宋体" w:eastAsia="宋体" w:hint="default"/>
                <w:sz w:val="18"/>
                <w:szCs w:val="18"/>
              </w:rPr>
              <w:t>期初数</w:t>
            </w:r>
          </w:p>
        </w:tc>
        <w:tc>
          <w:tcPr>
            <w:tcW w:w="171" w:type="dxa"/>
            <w:tcBorders>
              <w:top w:val="nil" w:sz="6" w:space="0" w:color="auto"/>
              <w:left w:val="nil" w:sz="6" w:space="0" w:color="auto"/>
              <w:bottom w:val="single" w:sz="8" w:space="0" w:color="000000"/>
              <w:right w:val="nil" w:sz="6" w:space="0" w:color="auto"/>
            </w:tcBorders>
          </w:tcPr>
          <w:p>
            <w:pPr/>
          </w:p>
        </w:tc>
        <w:tc>
          <w:tcPr>
            <w:tcW w:w="1272" w:type="dxa"/>
            <w:tcBorders>
              <w:top w:val="nil" w:sz="6" w:space="0" w:color="auto"/>
              <w:left w:val="nil" w:sz="6" w:space="0" w:color="auto"/>
              <w:bottom w:val="single" w:sz="8" w:space="0" w:color="000000"/>
              <w:right w:val="nil" w:sz="6" w:space="0" w:color="auto"/>
            </w:tcBorders>
          </w:tcPr>
          <w:p>
            <w:pPr/>
          </w:p>
        </w:tc>
      </w:tr>
      <w:tr>
        <w:trPr>
          <w:trHeight w:val="360" w:hRule="exact"/>
        </w:trPr>
        <w:tc>
          <w:tcPr>
            <w:tcW w:w="996"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8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6" w:type="dxa"/>
            <w:tcBorders>
              <w:top w:val="single" w:sz="8" w:space="0" w:color="000000"/>
              <w:left w:val="nil" w:sz="6" w:space="0" w:color="auto"/>
              <w:bottom w:val="single" w:sz="8" w:space="0" w:color="000000"/>
              <w:right w:val="nil" w:sz="6" w:space="0" w:color="auto"/>
            </w:tcBorders>
          </w:tcPr>
          <w:p>
            <w:pPr/>
          </w:p>
        </w:tc>
        <w:tc>
          <w:tcPr>
            <w:tcW w:w="738" w:type="dxa"/>
            <w:tcBorders>
              <w:top w:val="single" w:sz="8" w:space="0" w:color="000000"/>
              <w:left w:val="nil" w:sz="6" w:space="0" w:color="auto"/>
              <w:bottom w:val="single" w:sz="8" w:space="0" w:color="000000"/>
              <w:right w:val="nil" w:sz="6" w:space="0" w:color="auto"/>
            </w:tcBorders>
          </w:tcPr>
          <w:p>
            <w:pPr/>
          </w:p>
        </w:tc>
        <w:tc>
          <w:tcPr>
            <w:tcW w:w="142" w:type="dxa"/>
            <w:tcBorders>
              <w:top w:val="single" w:sz="8" w:space="0" w:color="000000"/>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nil" w:sz="6" w:space="0" w:color="auto"/>
              <w:right w:val="nil" w:sz="6" w:space="0" w:color="auto"/>
            </w:tcBorders>
          </w:tcPr>
          <w:p>
            <w:pPr/>
          </w:p>
        </w:tc>
        <w:tc>
          <w:tcPr>
            <w:tcW w:w="232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 w:type="dxa"/>
            <w:tcBorders>
              <w:top w:val="single" w:sz="8" w:space="0" w:color="000000"/>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nil" w:sz="6" w:space="0" w:color="auto"/>
              <w:right w:val="nil" w:sz="6" w:space="0" w:color="auto"/>
            </w:tcBorders>
          </w:tcPr>
          <w:p>
            <w:pPr/>
          </w:p>
        </w:tc>
      </w:tr>
      <w:tr>
        <w:trPr>
          <w:trHeight w:val="361" w:hRule="exact"/>
        </w:trPr>
        <w:tc>
          <w:tcPr>
            <w:tcW w:w="996"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right="245"/>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134"/>
              <w:jc w:val="center"/>
              <w:rPr>
                <w:rFonts w:ascii="宋体" w:hAnsi="宋体" w:cs="宋体" w:eastAsia="宋体" w:hint="default"/>
                <w:sz w:val="18"/>
                <w:szCs w:val="18"/>
              </w:rPr>
            </w:pPr>
            <w:r>
              <w:rPr>
                <w:rFonts w:ascii="宋体" w:hAnsi="宋体" w:cs="宋体" w:eastAsia="宋体" w:hint="default"/>
                <w:sz w:val="18"/>
                <w:szCs w:val="18"/>
              </w:rPr>
              <w:t>金额</w:t>
            </w:r>
          </w:p>
        </w:tc>
        <w:tc>
          <w:tcPr>
            <w:tcW w:w="66" w:type="dxa"/>
            <w:tcBorders>
              <w:top w:val="single" w:sz="8" w:space="0" w:color="000000"/>
              <w:left w:val="nil" w:sz="6" w:space="0" w:color="auto"/>
              <w:bottom w:val="single" w:sz="8" w:space="0" w:color="000000"/>
              <w:right w:val="nil" w:sz="6" w:space="0" w:color="auto"/>
            </w:tcBorders>
          </w:tcPr>
          <w:p>
            <w:pPr/>
          </w:p>
        </w:tc>
        <w:tc>
          <w:tcPr>
            <w:tcW w:w="738"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left="1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left="46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single" w:sz="8" w:space="0" w:color="000000"/>
              <w:left w:val="nil" w:sz="6" w:space="0" w:color="auto"/>
              <w:bottom w:val="nil" w:sz="6" w:space="0" w:color="auto"/>
              <w:right w:val="nil" w:sz="6" w:space="0" w:color="auto"/>
            </w:tcBorders>
          </w:tcPr>
          <w:p>
            <w:pPr/>
          </w:p>
        </w:tc>
        <w:tc>
          <w:tcPr>
            <w:tcW w:w="776"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996"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26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3" w:right="0"/>
              <w:jc w:val="left"/>
              <w:rPr>
                <w:rFonts w:ascii="宋体" w:hAnsi="宋体" w:cs="宋体" w:eastAsia="宋体" w:hint="default"/>
                <w:sz w:val="18"/>
                <w:szCs w:val="18"/>
              </w:rPr>
            </w:pPr>
            <w:r>
              <w:rPr>
                <w:rFonts w:ascii="宋体"/>
                <w:sz w:val="18"/>
              </w:rPr>
              <w:t>63,075,826.67</w:t>
            </w:r>
          </w:p>
        </w:tc>
        <w:tc>
          <w:tcPr>
            <w:tcW w:w="66" w:type="dxa"/>
            <w:tcBorders>
              <w:top w:val="single" w:sz="8" w:space="0" w:color="000000"/>
              <w:left w:val="nil" w:sz="6" w:space="0" w:color="auto"/>
              <w:bottom w:val="nil" w:sz="6" w:space="0" w:color="auto"/>
              <w:right w:val="nil" w:sz="6" w:space="0" w:color="auto"/>
            </w:tcBorders>
          </w:tcPr>
          <w:p>
            <w:pPr/>
          </w:p>
        </w:tc>
        <w:tc>
          <w:tcPr>
            <w:tcW w:w="738"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99.43%</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3,153,791.33</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39,029,118.91</w:t>
            </w:r>
          </w:p>
        </w:tc>
        <w:tc>
          <w:tcPr>
            <w:tcW w:w="161" w:type="dxa"/>
            <w:tcBorders>
              <w:top w:val="nil" w:sz="6" w:space="0" w:color="auto"/>
              <w:left w:val="nil" w:sz="6" w:space="0" w:color="auto"/>
              <w:bottom w:val="nil" w:sz="6" w:space="0" w:color="auto"/>
              <w:right w:val="nil" w:sz="6" w:space="0" w:color="auto"/>
            </w:tcBorders>
          </w:tcPr>
          <w:p>
            <w:pPr/>
          </w:p>
        </w:tc>
        <w:tc>
          <w:tcPr>
            <w:tcW w:w="776"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98.43%</w:t>
            </w: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1,951,455.94</w:t>
            </w:r>
          </w:p>
        </w:tc>
      </w:tr>
      <w:tr>
        <w:trPr>
          <w:trHeight w:val="340"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31" w:right="0"/>
              <w:jc w:val="left"/>
              <w:rPr>
                <w:rFonts w:ascii="宋体" w:hAnsi="宋体" w:cs="宋体" w:eastAsia="宋体" w:hint="default"/>
                <w:sz w:val="18"/>
                <w:szCs w:val="18"/>
              </w:rPr>
            </w:pPr>
            <w:r>
              <w:rPr>
                <w:rFonts w:ascii="宋体"/>
                <w:sz w:val="18"/>
              </w:rPr>
              <w:t>287,307.40</w:t>
            </w:r>
          </w:p>
        </w:tc>
        <w:tc>
          <w:tcPr>
            <w:tcW w:w="66"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0"/>
              <w:jc w:val="right"/>
              <w:rPr>
                <w:rFonts w:ascii="宋体" w:hAnsi="宋体" w:cs="宋体" w:eastAsia="宋体" w:hint="default"/>
                <w:sz w:val="18"/>
                <w:szCs w:val="18"/>
              </w:rPr>
            </w:pPr>
            <w:r>
              <w:rPr>
                <w:rFonts w:ascii="宋体"/>
                <w:sz w:val="18"/>
              </w:rPr>
              <w:t>0.45%</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28,730.75</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宋体" w:hAnsi="宋体" w:cs="宋体" w:eastAsia="宋体" w:hint="default"/>
                <w:sz w:val="18"/>
                <w:szCs w:val="18"/>
              </w:rPr>
            </w:pPr>
            <w:r>
              <w:rPr>
                <w:rFonts w:ascii="宋体"/>
                <w:spacing w:val="-1"/>
                <w:sz w:val="18"/>
              </w:rPr>
              <w:t>613,049.92</w:t>
            </w:r>
          </w:p>
        </w:tc>
        <w:tc>
          <w:tcPr>
            <w:tcW w:w="16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宋体" w:hAnsi="宋体" w:cs="宋体" w:eastAsia="宋体" w:hint="default"/>
                <w:sz w:val="18"/>
                <w:szCs w:val="18"/>
              </w:rPr>
            </w:pPr>
            <w:r>
              <w:rPr>
                <w:rFonts w:ascii="宋体"/>
                <w:sz w:val="18"/>
              </w:rPr>
              <w:t>1.55%</w:t>
            </w: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2"/>
              <w:jc w:val="right"/>
              <w:rPr>
                <w:rFonts w:ascii="宋体" w:hAnsi="宋体" w:cs="宋体" w:eastAsia="宋体" w:hint="default"/>
                <w:sz w:val="18"/>
                <w:szCs w:val="18"/>
              </w:rPr>
            </w:pPr>
            <w:r>
              <w:rPr>
                <w:rFonts w:ascii="宋体"/>
                <w:spacing w:val="-1"/>
                <w:sz w:val="18"/>
              </w:rPr>
              <w:t>61,305.00</w:t>
            </w:r>
          </w:p>
        </w:tc>
      </w:tr>
      <w:tr>
        <w:trPr>
          <w:trHeight w:val="341"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2"/>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0" w:right="0"/>
              <w:jc w:val="left"/>
              <w:rPr>
                <w:rFonts w:ascii="宋体" w:hAnsi="宋体" w:cs="宋体" w:eastAsia="宋体" w:hint="default"/>
                <w:sz w:val="18"/>
                <w:szCs w:val="18"/>
              </w:rPr>
            </w:pPr>
            <w:r>
              <w:rPr>
                <w:rFonts w:ascii="宋体"/>
                <w:sz w:val="18"/>
              </w:rPr>
              <w:t>69,948.64</w:t>
            </w:r>
          </w:p>
        </w:tc>
        <w:tc>
          <w:tcPr>
            <w:tcW w:w="66"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宋体" w:hAnsi="宋体" w:cs="宋体" w:eastAsia="宋体" w:hint="default"/>
                <w:sz w:val="18"/>
                <w:szCs w:val="18"/>
              </w:rPr>
            </w:pPr>
            <w:r>
              <w:rPr>
                <w:rFonts w:ascii="宋体"/>
                <w:sz w:val="18"/>
              </w:rPr>
              <w:t>0.11%</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13,989.73</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3,156.00</w:t>
            </w:r>
          </w:p>
        </w:tc>
        <w:tc>
          <w:tcPr>
            <w:tcW w:w="16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0.01%</w:t>
            </w: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pacing w:val="-1"/>
                <w:sz w:val="18"/>
              </w:rPr>
              <w:t>631.20</w:t>
            </w:r>
          </w:p>
        </w:tc>
      </w:tr>
      <w:tr>
        <w:trPr>
          <w:trHeight w:val="340"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91" w:right="0"/>
              <w:jc w:val="left"/>
              <w:rPr>
                <w:rFonts w:ascii="宋体" w:hAnsi="宋体" w:cs="宋体" w:eastAsia="宋体" w:hint="default"/>
                <w:sz w:val="18"/>
                <w:szCs w:val="18"/>
              </w:rPr>
            </w:pPr>
            <w:r>
              <w:rPr>
                <w:rFonts w:ascii="宋体"/>
                <w:sz w:val="18"/>
              </w:rPr>
              <w:t>780.00</w:t>
            </w:r>
          </w:p>
        </w:tc>
        <w:tc>
          <w:tcPr>
            <w:tcW w:w="66"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390.00</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pacing w:val="-1"/>
                <w:sz w:val="18"/>
              </w:rPr>
              <w:t>5,670.00</w:t>
            </w:r>
          </w:p>
        </w:tc>
        <w:tc>
          <w:tcPr>
            <w:tcW w:w="16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0.01%</w:t>
            </w: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pacing w:val="-1"/>
                <w:sz w:val="18"/>
              </w:rPr>
              <w:t>2,835.00</w:t>
            </w:r>
          </w:p>
        </w:tc>
      </w:tr>
      <w:tr>
        <w:trPr>
          <w:trHeight w:val="351"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2"/>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1" w:right="0"/>
              <w:jc w:val="left"/>
              <w:rPr>
                <w:rFonts w:ascii="宋体" w:hAnsi="宋体" w:cs="宋体" w:eastAsia="宋体" w:hint="default"/>
                <w:sz w:val="18"/>
                <w:szCs w:val="18"/>
              </w:rPr>
            </w:pPr>
            <w:r>
              <w:rPr>
                <w:rFonts w:ascii="宋体"/>
                <w:sz w:val="18"/>
              </w:rPr>
              <w:t>5,670.00</w:t>
            </w:r>
          </w:p>
        </w:tc>
        <w:tc>
          <w:tcPr>
            <w:tcW w:w="66" w:type="dxa"/>
            <w:tcBorders>
              <w:top w:val="nil" w:sz="6" w:space="0" w:color="auto"/>
              <w:left w:val="nil" w:sz="6" w:space="0" w:color="auto"/>
              <w:bottom w:val="single" w:sz="8" w:space="0" w:color="000000"/>
              <w:right w:val="nil" w:sz="6" w:space="0" w:color="auto"/>
            </w:tcBorders>
          </w:tcPr>
          <w:p>
            <w:pPr/>
          </w:p>
        </w:tc>
        <w:tc>
          <w:tcPr>
            <w:tcW w:w="738"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40"/>
              <w:jc w:val="right"/>
              <w:rPr>
                <w:rFonts w:ascii="宋体" w:hAnsi="宋体" w:cs="宋体" w:eastAsia="宋体" w:hint="default"/>
                <w:sz w:val="18"/>
                <w:szCs w:val="18"/>
              </w:rPr>
            </w:pPr>
            <w:r>
              <w:rPr>
                <w:rFonts w:ascii="宋体"/>
                <w:sz w:val="18"/>
              </w:rPr>
              <w:t>0.01%</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2,835.00</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single" w:sz="8" w:space="0" w:color="000000"/>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8" w:space="0" w:color="000000"/>
              <w:right w:val="nil" w:sz="6" w:space="0" w:color="auto"/>
            </w:tcBorders>
          </w:tcPr>
          <w:p>
            <w:pPr/>
          </w:p>
        </w:tc>
      </w:tr>
      <w:tr>
        <w:trPr>
          <w:trHeight w:val="37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2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3" w:right="0"/>
              <w:jc w:val="left"/>
              <w:rPr>
                <w:rFonts w:ascii="宋体" w:hAnsi="宋体" w:cs="宋体" w:eastAsia="宋体" w:hint="default"/>
                <w:sz w:val="18"/>
                <w:szCs w:val="18"/>
              </w:rPr>
            </w:pPr>
            <w:r>
              <w:rPr>
                <w:rFonts w:ascii="宋体"/>
                <w:sz w:val="18"/>
              </w:rPr>
              <w:t>63,439,532.71</w:t>
            </w:r>
          </w:p>
        </w:tc>
        <w:tc>
          <w:tcPr>
            <w:tcW w:w="66" w:type="dxa"/>
            <w:tcBorders>
              <w:top w:val="single" w:sz="8" w:space="0" w:color="000000"/>
              <w:left w:val="nil" w:sz="6" w:space="0" w:color="auto"/>
              <w:bottom w:val="single" w:sz="17" w:space="0" w:color="000000"/>
              <w:right w:val="nil" w:sz="6" w:space="0" w:color="auto"/>
            </w:tcBorders>
          </w:tcPr>
          <w:p>
            <w:pPr/>
          </w:p>
        </w:tc>
        <w:tc>
          <w:tcPr>
            <w:tcW w:w="738"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66" w:right="0"/>
              <w:jc w:val="left"/>
              <w:rPr>
                <w:rFonts w:ascii="宋体" w:hAnsi="宋体" w:cs="宋体" w:eastAsia="宋体" w:hint="default"/>
                <w:sz w:val="18"/>
                <w:szCs w:val="18"/>
              </w:rPr>
            </w:pPr>
            <w:r>
              <w:rPr>
                <w:rFonts w:ascii="宋体"/>
                <w:sz w:val="18"/>
              </w:rPr>
              <w:t>100.00%</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5"/>
              <w:jc w:val="right"/>
              <w:rPr>
                <w:rFonts w:ascii="宋体" w:hAnsi="宋体" w:cs="宋体" w:eastAsia="宋体" w:hint="default"/>
                <w:sz w:val="18"/>
                <w:szCs w:val="18"/>
              </w:rPr>
            </w:pPr>
            <w:r>
              <w:rPr>
                <w:rFonts w:ascii="宋体"/>
                <w:spacing w:val="-1"/>
                <w:sz w:val="18"/>
              </w:rPr>
              <w:t>3,199,736.81</w:t>
            </w:r>
          </w:p>
        </w:tc>
        <w:tc>
          <w:tcPr>
            <w:tcW w:w="152" w:type="dxa"/>
            <w:tcBorders>
              <w:top w:val="nil" w:sz="6" w:space="0" w:color="auto"/>
              <w:left w:val="nil" w:sz="6" w:space="0" w:color="auto"/>
              <w:bottom w:val="nil" w:sz="6" w:space="0" w:color="auto"/>
              <w:right w:val="nil" w:sz="6" w:space="0" w:color="auto"/>
            </w:tcBorders>
          </w:tcPr>
          <w:p>
            <w:pPr/>
          </w:p>
        </w:tc>
        <w:tc>
          <w:tcPr>
            <w:tcW w:w="123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7"/>
              <w:jc w:val="right"/>
              <w:rPr>
                <w:rFonts w:ascii="宋体" w:hAnsi="宋体" w:cs="宋体" w:eastAsia="宋体" w:hint="default"/>
                <w:sz w:val="18"/>
                <w:szCs w:val="18"/>
              </w:rPr>
            </w:pPr>
            <w:r>
              <w:rPr>
                <w:rFonts w:ascii="宋体"/>
                <w:spacing w:val="-1"/>
                <w:sz w:val="18"/>
              </w:rPr>
              <w:t>39,650,994.83</w:t>
            </w:r>
          </w:p>
        </w:tc>
        <w:tc>
          <w:tcPr>
            <w:tcW w:w="161" w:type="dxa"/>
            <w:tcBorders>
              <w:top w:val="nil" w:sz="6" w:space="0" w:color="auto"/>
              <w:left w:val="nil" w:sz="6" w:space="0" w:color="auto"/>
              <w:bottom w:val="nil" w:sz="6" w:space="0" w:color="auto"/>
              <w:right w:val="nil" w:sz="6" w:space="0" w:color="auto"/>
            </w:tcBorders>
          </w:tcPr>
          <w:p>
            <w:pPr/>
          </w:p>
        </w:tc>
        <w:tc>
          <w:tcPr>
            <w:tcW w:w="77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7"/>
              <w:jc w:val="right"/>
              <w:rPr>
                <w:rFonts w:ascii="宋体" w:hAnsi="宋体" w:cs="宋体" w:eastAsia="宋体" w:hint="default"/>
                <w:sz w:val="18"/>
                <w:szCs w:val="18"/>
              </w:rPr>
            </w:pPr>
            <w:r>
              <w:rPr>
                <w:rFonts w:ascii="宋体"/>
                <w:sz w:val="18"/>
              </w:rPr>
              <w:t>100.00%</w:t>
            </w:r>
          </w:p>
        </w:tc>
        <w:tc>
          <w:tcPr>
            <w:tcW w:w="171" w:type="dxa"/>
            <w:tcBorders>
              <w:top w:val="nil" w:sz="6" w:space="0" w:color="auto"/>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3"/>
              <w:jc w:val="right"/>
              <w:rPr>
                <w:rFonts w:ascii="宋体" w:hAnsi="宋体" w:cs="宋体" w:eastAsia="宋体" w:hint="default"/>
                <w:sz w:val="18"/>
                <w:szCs w:val="18"/>
              </w:rPr>
            </w:pPr>
            <w:r>
              <w:rPr>
                <w:rFonts w:ascii="宋体"/>
                <w:spacing w:val="-1"/>
                <w:sz w:val="18"/>
              </w:rPr>
              <w:t>2,016,227.14</w:t>
            </w:r>
          </w:p>
        </w:tc>
      </w:tr>
    </w:tbl>
    <w:p>
      <w:pPr>
        <w:spacing w:after="0" w:line="240" w:lineRule="auto"/>
        <w:jc w:val="right"/>
        <w:rPr>
          <w:rFonts w:ascii="宋体" w:hAnsi="宋体" w:cs="宋体" w:eastAsia="宋体" w:hint="default"/>
          <w:sz w:val="18"/>
          <w:szCs w:val="18"/>
        </w:rPr>
        <w:sectPr>
          <w:type w:val="continuous"/>
          <w:pgSz w:w="11910" w:h="16840"/>
          <w:pgMar w:top="1160" w:bottom="1160" w:left="1480" w:right="1180"/>
        </w:sectPr>
      </w:pPr>
    </w:p>
    <w:p>
      <w:pPr>
        <w:spacing w:line="240" w:lineRule="auto" w:before="1"/>
        <w:rPr>
          <w:rFonts w:ascii="宋体" w:hAnsi="宋体" w:cs="宋体" w:eastAsia="宋体" w:hint="default"/>
          <w:sz w:val="22"/>
          <w:szCs w:val="22"/>
        </w:rPr>
      </w:pPr>
    </w:p>
    <w:p>
      <w:pPr>
        <w:pStyle w:val="BodyText"/>
        <w:tabs>
          <w:tab w:pos="1102" w:val="left" w:leader="none"/>
        </w:tabs>
        <w:spacing w:line="240" w:lineRule="auto" w:before="26"/>
        <w:ind w:left="622" w:right="0"/>
        <w:jc w:val="left"/>
      </w:pPr>
      <w:r>
        <w:rPr/>
        <w:t>⑷</w:t>
        <w:tab/>
        <w:t>报告期应收账款中无应收持有公司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）以上表决权股份的股东款项。</w:t>
      </w:r>
    </w:p>
    <w:p>
      <w:pPr>
        <w:spacing w:line="240" w:lineRule="auto" w:before="9"/>
        <w:rPr>
          <w:rFonts w:ascii="宋体" w:hAnsi="宋体" w:cs="宋体" w:eastAsia="宋体" w:hint="default"/>
          <w:sz w:val="17"/>
          <w:szCs w:val="17"/>
        </w:rPr>
      </w:pPr>
    </w:p>
    <w:p>
      <w:pPr>
        <w:pStyle w:val="BodyText"/>
        <w:tabs>
          <w:tab w:pos="1102" w:val="left" w:leader="none"/>
        </w:tabs>
        <w:spacing w:line="240" w:lineRule="auto" w:before="0"/>
        <w:ind w:left="622" w:right="0"/>
        <w:jc w:val="left"/>
      </w:pPr>
      <w:r>
        <w:rPr/>
        <w:t>⑸</w:t>
        <w:tab/>
        <w:t>应收账款金额前五名单位情况</w:t>
      </w:r>
    </w:p>
    <w:p>
      <w:pPr>
        <w:spacing w:line="240" w:lineRule="auto" w:before="11"/>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3843"/>
        <w:gridCol w:w="259"/>
        <w:gridCol w:w="1416"/>
        <w:gridCol w:w="252"/>
        <w:gridCol w:w="1589"/>
        <w:gridCol w:w="214"/>
        <w:gridCol w:w="1346"/>
      </w:tblGrid>
      <w:tr>
        <w:trPr>
          <w:trHeight w:val="251" w:hRule="exact"/>
        </w:trPr>
        <w:tc>
          <w:tcPr>
            <w:tcW w:w="3843"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与本集团关系</w:t>
            </w: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8" w:space="0" w:color="000000"/>
              <w:right w:val="nil" w:sz="6" w:space="0" w:color="auto"/>
            </w:tcBorders>
          </w:tcPr>
          <w:p>
            <w:pPr>
              <w:pStyle w:val="TableParagraph"/>
              <w:spacing w:line="21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占总额比例</w:t>
            </w:r>
          </w:p>
        </w:tc>
      </w:tr>
      <w:tr>
        <w:trPr>
          <w:trHeight w:val="351" w:hRule="exact"/>
        </w:trPr>
        <w:tc>
          <w:tcPr>
            <w:tcW w:w="384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1"/>
                <w:szCs w:val="21"/>
              </w:rPr>
            </w:pPr>
            <w:r>
              <w:rPr>
                <w:rFonts w:ascii="宋体" w:hAnsi="宋体" w:cs="宋体" w:eastAsia="宋体" w:hint="default"/>
                <w:sz w:val="21"/>
                <w:szCs w:val="21"/>
              </w:rPr>
              <w:t>北京市地方税务局</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spacing w:val="-1"/>
                <w:sz w:val="21"/>
              </w:rPr>
              <w:t>10,300,326.40</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z w:val="21"/>
              </w:rPr>
              <w:t>16.24%</w:t>
            </w:r>
          </w:p>
        </w:tc>
      </w:tr>
      <w:tr>
        <w:trPr>
          <w:trHeight w:val="340"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中国建设银行股份有限公司山东省分行</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2,495,191.13</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z w:val="21"/>
              </w:rPr>
              <w:t>3.93%</w:t>
            </w:r>
          </w:p>
        </w:tc>
      </w:tr>
      <w:tr>
        <w:trPr>
          <w:trHeight w:val="340"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中国银行股份有限公司福建省分行</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2,174,661.00</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z w:val="21"/>
              </w:rPr>
              <w:t>3.43%</w:t>
            </w:r>
          </w:p>
        </w:tc>
      </w:tr>
      <w:tr>
        <w:trPr>
          <w:trHeight w:val="341"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2,091,281.35</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z w:val="21"/>
              </w:rPr>
              <w:t>3.30%</w:t>
            </w:r>
          </w:p>
        </w:tc>
      </w:tr>
      <w:tr>
        <w:trPr>
          <w:trHeight w:val="345"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中国农业银行河北省分行</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1,972,111.52</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z w:val="21"/>
              </w:rPr>
              <w:t>3.11%</w:t>
            </w:r>
          </w:p>
        </w:tc>
      </w:tr>
      <w:tr>
        <w:trPr>
          <w:trHeight w:val="372"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5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19,033,571.40</w:t>
            </w:r>
          </w:p>
        </w:tc>
        <w:tc>
          <w:tcPr>
            <w:tcW w:w="214"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z w:val="21"/>
              </w:rPr>
              <w:t>30.01%</w:t>
            </w:r>
          </w:p>
        </w:tc>
      </w:tr>
    </w:tbl>
    <w:p>
      <w:pPr>
        <w:pStyle w:val="BodyText"/>
        <w:spacing w:line="240" w:lineRule="auto" w:before="36"/>
        <w:ind w:left="622" w:right="0"/>
        <w:jc w:val="left"/>
      </w:pPr>
      <w:r>
        <w:rPr/>
        <w:pict>
          <v:group style="position:absolute;margin-left:458.73999pt;margin-top:-2.064351pt;width:67.7pt;height:.1pt;mso-position-horizontal-relative:page;mso-position-vertical-relative:paragraph;z-index:-745192" coordorigin="9175,-41" coordsize="1354,2">
            <v:shape style="position:absolute;left:9175;top:-41;width:1354;height:2" coordorigin="9175,-41" coordsize="1354,0" path="m9175,-41l10528,-41e" filled="false" stroked="true" strokeweight=".48pt" strokecolor="#000000">
              <v:path arrowok="t"/>
            </v:shape>
            <w10:wrap type="none"/>
          </v:group>
        </w:pict>
      </w:r>
      <w:r>
        <w:rPr/>
        <w:t>应收账款前五名账龄全部在一年以内。</w:t>
      </w:r>
    </w:p>
    <w:p>
      <w:pPr>
        <w:spacing w:line="240" w:lineRule="auto" w:before="9"/>
        <w:rPr>
          <w:rFonts w:ascii="宋体" w:hAnsi="宋体" w:cs="宋体" w:eastAsia="宋体" w:hint="default"/>
          <w:sz w:val="17"/>
          <w:szCs w:val="17"/>
        </w:rPr>
      </w:pPr>
    </w:p>
    <w:p>
      <w:pPr>
        <w:pStyle w:val="BodyText"/>
        <w:tabs>
          <w:tab w:pos="1102" w:val="left" w:leader="none"/>
        </w:tabs>
        <w:spacing w:line="240" w:lineRule="auto" w:before="0"/>
        <w:ind w:left="622" w:right="0"/>
        <w:jc w:val="left"/>
      </w:pPr>
      <w:r>
        <w:rPr/>
        <w:t>⑹</w:t>
        <w:tab/>
        <w:t>外币应收账款原币金额以及折算汇率列示：</w:t>
      </w:r>
    </w:p>
    <w:p>
      <w:pPr>
        <w:spacing w:line="240" w:lineRule="auto" w:before="1"/>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709"/>
        <w:gridCol w:w="1301"/>
        <w:gridCol w:w="1560"/>
        <w:gridCol w:w="413"/>
        <w:gridCol w:w="1531"/>
        <w:gridCol w:w="540"/>
        <w:gridCol w:w="1865"/>
      </w:tblGrid>
      <w:tr>
        <w:trPr>
          <w:trHeight w:val="251" w:hRule="exact"/>
        </w:trPr>
        <w:tc>
          <w:tcPr>
            <w:tcW w:w="170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8" w:space="0" w:color="000000"/>
              <w:right w:val="nil" w:sz="6" w:space="0" w:color="auto"/>
            </w:tcBorders>
          </w:tcPr>
          <w:p>
            <w:pPr/>
          </w:p>
        </w:tc>
        <w:tc>
          <w:tcPr>
            <w:tcW w:w="413" w:type="dxa"/>
            <w:tcBorders>
              <w:top w:val="nil" w:sz="6" w:space="0" w:color="auto"/>
              <w:left w:val="nil" w:sz="6" w:space="0" w:color="auto"/>
              <w:bottom w:val="single" w:sz="8" w:space="0" w:color="000000"/>
              <w:right w:val="nil" w:sz="6" w:space="0" w:color="auto"/>
            </w:tcBorders>
          </w:tcPr>
          <w:p>
            <w:pPr/>
          </w:p>
        </w:tc>
        <w:tc>
          <w:tcPr>
            <w:tcW w:w="1531" w:type="dxa"/>
            <w:tcBorders>
              <w:top w:val="nil" w:sz="6" w:space="0" w:color="auto"/>
              <w:left w:val="nil" w:sz="6" w:space="0" w:color="auto"/>
              <w:bottom w:val="single" w:sz="8" w:space="0" w:color="000000"/>
              <w:right w:val="nil" w:sz="6" w:space="0" w:color="auto"/>
            </w:tcBorders>
          </w:tcPr>
          <w:p>
            <w:pPr>
              <w:pStyle w:val="TableParagraph"/>
              <w:spacing w:line="211" w:lineRule="exact"/>
              <w:ind w:left="66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540" w:type="dxa"/>
            <w:tcBorders>
              <w:top w:val="nil" w:sz="6" w:space="0" w:color="auto"/>
              <w:left w:val="nil" w:sz="6" w:space="0" w:color="auto"/>
              <w:bottom w:val="single" w:sz="8" w:space="0" w:color="000000"/>
              <w:right w:val="nil" w:sz="6" w:space="0" w:color="auto"/>
            </w:tcBorders>
          </w:tcPr>
          <w:p>
            <w:pPr/>
          </w:p>
        </w:tc>
        <w:tc>
          <w:tcPr>
            <w:tcW w:w="1865" w:type="dxa"/>
            <w:tcBorders>
              <w:top w:val="nil" w:sz="6" w:space="0" w:color="auto"/>
              <w:left w:val="nil" w:sz="6" w:space="0" w:color="auto"/>
              <w:bottom w:val="single" w:sz="8" w:space="0" w:color="000000"/>
              <w:right w:val="nil" w:sz="6" w:space="0" w:color="auto"/>
            </w:tcBorders>
          </w:tcPr>
          <w:p>
            <w:pPr/>
          </w:p>
        </w:tc>
      </w:tr>
      <w:tr>
        <w:trPr>
          <w:trHeight w:val="360" w:hRule="exact"/>
        </w:trPr>
        <w:tc>
          <w:tcPr>
            <w:tcW w:w="170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301" w:type="dxa"/>
            <w:tcBorders>
              <w:top w:val="nil" w:sz="6" w:space="0" w:color="auto"/>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6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413" w:type="dxa"/>
            <w:tcBorders>
              <w:top w:val="single" w:sz="8" w:space="0" w:color="000000"/>
              <w:left w:val="nil" w:sz="6" w:space="0" w:color="auto"/>
              <w:bottom w:val="nil" w:sz="6" w:space="0" w:color="auto"/>
              <w:right w:val="nil" w:sz="6" w:space="0" w:color="auto"/>
            </w:tcBorders>
          </w:tcPr>
          <w:p>
            <w:pPr/>
          </w:p>
        </w:tc>
        <w:tc>
          <w:tcPr>
            <w:tcW w:w="1531"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540" w:type="dxa"/>
            <w:tcBorders>
              <w:top w:val="single" w:sz="8" w:space="0" w:color="000000"/>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06"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20" w:hRule="exact"/>
        </w:trPr>
        <w:tc>
          <w:tcPr>
            <w:tcW w:w="170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01" w:type="dxa"/>
            <w:tcBorders>
              <w:top w:val="nil" w:sz="6" w:space="0" w:color="auto"/>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715" w:right="0"/>
              <w:jc w:val="left"/>
              <w:rPr>
                <w:rFonts w:ascii="宋体" w:hAnsi="宋体" w:cs="宋体" w:eastAsia="宋体" w:hint="default"/>
                <w:sz w:val="21"/>
                <w:szCs w:val="21"/>
              </w:rPr>
            </w:pPr>
            <w:r>
              <w:rPr>
                <w:rFonts w:ascii="宋体"/>
                <w:spacing w:val="-1"/>
                <w:sz w:val="21"/>
              </w:rPr>
              <w:t>4,259.89</w:t>
            </w:r>
          </w:p>
        </w:tc>
        <w:tc>
          <w:tcPr>
            <w:tcW w:w="413" w:type="dxa"/>
            <w:tcBorders>
              <w:top w:val="nil" w:sz="6" w:space="0" w:color="auto"/>
              <w:left w:val="nil" w:sz="6" w:space="0" w:color="auto"/>
              <w:bottom w:val="nil" w:sz="6" w:space="0" w:color="auto"/>
              <w:right w:val="nil" w:sz="6" w:space="0" w:color="auto"/>
            </w:tcBorders>
          </w:tcPr>
          <w:p>
            <w:pPr/>
          </w:p>
        </w:tc>
        <w:tc>
          <w:tcPr>
            <w:tcW w:w="153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895" w:right="0"/>
              <w:jc w:val="left"/>
              <w:rPr>
                <w:rFonts w:ascii="宋体" w:hAnsi="宋体" w:cs="宋体" w:eastAsia="宋体" w:hint="default"/>
                <w:sz w:val="21"/>
                <w:szCs w:val="21"/>
              </w:rPr>
            </w:pPr>
            <w:r>
              <w:rPr>
                <w:rFonts w:ascii="宋体"/>
                <w:sz w:val="21"/>
              </w:rPr>
              <w:t>6.6227</w:t>
            </w:r>
          </w:p>
        </w:tc>
        <w:tc>
          <w:tcPr>
            <w:tcW w:w="540" w:type="dxa"/>
            <w:tcBorders>
              <w:top w:val="nil" w:sz="6" w:space="0" w:color="auto"/>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915" w:right="0"/>
              <w:jc w:val="left"/>
              <w:rPr>
                <w:rFonts w:ascii="宋体" w:hAnsi="宋体" w:cs="宋体" w:eastAsia="宋体" w:hint="default"/>
                <w:sz w:val="21"/>
                <w:szCs w:val="21"/>
              </w:rPr>
            </w:pPr>
            <w:r>
              <w:rPr>
                <w:rFonts w:ascii="宋体"/>
                <w:spacing w:val="-1"/>
                <w:sz w:val="21"/>
              </w:rPr>
              <w:t>28,211.97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spacing w:line="367" w:lineRule="exact"/>
        <w:ind w:left="622" w:right="0"/>
        <w:jc w:val="left"/>
        <w:rPr>
          <w:b w:val="0"/>
          <w:bCs w:val="0"/>
        </w:rPr>
      </w:pPr>
      <w:r>
        <w:rPr>
          <w:rFonts w:ascii="Times New Roman" w:hAnsi="Times New Roman" w:cs="Times New Roman" w:eastAsia="Times New Roman" w:hint="default"/>
          <w:spacing w:val="2"/>
        </w:rPr>
        <w:t>4</w:t>
      </w:r>
      <w:r>
        <w:rPr>
          <w:spacing w:val="2"/>
        </w:rPr>
        <w:t>、其他应收款</w:t>
      </w:r>
      <w:r>
        <w:rPr>
          <w:b w:val="0"/>
          <w:bCs w:val="0"/>
          <w:spacing w:val="2"/>
        </w:rPr>
      </w:r>
    </w:p>
    <w:p>
      <w:pPr>
        <w:pStyle w:val="BodyText"/>
        <w:tabs>
          <w:tab w:pos="1102" w:val="left" w:leader="none"/>
        </w:tabs>
        <w:spacing w:line="240" w:lineRule="auto" w:before="210"/>
        <w:ind w:left="622" w:right="0"/>
        <w:jc w:val="left"/>
      </w:pPr>
      <w:r>
        <w:rPr/>
        <w:t>⑴</w:t>
        <w:tab/>
        <w:t>其他应收款按种类列示</w:t>
      </w:r>
    </w:p>
    <w:p>
      <w:pPr>
        <w:spacing w:line="240" w:lineRule="auto" w:before="6"/>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948"/>
        <w:gridCol w:w="147"/>
        <w:gridCol w:w="1532"/>
        <w:gridCol w:w="74"/>
        <w:gridCol w:w="794"/>
        <w:gridCol w:w="127"/>
        <w:gridCol w:w="1251"/>
        <w:gridCol w:w="161"/>
        <w:gridCol w:w="761"/>
      </w:tblGrid>
      <w:tr>
        <w:trPr>
          <w:trHeight w:val="219" w:hRule="exact"/>
        </w:trPr>
        <w:tc>
          <w:tcPr>
            <w:tcW w:w="8795"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right="2108"/>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3948"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4" w:type="dxa"/>
            <w:tcBorders>
              <w:top w:val="single" w:sz="8" w:space="0" w:color="000000"/>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
        </w:tc>
        <w:tc>
          <w:tcPr>
            <w:tcW w:w="127" w:type="dxa"/>
            <w:tcBorders>
              <w:top w:val="single" w:sz="8" w:space="0" w:color="000000"/>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6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 w:right="-10"/>
              <w:jc w:val="center"/>
              <w:rPr>
                <w:rFonts w:ascii="宋体" w:hAnsi="宋体" w:cs="宋体" w:eastAsia="宋体" w:hint="default"/>
                <w:sz w:val="18"/>
                <w:szCs w:val="18"/>
              </w:rPr>
            </w:pPr>
            <w:r>
              <w:rPr>
                <w:rFonts w:ascii="宋体" w:hAnsi="宋体" w:cs="宋体" w:eastAsia="宋体" w:hint="default"/>
                <w:sz w:val="18"/>
                <w:szCs w:val="18"/>
              </w:rPr>
              <w:t>备</w:t>
            </w:r>
          </w:p>
        </w:tc>
        <w:tc>
          <w:tcPr>
            <w:tcW w:w="761" w:type="dxa"/>
            <w:tcBorders>
              <w:top w:val="single" w:sz="8" w:space="0" w:color="000000"/>
              <w:left w:val="nil" w:sz="6" w:space="0" w:color="auto"/>
              <w:bottom w:val="single" w:sz="8" w:space="0" w:color="000000"/>
              <w:right w:val="nil" w:sz="6" w:space="0" w:color="auto"/>
            </w:tcBorders>
          </w:tcPr>
          <w:p>
            <w:pPr/>
          </w:p>
        </w:tc>
      </w:tr>
      <w:tr>
        <w:trPr>
          <w:trHeight w:val="360" w:hRule="exact"/>
        </w:trPr>
        <w:tc>
          <w:tcPr>
            <w:tcW w:w="3948" w:type="dxa"/>
            <w:tcBorders>
              <w:top w:val="nil" w:sz="6" w:space="0" w:color="auto"/>
              <w:left w:val="nil" w:sz="6" w:space="0" w:color="auto"/>
              <w:bottom w:val="single" w:sz="8"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118"/>
              <w:jc w:val="center"/>
              <w:rPr>
                <w:rFonts w:ascii="宋体" w:hAnsi="宋体" w:cs="宋体" w:eastAsia="宋体" w:hint="default"/>
                <w:sz w:val="18"/>
                <w:szCs w:val="18"/>
              </w:rPr>
            </w:pPr>
            <w:r>
              <w:rPr>
                <w:rFonts w:ascii="宋体" w:hAnsi="宋体" w:cs="宋体" w:eastAsia="宋体" w:hint="default"/>
                <w:sz w:val="18"/>
                <w:szCs w:val="18"/>
              </w:rPr>
              <w:t>金额</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53"/>
              <w:jc w:val="center"/>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48"/>
              <w:jc w:val="center"/>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single" w:sz="8" w:space="0" w:color="000000"/>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3948"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331" w:right="0"/>
              <w:jc w:val="left"/>
              <w:rPr>
                <w:rFonts w:ascii="宋体" w:hAnsi="宋体" w:cs="宋体" w:eastAsia="宋体" w:hint="default"/>
                <w:sz w:val="18"/>
                <w:szCs w:val="18"/>
              </w:rPr>
            </w:pPr>
            <w:r>
              <w:rPr>
                <w:rFonts w:ascii="宋体"/>
                <w:sz w:val="18"/>
              </w:rPr>
              <w:t>1,682,540.00</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39" w:right="0"/>
              <w:jc w:val="center"/>
              <w:rPr>
                <w:rFonts w:ascii="宋体" w:hAnsi="宋体" w:cs="宋体" w:eastAsia="宋体" w:hint="default"/>
                <w:sz w:val="18"/>
                <w:szCs w:val="18"/>
              </w:rPr>
            </w:pPr>
            <w:r>
              <w:rPr>
                <w:rFonts w:ascii="宋体"/>
                <w:sz w:val="18"/>
              </w:rPr>
              <w:t>12.57%</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290" w:right="0"/>
              <w:jc w:val="left"/>
              <w:rPr>
                <w:rFonts w:ascii="宋体" w:hAnsi="宋体" w:cs="宋体" w:eastAsia="宋体" w:hint="default"/>
                <w:sz w:val="18"/>
                <w:szCs w:val="18"/>
              </w:rPr>
            </w:pPr>
            <w:r>
              <w:rPr>
                <w:rFonts w:ascii="宋体"/>
                <w:sz w:val="18"/>
              </w:rPr>
              <w:t>841,270.00</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4"/>
              <w:jc w:val="right"/>
              <w:rPr>
                <w:rFonts w:ascii="宋体" w:hAnsi="宋体" w:cs="宋体" w:eastAsia="宋体" w:hint="default"/>
                <w:sz w:val="18"/>
                <w:szCs w:val="18"/>
              </w:rPr>
            </w:pPr>
            <w:r>
              <w:rPr>
                <w:rFonts w:ascii="宋体"/>
                <w:sz w:val="18"/>
              </w:rPr>
              <w:t>50.00%</w:t>
            </w:r>
          </w:p>
        </w:tc>
      </w:tr>
      <w:tr>
        <w:trPr>
          <w:trHeight w:val="341"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40" w:right="0"/>
              <w:jc w:val="left"/>
              <w:rPr>
                <w:rFonts w:ascii="宋体" w:hAnsi="宋体" w:cs="宋体" w:eastAsia="宋体" w:hint="default"/>
                <w:sz w:val="18"/>
                <w:szCs w:val="18"/>
              </w:rPr>
            </w:pPr>
            <w:r>
              <w:rPr>
                <w:rFonts w:ascii="宋体"/>
                <w:sz w:val="18"/>
              </w:rPr>
              <w:t>11,697,523.86</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9" w:right="0"/>
              <w:jc w:val="center"/>
              <w:rPr>
                <w:rFonts w:ascii="宋体" w:hAnsi="宋体" w:cs="宋体" w:eastAsia="宋体" w:hint="default"/>
                <w:sz w:val="18"/>
                <w:szCs w:val="18"/>
              </w:rPr>
            </w:pPr>
            <w:r>
              <w:rPr>
                <w:rFonts w:ascii="宋体"/>
                <w:sz w:val="18"/>
              </w:rPr>
              <w:t>87.43%</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sz w:val="18"/>
              </w:rPr>
              <w:t>1,002,571.43</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
              <w:jc w:val="right"/>
              <w:rPr>
                <w:rFonts w:ascii="宋体" w:hAnsi="宋体" w:cs="宋体" w:eastAsia="宋体" w:hint="default"/>
                <w:sz w:val="18"/>
                <w:szCs w:val="18"/>
              </w:rPr>
            </w:pPr>
            <w:r>
              <w:rPr>
                <w:rFonts w:ascii="宋体"/>
                <w:sz w:val="18"/>
              </w:rPr>
              <w:t>8.57%</w:t>
            </w:r>
          </w:p>
        </w:tc>
      </w:tr>
      <w:tr>
        <w:trPr>
          <w:trHeight w:val="297"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8" w:space="0" w:color="000000"/>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single" w:sz="8" w:space="0" w:color="000000"/>
              <w:right w:val="nil" w:sz="6" w:space="0" w:color="auto"/>
            </w:tcBorders>
          </w:tcPr>
          <w:p>
            <w:pPr/>
          </w:p>
        </w:tc>
      </w:tr>
      <w:tr>
        <w:trPr>
          <w:trHeight w:val="372"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240" w:right="0"/>
              <w:jc w:val="left"/>
              <w:rPr>
                <w:rFonts w:ascii="宋体" w:hAnsi="宋体" w:cs="宋体" w:eastAsia="宋体" w:hint="default"/>
                <w:sz w:val="18"/>
                <w:szCs w:val="18"/>
              </w:rPr>
            </w:pPr>
            <w:r>
              <w:rPr>
                <w:rFonts w:ascii="宋体"/>
                <w:sz w:val="18"/>
              </w:rPr>
              <w:t>13,380,063.86</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49" w:right="0"/>
              <w:jc w:val="center"/>
              <w:rPr>
                <w:rFonts w:ascii="宋体" w:hAnsi="宋体" w:cs="宋体" w:eastAsia="宋体" w:hint="default"/>
                <w:sz w:val="18"/>
                <w:szCs w:val="18"/>
              </w:rPr>
            </w:pPr>
            <w:r>
              <w:rPr>
                <w:rFonts w:ascii="宋体"/>
                <w:sz w:val="18"/>
              </w:rPr>
              <w:t>100.00%</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sz w:val="18"/>
              </w:rPr>
              <w:t>1,843,841.43</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spacing w:val="-1"/>
                <w:sz w:val="18"/>
              </w:rPr>
              <w:t>13.78%</w:t>
            </w:r>
          </w:p>
        </w:tc>
      </w:tr>
      <w:tr>
        <w:trPr>
          <w:trHeight w:val="713" w:hRule="exact"/>
        </w:trPr>
        <w:tc>
          <w:tcPr>
            <w:tcW w:w="8795" w:type="dxa"/>
            <w:gridSpan w:val="9"/>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08"/>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3948"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4" w:type="dxa"/>
            <w:tcBorders>
              <w:top w:val="single" w:sz="8" w:space="0" w:color="000000"/>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
        </w:tc>
        <w:tc>
          <w:tcPr>
            <w:tcW w:w="127" w:type="dxa"/>
            <w:tcBorders>
              <w:top w:val="single" w:sz="8" w:space="0" w:color="000000"/>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6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0" w:right="-10"/>
              <w:jc w:val="center"/>
              <w:rPr>
                <w:rFonts w:ascii="宋体" w:hAnsi="宋体" w:cs="宋体" w:eastAsia="宋体" w:hint="default"/>
                <w:sz w:val="18"/>
                <w:szCs w:val="18"/>
              </w:rPr>
            </w:pPr>
            <w:r>
              <w:rPr>
                <w:rFonts w:ascii="宋体" w:hAnsi="宋体" w:cs="宋体" w:eastAsia="宋体" w:hint="default"/>
                <w:sz w:val="18"/>
                <w:szCs w:val="18"/>
              </w:rPr>
              <w:t>备</w:t>
            </w:r>
          </w:p>
        </w:tc>
        <w:tc>
          <w:tcPr>
            <w:tcW w:w="761" w:type="dxa"/>
            <w:tcBorders>
              <w:top w:val="single" w:sz="8" w:space="0" w:color="000000"/>
              <w:left w:val="nil" w:sz="6" w:space="0" w:color="auto"/>
              <w:bottom w:val="single" w:sz="8" w:space="0" w:color="000000"/>
              <w:right w:val="nil" w:sz="6" w:space="0" w:color="auto"/>
            </w:tcBorders>
          </w:tcPr>
          <w:p>
            <w:pPr/>
          </w:p>
        </w:tc>
      </w:tr>
      <w:tr>
        <w:trPr>
          <w:trHeight w:val="360" w:hRule="exact"/>
        </w:trPr>
        <w:tc>
          <w:tcPr>
            <w:tcW w:w="3948"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2"/>
              <w:jc w:val="center"/>
              <w:rPr>
                <w:rFonts w:ascii="宋体" w:hAnsi="宋体" w:cs="宋体" w:eastAsia="宋体" w:hint="default"/>
                <w:sz w:val="18"/>
                <w:szCs w:val="18"/>
              </w:rPr>
            </w:pPr>
            <w:r>
              <w:rPr>
                <w:rFonts w:ascii="宋体" w:hAnsi="宋体" w:cs="宋体" w:eastAsia="宋体" w:hint="default"/>
                <w:sz w:val="18"/>
                <w:szCs w:val="18"/>
              </w:rPr>
              <w:t>金额</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5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5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single" w:sz="8" w:space="0" w:color="000000"/>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3948"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nil" w:sz="6" w:space="0" w:color="auto"/>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nil" w:sz="6" w:space="0" w:color="auto"/>
              <w:right w:val="nil" w:sz="6" w:space="0" w:color="auto"/>
            </w:tcBorders>
          </w:tcPr>
          <w:p>
            <w:pPr/>
          </w:p>
        </w:tc>
      </w:tr>
      <w:tr>
        <w:trPr>
          <w:trHeight w:val="340"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40" w:right="0"/>
              <w:jc w:val="left"/>
              <w:rPr>
                <w:rFonts w:ascii="宋体" w:hAnsi="宋体" w:cs="宋体" w:eastAsia="宋体" w:hint="default"/>
                <w:sz w:val="18"/>
                <w:szCs w:val="18"/>
              </w:rPr>
            </w:pPr>
            <w:r>
              <w:rPr>
                <w:rFonts w:ascii="宋体"/>
                <w:sz w:val="18"/>
              </w:rPr>
              <w:t>11,161,981.63</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8" w:right="0"/>
              <w:jc w:val="center"/>
              <w:rPr>
                <w:rFonts w:ascii="宋体" w:hAnsi="宋体" w:cs="宋体" w:eastAsia="宋体" w:hint="default"/>
                <w:sz w:val="18"/>
                <w:szCs w:val="18"/>
              </w:rPr>
            </w:pPr>
            <w:r>
              <w:rPr>
                <w:rFonts w:ascii="宋体"/>
                <w:sz w:val="18"/>
              </w:rPr>
              <w:t>100.00%</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0" w:right="0"/>
              <w:jc w:val="left"/>
              <w:rPr>
                <w:rFonts w:ascii="宋体" w:hAnsi="宋体" w:cs="宋体" w:eastAsia="宋体" w:hint="default"/>
                <w:sz w:val="18"/>
                <w:szCs w:val="18"/>
              </w:rPr>
            </w:pPr>
            <w:r>
              <w:rPr>
                <w:rFonts w:ascii="宋体"/>
                <w:sz w:val="18"/>
              </w:rPr>
              <w:t>998,446.01</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
              <w:jc w:val="right"/>
              <w:rPr>
                <w:rFonts w:ascii="宋体" w:hAnsi="宋体" w:cs="宋体" w:eastAsia="宋体" w:hint="default"/>
                <w:sz w:val="18"/>
                <w:szCs w:val="18"/>
              </w:rPr>
            </w:pPr>
            <w:r>
              <w:rPr>
                <w:rFonts w:ascii="宋体"/>
                <w:sz w:val="18"/>
              </w:rPr>
              <w:t>8.95%</w:t>
            </w:r>
          </w:p>
        </w:tc>
      </w:tr>
      <w:tr>
        <w:trPr>
          <w:trHeight w:val="297"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8" w:space="0" w:color="000000"/>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single" w:sz="8" w:space="0" w:color="000000"/>
              <w:right w:val="nil" w:sz="6" w:space="0" w:color="auto"/>
            </w:tcBorders>
          </w:tcPr>
          <w:p>
            <w:pPr/>
          </w:p>
        </w:tc>
      </w:tr>
      <w:tr>
        <w:trPr>
          <w:trHeight w:val="374"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240" w:right="0"/>
              <w:jc w:val="left"/>
              <w:rPr>
                <w:rFonts w:ascii="宋体" w:hAnsi="宋体" w:cs="宋体" w:eastAsia="宋体" w:hint="default"/>
                <w:sz w:val="18"/>
                <w:szCs w:val="18"/>
              </w:rPr>
            </w:pPr>
            <w:r>
              <w:rPr>
                <w:rFonts w:ascii="宋体"/>
                <w:sz w:val="18"/>
              </w:rPr>
              <w:t>11,161,981.63</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48" w:right="0"/>
              <w:jc w:val="center"/>
              <w:rPr>
                <w:rFonts w:ascii="宋体" w:hAnsi="宋体" w:cs="宋体" w:eastAsia="宋体" w:hint="default"/>
                <w:sz w:val="18"/>
                <w:szCs w:val="18"/>
              </w:rPr>
            </w:pPr>
            <w:r>
              <w:rPr>
                <w:rFonts w:ascii="宋体"/>
                <w:sz w:val="18"/>
              </w:rPr>
              <w:t>100.00%</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290" w:right="0"/>
              <w:jc w:val="left"/>
              <w:rPr>
                <w:rFonts w:ascii="宋体" w:hAnsi="宋体" w:cs="宋体" w:eastAsia="宋体" w:hint="default"/>
                <w:sz w:val="18"/>
                <w:szCs w:val="18"/>
              </w:rPr>
            </w:pPr>
            <w:r>
              <w:rPr>
                <w:rFonts w:ascii="宋体"/>
                <w:sz w:val="18"/>
              </w:rPr>
              <w:t>998,446.01</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sz w:val="18"/>
              </w:rPr>
              <w:t>8.95%</w:t>
            </w:r>
          </w:p>
        </w:tc>
      </w:tr>
    </w:tbl>
    <w:p>
      <w:pPr>
        <w:spacing w:after="0" w:line="240" w:lineRule="auto"/>
        <w:jc w:val="right"/>
        <w:rPr>
          <w:rFonts w:ascii="宋体" w:hAnsi="宋体" w:cs="宋体" w:eastAsia="宋体" w:hint="default"/>
          <w:sz w:val="18"/>
          <w:szCs w:val="18"/>
        </w:rPr>
        <w:sectPr>
          <w:pgSz w:w="11910" w:h="16840"/>
          <w:pgMar w:header="840" w:footer="1239" w:top="1160" w:bottom="1420" w:left="1480" w:right="1180"/>
        </w:sectPr>
      </w:pPr>
    </w:p>
    <w:p>
      <w:pPr>
        <w:spacing w:line="240" w:lineRule="auto" w:before="1"/>
        <w:rPr>
          <w:rFonts w:ascii="宋体" w:hAnsi="宋体" w:cs="宋体" w:eastAsia="宋体" w:hint="default"/>
          <w:sz w:val="22"/>
          <w:szCs w:val="22"/>
        </w:rPr>
      </w:pPr>
    </w:p>
    <w:p>
      <w:pPr>
        <w:pStyle w:val="BodyText"/>
        <w:spacing w:line="240" w:lineRule="auto" w:before="26"/>
        <w:ind w:left="702" w:right="0"/>
        <w:jc w:val="left"/>
      </w:pPr>
      <w:r>
        <w:rPr/>
        <w:t>⑵ 其他应收款按账龄列示</w:t>
      </w:r>
    </w:p>
    <w:p>
      <w:pPr>
        <w:spacing w:before="79"/>
        <w:ind w:left="0" w:right="1891" w:firstLine="0"/>
        <w:jc w:val="right"/>
        <w:rPr>
          <w:rFonts w:ascii="宋体" w:hAnsi="宋体" w:cs="宋体" w:eastAsia="宋体" w:hint="default"/>
          <w:sz w:val="21"/>
          <w:szCs w:val="21"/>
        </w:rPr>
      </w:pPr>
      <w:r>
        <w:rPr/>
        <w:pict>
          <v:shape style="position:absolute;margin-left:81.863998pt;margin-top:7.138674pt;width:439.3pt;height:119.4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312"/>
                    <w:gridCol w:w="1954"/>
                    <w:gridCol w:w="187"/>
                    <w:gridCol w:w="1149"/>
                    <w:gridCol w:w="385"/>
                    <w:gridCol w:w="1697"/>
                    <w:gridCol w:w="236"/>
                    <w:gridCol w:w="1457"/>
                  </w:tblGrid>
                  <w:tr>
                    <w:trPr>
                      <w:trHeight w:val="251" w:hRule="exact"/>
                    </w:trPr>
                    <w:tc>
                      <w:tcPr>
                        <w:tcW w:w="1409"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z w:val="21"/>
                            <w:szCs w:val="21"/>
                          </w:rPr>
                          <w:t>期末数</w:t>
                        </w:r>
                      </w:p>
                    </w:tc>
                    <w:tc>
                      <w:tcPr>
                        <w:tcW w:w="187" w:type="dxa"/>
                        <w:tcBorders>
                          <w:top w:val="nil" w:sz="6" w:space="0" w:color="auto"/>
                          <w:left w:val="nil" w:sz="6" w:space="0" w:color="auto"/>
                          <w:bottom w:val="single" w:sz="8" w:space="0" w:color="000000"/>
                          <w:right w:val="nil" w:sz="6" w:space="0" w:color="auto"/>
                        </w:tcBorders>
                      </w:tcPr>
                      <w:p>
                        <w:pPr/>
                      </w:p>
                    </w:tc>
                    <w:tc>
                      <w:tcPr>
                        <w:tcW w:w="1149" w:type="dxa"/>
                        <w:tcBorders>
                          <w:top w:val="nil" w:sz="6" w:space="0" w:color="auto"/>
                          <w:left w:val="nil" w:sz="6" w:space="0" w:color="auto"/>
                          <w:bottom w:val="single" w:sz="8" w:space="0" w:color="000000"/>
                          <w:right w:val="nil" w:sz="6" w:space="0" w:color="auto"/>
                        </w:tcBorders>
                      </w:tcPr>
                      <w:p>
                        <w:pP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8" w:space="0" w:color="000000"/>
                          <w:right w:val="nil" w:sz="6" w:space="0" w:color="auto"/>
                        </w:tcBorders>
                      </w:tcPr>
                      <w:p>
                        <w:pPr>
                          <w:pStyle w:val="TableParagraph"/>
                          <w:spacing w:line="211" w:lineRule="exact"/>
                          <w:ind w:right="106"/>
                          <w:jc w:val="right"/>
                          <w:rPr>
                            <w:rFonts w:ascii="宋体" w:hAnsi="宋体" w:cs="宋体" w:eastAsia="宋体" w:hint="default"/>
                            <w:sz w:val="21"/>
                            <w:szCs w:val="21"/>
                          </w:rPr>
                        </w:pPr>
                        <w:r>
                          <w:rPr>
                            <w:rFonts w:ascii="宋体" w:hAnsi="宋体" w:cs="宋体" w:eastAsia="宋体" w:hint="default"/>
                            <w:w w:val="100"/>
                            <w:sz w:val="21"/>
                            <w:szCs w:val="21"/>
                          </w:rPr>
                          <w:t>期</w:t>
                        </w:r>
                      </w:p>
                    </w:tc>
                    <w:tc>
                      <w:tcPr>
                        <w:tcW w:w="236" w:type="dxa"/>
                        <w:tcBorders>
                          <w:top w:val="nil" w:sz="6" w:space="0" w:color="auto"/>
                          <w:left w:val="nil" w:sz="6" w:space="0" w:color="auto"/>
                          <w:bottom w:val="single" w:sz="8" w:space="0" w:color="000000"/>
                          <w:right w:val="nil" w:sz="6" w:space="0" w:color="auto"/>
                        </w:tcBorders>
                      </w:tcPr>
                      <w:p>
                        <w:pPr/>
                      </w:p>
                    </w:tc>
                    <w:tc>
                      <w:tcPr>
                        <w:tcW w:w="1457" w:type="dxa"/>
                        <w:tcBorders>
                          <w:top w:val="nil" w:sz="6" w:space="0" w:color="auto"/>
                          <w:left w:val="nil" w:sz="6" w:space="0" w:color="auto"/>
                          <w:bottom w:val="single" w:sz="8" w:space="0" w:color="000000"/>
                          <w:right w:val="nil" w:sz="6" w:space="0" w:color="auto"/>
                        </w:tcBorders>
                      </w:tcPr>
                      <w:p>
                        <w:pPr>
                          <w:pStyle w:val="TableParagraph"/>
                          <w:spacing w:line="211" w:lineRule="exact"/>
                          <w:ind w:left="-133" w:right="0"/>
                          <w:jc w:val="left"/>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360" w:hRule="exact"/>
                    </w:trPr>
                    <w:tc>
                      <w:tcPr>
                        <w:tcW w:w="140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437"/>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45"/>
                          <w:jc w:val="center"/>
                          <w:rPr>
                            <w:rFonts w:ascii="宋体" w:hAnsi="宋体" w:cs="宋体" w:eastAsia="宋体" w:hint="default"/>
                            <w:sz w:val="21"/>
                            <w:szCs w:val="21"/>
                          </w:rPr>
                        </w:pPr>
                        <w:r>
                          <w:rPr>
                            <w:rFonts w:ascii="宋体" w:hAnsi="宋体" w:cs="宋体" w:eastAsia="宋体" w:hint="default"/>
                            <w:sz w:val="21"/>
                            <w:szCs w:val="21"/>
                          </w:rPr>
                          <w:t>金额</w:t>
                        </w:r>
                      </w:p>
                    </w:tc>
                    <w:tc>
                      <w:tcPr>
                        <w:tcW w:w="187" w:type="dxa"/>
                        <w:tcBorders>
                          <w:top w:val="single" w:sz="8" w:space="0" w:color="000000"/>
                          <w:left w:val="nil" w:sz="6" w:space="0" w:color="auto"/>
                          <w:bottom w:val="nil" w:sz="6" w:space="0" w:color="auto"/>
                          <w:right w:val="nil" w:sz="6" w:space="0" w:color="auto"/>
                        </w:tcBorders>
                      </w:tcPr>
                      <w:p>
                        <w:pPr/>
                      </w:p>
                    </w:tc>
                    <w:tc>
                      <w:tcPr>
                        <w:tcW w:w="114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6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6" w:type="dxa"/>
                        <w:tcBorders>
                          <w:top w:val="single" w:sz="8" w:space="0" w:color="000000"/>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85" w:hRule="exact"/>
                    </w:trPr>
                    <w:tc>
                      <w:tcPr>
                        <w:tcW w:w="140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48"/>
                          <w:jc w:val="right"/>
                          <w:rPr>
                            <w:rFonts w:ascii="宋体" w:hAnsi="宋体" w:cs="宋体" w:eastAsia="宋体" w:hint="default"/>
                            <w:sz w:val="21"/>
                            <w:szCs w:val="21"/>
                          </w:rPr>
                        </w:pPr>
                        <w:r>
                          <w:rPr>
                            <w:rFonts w:ascii="宋体"/>
                            <w:spacing w:val="-1"/>
                            <w:sz w:val="21"/>
                          </w:rPr>
                          <w:t>9,904,594.95</w:t>
                        </w:r>
                      </w:p>
                    </w:tc>
                    <w:tc>
                      <w:tcPr>
                        <w:tcW w:w="187" w:type="dxa"/>
                        <w:tcBorders>
                          <w:top w:val="nil" w:sz="6" w:space="0" w:color="auto"/>
                          <w:left w:val="nil" w:sz="6" w:space="0" w:color="auto"/>
                          <w:bottom w:val="nil" w:sz="6" w:space="0" w:color="auto"/>
                          <w:right w:val="nil" w:sz="6" w:space="0" w:color="auto"/>
                        </w:tcBorders>
                      </w:tcPr>
                      <w:p>
                        <w:pPr/>
                      </w:p>
                    </w:tc>
                    <w:tc>
                      <w:tcPr>
                        <w:tcW w:w="114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74.02%</w:t>
                        </w: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6,987,971.80</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62.60%</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8"/>
                          <w:jc w:val="right"/>
                          <w:rPr>
                            <w:rFonts w:ascii="宋体" w:hAnsi="宋体" w:cs="宋体" w:eastAsia="宋体" w:hint="default"/>
                            <w:sz w:val="21"/>
                            <w:szCs w:val="21"/>
                          </w:rPr>
                        </w:pPr>
                        <w:r>
                          <w:rPr>
                            <w:rFonts w:ascii="宋体"/>
                            <w:spacing w:val="-1"/>
                            <w:sz w:val="21"/>
                          </w:rPr>
                          <w:t>1,963,946.96</w:t>
                        </w:r>
                      </w:p>
                    </w:tc>
                    <w:tc>
                      <w:tcPr>
                        <w:tcW w:w="187"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z w:val="21"/>
                          </w:rPr>
                          <w:t>14.68%</w:t>
                        </w: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3,188,940.73</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z w:val="21"/>
                          </w:rPr>
                          <w:t>28.57%</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ind w:right="48"/>
                          <w:jc w:val="right"/>
                          <w:rPr>
                            <w:rFonts w:ascii="宋体" w:hAnsi="宋体" w:cs="宋体" w:eastAsia="宋体" w:hint="default"/>
                            <w:sz w:val="21"/>
                            <w:szCs w:val="21"/>
                          </w:rPr>
                        </w:pPr>
                        <w:r>
                          <w:rPr>
                            <w:rFonts w:ascii="宋体"/>
                            <w:spacing w:val="-1"/>
                            <w:sz w:val="21"/>
                          </w:rPr>
                          <w:t>1,202,290.01</w:t>
                        </w:r>
                      </w:p>
                    </w:tc>
                    <w:tc>
                      <w:tcPr>
                        <w:tcW w:w="187"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8.99%</w:t>
                        </w: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541,271.76</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4.85%</w:t>
                        </w:r>
                      </w:p>
                    </w:tc>
                  </w:tr>
                  <w:tr>
                    <w:trPr>
                      <w:trHeight w:val="316"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48"/>
                          <w:jc w:val="right"/>
                          <w:rPr>
                            <w:rFonts w:ascii="宋体" w:hAnsi="宋体" w:cs="宋体" w:eastAsia="宋体" w:hint="default"/>
                            <w:sz w:val="21"/>
                            <w:szCs w:val="21"/>
                          </w:rPr>
                        </w:pPr>
                        <w:r>
                          <w:rPr>
                            <w:rFonts w:ascii="宋体"/>
                            <w:spacing w:val="-1"/>
                            <w:sz w:val="21"/>
                          </w:rPr>
                          <w:t>309,231.94</w:t>
                        </w:r>
                      </w:p>
                    </w:tc>
                    <w:tc>
                      <w:tcPr>
                        <w:tcW w:w="187"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z w:val="21"/>
                          </w:rPr>
                          <w:t>2.31%</w:t>
                        </w: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443,797.34</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z w:val="21"/>
                          </w:rPr>
                          <w:t>3.98%</w:t>
                        </w:r>
                      </w:p>
                    </w:tc>
                  </w:tr>
                  <w:tr>
                    <w:trPr>
                      <w:trHeight w:val="37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7"/>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48"/>
                          <w:jc w:val="right"/>
                          <w:rPr>
                            <w:rFonts w:ascii="宋体" w:hAnsi="宋体" w:cs="宋体" w:eastAsia="宋体" w:hint="default"/>
                            <w:sz w:val="21"/>
                            <w:szCs w:val="21"/>
                          </w:rPr>
                        </w:pPr>
                        <w:r>
                          <w:rPr>
                            <w:rFonts w:ascii="宋体"/>
                            <w:spacing w:val="-1"/>
                            <w:sz w:val="21"/>
                          </w:rPr>
                          <w:t>13,380,063.86</w:t>
                        </w:r>
                      </w:p>
                    </w:tc>
                    <w:tc>
                      <w:tcPr>
                        <w:tcW w:w="187" w:type="dxa"/>
                        <w:tcBorders>
                          <w:top w:val="nil" w:sz="6" w:space="0" w:color="auto"/>
                          <w:left w:val="nil" w:sz="6" w:space="0" w:color="auto"/>
                          <w:bottom w:val="nil" w:sz="6" w:space="0" w:color="auto"/>
                          <w:right w:val="nil" w:sz="6" w:space="0" w:color="auto"/>
                        </w:tcBorders>
                      </w:tcPr>
                      <w:p>
                        <w:pPr/>
                      </w:p>
                    </w:tc>
                    <w:tc>
                      <w:tcPr>
                        <w:tcW w:w="1149"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100.00%</w:t>
                        </w:r>
                      </w:p>
                    </w:tc>
                    <w:tc>
                      <w:tcPr>
                        <w:tcW w:w="385" w:type="dxa"/>
                        <w:tcBorders>
                          <w:top w:val="nil" w:sz="6" w:space="0" w:color="auto"/>
                          <w:left w:val="nil" w:sz="6" w:space="0" w:color="auto"/>
                          <w:bottom w:val="nil" w:sz="6" w:space="0" w:color="auto"/>
                          <w:right w:val="nil" w:sz="6" w:space="0" w:color="auto"/>
                        </w:tcBorders>
                      </w:tcPr>
                      <w:p>
                        <w:pPr/>
                      </w:p>
                    </w:tc>
                    <w:tc>
                      <w:tcPr>
                        <w:tcW w:w="1697"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11,161,981.63</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100.00%</w:t>
                        </w:r>
                      </w:p>
                    </w:tc>
                  </w:tr>
                </w:tbl>
                <w:p>
                  <w:pPr/>
                </w:p>
              </w:txbxContent>
            </v:textbox>
            <w10:wrap type="none"/>
          </v:shape>
        </w:pict>
      </w:r>
      <w:r>
        <w:rPr>
          <w:rFonts w:ascii="宋体" w:hAnsi="宋体" w:cs="宋体" w:eastAsia="宋体" w:hint="default"/>
          <w:w w:val="100"/>
          <w:sz w:val="21"/>
          <w:szCs w:val="21"/>
        </w:rPr>
        <w:t>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tabs>
          <w:tab w:pos="1182" w:val="left" w:leader="none"/>
        </w:tabs>
        <w:spacing w:line="240" w:lineRule="auto" w:before="26"/>
        <w:ind w:left="702" w:right="0"/>
        <w:jc w:val="left"/>
      </w:pPr>
      <w:r>
        <w:rPr/>
        <w:t>⑶</w:t>
        <w:tab/>
        <w:t>坏账准备的计提情况</w:t>
      </w:r>
    </w:p>
    <w:p>
      <w:pPr>
        <w:spacing w:line="240" w:lineRule="auto" w:before="8"/>
        <w:rPr>
          <w:rFonts w:ascii="宋体" w:hAnsi="宋体" w:cs="宋体" w:eastAsia="宋体" w:hint="default"/>
          <w:sz w:val="17"/>
          <w:szCs w:val="17"/>
        </w:rPr>
      </w:pPr>
    </w:p>
    <w:p>
      <w:pPr>
        <w:pStyle w:val="BodyText"/>
        <w:spacing w:line="240" w:lineRule="auto" w:before="0"/>
        <w:ind w:left="702" w:right="0"/>
        <w:jc w:val="left"/>
      </w:pPr>
      <w:r>
        <w:rPr>
          <w:rFonts w:ascii="宋体" w:hAnsi="宋体" w:cs="宋体" w:eastAsia="宋体" w:hint="default"/>
        </w:rPr>
        <w:t>① </w:t>
      </w:r>
      <w:r>
        <w:rPr/>
        <w:t>单项金额重大并单项计提坏账准备的其他应收款坏账准备计提情况</w:t>
      </w:r>
    </w:p>
    <w:p>
      <w:pPr>
        <w:spacing w:line="240" w:lineRule="auto" w:before="4"/>
        <w:rPr>
          <w:rFonts w:ascii="宋体" w:hAnsi="宋体" w:cs="宋体" w:eastAsia="宋体" w:hint="default"/>
          <w:sz w:val="15"/>
          <w:szCs w:val="15"/>
        </w:rPr>
      </w:pPr>
    </w:p>
    <w:tbl>
      <w:tblPr>
        <w:tblW w:w="0" w:type="auto"/>
        <w:jc w:val="left"/>
        <w:tblInd w:w="222" w:type="dxa"/>
        <w:tblLayout w:type="fixed"/>
        <w:tblCellMar>
          <w:top w:w="0" w:type="dxa"/>
          <w:left w:w="0" w:type="dxa"/>
          <w:bottom w:w="0" w:type="dxa"/>
          <w:right w:w="0" w:type="dxa"/>
        </w:tblCellMar>
        <w:tblLook w:val="01E0"/>
      </w:tblPr>
      <w:tblGrid>
        <w:gridCol w:w="2126"/>
        <w:gridCol w:w="217"/>
        <w:gridCol w:w="1483"/>
        <w:gridCol w:w="221"/>
        <w:gridCol w:w="1560"/>
        <w:gridCol w:w="223"/>
        <w:gridCol w:w="972"/>
        <w:gridCol w:w="223"/>
        <w:gridCol w:w="1904"/>
      </w:tblGrid>
      <w:tr>
        <w:trPr>
          <w:trHeight w:val="253" w:hRule="exact"/>
        </w:trPr>
        <w:tc>
          <w:tcPr>
            <w:tcW w:w="2126" w:type="dxa"/>
            <w:tcBorders>
              <w:top w:val="nil" w:sz="6" w:space="0" w:color="auto"/>
              <w:left w:val="nil" w:sz="6" w:space="0" w:color="auto"/>
              <w:bottom w:val="single" w:sz="8" w:space="0" w:color="000000"/>
              <w:right w:val="nil" w:sz="6" w:space="0" w:color="auto"/>
            </w:tcBorders>
          </w:tcPr>
          <w:p>
            <w:pPr>
              <w:pStyle w:val="TableParagraph"/>
              <w:spacing w:line="211"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2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8" w:space="0" w:color="000000"/>
              <w:right w:val="nil" w:sz="6" w:space="0" w:color="auto"/>
            </w:tcBorders>
          </w:tcPr>
          <w:p>
            <w:pPr>
              <w:pStyle w:val="TableParagraph"/>
              <w:spacing w:line="211" w:lineRule="exact"/>
              <w:ind w:left="32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8" w:space="0" w:color="000000"/>
              <w:right w:val="nil" w:sz="6" w:space="0" w:color="auto"/>
            </w:tcBorders>
          </w:tcPr>
          <w:p>
            <w:pPr>
              <w:pStyle w:val="TableParagraph"/>
              <w:spacing w:line="211" w:lineRule="exact"/>
              <w:ind w:left="3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8" w:space="0" w:color="000000"/>
              <w:right w:val="nil" w:sz="6" w:space="0" w:color="auto"/>
            </w:tcBorders>
          </w:tcPr>
          <w:p>
            <w:pPr>
              <w:pStyle w:val="TableParagraph"/>
              <w:spacing w:line="211" w:lineRule="exact"/>
              <w:ind w:right="62"/>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2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8"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10" w:hRule="exact"/>
        </w:trPr>
        <w:tc>
          <w:tcPr>
            <w:tcW w:w="2126"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left="2" w:right="0"/>
              <w:jc w:val="left"/>
              <w:rPr>
                <w:rFonts w:ascii="宋体" w:hAnsi="宋体" w:cs="宋体" w:eastAsia="宋体" w:hint="default"/>
                <w:sz w:val="21"/>
                <w:szCs w:val="21"/>
              </w:rPr>
            </w:pPr>
            <w:r>
              <w:rPr>
                <w:rFonts w:ascii="宋体" w:hAnsi="宋体" w:cs="宋体" w:eastAsia="宋体" w:hint="default"/>
                <w:sz w:val="21"/>
                <w:szCs w:val="21"/>
              </w:rPr>
              <w:t>大连跃达冷水机组款</w:t>
            </w:r>
          </w:p>
        </w:tc>
        <w:tc>
          <w:tcPr>
            <w:tcW w:w="217" w:type="dxa"/>
            <w:tcBorders>
              <w:top w:val="nil" w:sz="6" w:space="0" w:color="auto"/>
              <w:left w:val="nil" w:sz="6" w:space="0" w:color="auto"/>
              <w:bottom w:val="nil" w:sz="6" w:space="0" w:color="auto"/>
              <w:right w:val="nil" w:sz="6" w:space="0" w:color="auto"/>
            </w:tcBorders>
          </w:tcPr>
          <w:p>
            <w:pPr/>
          </w:p>
        </w:tc>
        <w:tc>
          <w:tcPr>
            <w:tcW w:w="1483"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pacing w:val="-1"/>
                <w:sz w:val="21"/>
              </w:rPr>
              <w:t>1,682,540.00</w:t>
            </w:r>
          </w:p>
        </w:tc>
        <w:tc>
          <w:tcPr>
            <w:tcW w:w="221" w:type="dxa"/>
            <w:tcBorders>
              <w:top w:val="nil" w:sz="6" w:space="0" w:color="auto"/>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pacing w:val="-1"/>
                <w:sz w:val="21"/>
              </w:rPr>
              <w:t>841,270.00</w:t>
            </w:r>
          </w:p>
        </w:tc>
        <w:tc>
          <w:tcPr>
            <w:tcW w:w="223" w:type="dxa"/>
            <w:tcBorders>
              <w:top w:val="nil" w:sz="6" w:space="0" w:color="auto"/>
              <w:left w:val="nil" w:sz="6" w:space="0" w:color="auto"/>
              <w:bottom w:val="nil" w:sz="6" w:space="0" w:color="auto"/>
              <w:right w:val="nil" w:sz="6" w:space="0" w:color="auto"/>
            </w:tcBorders>
          </w:tcPr>
          <w:p>
            <w:pPr/>
          </w:p>
        </w:tc>
        <w:tc>
          <w:tcPr>
            <w:tcW w:w="972"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50%</w:t>
            </w:r>
          </w:p>
        </w:tc>
        <w:tc>
          <w:tcPr>
            <w:tcW w:w="223" w:type="dxa"/>
            <w:tcBorders>
              <w:top w:val="nil" w:sz="6" w:space="0" w:color="auto"/>
              <w:left w:val="nil" w:sz="6" w:space="0" w:color="auto"/>
              <w:bottom w:val="nil" w:sz="6" w:space="0" w:color="auto"/>
              <w:right w:val="nil" w:sz="6" w:space="0" w:color="auto"/>
            </w:tcBorders>
          </w:tcPr>
          <w:p>
            <w:pPr/>
          </w:p>
        </w:tc>
        <w:tc>
          <w:tcPr>
            <w:tcW w:w="1904"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7"/>
              <w:jc w:val="center"/>
              <w:rPr>
                <w:rFonts w:ascii="宋体" w:hAnsi="宋体" w:cs="宋体" w:eastAsia="宋体" w:hint="default"/>
                <w:sz w:val="21"/>
                <w:szCs w:val="21"/>
              </w:rPr>
            </w:pPr>
            <w:r>
              <w:rPr>
                <w:rFonts w:ascii="宋体" w:hAnsi="宋体" w:cs="宋体" w:eastAsia="宋体" w:hint="default"/>
                <w:sz w:val="21"/>
                <w:szCs w:val="21"/>
              </w:rPr>
              <w:t>估计无法全额收回</w:t>
            </w:r>
          </w:p>
        </w:tc>
      </w:tr>
      <w:tr>
        <w:trPr>
          <w:trHeight w:val="427"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1,682,540.00</w:t>
            </w:r>
          </w:p>
        </w:tc>
        <w:tc>
          <w:tcPr>
            <w:tcW w:w="221"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0"/>
              <w:jc w:val="right"/>
              <w:rPr>
                <w:rFonts w:ascii="宋体" w:hAnsi="宋体" w:cs="宋体" w:eastAsia="宋体" w:hint="default"/>
                <w:sz w:val="21"/>
                <w:szCs w:val="21"/>
              </w:rPr>
            </w:pPr>
            <w:r>
              <w:rPr>
                <w:rFonts w:ascii="宋体"/>
                <w:spacing w:val="-1"/>
                <w:sz w:val="21"/>
              </w:rPr>
              <w:t>841,270.00</w:t>
            </w:r>
          </w:p>
        </w:tc>
        <w:tc>
          <w:tcPr>
            <w:tcW w:w="22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6"/>
          <w:szCs w:val="16"/>
        </w:rPr>
      </w:pPr>
    </w:p>
    <w:p>
      <w:pPr>
        <w:pStyle w:val="BodyText"/>
        <w:spacing w:line="240" w:lineRule="auto" w:before="26"/>
        <w:ind w:left="702" w:right="0"/>
        <w:jc w:val="left"/>
      </w:pPr>
      <w:r>
        <w:rPr>
          <w:rFonts w:ascii="宋体" w:hAnsi="宋体" w:cs="宋体" w:eastAsia="宋体" w:hint="default"/>
        </w:rPr>
        <w:t>② </w:t>
      </w:r>
      <w:r>
        <w:rPr/>
        <w:t>按账龄分析法计提坏账准备的其他应收款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2476" w:firstLine="0"/>
        <w:jc w:val="right"/>
        <w:rPr>
          <w:rFonts w:ascii="宋体" w:hAnsi="宋体" w:cs="宋体" w:eastAsia="宋体" w:hint="default"/>
          <w:sz w:val="18"/>
          <w:szCs w:val="18"/>
        </w:rPr>
      </w:pPr>
      <w:r>
        <w:rPr/>
        <w:pict>
          <v:shape style="position:absolute;margin-left:80.424004pt;margin-top:-15.222671pt;width:444.8pt;height:152.7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238"/>
                    <w:gridCol w:w="1527"/>
                    <w:gridCol w:w="739"/>
                    <w:gridCol w:w="240"/>
                    <w:gridCol w:w="1198"/>
                    <w:gridCol w:w="298"/>
                    <w:gridCol w:w="1286"/>
                    <w:gridCol w:w="240"/>
                    <w:gridCol w:w="749"/>
                    <w:gridCol w:w="240"/>
                    <w:gridCol w:w="1061"/>
                  </w:tblGrid>
                  <w:tr>
                    <w:trPr>
                      <w:trHeight w:val="217" w:hRule="exact"/>
                    </w:trPr>
                    <w:tc>
                      <w:tcPr>
                        <w:tcW w:w="108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8" w:space="0" w:color="000000"/>
                          <w:right w:val="nil" w:sz="6" w:space="0" w:color="auto"/>
                        </w:tcBorders>
                      </w:tcPr>
                      <w:p>
                        <w:pPr/>
                      </w:p>
                    </w:tc>
                    <w:tc>
                      <w:tcPr>
                        <w:tcW w:w="739" w:type="dxa"/>
                        <w:tcBorders>
                          <w:top w:val="nil" w:sz="6" w:space="0" w:color="auto"/>
                          <w:left w:val="nil" w:sz="6" w:space="0" w:color="auto"/>
                          <w:bottom w:val="single" w:sz="8" w:space="0" w:color="000000"/>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0" w:type="dxa"/>
                        <w:tcBorders>
                          <w:top w:val="nil" w:sz="6" w:space="0" w:color="auto"/>
                          <w:left w:val="nil" w:sz="6" w:space="0" w:color="auto"/>
                          <w:bottom w:val="single" w:sz="8" w:space="0" w:color="000000"/>
                          <w:right w:val="nil" w:sz="6" w:space="0" w:color="auto"/>
                        </w:tcBorders>
                      </w:tcPr>
                      <w:p>
                        <w:pPr/>
                      </w:p>
                    </w:tc>
                    <w:tc>
                      <w:tcPr>
                        <w:tcW w:w="1198" w:type="dxa"/>
                        <w:tcBorders>
                          <w:top w:val="nil" w:sz="6" w:space="0" w:color="auto"/>
                          <w:left w:val="nil" w:sz="6" w:space="0" w:color="auto"/>
                          <w:bottom w:val="single" w:sz="8" w:space="0" w:color="000000"/>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8" w:space="0" w:color="000000"/>
                          <w:right w:val="nil" w:sz="6" w:space="0" w:color="auto"/>
                        </w:tcBorders>
                      </w:tcPr>
                      <w:p>
                        <w:pPr/>
                      </w:p>
                    </w:tc>
                    <w:tc>
                      <w:tcPr>
                        <w:tcW w:w="240" w:type="dxa"/>
                        <w:tcBorders>
                          <w:top w:val="nil" w:sz="6" w:space="0" w:color="auto"/>
                          <w:left w:val="nil" w:sz="6" w:space="0" w:color="auto"/>
                          <w:bottom w:val="single" w:sz="8" w:space="0" w:color="000000"/>
                          <w:right w:val="nil" w:sz="6" w:space="0" w:color="auto"/>
                        </w:tcBorders>
                      </w:tcPr>
                      <w:p>
                        <w:pPr/>
                      </w:p>
                    </w:tc>
                    <w:tc>
                      <w:tcPr>
                        <w:tcW w:w="749" w:type="dxa"/>
                        <w:tcBorders>
                          <w:top w:val="nil" w:sz="6" w:space="0" w:color="auto"/>
                          <w:left w:val="nil" w:sz="6" w:space="0" w:color="auto"/>
                          <w:bottom w:val="single" w:sz="8" w:space="0" w:color="000000"/>
                          <w:right w:val="nil" w:sz="6" w:space="0" w:color="auto"/>
                        </w:tcBorders>
                      </w:tcPr>
                      <w:p>
                        <w:pPr>
                          <w:pStyle w:val="TableParagraph"/>
                          <w:spacing w:line="180" w:lineRule="exact"/>
                          <w:ind w:left="-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0" w:type="dxa"/>
                        <w:tcBorders>
                          <w:top w:val="nil" w:sz="6" w:space="0" w:color="auto"/>
                          <w:left w:val="nil" w:sz="6" w:space="0" w:color="auto"/>
                          <w:bottom w:val="single" w:sz="8" w:space="0" w:color="000000"/>
                          <w:right w:val="nil" w:sz="6" w:space="0" w:color="auto"/>
                        </w:tcBorders>
                      </w:tcPr>
                      <w:p>
                        <w:pPr/>
                      </w:p>
                    </w:tc>
                    <w:tc>
                      <w:tcPr>
                        <w:tcW w:w="1061" w:type="dxa"/>
                        <w:tcBorders>
                          <w:top w:val="nil" w:sz="6" w:space="0" w:color="auto"/>
                          <w:left w:val="nil" w:sz="6" w:space="0" w:color="auto"/>
                          <w:bottom w:val="single" w:sz="8" w:space="0" w:color="000000"/>
                          <w:right w:val="nil" w:sz="6" w:space="0" w:color="auto"/>
                        </w:tcBorders>
                      </w:tcPr>
                      <w:p>
                        <w:pPr/>
                      </w:p>
                    </w:tc>
                  </w:tr>
                  <w:tr>
                    <w:trPr>
                      <w:trHeight w:val="360" w:hRule="exact"/>
                    </w:trPr>
                    <w:tc>
                      <w:tcPr>
                        <w:tcW w:w="108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39" w:type="dxa"/>
                        <w:tcBorders>
                          <w:top w:val="single" w:sz="8" w:space="0" w:color="000000"/>
                          <w:left w:val="nil" w:sz="6" w:space="0" w:color="auto"/>
                          <w:bottom w:val="single" w:sz="8" w:space="0" w:color="000000"/>
                          <w:right w:val="nil" w:sz="6" w:space="0" w:color="auto"/>
                        </w:tcBorders>
                      </w:tcPr>
                      <w:p>
                        <w:pPr/>
                      </w:p>
                    </w:tc>
                    <w:tc>
                      <w:tcPr>
                        <w:tcW w:w="240" w:type="dxa"/>
                        <w:tcBorders>
                          <w:top w:val="single" w:sz="8" w:space="0" w:color="000000"/>
                          <w:left w:val="nil" w:sz="6" w:space="0" w:color="auto"/>
                          <w:bottom w:val="nil" w:sz="6" w:space="0" w:color="auto"/>
                          <w:right w:val="nil" w:sz="6" w:space="0" w:color="auto"/>
                        </w:tcBorders>
                      </w:tcPr>
                      <w:p>
                        <w:pPr/>
                      </w:p>
                    </w:tc>
                    <w:tc>
                      <w:tcPr>
                        <w:tcW w:w="1198" w:type="dxa"/>
                        <w:tcBorders>
                          <w:top w:val="single" w:sz="8" w:space="0" w:color="000000"/>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80" w:right="0"/>
                          <w:jc w:val="left"/>
                          <w:rPr>
                            <w:rFonts w:ascii="宋体" w:hAnsi="宋体" w:cs="宋体" w:eastAsia="宋体" w:hint="default"/>
                            <w:sz w:val="18"/>
                            <w:szCs w:val="18"/>
                          </w:rPr>
                        </w:pPr>
                        <w:r>
                          <w:rPr>
                            <w:rFonts w:ascii="宋体" w:hAnsi="宋体" w:cs="宋体" w:eastAsia="宋体" w:hint="default"/>
                            <w:sz w:val="18"/>
                            <w:szCs w:val="18"/>
                          </w:rPr>
                          <w:t>账面</w:t>
                        </w:r>
                      </w:p>
                    </w:tc>
                    <w:tc>
                      <w:tcPr>
                        <w:tcW w:w="24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49" w:type="dxa"/>
                        <w:tcBorders>
                          <w:top w:val="single" w:sz="8" w:space="0" w:color="000000"/>
                          <w:left w:val="nil" w:sz="6" w:space="0" w:color="auto"/>
                          <w:bottom w:val="single" w:sz="8" w:space="0" w:color="000000"/>
                          <w:right w:val="nil" w:sz="6" w:space="0" w:color="auto"/>
                        </w:tcBorders>
                      </w:tcPr>
                      <w:p>
                        <w:pPr/>
                      </w:p>
                    </w:tc>
                    <w:tc>
                      <w:tcPr>
                        <w:tcW w:w="240" w:type="dxa"/>
                        <w:tcBorders>
                          <w:top w:val="single" w:sz="8" w:space="0" w:color="000000"/>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nil" w:sz="6" w:space="0" w:color="auto"/>
                          <w:right w:val="nil" w:sz="6" w:space="0" w:color="auto"/>
                        </w:tcBorders>
                      </w:tcPr>
                      <w:p>
                        <w:pPr/>
                      </w:p>
                    </w:tc>
                  </w:tr>
                  <w:tr>
                    <w:trPr>
                      <w:trHeight w:val="360" w:hRule="exact"/>
                    </w:trPr>
                    <w:tc>
                      <w:tcPr>
                        <w:tcW w:w="1080"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312"/>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4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0" w:type="dxa"/>
                        <w:tcBorders>
                          <w:top w:val="single" w:sz="8" w:space="0" w:color="000000"/>
                          <w:left w:val="nil" w:sz="6" w:space="0" w:color="auto"/>
                          <w:bottom w:val="nil" w:sz="6" w:space="0" w:color="auto"/>
                          <w:right w:val="nil" w:sz="6" w:space="0" w:color="auto"/>
                        </w:tcBorders>
                      </w:tcPr>
                      <w:p>
                        <w:pPr/>
                      </w:p>
                    </w:tc>
                    <w:tc>
                      <w:tcPr>
                        <w:tcW w:w="749"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94" w:right="0"/>
                          <w:jc w:val="left"/>
                          <w:rPr>
                            <w:rFonts w:ascii="宋体" w:hAnsi="宋体" w:cs="宋体" w:eastAsia="宋体" w:hint="default"/>
                            <w:sz w:val="18"/>
                            <w:szCs w:val="18"/>
                          </w:rPr>
                        </w:pPr>
                        <w:r>
                          <w:rPr>
                            <w:rFonts w:ascii="宋体"/>
                            <w:sz w:val="18"/>
                          </w:rPr>
                          <w:t>8,222,054.95</w:t>
                        </w:r>
                      </w:p>
                    </w:tc>
                    <w:tc>
                      <w:tcPr>
                        <w:tcW w:w="739"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pacing w:val="-1"/>
                            <w:sz w:val="18"/>
                          </w:rPr>
                          <w:t>70.29%</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411,102.76</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6,987,971.80</w:t>
                        </w:r>
                      </w:p>
                    </w:tc>
                    <w:tc>
                      <w:tcPr>
                        <w:tcW w:w="240" w:type="dxa"/>
                        <w:tcBorders>
                          <w:top w:val="nil" w:sz="6" w:space="0" w:color="auto"/>
                          <w:left w:val="nil" w:sz="6" w:space="0" w:color="auto"/>
                          <w:bottom w:val="nil" w:sz="6" w:space="0" w:color="auto"/>
                          <w:right w:val="nil" w:sz="6" w:space="0" w:color="auto"/>
                        </w:tcBorders>
                      </w:tcPr>
                      <w:p>
                        <w:pPr/>
                      </w:p>
                    </w:tc>
                    <w:tc>
                      <w:tcPr>
                        <w:tcW w:w="749"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2"/>
                          <w:jc w:val="right"/>
                          <w:rPr>
                            <w:rFonts w:ascii="宋体" w:hAnsi="宋体" w:cs="宋体" w:eastAsia="宋体" w:hint="default"/>
                            <w:sz w:val="18"/>
                            <w:szCs w:val="18"/>
                          </w:rPr>
                        </w:pPr>
                        <w:r>
                          <w:rPr>
                            <w:rFonts w:ascii="宋体"/>
                            <w:spacing w:val="-1"/>
                            <w:sz w:val="18"/>
                          </w:rPr>
                          <w:t>62.60%</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349,398.91</w:t>
                        </w:r>
                      </w:p>
                    </w:tc>
                  </w:tr>
                  <w:tr>
                    <w:trPr>
                      <w:trHeight w:val="34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94" w:right="0"/>
                          <w:jc w:val="left"/>
                          <w:rPr>
                            <w:rFonts w:ascii="宋体" w:hAnsi="宋体" w:cs="宋体" w:eastAsia="宋体" w:hint="default"/>
                            <w:sz w:val="18"/>
                            <w:szCs w:val="18"/>
                          </w:rPr>
                        </w:pPr>
                        <w:r>
                          <w:rPr>
                            <w:rFonts w:ascii="宋体"/>
                            <w:sz w:val="18"/>
                          </w:rPr>
                          <w:t>1,963,946.96</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8"/>
                            <w:szCs w:val="18"/>
                          </w:rPr>
                        </w:pPr>
                        <w:r>
                          <w:rPr>
                            <w:rFonts w:ascii="宋体"/>
                            <w:spacing w:val="-1"/>
                            <w:sz w:val="18"/>
                          </w:rPr>
                          <w:t>16.79%</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pacing w:val="-1"/>
                            <w:sz w:val="18"/>
                          </w:rPr>
                          <w:t>196,394.70</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pacing w:val="-1"/>
                            <w:sz w:val="18"/>
                          </w:rPr>
                          <w:t>3,188,940.73</w:t>
                        </w:r>
                      </w:p>
                    </w:tc>
                    <w:tc>
                      <w:tcPr>
                        <w:tcW w:w="24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right"/>
                          <w:rPr>
                            <w:rFonts w:ascii="宋体" w:hAnsi="宋体" w:cs="宋体" w:eastAsia="宋体" w:hint="default"/>
                            <w:sz w:val="18"/>
                            <w:szCs w:val="18"/>
                          </w:rPr>
                        </w:pPr>
                        <w:r>
                          <w:rPr>
                            <w:rFonts w:ascii="宋体"/>
                            <w:spacing w:val="-1"/>
                            <w:sz w:val="18"/>
                          </w:rPr>
                          <w:t>28.57%</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pacing w:val="-1"/>
                            <w:sz w:val="18"/>
                          </w:rPr>
                          <w:t>318,894.08</w:t>
                        </w:r>
                      </w:p>
                    </w:tc>
                  </w:tr>
                  <w:tr>
                    <w:trPr>
                      <w:trHeight w:val="341"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94" w:right="0"/>
                          <w:jc w:val="left"/>
                          <w:rPr>
                            <w:rFonts w:ascii="宋体" w:hAnsi="宋体" w:cs="宋体" w:eastAsia="宋体" w:hint="default"/>
                            <w:sz w:val="18"/>
                            <w:szCs w:val="18"/>
                          </w:rPr>
                        </w:pPr>
                        <w:r>
                          <w:rPr>
                            <w:rFonts w:ascii="宋体"/>
                            <w:sz w:val="18"/>
                          </w:rPr>
                          <w:t>1,202,290.01</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10.28%</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240,458.00</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541,271.76</w:t>
                        </w:r>
                      </w:p>
                    </w:tc>
                    <w:tc>
                      <w:tcPr>
                        <w:tcW w:w="24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4.85%</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108,254.35</w:t>
                        </w:r>
                      </w:p>
                    </w:tc>
                  </w:tr>
                  <w:tr>
                    <w:trPr>
                      <w:trHeight w:val="34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4" w:right="0"/>
                          <w:jc w:val="left"/>
                          <w:rPr>
                            <w:rFonts w:ascii="宋体" w:hAnsi="宋体" w:cs="宋体" w:eastAsia="宋体" w:hint="default"/>
                            <w:sz w:val="18"/>
                            <w:szCs w:val="18"/>
                          </w:rPr>
                        </w:pPr>
                        <w:r>
                          <w:rPr>
                            <w:rFonts w:ascii="宋体"/>
                            <w:sz w:val="18"/>
                          </w:rPr>
                          <w:t>209,231.94</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1.79%</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104,615.97</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245,447.62</w:t>
                        </w:r>
                      </w:p>
                    </w:tc>
                    <w:tc>
                      <w:tcPr>
                        <w:tcW w:w="24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2.20%</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122,723.81</w:t>
                        </w:r>
                      </w:p>
                    </w:tc>
                  </w:tr>
                  <w:tr>
                    <w:trPr>
                      <w:trHeight w:val="299"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374" w:right="0"/>
                          <w:jc w:val="left"/>
                          <w:rPr>
                            <w:rFonts w:ascii="宋体" w:hAnsi="宋体" w:cs="宋体" w:eastAsia="宋体" w:hint="default"/>
                            <w:sz w:val="18"/>
                            <w:szCs w:val="18"/>
                          </w:rPr>
                        </w:pPr>
                        <w:r>
                          <w:rPr>
                            <w:rFonts w:ascii="宋体"/>
                            <w:sz w:val="18"/>
                          </w:rPr>
                          <w:t>100,000.00</w:t>
                        </w:r>
                      </w:p>
                    </w:tc>
                    <w:tc>
                      <w:tcPr>
                        <w:tcW w:w="739"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0.85%</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50,000.00</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198,349.72</w:t>
                        </w:r>
                      </w:p>
                    </w:tc>
                    <w:tc>
                      <w:tcPr>
                        <w:tcW w:w="24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1.78%</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99,174.86</w:t>
                        </w:r>
                      </w:p>
                    </w:tc>
                  </w:tr>
                  <w:tr>
                    <w:trPr>
                      <w:trHeight w:val="374"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1527"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3" w:right="0"/>
                          <w:jc w:val="left"/>
                          <w:rPr>
                            <w:rFonts w:ascii="宋体" w:hAnsi="宋体" w:cs="宋体" w:eastAsia="宋体" w:hint="default"/>
                            <w:sz w:val="18"/>
                            <w:szCs w:val="18"/>
                          </w:rPr>
                        </w:pPr>
                        <w:r>
                          <w:rPr>
                            <w:rFonts w:ascii="宋体"/>
                            <w:sz w:val="18"/>
                          </w:rPr>
                          <w:t>11,697,523.86</w:t>
                        </w:r>
                      </w:p>
                    </w:tc>
                    <w:tc>
                      <w:tcPr>
                        <w:tcW w:w="739"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sz w:val="18"/>
                          </w:rPr>
                          <w:t>100.00%</w:t>
                        </w:r>
                      </w:p>
                    </w:tc>
                    <w:tc>
                      <w:tcPr>
                        <w:tcW w:w="240" w:type="dxa"/>
                        <w:tcBorders>
                          <w:top w:val="nil" w:sz="6" w:space="0" w:color="auto"/>
                          <w:left w:val="nil" w:sz="6" w:space="0" w:color="auto"/>
                          <w:bottom w:val="nil" w:sz="6" w:space="0" w:color="auto"/>
                          <w:right w:val="nil" w:sz="6" w:space="0" w:color="auto"/>
                        </w:tcBorders>
                      </w:tcPr>
                      <w:p>
                        <w:pPr/>
                      </w:p>
                    </w:tc>
                    <w:tc>
                      <w:tcPr>
                        <w:tcW w:w="1198"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1,002,571.43</w:t>
                        </w:r>
                      </w:p>
                    </w:tc>
                    <w:tc>
                      <w:tcPr>
                        <w:tcW w:w="298" w:type="dxa"/>
                        <w:tcBorders>
                          <w:top w:val="nil" w:sz="6" w:space="0" w:color="auto"/>
                          <w:left w:val="nil" w:sz="6" w:space="0" w:color="auto"/>
                          <w:bottom w:val="nil" w:sz="6" w:space="0" w:color="auto"/>
                          <w:right w:val="nil" w:sz="6" w:space="0" w:color="auto"/>
                        </w:tcBorders>
                      </w:tcPr>
                      <w:p>
                        <w:pPr/>
                      </w:p>
                    </w:tc>
                    <w:tc>
                      <w:tcPr>
                        <w:tcW w:w="1286"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11,161,981.63</w:t>
                        </w:r>
                      </w:p>
                    </w:tc>
                    <w:tc>
                      <w:tcPr>
                        <w:tcW w:w="240" w:type="dxa"/>
                        <w:tcBorders>
                          <w:top w:val="nil" w:sz="6" w:space="0" w:color="auto"/>
                          <w:left w:val="nil" w:sz="6" w:space="0" w:color="auto"/>
                          <w:bottom w:val="nil" w:sz="6" w:space="0" w:color="auto"/>
                          <w:right w:val="nil" w:sz="6" w:space="0" w:color="auto"/>
                        </w:tcBorders>
                      </w:tcPr>
                      <w:p>
                        <w:pPr/>
                      </w:p>
                    </w:tc>
                    <w:tc>
                      <w:tcPr>
                        <w:tcW w:w="749"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2"/>
                          <w:jc w:val="right"/>
                          <w:rPr>
                            <w:rFonts w:ascii="宋体" w:hAnsi="宋体" w:cs="宋体" w:eastAsia="宋体" w:hint="default"/>
                            <w:sz w:val="18"/>
                            <w:szCs w:val="18"/>
                          </w:rPr>
                        </w:pPr>
                        <w:r>
                          <w:rPr>
                            <w:rFonts w:ascii="宋体"/>
                            <w:sz w:val="18"/>
                          </w:rPr>
                          <w:t>100.00%</w:t>
                        </w:r>
                      </w:p>
                    </w:tc>
                    <w:tc>
                      <w:tcPr>
                        <w:tcW w:w="240" w:type="dxa"/>
                        <w:tcBorders>
                          <w:top w:val="nil" w:sz="6" w:space="0" w:color="auto"/>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998,446.01</w:t>
                        </w:r>
                      </w:p>
                    </w:tc>
                  </w:tr>
                </w:tbl>
                <w:p>
                  <w:pPr/>
                </w:p>
              </w:txbxContent>
            </v:textbox>
            <w10:wrap type="none"/>
          </v:shape>
        </w:pict>
      </w:r>
      <w:r>
        <w:rPr>
          <w:rFonts w:ascii="宋体" w:hAnsi="宋体" w:cs="宋体" w:eastAsia="宋体" w:hint="default"/>
          <w:sz w:val="18"/>
          <w:szCs w:val="18"/>
        </w:rPr>
        <w:t>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1182" w:val="left" w:leader="none"/>
        </w:tabs>
        <w:spacing w:line="240" w:lineRule="auto" w:before="26"/>
        <w:ind w:left="702" w:right="0"/>
        <w:jc w:val="left"/>
      </w:pPr>
      <w:r>
        <w:rPr/>
        <w:t>⑷</w:t>
        <w:tab/>
        <w:t>其他应收款中无应收持有公司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）以上表决权股份股东的款项。</w:t>
      </w:r>
    </w:p>
    <w:p>
      <w:pPr>
        <w:spacing w:line="240" w:lineRule="auto" w:before="8"/>
        <w:rPr>
          <w:rFonts w:ascii="宋体" w:hAnsi="宋体" w:cs="宋体" w:eastAsia="宋体" w:hint="default"/>
          <w:sz w:val="17"/>
          <w:szCs w:val="17"/>
        </w:rPr>
      </w:pPr>
    </w:p>
    <w:p>
      <w:pPr>
        <w:pStyle w:val="BodyText"/>
        <w:tabs>
          <w:tab w:pos="1182" w:val="left" w:leader="none"/>
        </w:tabs>
        <w:spacing w:line="240" w:lineRule="auto" w:before="0"/>
        <w:ind w:left="702" w:right="0"/>
        <w:jc w:val="left"/>
      </w:pPr>
      <w:r>
        <w:rPr/>
        <w:t>⑸</w:t>
        <w:tab/>
        <w:t>其他应收款金额前五名单位情况</w:t>
      </w:r>
    </w:p>
    <w:p>
      <w:pPr>
        <w:spacing w:line="240" w:lineRule="auto" w:before="10"/>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188"/>
        <w:gridCol w:w="238"/>
        <w:gridCol w:w="912"/>
        <w:gridCol w:w="250"/>
        <w:gridCol w:w="1503"/>
        <w:gridCol w:w="259"/>
        <w:gridCol w:w="1028"/>
        <w:gridCol w:w="250"/>
        <w:gridCol w:w="1404"/>
      </w:tblGrid>
      <w:tr>
        <w:trPr>
          <w:trHeight w:val="520"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single" w:sz="4" w:space="0" w:color="000000"/>
              <w:right w:val="nil" w:sz="6" w:space="0" w:color="auto"/>
            </w:tcBorders>
          </w:tcPr>
          <w:p>
            <w:pPr>
              <w:pStyle w:val="TableParagraph"/>
              <w:spacing w:line="209"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与本集团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319"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大连跃达空调工程公司济南分公司</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single" w:sz="4" w:space="0" w:color="000000"/>
              <w:left w:val="nil" w:sz="6" w:space="0" w:color="auto"/>
              <w:bottom w:val="nil" w:sz="6" w:space="0" w:color="auto"/>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1,682,540.00</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nil" w:sz="6" w:space="0" w:color="auto"/>
              <w:right w:val="nil" w:sz="6" w:space="0" w:color="auto"/>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z w:val="21"/>
              </w:rPr>
              <w:t>12.57%</w:t>
            </w:r>
          </w:p>
        </w:tc>
      </w:tr>
      <w:tr>
        <w:trPr>
          <w:trHeight w:val="57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 w:right="0"/>
              <w:jc w:val="left"/>
              <w:rPr>
                <w:rFonts w:ascii="宋体" w:hAnsi="宋体" w:cs="宋体" w:eastAsia="宋体" w:hint="default"/>
                <w:sz w:val="21"/>
                <w:szCs w:val="21"/>
              </w:rPr>
            </w:pPr>
            <w:r>
              <w:rPr>
                <w:rFonts w:ascii="宋体" w:hAnsi="宋体" w:cs="宋体" w:eastAsia="宋体" w:hint="default"/>
                <w:sz w:val="21"/>
                <w:szCs w:val="21"/>
              </w:rPr>
              <w:t>济南市建设委员会</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Style w:val="TableParagraph"/>
              <w:spacing w:line="274" w:lineRule="exact" w:before="7"/>
              <w:ind w:left="139" w:right="137"/>
              <w:jc w:val="left"/>
              <w:rPr>
                <w:rFonts w:ascii="宋体" w:hAnsi="宋体" w:cs="宋体" w:eastAsia="宋体" w:hint="default"/>
                <w:sz w:val="21"/>
                <w:szCs w:val="21"/>
              </w:rPr>
            </w:pPr>
            <w:r>
              <w:rPr>
                <w:rFonts w:ascii="宋体" w:hAnsi="宋体" w:cs="宋体" w:eastAsia="宋体" w:hint="default"/>
                <w:sz w:val="21"/>
                <w:szCs w:val="21"/>
              </w:rPr>
              <w:t>政府监</w:t>
            </w:r>
            <w:r>
              <w:rPr>
                <w:rFonts w:ascii="宋体" w:hAnsi="宋体" w:cs="宋体" w:eastAsia="宋体" w:hint="default"/>
                <w:spacing w:val="-102"/>
                <w:sz w:val="21"/>
                <w:szCs w:val="21"/>
              </w:rPr>
              <w:t> </w:t>
            </w:r>
            <w:r>
              <w:rPr>
                <w:rFonts w:ascii="宋体" w:hAnsi="宋体" w:cs="宋体" w:eastAsia="宋体" w:hint="default"/>
                <w:sz w:val="21"/>
                <w:szCs w:val="21"/>
              </w:rPr>
              <w:t>管部门</w:t>
            </w: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right"/>
              <w:rPr>
                <w:rFonts w:ascii="宋体" w:hAnsi="宋体" w:cs="宋体" w:eastAsia="宋体" w:hint="default"/>
                <w:sz w:val="21"/>
                <w:szCs w:val="21"/>
              </w:rPr>
            </w:pPr>
            <w:r>
              <w:rPr>
                <w:rFonts w:ascii="宋体"/>
                <w:spacing w:val="-1"/>
                <w:sz w:val="21"/>
              </w:rPr>
              <w:t>855,000.00</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0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right"/>
              <w:rPr>
                <w:rFonts w:ascii="宋体" w:hAnsi="宋体" w:cs="宋体" w:eastAsia="宋体" w:hint="default"/>
                <w:sz w:val="21"/>
                <w:szCs w:val="21"/>
              </w:rPr>
            </w:pPr>
            <w:r>
              <w:rPr>
                <w:rFonts w:ascii="宋体"/>
                <w:sz w:val="21"/>
              </w:rPr>
              <w:t>6.39%</w:t>
            </w:r>
          </w:p>
        </w:tc>
      </w:tr>
      <w:tr>
        <w:trPr>
          <w:trHeight w:val="316"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55" w:lineRule="exact"/>
              <w:ind w:left="2" w:right="0"/>
              <w:jc w:val="left"/>
              <w:rPr>
                <w:rFonts w:ascii="宋体" w:hAnsi="宋体" w:cs="宋体" w:eastAsia="宋体" w:hint="default"/>
                <w:sz w:val="21"/>
                <w:szCs w:val="21"/>
              </w:rPr>
            </w:pPr>
            <w:r>
              <w:rPr>
                <w:rFonts w:ascii="宋体" w:hAnsi="宋体" w:cs="宋体" w:eastAsia="宋体" w:hint="default"/>
                <w:sz w:val="21"/>
                <w:szCs w:val="21"/>
              </w:rPr>
              <w:t>李大森</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员工</w:t>
            </w: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600,000.00</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right"/>
              <w:rPr>
                <w:rFonts w:ascii="宋体" w:hAnsi="宋体" w:cs="宋体" w:eastAsia="宋体" w:hint="default"/>
                <w:sz w:val="21"/>
                <w:szCs w:val="21"/>
              </w:rPr>
            </w:pPr>
            <w:r>
              <w:rPr>
                <w:rFonts w:ascii="宋体"/>
                <w:sz w:val="21"/>
              </w:rPr>
              <w:t>4.48%</w:t>
            </w:r>
          </w:p>
        </w:tc>
      </w:tr>
      <w:tr>
        <w:trPr>
          <w:trHeight w:val="33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河南招标采购服务有限公司</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pacing w:val="-1"/>
                <w:sz w:val="21"/>
              </w:rPr>
              <w:t>545,000.00</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4.07%</w:t>
            </w:r>
          </w:p>
        </w:tc>
      </w:tr>
      <w:tr>
        <w:trPr>
          <w:trHeight w:val="336"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493,100.00</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z w:val="21"/>
              </w:rPr>
              <w:t>3.69%</w:t>
            </w:r>
          </w:p>
        </w:tc>
      </w:tr>
      <w:tr>
        <w:trPr>
          <w:trHeight w:val="35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38"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4,175,640.00</w:t>
            </w:r>
          </w:p>
        </w:tc>
        <w:tc>
          <w:tcPr>
            <w:tcW w:w="259"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sz w:val="21"/>
              </w:rPr>
              <w:t>31.20%</w:t>
            </w:r>
          </w:p>
        </w:tc>
      </w:tr>
    </w:tbl>
    <w:p>
      <w:pPr>
        <w:spacing w:after="0" w:line="270" w:lineRule="exact"/>
        <w:jc w:val="right"/>
        <w:rPr>
          <w:rFonts w:ascii="宋体" w:hAnsi="宋体" w:cs="宋体" w:eastAsia="宋体" w:hint="default"/>
          <w:sz w:val="21"/>
          <w:szCs w:val="21"/>
        </w:rPr>
        <w:sectPr>
          <w:pgSz w:w="11910" w:h="16840"/>
          <w:pgMar w:header="840" w:footer="1239" w:top="1160" w:bottom="1420" w:left="1400" w:right="1180"/>
        </w:sectPr>
      </w:pPr>
    </w:p>
    <w:p>
      <w:pPr>
        <w:spacing w:line="240" w:lineRule="auto" w:before="6"/>
        <w:rPr>
          <w:rFonts w:ascii="宋体" w:hAnsi="宋体" w:cs="宋体" w:eastAsia="宋体" w:hint="default"/>
          <w:sz w:val="24"/>
          <w:szCs w:val="24"/>
        </w:rPr>
      </w:pPr>
    </w:p>
    <w:p>
      <w:pPr>
        <w:pStyle w:val="Heading2"/>
        <w:spacing w:line="367" w:lineRule="exact"/>
        <w:ind w:left="622" w:right="0"/>
        <w:jc w:val="left"/>
        <w:rPr>
          <w:b w:val="0"/>
          <w:bCs w:val="0"/>
        </w:rPr>
      </w:pPr>
      <w:r>
        <w:rPr>
          <w:rFonts w:ascii="Times New Roman" w:hAnsi="Times New Roman" w:cs="Times New Roman" w:eastAsia="Times New Roman" w:hint="default"/>
          <w:spacing w:val="3"/>
        </w:rPr>
        <w:t>5</w:t>
      </w:r>
      <w:r>
        <w:rPr>
          <w:spacing w:val="3"/>
        </w:rPr>
        <w:t>、预付款项</w:t>
      </w:r>
      <w:r>
        <w:rPr>
          <w:b w:val="0"/>
          <w:bCs w:val="0"/>
          <w:spacing w:val="3"/>
        </w:rPr>
      </w:r>
    </w:p>
    <w:p>
      <w:pPr>
        <w:pStyle w:val="BodyText"/>
        <w:tabs>
          <w:tab w:pos="1102" w:val="left" w:leader="none"/>
        </w:tabs>
        <w:spacing w:line="240" w:lineRule="auto" w:before="210"/>
        <w:ind w:left="622" w:right="0"/>
        <w:jc w:val="left"/>
      </w:pPr>
      <w:r>
        <w:rPr/>
        <w:t>⑴</w:t>
        <w:tab/>
        <w:t>预付款项按账龄列示</w:t>
      </w:r>
    </w:p>
    <w:p>
      <w:pPr>
        <w:spacing w:line="240" w:lineRule="auto" w:before="1"/>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639"/>
        <w:gridCol w:w="545"/>
        <w:gridCol w:w="1865"/>
        <w:gridCol w:w="1150"/>
        <w:gridCol w:w="616"/>
        <w:gridCol w:w="1718"/>
        <w:gridCol w:w="228"/>
        <w:gridCol w:w="1116"/>
      </w:tblGrid>
      <w:tr>
        <w:trPr>
          <w:trHeight w:val="251" w:hRule="exact"/>
        </w:trPr>
        <w:tc>
          <w:tcPr>
            <w:tcW w:w="1639"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8" w:space="0" w:color="000000"/>
              <w:right w:val="nil" w:sz="6" w:space="0" w:color="auto"/>
            </w:tcBorders>
          </w:tcPr>
          <w:p>
            <w:pPr>
              <w:pStyle w:val="TableParagraph"/>
              <w:spacing w:line="211" w:lineRule="exact"/>
              <w:ind w:left="119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50" w:type="dxa"/>
            <w:tcBorders>
              <w:top w:val="nil" w:sz="6" w:space="0" w:color="auto"/>
              <w:left w:val="nil" w:sz="6" w:space="0" w:color="auto"/>
              <w:bottom w:val="single" w:sz="8" w:space="0" w:color="000000"/>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8" w:space="0" w:color="000000"/>
              <w:right w:val="nil" w:sz="6" w:space="0" w:color="auto"/>
            </w:tcBorders>
          </w:tcPr>
          <w:p>
            <w:pPr>
              <w:pStyle w:val="TableParagraph"/>
              <w:spacing w:line="211" w:lineRule="exact"/>
              <w:ind w:right="72"/>
              <w:jc w:val="right"/>
              <w:rPr>
                <w:rFonts w:ascii="宋体" w:hAnsi="宋体" w:cs="宋体" w:eastAsia="宋体" w:hint="default"/>
                <w:sz w:val="21"/>
                <w:szCs w:val="21"/>
              </w:rPr>
            </w:pPr>
            <w:r>
              <w:rPr>
                <w:rFonts w:ascii="宋体" w:hAnsi="宋体" w:cs="宋体" w:eastAsia="宋体" w:hint="default"/>
                <w:sz w:val="21"/>
                <w:szCs w:val="21"/>
              </w:rPr>
              <w:t>期初</w:t>
            </w:r>
          </w:p>
        </w:tc>
        <w:tc>
          <w:tcPr>
            <w:tcW w:w="228" w:type="dxa"/>
            <w:tcBorders>
              <w:top w:val="nil" w:sz="6" w:space="0" w:color="auto"/>
              <w:left w:val="nil" w:sz="6" w:space="0" w:color="auto"/>
              <w:bottom w:val="single" w:sz="8" w:space="0" w:color="000000"/>
              <w:right w:val="nil" w:sz="6" w:space="0" w:color="auto"/>
            </w:tcBorders>
          </w:tcPr>
          <w:p>
            <w:pPr>
              <w:pStyle w:val="TableParagraph"/>
              <w:spacing w:line="211" w:lineRule="exact"/>
              <w:ind w:left="-75"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116" w:type="dxa"/>
            <w:tcBorders>
              <w:top w:val="nil" w:sz="6" w:space="0" w:color="auto"/>
              <w:left w:val="nil" w:sz="6" w:space="0" w:color="auto"/>
              <w:bottom w:val="single" w:sz="8" w:space="0" w:color="000000"/>
              <w:right w:val="nil" w:sz="6" w:space="0" w:color="auto"/>
            </w:tcBorders>
          </w:tcPr>
          <w:p>
            <w:pPr/>
          </w:p>
        </w:tc>
      </w:tr>
      <w:tr>
        <w:trPr>
          <w:trHeight w:val="360" w:hRule="exact"/>
        </w:trPr>
        <w:tc>
          <w:tcPr>
            <w:tcW w:w="163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605"/>
              <w:jc w:val="right"/>
              <w:rPr>
                <w:rFonts w:ascii="宋体" w:hAnsi="宋体" w:cs="宋体" w:eastAsia="宋体" w:hint="default"/>
                <w:sz w:val="21"/>
                <w:szCs w:val="21"/>
              </w:rPr>
            </w:pPr>
            <w:r>
              <w:rPr>
                <w:rFonts w:ascii="宋体" w:hAnsi="宋体" w:cs="宋体" w:eastAsia="宋体" w:hint="default"/>
                <w:sz w:val="21"/>
                <w:szCs w:val="21"/>
              </w:rPr>
              <w:t>账龄</w:t>
            </w: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8" w:space="0" w:color="000000"/>
              <w:left w:val="nil" w:sz="6" w:space="0" w:color="auto"/>
              <w:bottom w:val="nil" w:sz="6" w:space="0" w:color="auto"/>
              <w:right w:val="nil" w:sz="6" w:space="0" w:color="auto"/>
            </w:tcBorders>
          </w:tcPr>
          <w:p>
            <w:pPr/>
          </w:p>
        </w:tc>
        <w:tc>
          <w:tcPr>
            <w:tcW w:w="111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67" w:hRule="exact"/>
        </w:trPr>
        <w:tc>
          <w:tcPr>
            <w:tcW w:w="163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364" w:right="0"/>
              <w:jc w:val="left"/>
              <w:rPr>
                <w:rFonts w:ascii="宋体" w:hAnsi="宋体" w:cs="宋体" w:eastAsia="宋体" w:hint="default"/>
                <w:sz w:val="21"/>
                <w:szCs w:val="21"/>
              </w:rPr>
            </w:pPr>
            <w:r>
              <w:rPr>
                <w:rFonts w:ascii="宋体"/>
                <w:sz w:val="21"/>
              </w:rPr>
              <w:t>1,222,370.55</w:t>
            </w:r>
          </w:p>
        </w:tc>
        <w:tc>
          <w:tcPr>
            <w:tcW w:w="115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87.77%</w:t>
            </w: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20,914,411.04</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99.38%</w:t>
            </w:r>
          </w:p>
        </w:tc>
      </w:tr>
      <w:tr>
        <w:trPr>
          <w:trHeight w:val="340"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3" w:right="0"/>
              <w:jc w:val="left"/>
              <w:rPr>
                <w:rFonts w:ascii="宋体" w:hAnsi="宋体" w:cs="宋体" w:eastAsia="宋体" w:hint="default"/>
                <w:sz w:val="21"/>
                <w:szCs w:val="21"/>
              </w:rPr>
            </w:pPr>
            <w:r>
              <w:rPr>
                <w:rFonts w:ascii="宋体"/>
                <w:sz w:val="21"/>
              </w:rPr>
              <w:t>120,000.00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z w:val="21"/>
              </w:rPr>
              <w:t>8.62%</w:t>
            </w: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80,151.22</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z w:val="21"/>
              </w:rPr>
              <w:t>0.38%</w:t>
            </w:r>
          </w:p>
        </w:tc>
      </w:tr>
      <w:tr>
        <w:trPr>
          <w:trHeight w:val="341"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50,676.47</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0.24%</w:t>
            </w:r>
          </w:p>
        </w:tc>
      </w:tr>
      <w:tr>
        <w:trPr>
          <w:trHeight w:val="333"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679" w:right="0"/>
              <w:jc w:val="left"/>
              <w:rPr>
                <w:rFonts w:ascii="宋体" w:hAnsi="宋体" w:cs="宋体" w:eastAsia="宋体" w:hint="default"/>
                <w:sz w:val="21"/>
                <w:szCs w:val="21"/>
              </w:rPr>
            </w:pPr>
            <w:r>
              <w:rPr>
                <w:rFonts w:ascii="宋体"/>
                <w:sz w:val="21"/>
              </w:rPr>
              <w:t>50,256.46</w:t>
            </w:r>
          </w:p>
        </w:tc>
        <w:tc>
          <w:tcPr>
            <w:tcW w:w="115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3.61%</w:t>
            </w: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8" w:space="0" w:color="000000"/>
              <w:right w:val="nil" w:sz="6" w:space="0" w:color="auto"/>
            </w:tcBorders>
          </w:tcPr>
          <w:p>
            <w:pPr/>
          </w:p>
        </w:tc>
      </w:tr>
      <w:tr>
        <w:trPr>
          <w:trHeight w:val="374"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05"/>
              <w:jc w:val="right"/>
              <w:rPr>
                <w:rFonts w:ascii="宋体" w:hAnsi="宋体" w:cs="宋体" w:eastAsia="宋体" w:hint="default"/>
                <w:sz w:val="21"/>
                <w:szCs w:val="21"/>
              </w:rPr>
            </w:pPr>
            <w:r>
              <w:rPr>
                <w:rFonts w:ascii="宋体" w:hAnsi="宋体" w:cs="宋体" w:eastAsia="宋体" w:hint="default"/>
                <w:sz w:val="21"/>
                <w:szCs w:val="21"/>
              </w:rPr>
              <w:t>合计</w:t>
            </w:r>
          </w:p>
        </w:tc>
        <w:tc>
          <w:tcPr>
            <w:tcW w:w="545" w:type="dxa"/>
            <w:tcBorders>
              <w:top w:val="nil" w:sz="6" w:space="0" w:color="auto"/>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364" w:right="0"/>
              <w:jc w:val="left"/>
              <w:rPr>
                <w:rFonts w:ascii="宋体" w:hAnsi="宋体" w:cs="宋体" w:eastAsia="宋体" w:hint="default"/>
                <w:sz w:val="21"/>
                <w:szCs w:val="21"/>
              </w:rPr>
            </w:pPr>
            <w:r>
              <w:rPr>
                <w:rFonts w:ascii="宋体"/>
                <w:sz w:val="21"/>
              </w:rPr>
              <w:t>1,392,627.01</w:t>
            </w:r>
          </w:p>
        </w:tc>
        <w:tc>
          <w:tcPr>
            <w:tcW w:w="115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100.00%</w:t>
            </w:r>
          </w:p>
        </w:tc>
        <w:tc>
          <w:tcPr>
            <w:tcW w:w="616" w:type="dxa"/>
            <w:tcBorders>
              <w:top w:val="nil" w:sz="6" w:space="0" w:color="auto"/>
              <w:left w:val="nil" w:sz="6" w:space="0" w:color="auto"/>
              <w:bottom w:val="nil" w:sz="6" w:space="0" w:color="auto"/>
              <w:right w:val="nil" w:sz="6" w:space="0" w:color="auto"/>
            </w:tcBorders>
          </w:tcPr>
          <w:p>
            <w:pPr/>
          </w:p>
        </w:tc>
        <w:tc>
          <w:tcPr>
            <w:tcW w:w="171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21,045,238.73</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100.00%</w:t>
            </w:r>
          </w:p>
        </w:tc>
      </w:tr>
    </w:tbl>
    <w:p>
      <w:pPr>
        <w:spacing w:line="240" w:lineRule="auto" w:before="3"/>
        <w:rPr>
          <w:rFonts w:ascii="宋体" w:hAnsi="宋体" w:cs="宋体" w:eastAsia="宋体" w:hint="default"/>
          <w:sz w:val="12"/>
          <w:szCs w:val="12"/>
        </w:rPr>
      </w:pPr>
    </w:p>
    <w:p>
      <w:pPr>
        <w:pStyle w:val="BodyText"/>
        <w:tabs>
          <w:tab w:pos="1102" w:val="left" w:leader="none"/>
        </w:tabs>
        <w:spacing w:line="240" w:lineRule="auto" w:before="26"/>
        <w:ind w:left="622" w:right="0"/>
        <w:jc w:val="left"/>
      </w:pPr>
      <w:r>
        <w:rPr/>
        <w:t>⑵</w:t>
        <w:tab/>
        <w:t>预付款项金额的前五名单位情况</w:t>
      </w:r>
    </w:p>
    <w:p>
      <w:pPr>
        <w:spacing w:line="240" w:lineRule="auto" w:before="5"/>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221"/>
        <w:gridCol w:w="1414"/>
        <w:gridCol w:w="1344"/>
        <w:gridCol w:w="146"/>
        <w:gridCol w:w="1227"/>
        <w:gridCol w:w="118"/>
        <w:gridCol w:w="1392"/>
      </w:tblGrid>
      <w:tr>
        <w:trPr>
          <w:trHeight w:val="246" w:hRule="exact"/>
        </w:trPr>
        <w:tc>
          <w:tcPr>
            <w:tcW w:w="3221"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11" w:lineRule="exact"/>
              <w:ind w:left="115" w:right="0"/>
              <w:jc w:val="left"/>
              <w:rPr>
                <w:rFonts w:ascii="宋体" w:hAnsi="宋体" w:cs="宋体" w:eastAsia="宋体" w:hint="default"/>
                <w:sz w:val="21"/>
                <w:szCs w:val="21"/>
              </w:rPr>
            </w:pPr>
            <w:r>
              <w:rPr>
                <w:rFonts w:ascii="宋体" w:hAnsi="宋体" w:cs="宋体" w:eastAsia="宋体" w:hint="default"/>
                <w:sz w:val="21"/>
                <w:szCs w:val="21"/>
              </w:rPr>
              <w:t>与本集团关系</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11" w:lineRule="exact"/>
              <w:ind w:left="5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single" w:sz="4" w:space="0" w:color="000000"/>
              <w:right w:val="nil" w:sz="6" w:space="0" w:color="auto"/>
            </w:tcBorders>
          </w:tcPr>
          <w:p>
            <w:pPr>
              <w:pStyle w:val="TableParagraph"/>
              <w:spacing w:line="211" w:lineRule="exact"/>
              <w:ind w:left="194" w:right="0"/>
              <w:jc w:val="left"/>
              <w:rPr>
                <w:rFonts w:ascii="宋体" w:hAnsi="宋体" w:cs="宋体" w:eastAsia="宋体" w:hint="default"/>
                <w:sz w:val="21"/>
                <w:szCs w:val="21"/>
              </w:rPr>
            </w:pPr>
            <w:r>
              <w:rPr>
                <w:rFonts w:ascii="宋体" w:hAnsi="宋体" w:cs="宋体" w:eastAsia="宋体" w:hint="default"/>
                <w:sz w:val="21"/>
                <w:szCs w:val="21"/>
              </w:rPr>
              <w:t>预付时间</w:t>
            </w: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11" w:lineRule="exact"/>
              <w:ind w:left="170"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9" w:hRule="exact"/>
        </w:trPr>
        <w:tc>
          <w:tcPr>
            <w:tcW w:w="322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济南市历城区供电公司</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249,048.44</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预付电费</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上海市电力公司闵行区供电分公司</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199,500.00</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预付电费</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上海精星仓储设备工程有限公司</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185,100.00</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预付设备款</w:t>
            </w:r>
          </w:p>
        </w:tc>
      </w:tr>
      <w:tr>
        <w:trPr>
          <w:trHeight w:val="344"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山东兰剑物流科技有限公司</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152,102.50</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预付软件款</w:t>
            </w:r>
          </w:p>
        </w:tc>
      </w:tr>
      <w:tr>
        <w:trPr>
          <w:trHeight w:val="35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北京北人富士印刷机械有限公司</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设备供应商</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150,000.00</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两年以内</w:t>
            </w: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预付设备款</w:t>
            </w:r>
          </w:p>
        </w:tc>
      </w:tr>
      <w:tr>
        <w:trPr>
          <w:trHeight w:val="374"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414"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935,750.94</w:t>
            </w:r>
          </w:p>
        </w:tc>
        <w:tc>
          <w:tcPr>
            <w:tcW w:w="14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2"/>
          <w:szCs w:val="12"/>
        </w:rPr>
      </w:pPr>
    </w:p>
    <w:p>
      <w:pPr>
        <w:pStyle w:val="BodyText"/>
        <w:tabs>
          <w:tab w:pos="1102" w:val="left" w:leader="none"/>
        </w:tabs>
        <w:spacing w:line="240" w:lineRule="auto" w:before="26"/>
        <w:ind w:left="622" w:right="0"/>
        <w:jc w:val="left"/>
      </w:pPr>
      <w:r>
        <w:rPr/>
        <w:t>⑶</w:t>
        <w:tab/>
        <w:t>报告期预付款项中无预付持有公司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）以上表决权股份的股东款项。</w:t>
      </w:r>
    </w:p>
    <w:p>
      <w:pPr>
        <w:spacing w:line="240" w:lineRule="auto" w:before="5"/>
        <w:rPr>
          <w:rFonts w:ascii="宋体" w:hAnsi="宋体" w:cs="宋体" w:eastAsia="宋体" w:hint="default"/>
          <w:sz w:val="25"/>
          <w:szCs w:val="25"/>
        </w:rPr>
      </w:pPr>
    </w:p>
    <w:p>
      <w:pPr>
        <w:spacing w:line="276" w:lineRule="auto" w:before="0"/>
        <w:ind w:left="622" w:right="7644" w:firstLine="0"/>
        <w:jc w:val="left"/>
        <w:rPr>
          <w:rFonts w:ascii="宋体" w:hAnsi="宋体" w:cs="宋体" w:eastAsia="宋体" w:hint="default"/>
          <w:sz w:val="24"/>
          <w:szCs w:val="24"/>
        </w:rPr>
      </w:pPr>
      <w:r>
        <w:rPr>
          <w:rFonts w:ascii="Times New Roman" w:hAnsi="Times New Roman" w:cs="Times New Roman" w:eastAsia="Times New Roman" w:hint="default"/>
          <w:b/>
          <w:bCs/>
          <w:spacing w:val="4"/>
          <w:sz w:val="24"/>
          <w:szCs w:val="24"/>
        </w:rPr>
        <w:t>6</w:t>
      </w:r>
      <w:r>
        <w:rPr>
          <w:rFonts w:ascii="Microsoft JhengHei" w:hAnsi="Microsoft JhengHei" w:cs="Microsoft JhengHei" w:eastAsia="Microsoft JhengHei" w:hint="default"/>
          <w:b/>
          <w:bCs/>
          <w:spacing w:val="4"/>
          <w:sz w:val="24"/>
          <w:szCs w:val="24"/>
        </w:rPr>
        <w:t>、存货</w:t>
      </w:r>
      <w:r>
        <w:rPr>
          <w:rFonts w:ascii="Microsoft JhengHei" w:hAnsi="Microsoft JhengHei" w:cs="Microsoft JhengHei" w:eastAsia="Microsoft JhengHei" w:hint="default"/>
          <w:b/>
          <w:bCs/>
          <w:spacing w:val="2"/>
          <w:sz w:val="24"/>
          <w:szCs w:val="24"/>
        </w:rPr>
        <w:t> </w:t>
      </w:r>
      <w:r>
        <w:rPr>
          <w:rFonts w:ascii="宋体" w:hAnsi="宋体" w:cs="宋体" w:eastAsia="宋体" w:hint="default"/>
          <w:sz w:val="24"/>
          <w:szCs w:val="24"/>
        </w:rPr>
        <w:t>存货分类</w:t>
      </w:r>
    </w:p>
    <w:p>
      <w:pPr>
        <w:spacing w:line="240" w:lineRule="auto" w:before="12"/>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2028"/>
        <w:gridCol w:w="478"/>
        <w:gridCol w:w="1910"/>
        <w:gridCol w:w="435"/>
        <w:gridCol w:w="1673"/>
        <w:gridCol w:w="343"/>
        <w:gridCol w:w="1954"/>
      </w:tblGrid>
      <w:tr>
        <w:trPr>
          <w:trHeight w:val="254" w:hRule="exact"/>
        </w:trPr>
        <w:tc>
          <w:tcPr>
            <w:tcW w:w="2028"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8" w:space="0" w:color="000000"/>
              <w:right w:val="nil" w:sz="6" w:space="0" w:color="auto"/>
            </w:tcBorders>
          </w:tcPr>
          <w:p>
            <w:pPr/>
          </w:p>
        </w:tc>
        <w:tc>
          <w:tcPr>
            <w:tcW w:w="435" w:type="dxa"/>
            <w:tcBorders>
              <w:top w:val="nil" w:sz="6" w:space="0" w:color="auto"/>
              <w:left w:val="nil" w:sz="6" w:space="0" w:color="auto"/>
              <w:bottom w:val="single" w:sz="8" w:space="0" w:color="000000"/>
              <w:right w:val="nil" w:sz="6" w:space="0" w:color="auto"/>
            </w:tcBorders>
          </w:tcPr>
          <w:p>
            <w:pPr/>
          </w:p>
        </w:tc>
        <w:tc>
          <w:tcPr>
            <w:tcW w:w="1673" w:type="dxa"/>
            <w:tcBorders>
              <w:top w:val="nil" w:sz="6" w:space="0" w:color="auto"/>
              <w:left w:val="nil" w:sz="6" w:space="0" w:color="auto"/>
              <w:bottom w:val="single" w:sz="8" w:space="0" w:color="000000"/>
              <w:right w:val="nil" w:sz="6" w:space="0" w:color="auto"/>
            </w:tcBorders>
          </w:tcPr>
          <w:p>
            <w:pPr>
              <w:pStyle w:val="TableParagraph"/>
              <w:spacing w:line="211" w:lineRule="exact"/>
              <w:ind w:right="4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3" w:type="dxa"/>
            <w:tcBorders>
              <w:top w:val="nil" w:sz="6" w:space="0" w:color="auto"/>
              <w:left w:val="nil" w:sz="6" w:space="0" w:color="auto"/>
              <w:bottom w:val="single" w:sz="8" w:space="0" w:color="000000"/>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
        </w:tc>
      </w:tr>
      <w:tr>
        <w:trPr>
          <w:trHeight w:val="302" w:hRule="exact"/>
        </w:trPr>
        <w:tc>
          <w:tcPr>
            <w:tcW w:w="2028" w:type="dxa"/>
            <w:tcBorders>
              <w:top w:val="nil" w:sz="6" w:space="0" w:color="auto"/>
              <w:left w:val="nil" w:sz="6" w:space="0" w:color="auto"/>
              <w:bottom w:val="single" w:sz="8" w:space="0" w:color="000000"/>
              <w:right w:val="nil" w:sz="6" w:space="0" w:color="auto"/>
            </w:tcBorders>
          </w:tcPr>
          <w:p>
            <w:pPr>
              <w:pStyle w:val="TableParagraph"/>
              <w:spacing w:line="260" w:lineRule="exact"/>
              <w:ind w:right="746"/>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50"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35" w:type="dxa"/>
            <w:tcBorders>
              <w:top w:val="single" w:sz="8" w:space="0" w:color="000000"/>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343" w:type="dxa"/>
            <w:tcBorders>
              <w:top w:val="single" w:sz="8" w:space="0" w:color="000000"/>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8" w:space="0" w:color="000000"/>
              <w:right w:val="nil" w:sz="6" w:space="0" w:color="auto"/>
            </w:tcBorders>
          </w:tcPr>
          <w:p>
            <w:pPr>
              <w:pStyle w:val="TableParagraph"/>
              <w:spacing w:line="250" w:lineRule="exact"/>
              <w:ind w:left="5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91" w:hRule="exact"/>
        </w:trPr>
        <w:tc>
          <w:tcPr>
            <w:tcW w:w="2028" w:type="dxa"/>
            <w:tcBorders>
              <w:top w:val="single" w:sz="8" w:space="0" w:color="000000"/>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nil" w:sz="6" w:space="0" w:color="auto"/>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43,158,775.17</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43,158,775.17</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12,794.95</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12,794.95</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5,808,984.56</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5,808,984.56</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38,235,986.02</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38,235,986.02</w:t>
            </w:r>
          </w:p>
        </w:tc>
      </w:tr>
      <w:tr>
        <w:trPr>
          <w:trHeight w:val="294"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4,190,678.56</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8"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4,190,678.56</w:t>
            </w:r>
          </w:p>
        </w:tc>
      </w:tr>
      <w:tr>
        <w:trPr>
          <w:trHeight w:val="314"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55" w:lineRule="exact"/>
              <w:ind w:right="746"/>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17" w:space="0" w:color="000000"/>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91,407,219.26</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17"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91,407,219.26</w:t>
            </w:r>
          </w:p>
        </w:tc>
      </w:tr>
      <w:tr>
        <w:trPr>
          <w:trHeight w:val="601" w:hRule="exact"/>
        </w:trPr>
        <w:tc>
          <w:tcPr>
            <w:tcW w:w="2028"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17" w:space="0" w:color="000000"/>
              <w:left w:val="nil" w:sz="6" w:space="0" w:color="auto"/>
              <w:bottom w:val="single" w:sz="8" w:space="0" w:color="000000"/>
              <w:right w:val="nil" w:sz="6" w:space="0" w:color="auto"/>
            </w:tcBorders>
          </w:tcPr>
          <w:p>
            <w:pPr/>
          </w:p>
        </w:tc>
        <w:tc>
          <w:tcPr>
            <w:tcW w:w="435" w:type="dxa"/>
            <w:tcBorders>
              <w:top w:val="nil" w:sz="6" w:space="0" w:color="auto"/>
              <w:left w:val="nil" w:sz="6" w:space="0" w:color="auto"/>
              <w:bottom w:val="single" w:sz="8" w:space="0" w:color="000000"/>
              <w:right w:val="nil" w:sz="6" w:space="0" w:color="auto"/>
            </w:tcBorders>
          </w:tcPr>
          <w:p>
            <w:pPr/>
          </w:p>
        </w:tc>
        <w:tc>
          <w:tcPr>
            <w:tcW w:w="1673" w:type="dxa"/>
            <w:tcBorders>
              <w:top w:val="single" w:sz="17"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43" w:type="dxa"/>
            <w:tcBorders>
              <w:top w:val="nil" w:sz="6" w:space="0" w:color="auto"/>
              <w:left w:val="nil" w:sz="6" w:space="0" w:color="auto"/>
              <w:bottom w:val="single" w:sz="8" w:space="0" w:color="000000"/>
              <w:right w:val="nil" w:sz="6" w:space="0" w:color="auto"/>
            </w:tcBorders>
          </w:tcPr>
          <w:p>
            <w:pPr/>
          </w:p>
        </w:tc>
        <w:tc>
          <w:tcPr>
            <w:tcW w:w="1954" w:type="dxa"/>
            <w:tcBorders>
              <w:top w:val="single" w:sz="17" w:space="0" w:color="000000"/>
              <w:left w:val="nil" w:sz="6" w:space="0" w:color="auto"/>
              <w:bottom w:val="single" w:sz="8" w:space="0" w:color="000000"/>
              <w:right w:val="nil" w:sz="6" w:space="0" w:color="auto"/>
            </w:tcBorders>
          </w:tcPr>
          <w:p>
            <w:pPr/>
          </w:p>
        </w:tc>
      </w:tr>
      <w:tr>
        <w:trPr>
          <w:trHeight w:val="302" w:hRule="exact"/>
        </w:trPr>
        <w:tc>
          <w:tcPr>
            <w:tcW w:w="2028" w:type="dxa"/>
            <w:tcBorders>
              <w:top w:val="nil" w:sz="6" w:space="0" w:color="auto"/>
              <w:left w:val="nil" w:sz="6" w:space="0" w:color="auto"/>
              <w:bottom w:val="single" w:sz="8" w:space="0" w:color="000000"/>
              <w:right w:val="nil" w:sz="6" w:space="0" w:color="auto"/>
            </w:tcBorders>
          </w:tcPr>
          <w:p>
            <w:pPr>
              <w:pStyle w:val="TableParagraph"/>
              <w:spacing w:line="260" w:lineRule="exact"/>
              <w:ind w:right="746"/>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50"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35" w:type="dxa"/>
            <w:tcBorders>
              <w:top w:val="single" w:sz="8" w:space="0" w:color="000000"/>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50" w:lineRule="exact"/>
              <w:ind w:left="9"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343" w:type="dxa"/>
            <w:tcBorders>
              <w:top w:val="single" w:sz="8" w:space="0" w:color="000000"/>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8" w:space="0" w:color="000000"/>
              <w:right w:val="nil" w:sz="6" w:space="0" w:color="auto"/>
            </w:tcBorders>
          </w:tcPr>
          <w:p>
            <w:pPr>
              <w:pStyle w:val="TableParagraph"/>
              <w:spacing w:line="250" w:lineRule="exact"/>
              <w:ind w:left="5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91" w:hRule="exact"/>
        </w:trPr>
        <w:tc>
          <w:tcPr>
            <w:tcW w:w="2028" w:type="dxa"/>
            <w:tcBorders>
              <w:top w:val="single" w:sz="8" w:space="0" w:color="000000"/>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nil" w:sz="6" w:space="0" w:color="auto"/>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36,473,814.65</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36,473,814.65</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269,418.27</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269,418.27</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4,389,788.64</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4,389,788.64</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45,365,353.91</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45,365,353.91</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974,098.30</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974,098.30</w:t>
            </w:r>
          </w:p>
        </w:tc>
      </w:tr>
      <w:tr>
        <w:trPr>
          <w:trHeight w:val="294"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3,977,076.41</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8"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3,977,076.41</w:t>
            </w:r>
          </w:p>
        </w:tc>
      </w:tr>
      <w:tr>
        <w:trPr>
          <w:trHeight w:val="317"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55" w:lineRule="exact"/>
              <w:ind w:right="746"/>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17" w:space="0" w:color="000000"/>
              <w:right w:val="nil" w:sz="6" w:space="0" w:color="auto"/>
            </w:tcBorders>
          </w:tcPr>
          <w:p>
            <w:pPr>
              <w:pStyle w:val="TableParagraph"/>
              <w:spacing w:line="245" w:lineRule="exact"/>
              <w:ind w:right="0"/>
              <w:jc w:val="right"/>
              <w:rPr>
                <w:rFonts w:ascii="宋体" w:hAnsi="宋体" w:cs="宋体" w:eastAsia="宋体" w:hint="default"/>
                <w:sz w:val="21"/>
                <w:szCs w:val="21"/>
              </w:rPr>
            </w:pPr>
            <w:r>
              <w:rPr>
                <w:rFonts w:ascii="宋体"/>
                <w:spacing w:val="-1"/>
                <w:sz w:val="21"/>
              </w:rPr>
              <w:t>91,449,550.18</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17"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5" w:lineRule="exact"/>
              <w:ind w:right="0"/>
              <w:jc w:val="right"/>
              <w:rPr>
                <w:rFonts w:ascii="宋体" w:hAnsi="宋体" w:cs="宋体" w:eastAsia="宋体" w:hint="default"/>
                <w:sz w:val="21"/>
                <w:szCs w:val="21"/>
              </w:rPr>
            </w:pPr>
            <w:r>
              <w:rPr>
                <w:rFonts w:ascii="宋体"/>
                <w:spacing w:val="-1"/>
                <w:sz w:val="21"/>
              </w:rPr>
              <w:t>91,449,550.18</w:t>
            </w:r>
          </w:p>
        </w:tc>
      </w:tr>
    </w:tbl>
    <w:p>
      <w:pPr>
        <w:spacing w:after="0" w:line="245" w:lineRule="exact"/>
        <w:jc w:val="right"/>
        <w:rPr>
          <w:rFonts w:ascii="宋体" w:hAnsi="宋体" w:cs="宋体" w:eastAsia="宋体" w:hint="default"/>
          <w:sz w:val="21"/>
          <w:szCs w:val="21"/>
        </w:rPr>
        <w:sectPr>
          <w:pgSz w:w="11910" w:h="16840"/>
          <w:pgMar w:header="840" w:footer="1239" w:top="1160" w:bottom="1420" w:left="1480" w:right="1180"/>
        </w:sectPr>
      </w:pPr>
    </w:p>
    <w:p>
      <w:pPr>
        <w:spacing w:line="240" w:lineRule="auto" w:before="6"/>
        <w:rPr>
          <w:rFonts w:ascii="宋体" w:hAnsi="宋体" w:cs="宋体" w:eastAsia="宋体" w:hint="default"/>
          <w:sz w:val="24"/>
          <w:szCs w:val="24"/>
        </w:rPr>
      </w:pPr>
    </w:p>
    <w:p>
      <w:pPr>
        <w:pStyle w:val="Heading2"/>
        <w:spacing w:line="367" w:lineRule="exact"/>
        <w:ind w:left="702" w:right="0"/>
        <w:jc w:val="left"/>
        <w:rPr>
          <w:b w:val="0"/>
          <w:bCs w:val="0"/>
        </w:rPr>
      </w:pPr>
      <w:r>
        <w:rPr>
          <w:rFonts w:ascii="Times New Roman" w:hAnsi="Times New Roman" w:cs="Times New Roman" w:eastAsia="Times New Roman" w:hint="default"/>
          <w:spacing w:val="2"/>
        </w:rPr>
        <w:t>7</w:t>
      </w:r>
      <w:r>
        <w:rPr>
          <w:spacing w:val="2"/>
        </w:rPr>
        <w:t>、其他流动资产</w:t>
      </w:r>
      <w:r>
        <w:rPr>
          <w:b w:val="0"/>
          <w:bCs w:val="0"/>
          <w:spacing w:val="2"/>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208" w:type="dxa"/>
        <w:tblLayout w:type="fixed"/>
        <w:tblCellMar>
          <w:top w:w="0" w:type="dxa"/>
          <w:left w:w="0" w:type="dxa"/>
          <w:bottom w:w="0" w:type="dxa"/>
          <w:right w:w="0" w:type="dxa"/>
        </w:tblCellMar>
        <w:tblLook w:val="01E0"/>
      </w:tblPr>
      <w:tblGrid>
        <w:gridCol w:w="2158"/>
        <w:gridCol w:w="476"/>
        <w:gridCol w:w="1901"/>
        <w:gridCol w:w="459"/>
        <w:gridCol w:w="1658"/>
        <w:gridCol w:w="329"/>
        <w:gridCol w:w="1952"/>
      </w:tblGrid>
      <w:tr>
        <w:trPr>
          <w:trHeight w:val="251" w:hRule="exact"/>
        </w:trPr>
        <w:tc>
          <w:tcPr>
            <w:tcW w:w="2158" w:type="dxa"/>
            <w:tcBorders>
              <w:top w:val="nil" w:sz="6" w:space="0" w:color="auto"/>
              <w:left w:val="nil" w:sz="6" w:space="0" w:color="auto"/>
              <w:bottom w:val="single" w:sz="8" w:space="0" w:color="000000"/>
              <w:right w:val="nil" w:sz="6" w:space="0" w:color="auto"/>
            </w:tcBorders>
          </w:tcPr>
          <w:p>
            <w:pPr>
              <w:pStyle w:val="TableParagraph"/>
              <w:spacing w:line="211" w:lineRule="exact"/>
              <w:ind w:right="811"/>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8"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8" w:space="0" w:color="000000"/>
              <w:right w:val="nil" w:sz="6" w:space="0" w:color="auto"/>
            </w:tcBorders>
          </w:tcPr>
          <w:p>
            <w:pPr>
              <w:pStyle w:val="TableParagraph"/>
              <w:spacing w:line="211" w:lineRule="exact"/>
              <w:ind w:left="51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158"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厂房租金</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86,400.00</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767,893.49</w:t>
            </w:r>
          </w:p>
        </w:tc>
      </w:tr>
      <w:tr>
        <w:trPr>
          <w:trHeight w:val="341"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269,260.24</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200,255.90</w:t>
            </w:r>
          </w:p>
        </w:tc>
      </w:tr>
      <w:tr>
        <w:trPr>
          <w:trHeight w:val="340"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取暖费</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30,455.19</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46,024.22</w:t>
            </w:r>
          </w:p>
        </w:tc>
      </w:tr>
      <w:tr>
        <w:trPr>
          <w:trHeight w:val="351"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103,091.19</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400,756.16</w:t>
            </w:r>
          </w:p>
        </w:tc>
      </w:tr>
      <w:tr>
        <w:trPr>
          <w:trHeight w:val="374"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1"/>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489,206.62</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1,414,929.77</w:t>
            </w:r>
          </w:p>
        </w:tc>
      </w:tr>
    </w:tbl>
    <w:p>
      <w:pPr>
        <w:spacing w:line="240" w:lineRule="auto" w:before="6"/>
        <w:rPr>
          <w:rFonts w:ascii="Microsoft JhengHei" w:hAnsi="Microsoft JhengHei" w:cs="Microsoft JhengHei" w:eastAsia="Microsoft JhengHei" w:hint="default"/>
          <w:b/>
          <w:bCs/>
          <w:sz w:val="19"/>
          <w:szCs w:val="19"/>
        </w:rPr>
      </w:pPr>
    </w:p>
    <w:p>
      <w:pPr>
        <w:pStyle w:val="Heading2"/>
        <w:spacing w:line="367" w:lineRule="exact"/>
        <w:ind w:left="702"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2868"/>
        <w:gridCol w:w="223"/>
        <w:gridCol w:w="1510"/>
        <w:gridCol w:w="468"/>
        <w:gridCol w:w="1673"/>
        <w:gridCol w:w="336"/>
        <w:gridCol w:w="1944"/>
      </w:tblGrid>
      <w:tr>
        <w:trPr>
          <w:trHeight w:val="249" w:hRule="exact"/>
        </w:trPr>
        <w:tc>
          <w:tcPr>
            <w:tcW w:w="2868" w:type="dxa"/>
            <w:tcBorders>
              <w:top w:val="nil" w:sz="6" w:space="0" w:color="auto"/>
              <w:left w:val="nil" w:sz="6" w:space="0" w:color="auto"/>
              <w:bottom w:val="single" w:sz="4" w:space="0" w:color="000000"/>
              <w:right w:val="nil" w:sz="6" w:space="0" w:color="auto"/>
            </w:tcBorders>
          </w:tcPr>
          <w:p>
            <w:pPr>
              <w:pStyle w:val="TableParagraph"/>
              <w:tabs>
                <w:tab w:pos="500" w:val="left" w:leader="none"/>
              </w:tabs>
              <w:spacing w:line="211" w:lineRule="exact"/>
              <w:ind w:left="7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11" w:lineRule="exact"/>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6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1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3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9" w:hRule="exact"/>
        </w:trPr>
        <w:tc>
          <w:tcPr>
            <w:tcW w:w="2868"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一年内到期的长期待摊费用</w:t>
            </w:r>
          </w:p>
        </w:tc>
        <w:tc>
          <w:tcPr>
            <w:tcW w:w="22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29" w:right="0"/>
              <w:jc w:val="left"/>
              <w:rPr>
                <w:rFonts w:ascii="宋体" w:hAnsi="宋体" w:cs="宋体" w:eastAsia="宋体" w:hint="default"/>
                <w:sz w:val="21"/>
                <w:szCs w:val="21"/>
              </w:rPr>
            </w:pPr>
            <w:r>
              <w:rPr>
                <w:rFonts w:ascii="宋体"/>
                <w:sz w:val="21"/>
              </w:rPr>
              <w:t>170,348.32</w:t>
            </w:r>
          </w:p>
        </w:tc>
        <w:tc>
          <w:tcPr>
            <w:tcW w:w="46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4" w:space="0" w:color="000000"/>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详见附注七、</w:t>
            </w:r>
            <w:r>
              <w:rPr>
                <w:rFonts w:ascii="宋体" w:hAnsi="宋体" w:cs="宋体" w:eastAsia="宋体" w:hint="default"/>
                <w:sz w:val="21"/>
                <w:szCs w:val="21"/>
              </w:rPr>
              <w:t>13</w:t>
            </w:r>
          </w:p>
        </w:tc>
      </w:tr>
      <w:tr>
        <w:trPr>
          <w:trHeight w:val="370"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6"/>
              <w:ind w:left="78"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left="429" w:right="0"/>
              <w:jc w:val="left"/>
              <w:rPr>
                <w:rFonts w:ascii="宋体" w:hAnsi="宋体" w:cs="宋体" w:eastAsia="宋体" w:hint="default"/>
                <w:sz w:val="21"/>
                <w:szCs w:val="21"/>
              </w:rPr>
            </w:pPr>
            <w:r>
              <w:rPr>
                <w:rFonts w:ascii="宋体"/>
                <w:sz w:val="21"/>
              </w:rPr>
              <w:t>170,348.32</w:t>
            </w:r>
          </w:p>
        </w:tc>
        <w:tc>
          <w:tcPr>
            <w:tcW w:w="46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17" w:space="0" w:color="000000"/>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Microsoft JhengHei" w:hAnsi="Microsoft JhengHei" w:cs="Microsoft JhengHei" w:eastAsia="Microsoft JhengHei" w:hint="default"/>
          <w:b/>
          <w:bCs/>
          <w:sz w:val="19"/>
          <w:szCs w:val="19"/>
        </w:rPr>
      </w:pPr>
    </w:p>
    <w:p>
      <w:pPr>
        <w:pStyle w:val="Heading2"/>
        <w:spacing w:line="367" w:lineRule="exact"/>
        <w:ind w:left="702" w:right="0"/>
        <w:jc w:val="left"/>
        <w:rPr>
          <w:b w:val="0"/>
          <w:bCs w:val="0"/>
        </w:rPr>
      </w:pPr>
      <w:r>
        <w:rPr>
          <w:rFonts w:ascii="Times New Roman" w:hAnsi="Times New Roman" w:cs="Times New Roman" w:eastAsia="Times New Roman" w:hint="default"/>
          <w:spacing w:val="2"/>
        </w:rPr>
        <w:t>9</w:t>
      </w:r>
      <w:r>
        <w:rPr>
          <w:spacing w:val="2"/>
        </w:rPr>
        <w:t>、投资性房地产</w:t>
      </w:r>
      <w:r>
        <w:rPr>
          <w:b w:val="0"/>
          <w:bCs w:val="0"/>
          <w:spacing w:val="2"/>
        </w:rPr>
      </w:r>
    </w:p>
    <w:p>
      <w:pPr>
        <w:pStyle w:val="BodyText"/>
        <w:tabs>
          <w:tab w:pos="1182" w:val="left" w:leader="none"/>
        </w:tabs>
        <w:spacing w:line="240" w:lineRule="auto" w:before="210"/>
        <w:ind w:left="702" w:right="0"/>
        <w:jc w:val="left"/>
      </w:pPr>
      <w:r>
        <w:rPr/>
        <w:t>⑴</w:t>
        <w:tab/>
        <w:t>投资性房地产明细情况</w:t>
      </w:r>
    </w:p>
    <w:p>
      <w:pPr>
        <w:spacing w:line="240" w:lineRule="auto" w:before="3"/>
        <w:rPr>
          <w:rFonts w:ascii="宋体" w:hAnsi="宋体" w:cs="宋体" w:eastAsia="宋体" w:hint="default"/>
          <w:sz w:val="16"/>
          <w:szCs w:val="16"/>
        </w:rPr>
      </w:pPr>
    </w:p>
    <w:tbl>
      <w:tblPr>
        <w:tblW w:w="0" w:type="auto"/>
        <w:jc w:val="left"/>
        <w:tblInd w:w="258" w:type="dxa"/>
        <w:tblLayout w:type="fixed"/>
        <w:tblCellMar>
          <w:top w:w="0" w:type="dxa"/>
          <w:left w:w="0" w:type="dxa"/>
          <w:bottom w:w="0" w:type="dxa"/>
          <w:right w:w="0" w:type="dxa"/>
        </w:tblCellMar>
        <w:tblLook w:val="01E0"/>
      </w:tblPr>
      <w:tblGrid>
        <w:gridCol w:w="2612"/>
        <w:gridCol w:w="238"/>
        <w:gridCol w:w="1284"/>
        <w:gridCol w:w="168"/>
        <w:gridCol w:w="1556"/>
        <w:gridCol w:w="182"/>
        <w:gridCol w:w="1452"/>
        <w:gridCol w:w="168"/>
        <w:gridCol w:w="1438"/>
      </w:tblGrid>
      <w:tr>
        <w:trPr>
          <w:trHeight w:val="219" w:hRule="exact"/>
        </w:trPr>
        <w:tc>
          <w:tcPr>
            <w:tcW w:w="2612"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180" w:lineRule="exact"/>
              <w:ind w:left="37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8"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8" w:space="0" w:color="000000"/>
              <w:right w:val="nil" w:sz="6" w:space="0" w:color="auto"/>
            </w:tcBorders>
          </w:tcPr>
          <w:p>
            <w:pPr>
              <w:pStyle w:val="TableParagraph"/>
              <w:spacing w:line="180" w:lineRule="exact"/>
              <w:ind w:left="3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4" w:hRule="exact"/>
        </w:trPr>
        <w:tc>
          <w:tcPr>
            <w:tcW w:w="2612" w:type="dxa"/>
            <w:tcBorders>
              <w:top w:val="single" w:sz="8" w:space="0" w:color="000000"/>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pacing w:val="11"/>
                <w:sz w:val="18"/>
                <w:szCs w:val="18"/>
              </w:rPr>
              <w:t>采用成本模式进行后续计量的</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14,420,782.32</w:t>
            </w: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sz w:val="18"/>
              </w:rPr>
              <w:t>1,081,558.64</w:t>
            </w: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center"/>
              <w:rPr>
                <w:rFonts w:ascii="宋体" w:hAnsi="宋体" w:cs="宋体" w:eastAsia="宋体" w:hint="default"/>
                <w:sz w:val="18"/>
                <w:szCs w:val="18"/>
              </w:rPr>
            </w:pPr>
            <w:r>
              <w:rPr>
                <w:rFonts w:ascii="宋体"/>
                <w:sz w:val="18"/>
              </w:rPr>
              <w:t>13,339,223.68</w:t>
            </w:r>
          </w:p>
        </w:tc>
      </w:tr>
      <w:tr>
        <w:trPr>
          <w:trHeight w:val="539"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06" w:lineRule="exact"/>
              <w:ind w:left="57" w:right="0"/>
              <w:jc w:val="left"/>
              <w:rPr>
                <w:rFonts w:ascii="宋体" w:hAnsi="宋体" w:cs="宋体" w:eastAsia="宋体" w:hint="default"/>
                <w:sz w:val="18"/>
                <w:szCs w:val="18"/>
              </w:rPr>
            </w:pPr>
            <w:r>
              <w:rPr>
                <w:rFonts w:ascii="宋体" w:hAnsi="宋体" w:cs="宋体" w:eastAsia="宋体" w:hint="default"/>
                <w:spacing w:val="11"/>
                <w:sz w:val="18"/>
                <w:szCs w:val="18"/>
              </w:rPr>
              <w:t>采用公允价值模式进行后续计</w:t>
            </w: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量的投资性房地产</w:t>
            </w:r>
          </w:p>
        </w:tc>
        <w:tc>
          <w:tcPr>
            <w:tcW w:w="23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314"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8"/>
                <w:szCs w:val="18"/>
              </w:rPr>
            </w:pPr>
            <w:r>
              <w:rPr>
                <w:rFonts w:ascii="宋体" w:hAnsi="宋体" w:cs="宋体" w:eastAsia="宋体" w:hint="default"/>
                <w:sz w:val="18"/>
                <w:szCs w:val="18"/>
              </w:rPr>
              <w:t>减：投资性房地产减值准备</w:t>
            </w:r>
          </w:p>
        </w:tc>
        <w:tc>
          <w:tcPr>
            <w:tcW w:w="23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8"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8"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
        </w:tc>
      </w:tr>
      <w:tr>
        <w:trPr>
          <w:trHeight w:val="408"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8"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17"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single" w:sz="8" w:space="0" w:color="000000"/>
              <w:left w:val="nil" w:sz="6" w:space="0" w:color="auto"/>
              <w:bottom w:val="single" w:sz="17" w:space="0" w:color="000000"/>
              <w:right w:val="nil" w:sz="6" w:space="0" w:color="auto"/>
            </w:tcBorders>
          </w:tcPr>
          <w:p>
            <w:pPr>
              <w:pStyle w:val="TableParagraph"/>
              <w:spacing w:line="240" w:lineRule="auto" w:before="111"/>
              <w:ind w:right="53"/>
              <w:jc w:val="right"/>
              <w:rPr>
                <w:rFonts w:ascii="宋体" w:hAnsi="宋体" w:cs="宋体" w:eastAsia="宋体" w:hint="default"/>
                <w:sz w:val="18"/>
                <w:szCs w:val="18"/>
              </w:rPr>
            </w:pPr>
            <w:r>
              <w:rPr>
                <w:rFonts w:ascii="宋体"/>
                <w:spacing w:val="-1"/>
                <w:sz w:val="18"/>
              </w:rPr>
              <w:t>14,420,782.32</w:t>
            </w: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single" w:sz="8" w:space="0" w:color="000000"/>
              <w:left w:val="nil" w:sz="6" w:space="0" w:color="auto"/>
              <w:bottom w:val="single" w:sz="17" w:space="0" w:color="000000"/>
              <w:right w:val="nil" w:sz="6" w:space="0" w:color="auto"/>
            </w:tcBorders>
          </w:tcPr>
          <w:p>
            <w:pPr>
              <w:pStyle w:val="TableParagraph"/>
              <w:spacing w:line="240" w:lineRule="auto" w:before="111"/>
              <w:ind w:left="316" w:right="0"/>
              <w:jc w:val="left"/>
              <w:rPr>
                <w:rFonts w:ascii="宋体" w:hAnsi="宋体" w:cs="宋体" w:eastAsia="宋体" w:hint="default"/>
                <w:sz w:val="18"/>
                <w:szCs w:val="18"/>
              </w:rPr>
            </w:pPr>
            <w:r>
              <w:rPr>
                <w:rFonts w:ascii="宋体"/>
                <w:sz w:val="18"/>
              </w:rPr>
              <w:t>1,081,558.64</w:t>
            </w: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single" w:sz="17" w:space="0" w:color="000000"/>
              <w:right w:val="nil" w:sz="6" w:space="0" w:color="auto"/>
            </w:tcBorders>
          </w:tcPr>
          <w:p>
            <w:pPr>
              <w:pStyle w:val="TableParagraph"/>
              <w:spacing w:line="240" w:lineRule="auto" w:before="111"/>
              <w:ind w:left="151" w:right="0"/>
              <w:jc w:val="center"/>
              <w:rPr>
                <w:rFonts w:ascii="宋体" w:hAnsi="宋体" w:cs="宋体" w:eastAsia="宋体" w:hint="default"/>
                <w:sz w:val="18"/>
                <w:szCs w:val="18"/>
              </w:rPr>
            </w:pPr>
            <w:r>
              <w:rPr>
                <w:rFonts w:ascii="宋体"/>
                <w:sz w:val="18"/>
              </w:rPr>
              <w:t>13,339,223.68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182" w:val="left" w:leader="none"/>
        </w:tabs>
        <w:spacing w:line="240" w:lineRule="auto" w:before="26"/>
        <w:ind w:left="702" w:right="0"/>
        <w:jc w:val="left"/>
      </w:pPr>
      <w:r>
        <w:rPr/>
        <w:t>⑵</w:t>
        <w:tab/>
        <w:t>按成本计量的投资性房地产</w:t>
      </w:r>
    </w:p>
    <w:p>
      <w:pPr>
        <w:spacing w:line="240" w:lineRule="auto" w:before="6"/>
        <w:rPr>
          <w:rFonts w:ascii="宋体" w:hAnsi="宋体" w:cs="宋体" w:eastAsia="宋体" w:hint="default"/>
          <w:sz w:val="13"/>
          <w:szCs w:val="13"/>
        </w:rPr>
      </w:pPr>
    </w:p>
    <w:tbl>
      <w:tblPr>
        <w:tblW w:w="0" w:type="auto"/>
        <w:jc w:val="left"/>
        <w:tblInd w:w="258" w:type="dxa"/>
        <w:tblLayout w:type="fixed"/>
        <w:tblCellMar>
          <w:top w:w="0" w:type="dxa"/>
          <w:left w:w="0" w:type="dxa"/>
          <w:bottom w:w="0" w:type="dxa"/>
          <w:right w:w="0" w:type="dxa"/>
        </w:tblCellMar>
        <w:tblLook w:val="01E0"/>
      </w:tblPr>
      <w:tblGrid>
        <w:gridCol w:w="2597"/>
        <w:gridCol w:w="267"/>
        <w:gridCol w:w="1272"/>
        <w:gridCol w:w="197"/>
        <w:gridCol w:w="1512"/>
        <w:gridCol w:w="211"/>
        <w:gridCol w:w="1448"/>
        <w:gridCol w:w="197"/>
        <w:gridCol w:w="1421"/>
      </w:tblGrid>
      <w:tr>
        <w:trPr>
          <w:trHeight w:val="219" w:hRule="exact"/>
        </w:trPr>
        <w:tc>
          <w:tcPr>
            <w:tcW w:w="2597"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8" w:space="0" w:color="000000"/>
              <w:right w:val="nil" w:sz="6" w:space="0" w:color="auto"/>
            </w:tcBorders>
          </w:tcPr>
          <w:p>
            <w:pPr>
              <w:pStyle w:val="TableParagraph"/>
              <w:spacing w:line="180" w:lineRule="exact"/>
              <w:ind w:left="36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8" w:space="0" w:color="000000"/>
              <w:right w:val="nil" w:sz="6" w:space="0" w:color="auto"/>
            </w:tcBorders>
          </w:tcPr>
          <w:p>
            <w:pPr>
              <w:pStyle w:val="TableParagraph"/>
              <w:spacing w:line="180" w:lineRule="exact"/>
              <w:ind w:left="3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2597"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一、原值合计</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pacing w:val="-1"/>
                <w:sz w:val="18"/>
              </w:rPr>
              <w:t>14,420,782.32</w:t>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single" w:sz="8" w:space="0" w:color="000000"/>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14,420,782.32</w:t>
            </w:r>
          </w:p>
        </w:tc>
      </w:tr>
      <w:tr>
        <w:trPr>
          <w:trHeight w:val="40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pacing w:val="-1"/>
                <w:sz w:val="18"/>
              </w:rPr>
              <w:t>14,420,782.32</w:t>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14,420,782.32</w:t>
            </w:r>
          </w:p>
        </w:tc>
      </w:tr>
      <w:tr>
        <w:trPr>
          <w:trHeight w:val="29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二、累计折旧和摊销合计</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1,081,558.64</w:t>
            </w:r>
            <w:r>
              <w:rPr>
                <w:rFonts w:ascii="宋体"/>
                <w:sz w:val="18"/>
              </w:rPr>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1,081,558.64</w:t>
            </w:r>
          </w:p>
        </w:tc>
      </w:tr>
      <w:tr>
        <w:trPr>
          <w:trHeight w:val="40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1,081,558.64</w:t>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1,081,558.64</w:t>
            </w:r>
          </w:p>
        </w:tc>
      </w:tr>
      <w:tr>
        <w:trPr>
          <w:trHeight w:val="29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三、减值准备合计</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
        </w:tc>
      </w:tr>
      <w:tr>
        <w:trPr>
          <w:trHeight w:val="40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
        </w:tc>
      </w:tr>
      <w:tr>
        <w:trPr>
          <w:trHeight w:val="31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17"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right="56"/>
              <w:jc w:val="right"/>
              <w:rPr>
                <w:rFonts w:ascii="宋体" w:hAnsi="宋体" w:cs="宋体" w:eastAsia="宋体" w:hint="default"/>
                <w:sz w:val="18"/>
                <w:szCs w:val="18"/>
              </w:rPr>
            </w:pPr>
            <w:r>
              <w:rPr>
                <w:rFonts w:ascii="宋体"/>
                <w:spacing w:val="-1"/>
                <w:sz w:val="18"/>
              </w:rPr>
              <w:t>13,339,223.68</w:t>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17"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13,339,223.68</w:t>
            </w:r>
          </w:p>
        </w:tc>
      </w:tr>
      <w:tr>
        <w:trPr>
          <w:trHeight w:val="33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72" w:type="dxa"/>
            <w:tcBorders>
              <w:top w:val="single" w:sz="17"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12" w:type="dxa"/>
            <w:tcBorders>
              <w:top w:val="single" w:sz="17" w:space="0" w:color="000000"/>
              <w:left w:val="nil" w:sz="6" w:space="0" w:color="auto"/>
              <w:bottom w:val="nil" w:sz="6" w:space="0" w:color="auto"/>
              <w:right w:val="nil" w:sz="6" w:space="0" w:color="auto"/>
            </w:tcBorders>
          </w:tcPr>
          <w:p>
            <w:pPr>
              <w:pStyle w:val="TableParagraph"/>
              <w:spacing w:line="240" w:lineRule="auto" w:before="77"/>
              <w:ind w:right="56"/>
              <w:jc w:val="right"/>
              <w:rPr>
                <w:rFonts w:ascii="宋体" w:hAnsi="宋体" w:cs="宋体" w:eastAsia="宋体" w:hint="default"/>
                <w:sz w:val="18"/>
                <w:szCs w:val="18"/>
              </w:rPr>
            </w:pPr>
            <w:r>
              <w:rPr>
                <w:rFonts w:ascii="宋体"/>
                <w:spacing w:val="-1"/>
                <w:sz w:val="18"/>
              </w:rPr>
              <w:t>13,339,223.68</w:t>
            </w:r>
          </w:p>
        </w:tc>
        <w:tc>
          <w:tcPr>
            <w:tcW w:w="211" w:type="dxa"/>
            <w:tcBorders>
              <w:top w:val="nil" w:sz="6" w:space="0" w:color="auto"/>
              <w:left w:val="nil" w:sz="6" w:space="0" w:color="auto"/>
              <w:bottom w:val="nil" w:sz="6" w:space="0" w:color="auto"/>
              <w:right w:val="nil" w:sz="6" w:space="0" w:color="auto"/>
            </w:tcBorders>
          </w:tcPr>
          <w:p>
            <w:pPr/>
          </w:p>
        </w:tc>
        <w:tc>
          <w:tcPr>
            <w:tcW w:w="1448" w:type="dxa"/>
            <w:tcBorders>
              <w:top w:val="single" w:sz="17"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17"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13,339,223.68</w:t>
            </w:r>
          </w:p>
        </w:tc>
      </w:tr>
    </w:tbl>
    <w:p>
      <w:pPr>
        <w:spacing w:line="240" w:lineRule="auto" w:before="0"/>
        <w:rPr>
          <w:rFonts w:ascii="宋体" w:hAnsi="宋体" w:cs="宋体" w:eastAsia="宋体" w:hint="default"/>
          <w:sz w:val="20"/>
          <w:szCs w:val="20"/>
        </w:rPr>
      </w:pPr>
    </w:p>
    <w:p>
      <w:pPr>
        <w:pStyle w:val="BodyText"/>
        <w:spacing w:line="240" w:lineRule="auto" w:before="205"/>
        <w:ind w:left="702" w:right="0"/>
        <w:jc w:val="left"/>
      </w:pPr>
      <w:r>
        <w:rPr/>
        <w:t>注：本期折旧和摊销额</w:t>
      </w:r>
      <w:r>
        <w:rPr>
          <w:spacing w:val="-60"/>
        </w:rPr>
        <w:t> </w:t>
      </w:r>
      <w:r>
        <w:rPr>
          <w:rFonts w:ascii="宋体" w:hAnsi="宋体" w:cs="宋体" w:eastAsia="宋体" w:hint="default"/>
        </w:rPr>
        <w:t>432,623.44</w:t>
      </w:r>
      <w:r>
        <w:rPr>
          <w:rFonts w:ascii="宋体" w:hAnsi="宋体" w:cs="宋体" w:eastAsia="宋体" w:hint="default"/>
          <w:spacing w:val="-60"/>
        </w:rPr>
        <w:t> </w:t>
      </w:r>
      <w:r>
        <w:rPr/>
        <w:t>元。</w:t>
      </w:r>
    </w:p>
    <w:p>
      <w:pPr>
        <w:spacing w:after="0" w:line="240" w:lineRule="auto"/>
        <w:jc w:val="left"/>
        <w:sectPr>
          <w:pgSz w:w="11910" w:h="16840"/>
          <w:pgMar w:header="840" w:footer="1239" w:top="1160" w:bottom="1420" w:left="1400" w:right="1020"/>
        </w:sectPr>
      </w:pPr>
    </w:p>
    <w:p>
      <w:pPr>
        <w:spacing w:line="240" w:lineRule="auto" w:before="5"/>
        <w:rPr>
          <w:rFonts w:ascii="宋体" w:hAnsi="宋体" w:cs="宋体" w:eastAsia="宋体" w:hint="default"/>
          <w:sz w:val="28"/>
          <w:szCs w:val="28"/>
        </w:rPr>
      </w:pPr>
      <w:r>
        <w:rPr/>
        <w:pict>
          <v:group style="position:absolute;margin-left:67.344002pt;margin-top:41.999985pt;width:465.45pt;height:16.3500pt;mso-position-horizontal-relative:page;mso-position-vertical-relative:page;z-index:-745120" coordorigin="1347,840" coordsize="9309,327">
            <v:group style="position:absolute;left:1354;top:1159;width:9295;height:2" coordorigin="1354,1159" coordsize="9295,2">
              <v:shape style="position:absolute;left:1354;top:1159;width:9295;height:2" coordorigin="1354,1159" coordsize="9295,0" path="m1354,1159l10648,1159e" filled="false" stroked="true" strokeweight=".72pt" strokecolor="#000000">
                <v:path arrowok="t"/>
              </v:shape>
              <v:shape style="position:absolute;left:1389;top:840;width:360;height:315" type="#_x0000_t75" stroked="false">
                <v:imagedata r:id="rId7" o:title=""/>
              </v:shape>
            </v:group>
            <w10:wrap type="none"/>
          </v:group>
        </w:pict>
      </w:r>
      <w:r>
        <w:rPr/>
        <w:pict>
          <v:group style="position:absolute;margin-left:171.380005pt;margin-top:237.97998pt;width:68.7pt;height:.1pt;mso-position-horizontal-relative:page;mso-position-vertical-relative:page;z-index:-745048" coordorigin="3428,4760" coordsize="1374,2">
            <v:shape style="position:absolute;left:3428;top:4760;width:1374;height:2" coordorigin="3428,4760" coordsize="1374,0" path="m3428,4760l4801,4760e" filled="false" stroked="true" strokeweight=".96001pt" strokecolor="#000000">
              <v:path arrowok="t"/>
            </v:shape>
            <w10:wrap type="none"/>
          </v:group>
        </w:pict>
      </w:r>
      <w:r>
        <w:rPr/>
        <w:pict>
          <v:group style="position:absolute;margin-left:171.380005pt;margin-top:382.72998pt;width:68.7pt;height:.1pt;mso-position-horizontal-relative:page;mso-position-vertical-relative:page;z-index:-745024" coordorigin="3428,7655" coordsize="1374,2">
            <v:shape style="position:absolute;left:3428;top:7655;width:1374;height:2" coordorigin="3428,7655" coordsize="1374,0" path="m3428,7655l4801,7655e" filled="false" stroked="true" strokeweight=".95999pt" strokecolor="#000000">
              <v:path arrowok="t"/>
            </v:shape>
            <w10:wrap type="none"/>
          </v:group>
        </w:pict>
      </w:r>
    </w:p>
    <w:p>
      <w:pPr>
        <w:pStyle w:val="Heading2"/>
        <w:tabs>
          <w:tab w:pos="1402" w:val="left" w:leader="none"/>
        </w:tabs>
        <w:spacing w:line="367" w:lineRule="exact"/>
        <w:ind w:left="562" w:right="0"/>
        <w:jc w:val="left"/>
        <w:rPr>
          <w:b w:val="0"/>
          <w:bCs w:val="0"/>
        </w:rPr>
      </w:pPr>
      <w:r>
        <w:rPr>
          <w:rFonts w:ascii="Times New Roman" w:hAnsi="Times New Roman" w:cs="Times New Roman" w:eastAsia="Times New Roman" w:hint="default"/>
        </w:rPr>
        <w:t>10</w:t>
      </w:r>
      <w:r>
        <w:rPr/>
        <w:t>、</w:t>
        <w:tab/>
        <w:t>固定资产</w:t>
      </w:r>
      <w:r>
        <w:rPr>
          <w:b w:val="0"/>
          <w:bCs w:val="0"/>
        </w:rPr>
      </w:r>
    </w:p>
    <w:p>
      <w:pPr>
        <w:pStyle w:val="BodyText"/>
        <w:tabs>
          <w:tab w:pos="1102" w:val="left" w:leader="none"/>
        </w:tabs>
        <w:spacing w:line="240" w:lineRule="auto" w:before="210"/>
        <w:ind w:left="622" w:right="0"/>
        <w:jc w:val="left"/>
      </w:pPr>
      <w:r>
        <w:rPr/>
        <w:pict>
          <v:group style="position:absolute;margin-left:171.380005pt;margin-top:43.115604pt;width:68.7pt;height:.1pt;mso-position-horizontal-relative:page;mso-position-vertical-relative:paragraph;z-index:-745096" coordorigin="3428,862" coordsize="1374,2">
            <v:shape style="position:absolute;left:3428;top:862;width:1374;height:2" coordorigin="3428,862" coordsize="1374,0" path="m3428,862l4801,862e" filled="false" stroked="true" strokeweight=".95999pt" strokecolor="#000000">
              <v:path arrowok="t"/>
            </v:shape>
            <w10:wrap type="none"/>
          </v:group>
        </w:pict>
      </w:r>
      <w:r>
        <w:rPr/>
        <w:pict>
          <v:group style="position:absolute;margin-left:171.380005pt;margin-top:58.355602pt;width:68.7pt;height:.1pt;mso-position-horizontal-relative:page;mso-position-vertical-relative:paragraph;z-index:-745072" coordorigin="3428,1167" coordsize="1374,2">
            <v:shape style="position:absolute;left:3428;top:1167;width:1374;height:2" coordorigin="3428,1167" coordsize="1374,0" path="m3428,1167l4801,1167e" filled="false" stroked="true" strokeweight=".95999pt" strokecolor="#000000">
              <v:path arrowok="t"/>
            </v:shape>
            <w10:wrap type="none"/>
          </v:group>
        </w:pict>
      </w:r>
      <w:r>
        <w:rPr/>
        <w:t>⑴</w:t>
        <w:tab/>
        <w:t>固定资产情况</w:t>
      </w:r>
    </w:p>
    <w:p>
      <w:pPr>
        <w:spacing w:line="240" w:lineRule="auto" w:before="3"/>
        <w:rPr>
          <w:rFonts w:ascii="宋体" w:hAnsi="宋体" w:cs="宋体" w:eastAsia="宋体" w:hint="default"/>
          <w:sz w:val="9"/>
          <w:szCs w:val="9"/>
        </w:rPr>
      </w:pPr>
    </w:p>
    <w:tbl>
      <w:tblPr>
        <w:tblW w:w="0" w:type="auto"/>
        <w:jc w:val="left"/>
        <w:tblInd w:w="178" w:type="dxa"/>
        <w:tblLayout w:type="fixed"/>
        <w:tblCellMar>
          <w:top w:w="0" w:type="dxa"/>
          <w:left w:w="0" w:type="dxa"/>
          <w:bottom w:w="0" w:type="dxa"/>
          <w:right w:w="0" w:type="dxa"/>
        </w:tblCellMar>
        <w:tblLook w:val="01E0"/>
      </w:tblPr>
      <w:tblGrid>
        <w:gridCol w:w="1841"/>
        <w:gridCol w:w="168"/>
        <w:gridCol w:w="2531"/>
        <w:gridCol w:w="1708"/>
        <w:gridCol w:w="132"/>
        <w:gridCol w:w="1284"/>
        <w:gridCol w:w="156"/>
        <w:gridCol w:w="1454"/>
      </w:tblGrid>
      <w:tr>
        <w:trPr>
          <w:trHeight w:val="217" w:hRule="exact"/>
        </w:trPr>
        <w:tc>
          <w:tcPr>
            <w:tcW w:w="1841"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8" w:space="0" w:color="000000"/>
              <w:right w:val="nil" w:sz="6" w:space="0" w:color="auto"/>
            </w:tcBorders>
          </w:tcPr>
          <w:p>
            <w:pPr>
              <w:pStyle w:val="TableParagraph"/>
              <w:spacing w:line="180" w:lineRule="exact"/>
              <w:ind w:left="4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08"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180" w:lineRule="exact"/>
              <w:ind w:left="2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8" w:space="0" w:color="000000"/>
              <w:right w:val="nil" w:sz="6" w:space="0" w:color="auto"/>
            </w:tcBorders>
          </w:tcPr>
          <w:p>
            <w:pPr>
              <w:pStyle w:val="TableParagraph"/>
              <w:spacing w:line="180" w:lineRule="exact"/>
              <w:ind w:left="45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05" w:hRule="exact"/>
        </w:trPr>
        <w:tc>
          <w:tcPr>
            <w:tcW w:w="1841"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sz w:val="18"/>
              </w:rPr>
              <w:t>552,476,542.86</w:t>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282,413,563.15</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15,920,290.50</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818,969,815.51</w:t>
            </w:r>
          </w:p>
        </w:tc>
      </w:tr>
      <w:tr>
        <w:trPr>
          <w:trHeight w:val="316"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sz w:val="18"/>
              </w:rPr>
              <w:t>160,485,577.70</w:t>
            </w:r>
          </w:p>
        </w:tc>
        <w:tc>
          <w:tcPr>
            <w:tcW w:w="1708"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140,041,763.11</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14,596,564.76</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285,930,776.05</w:t>
            </w:r>
          </w:p>
        </w:tc>
      </w:tr>
      <w:tr>
        <w:trPr>
          <w:trHeight w:val="282"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0" w:lineRule="exact"/>
              <w:ind w:left="5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0" w:lineRule="exact"/>
              <w:ind w:left="57" w:right="0"/>
              <w:jc w:val="left"/>
              <w:rPr>
                <w:rFonts w:ascii="宋体" w:hAnsi="宋体" w:cs="宋体" w:eastAsia="宋体" w:hint="default"/>
                <w:sz w:val="18"/>
                <w:szCs w:val="18"/>
              </w:rPr>
            </w:pPr>
            <w:r>
              <w:rPr>
                <w:rFonts w:ascii="宋体"/>
                <w:sz w:val="18"/>
              </w:rPr>
              <w:t>350,895,520.86</w:t>
            </w:r>
          </w:p>
        </w:tc>
        <w:tc>
          <w:tcPr>
            <w:tcW w:w="1708" w:type="dxa"/>
            <w:tcBorders>
              <w:top w:val="nil" w:sz="6" w:space="0" w:color="auto"/>
              <w:left w:val="nil" w:sz="6" w:space="0" w:color="auto"/>
              <w:bottom w:val="nil" w:sz="6" w:space="0" w:color="auto"/>
              <w:right w:val="nil" w:sz="6" w:space="0" w:color="auto"/>
            </w:tcBorders>
          </w:tcPr>
          <w:p>
            <w:pPr>
              <w:pStyle w:val="TableParagraph"/>
              <w:spacing w:line="230" w:lineRule="exact"/>
              <w:ind w:right="55"/>
              <w:jc w:val="right"/>
              <w:rPr>
                <w:rFonts w:ascii="宋体" w:hAnsi="宋体" w:cs="宋体" w:eastAsia="宋体" w:hint="default"/>
                <w:sz w:val="18"/>
                <w:szCs w:val="18"/>
              </w:rPr>
            </w:pPr>
            <w:r>
              <w:rPr>
                <w:rFonts w:ascii="宋体"/>
                <w:spacing w:val="-1"/>
                <w:sz w:val="18"/>
              </w:rPr>
              <w:t>122,096,887.14</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宋体" w:hAnsi="宋体" w:cs="宋体" w:eastAsia="宋体" w:hint="default"/>
                <w:sz w:val="18"/>
                <w:szCs w:val="18"/>
              </w:rPr>
            </w:pPr>
            <w:r>
              <w:rPr>
                <w:rFonts w:ascii="宋体"/>
                <w:spacing w:val="-1"/>
                <w:sz w:val="18"/>
              </w:rPr>
              <w:t>553,429.15</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0" w:lineRule="exact"/>
              <w:ind w:right="55"/>
              <w:jc w:val="right"/>
              <w:rPr>
                <w:rFonts w:ascii="宋体" w:hAnsi="宋体" w:cs="宋体" w:eastAsia="宋体" w:hint="default"/>
                <w:sz w:val="18"/>
                <w:szCs w:val="18"/>
              </w:rPr>
            </w:pPr>
            <w:r>
              <w:rPr>
                <w:rFonts w:ascii="宋体"/>
                <w:spacing w:val="-1"/>
                <w:sz w:val="18"/>
              </w:rPr>
              <w:t>472,438,978.85</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sz w:val="18"/>
              </w:rPr>
              <w:t>18,876,086.78</w:t>
            </w:r>
          </w:p>
        </w:tc>
        <w:tc>
          <w:tcPr>
            <w:tcW w:w="1708"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5,451,571.87</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185,545.48</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24,142,113.17</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sz w:val="18"/>
              </w:rPr>
              <w:t>22,219,357.52</w:t>
            </w:r>
          </w:p>
        </w:tc>
        <w:tc>
          <w:tcPr>
            <w:tcW w:w="1708"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14,823,341.03</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584,751.11</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36,457,947.44</w:t>
            </w:r>
          </w:p>
        </w:tc>
      </w:tr>
      <w:tr>
        <w:trPr>
          <w:trHeight w:val="269"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8" w:space="0" w:color="000000"/>
              <w:right w:val="nil" w:sz="6" w:space="0" w:color="auto"/>
            </w:tcBorders>
          </w:tcPr>
          <w:p>
            <w:pPr>
              <w:pStyle w:val="TableParagraph"/>
              <w:spacing w:line="232" w:lineRule="exact"/>
              <w:ind w:right="-9"/>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708" w:type="dxa"/>
            <w:tcBorders>
              <w:top w:val="nil" w:sz="6" w:space="0" w:color="auto"/>
              <w:left w:val="nil" w:sz="6" w:space="0" w:color="auto"/>
              <w:bottom w:val="single" w:sz="8" w:space="0" w:color="000000"/>
              <w:right w:val="nil" w:sz="6" w:space="0" w:color="auto"/>
            </w:tcBorders>
          </w:tcPr>
          <w:p>
            <w:pPr>
              <w:pStyle w:val="TableParagraph"/>
              <w:spacing w:line="232" w:lineRule="exact"/>
              <w:ind w:left="70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r>
      <w:tr>
        <w:trPr>
          <w:trHeight w:val="305"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sz w:val="18"/>
              </w:rPr>
              <w:t>184,418,567.04</w:t>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50,658,765.19</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pacing w:val="-1"/>
                <w:sz w:val="18"/>
              </w:rPr>
              <w:t>1,913,892.41</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55"/>
              <w:jc w:val="right"/>
              <w:rPr>
                <w:rFonts w:ascii="宋体" w:hAnsi="宋体" w:cs="宋体" w:eastAsia="宋体" w:hint="default"/>
                <w:sz w:val="18"/>
                <w:szCs w:val="18"/>
              </w:rPr>
            </w:pPr>
            <w:r>
              <w:rPr>
                <w:rFonts w:ascii="宋体"/>
                <w:spacing w:val="-1"/>
                <w:sz w:val="18"/>
              </w:rPr>
              <w:t>233,163,439.82</w:t>
            </w:r>
          </w:p>
        </w:tc>
      </w:tr>
      <w:tr>
        <w:trPr>
          <w:trHeight w:val="317"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146" w:right="0"/>
              <w:jc w:val="left"/>
              <w:rPr>
                <w:rFonts w:ascii="宋体" w:hAnsi="宋体" w:cs="宋体" w:eastAsia="宋体" w:hint="default"/>
                <w:sz w:val="18"/>
                <w:szCs w:val="18"/>
              </w:rPr>
            </w:pPr>
            <w:r>
              <w:rPr>
                <w:rFonts w:ascii="宋体"/>
                <w:sz w:val="18"/>
              </w:rPr>
              <w:t>21,034,999.61</w:t>
            </w:r>
          </w:p>
        </w:tc>
        <w:tc>
          <w:tcPr>
            <w:tcW w:w="1708"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9,057,602.47</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53"/>
              <w:jc w:val="right"/>
              <w:rPr>
                <w:rFonts w:ascii="宋体" w:hAnsi="宋体" w:cs="宋体" w:eastAsia="宋体" w:hint="default"/>
                <w:sz w:val="18"/>
                <w:szCs w:val="18"/>
              </w:rPr>
            </w:pPr>
            <w:r>
              <w:rPr>
                <w:rFonts w:ascii="宋体"/>
                <w:spacing w:val="-1"/>
                <w:sz w:val="18"/>
              </w:rPr>
              <w:t>745,937.04</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29,346,665.04</w:t>
            </w:r>
          </w:p>
        </w:tc>
      </w:tr>
      <w:tr>
        <w:trPr>
          <w:trHeight w:val="284"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sz w:val="18"/>
              </w:rPr>
              <w:t>145,155,348.64</w:t>
            </w:r>
          </w:p>
        </w:tc>
        <w:tc>
          <w:tcPr>
            <w:tcW w:w="1708"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34,597,359.06</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541,311.82</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179,211,395.88</w:t>
            </w:r>
          </w:p>
        </w:tc>
      </w:tr>
      <w:tr>
        <w:trPr>
          <w:trHeight w:val="282"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sz w:val="18"/>
              </w:rPr>
              <w:t>9,168,320.57</w:t>
            </w:r>
          </w:p>
        </w:tc>
        <w:tc>
          <w:tcPr>
            <w:tcW w:w="1708"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2,581,812.91</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166,329.40</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11,583,804.08</w:t>
            </w:r>
          </w:p>
        </w:tc>
      </w:tr>
      <w:tr>
        <w:trPr>
          <w:trHeight w:val="282"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0" w:lineRule="exact"/>
              <w:ind w:left="5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0" w:lineRule="exact"/>
              <w:ind w:left="237" w:right="0"/>
              <w:jc w:val="left"/>
              <w:rPr>
                <w:rFonts w:ascii="宋体" w:hAnsi="宋体" w:cs="宋体" w:eastAsia="宋体" w:hint="default"/>
                <w:sz w:val="18"/>
                <w:szCs w:val="18"/>
              </w:rPr>
            </w:pPr>
            <w:r>
              <w:rPr>
                <w:rFonts w:ascii="宋体"/>
                <w:sz w:val="18"/>
              </w:rPr>
              <w:t>9,059,898.22</w:t>
            </w:r>
          </w:p>
        </w:tc>
        <w:tc>
          <w:tcPr>
            <w:tcW w:w="1708" w:type="dxa"/>
            <w:tcBorders>
              <w:top w:val="nil" w:sz="6" w:space="0" w:color="auto"/>
              <w:left w:val="nil" w:sz="6" w:space="0" w:color="auto"/>
              <w:bottom w:val="nil" w:sz="6" w:space="0" w:color="auto"/>
              <w:right w:val="nil" w:sz="6" w:space="0" w:color="auto"/>
            </w:tcBorders>
          </w:tcPr>
          <w:p>
            <w:pPr>
              <w:pStyle w:val="TableParagraph"/>
              <w:spacing w:line="230" w:lineRule="exact"/>
              <w:ind w:right="55"/>
              <w:jc w:val="right"/>
              <w:rPr>
                <w:rFonts w:ascii="宋体" w:hAnsi="宋体" w:cs="宋体" w:eastAsia="宋体" w:hint="default"/>
                <w:sz w:val="18"/>
                <w:szCs w:val="18"/>
              </w:rPr>
            </w:pPr>
            <w:r>
              <w:rPr>
                <w:rFonts w:ascii="宋体"/>
                <w:spacing w:val="-1"/>
                <w:sz w:val="18"/>
              </w:rPr>
              <w:t>4,421,990.75</w:t>
            </w: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宋体" w:hAnsi="宋体" w:cs="宋体" w:eastAsia="宋体" w:hint="default"/>
                <w:sz w:val="18"/>
                <w:szCs w:val="18"/>
              </w:rPr>
            </w:pPr>
            <w:r>
              <w:rPr>
                <w:rFonts w:ascii="宋体"/>
                <w:spacing w:val="-1"/>
                <w:sz w:val="18"/>
              </w:rPr>
              <w:t>460,314.15</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0" w:lineRule="exact"/>
              <w:ind w:right="55"/>
              <w:jc w:val="right"/>
              <w:rPr>
                <w:rFonts w:ascii="宋体" w:hAnsi="宋体" w:cs="宋体" w:eastAsia="宋体" w:hint="default"/>
                <w:sz w:val="18"/>
                <w:szCs w:val="18"/>
              </w:rPr>
            </w:pPr>
            <w:r>
              <w:rPr>
                <w:rFonts w:ascii="宋体"/>
                <w:spacing w:val="-1"/>
                <w:sz w:val="18"/>
              </w:rPr>
              <w:t>13,021,574.82</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三、账面净值合计</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17" w:space="0" w:color="000000"/>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sz w:val="18"/>
              </w:rPr>
              <w:t>368,057,975.82</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7" w:space="0" w:color="000000"/>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585,806,375.69</w:t>
            </w:r>
          </w:p>
        </w:tc>
      </w:tr>
      <w:tr>
        <w:trPr>
          <w:trHeight w:val="329"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17" w:space="0" w:color="000000"/>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sz w:val="18"/>
              </w:rPr>
              <w:t>139,450,578.09</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single" w:sz="17" w:space="0" w:color="000000"/>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256,584,111.01</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sz w:val="18"/>
              </w:rPr>
              <w:t>205,740,172.22</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293,227,582.97</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sz w:val="18"/>
              </w:rPr>
              <w:t>9,707,766.21</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12,558,309.09</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sz w:val="18"/>
              </w:rPr>
              <w:t>13,159,459.30</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23,436,372.62</w:t>
            </w:r>
          </w:p>
        </w:tc>
      </w:tr>
      <w:tr>
        <w:trPr>
          <w:trHeight w:val="269"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8" w:space="0" w:color="000000"/>
              <w:right w:val="nil" w:sz="6" w:space="0" w:color="auto"/>
            </w:tcBorders>
          </w:tcPr>
          <w:p>
            <w:pPr>
              <w:pStyle w:val="TableParagraph"/>
              <w:spacing w:line="232" w:lineRule="exact"/>
              <w:ind w:left="506" w:right="0"/>
              <w:jc w:val="left"/>
              <w:rPr>
                <w:rFonts w:ascii="宋体" w:hAnsi="宋体" w:cs="宋体" w:eastAsia="宋体" w:hint="default"/>
                <w:sz w:val="18"/>
                <w:szCs w:val="18"/>
              </w:rPr>
            </w:pPr>
            <w:r>
              <w:rPr>
                <w:rFonts w:ascii="宋体"/>
                <w:sz w:val="18"/>
              </w:rPr>
              <w:t>84,273.55</w:t>
            </w:r>
          </w:p>
        </w:tc>
        <w:tc>
          <w:tcPr>
            <w:tcW w:w="1708" w:type="dxa"/>
            <w:tcBorders>
              <w:top w:val="nil" w:sz="6" w:space="0" w:color="auto"/>
              <w:left w:val="nil" w:sz="6" w:space="0" w:color="auto"/>
              <w:bottom w:val="single" w:sz="8" w:space="0" w:color="000000"/>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30,695.64</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8" w:space="0" w:color="000000"/>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53,577.91</w:t>
            </w:r>
          </w:p>
        </w:tc>
      </w:tr>
      <w:tr>
        <w:trPr>
          <w:trHeight w:val="317"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8" w:space="0" w:color="000000"/>
              <w:left w:val="nil" w:sz="6" w:space="0" w:color="auto"/>
              <w:bottom w:val="nil" w:sz="6" w:space="0" w:color="auto"/>
              <w:right w:val="nil" w:sz="6" w:space="0" w:color="auto"/>
            </w:tcBorders>
          </w:tcPr>
          <w:p>
            <w:pPr/>
          </w:p>
        </w:tc>
        <w:tc>
          <w:tcPr>
            <w:tcW w:w="1708" w:type="dxa"/>
            <w:tcBorders>
              <w:top w:val="single" w:sz="8"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nil" w:sz="6" w:space="0" w:color="auto"/>
              <w:right w:val="nil" w:sz="6" w:space="0" w:color="auto"/>
            </w:tcBorders>
          </w:tcPr>
          <w:p>
            <w:pP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506" w:right="0"/>
              <w:jc w:val="left"/>
              <w:rPr>
                <w:rFonts w:ascii="宋体" w:hAnsi="宋体" w:cs="宋体" w:eastAsia="宋体" w:hint="default"/>
                <w:sz w:val="18"/>
                <w:szCs w:val="18"/>
              </w:rPr>
            </w:pPr>
            <w:r>
              <w:rPr>
                <w:rFonts w:ascii="宋体"/>
                <w:sz w:val="18"/>
              </w:rPr>
              <w:t>37,884.24</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13,759.34</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24,124.90</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506" w:right="0"/>
              <w:jc w:val="left"/>
              <w:rPr>
                <w:rFonts w:ascii="宋体" w:hAnsi="宋体" w:cs="宋体" w:eastAsia="宋体" w:hint="default"/>
                <w:sz w:val="18"/>
                <w:szCs w:val="18"/>
              </w:rPr>
            </w:pPr>
            <w:r>
              <w:rPr>
                <w:rFonts w:ascii="宋体"/>
                <w:sz w:val="18"/>
              </w:rPr>
              <w:t>46,389.31</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16,936.30</w:t>
            </w: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29,453.01</w:t>
            </w:r>
          </w:p>
        </w:tc>
      </w:tr>
      <w:tr>
        <w:trPr>
          <w:trHeight w:val="281"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五、账面价值合计</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17" w:space="0" w:color="000000"/>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sz w:val="18"/>
              </w:rPr>
              <w:t>367,973,702.27</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7" w:space="0" w:color="000000"/>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585,752,797.78</w:t>
            </w:r>
          </w:p>
        </w:tc>
      </w:tr>
      <w:tr>
        <w:trPr>
          <w:trHeight w:val="329"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single" w:sz="17" w:space="0" w:color="000000"/>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sz w:val="18"/>
              </w:rPr>
              <w:t>139,450,578.09</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single" w:sz="17" w:space="0" w:color="000000"/>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8"/>
                <w:szCs w:val="18"/>
              </w:rPr>
            </w:pPr>
            <w:r>
              <w:rPr>
                <w:rFonts w:ascii="宋体"/>
                <w:spacing w:val="-1"/>
                <w:sz w:val="18"/>
              </w:rPr>
              <w:t>256,584,111.01</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sz w:val="18"/>
              </w:rPr>
              <w:t>205,702,287.98</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293,203,458.07</w:t>
            </w:r>
          </w:p>
        </w:tc>
      </w:tr>
      <w:tr>
        <w:trPr>
          <w:trHeight w:val="283"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sz w:val="18"/>
              </w:rPr>
              <w:t>9,707,766.21</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12,558,309.09</w:t>
            </w:r>
          </w:p>
        </w:tc>
      </w:tr>
      <w:tr>
        <w:trPr>
          <w:trHeight w:val="232"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nil" w:sz="6" w:space="0" w:color="auto"/>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sz w:val="18"/>
              </w:rPr>
              <w:t>13,113,069.99</w:t>
            </w:r>
          </w:p>
        </w:tc>
        <w:tc>
          <w:tcPr>
            <w:tcW w:w="17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23,406,919.61</w:t>
            </w:r>
          </w:p>
        </w:tc>
      </w:tr>
    </w:tbl>
    <w:p>
      <w:pPr>
        <w:spacing w:line="240" w:lineRule="auto" w:before="4"/>
        <w:rPr>
          <w:rFonts w:ascii="宋体" w:hAnsi="宋体" w:cs="宋体" w:eastAsia="宋体" w:hint="default"/>
          <w:sz w:val="14"/>
          <w:szCs w:val="14"/>
        </w:rPr>
      </w:pPr>
    </w:p>
    <w:p>
      <w:pPr>
        <w:pStyle w:val="BodyText"/>
        <w:spacing w:line="240" w:lineRule="auto" w:before="26"/>
        <w:ind w:left="622" w:right="0"/>
        <w:jc w:val="left"/>
      </w:pPr>
      <w:r>
        <w:rPr/>
        <w:t>注：本期折旧额为</w:t>
      </w:r>
      <w:r>
        <w:rPr>
          <w:spacing w:val="-61"/>
        </w:rPr>
        <w:t> </w:t>
      </w:r>
      <w:r>
        <w:rPr>
          <w:rFonts w:ascii="宋体" w:hAnsi="宋体" w:cs="宋体" w:eastAsia="宋体" w:hint="default"/>
        </w:rPr>
        <w:t>50,658,765.19</w:t>
      </w:r>
      <w:r>
        <w:rPr>
          <w:rFonts w:ascii="宋体" w:hAnsi="宋体" w:cs="宋体" w:eastAsia="宋体" w:hint="default"/>
          <w:spacing w:val="-61"/>
        </w:rPr>
        <w:t> </w:t>
      </w:r>
      <w:r>
        <w:rPr/>
        <w:t>元。</w:t>
      </w:r>
    </w:p>
    <w:p>
      <w:pPr>
        <w:spacing w:line="240" w:lineRule="auto" w:before="8"/>
        <w:rPr>
          <w:rFonts w:ascii="宋体" w:hAnsi="宋体" w:cs="宋体" w:eastAsia="宋体" w:hint="default"/>
          <w:sz w:val="17"/>
          <w:szCs w:val="17"/>
        </w:rPr>
      </w:pPr>
    </w:p>
    <w:p>
      <w:pPr>
        <w:pStyle w:val="BodyText"/>
        <w:spacing w:line="240" w:lineRule="auto" w:before="0"/>
        <w:ind w:left="1102" w:right="0"/>
        <w:jc w:val="left"/>
      </w:pPr>
      <w:r>
        <w:rPr/>
        <w:t>本期由在建工程转入固定资产原价为</w:t>
      </w:r>
      <w:r>
        <w:rPr>
          <w:spacing w:val="-60"/>
        </w:rPr>
        <w:t> </w:t>
      </w:r>
      <w:r>
        <w:rPr>
          <w:rFonts w:ascii="宋体" w:hAnsi="宋体" w:cs="宋体" w:eastAsia="宋体" w:hint="default"/>
        </w:rPr>
        <w:t>272,319,185.72</w:t>
      </w:r>
      <w:r>
        <w:rPr>
          <w:rFonts w:ascii="宋体" w:hAnsi="宋体" w:cs="宋体" w:eastAsia="宋体" w:hint="default"/>
          <w:spacing w:val="-60"/>
        </w:rPr>
        <w:t> </w:t>
      </w:r>
      <w:r>
        <w:rPr/>
        <w:t>元。</w:t>
      </w:r>
    </w:p>
    <w:p>
      <w:pPr>
        <w:spacing w:line="240" w:lineRule="auto" w:before="8"/>
        <w:rPr>
          <w:rFonts w:ascii="宋体" w:hAnsi="宋体" w:cs="宋体" w:eastAsia="宋体" w:hint="default"/>
          <w:sz w:val="17"/>
          <w:szCs w:val="17"/>
        </w:rPr>
      </w:pPr>
    </w:p>
    <w:p>
      <w:pPr>
        <w:pStyle w:val="BodyText"/>
        <w:tabs>
          <w:tab w:pos="1102" w:val="left" w:leader="none"/>
        </w:tabs>
        <w:spacing w:line="240" w:lineRule="auto" w:before="0"/>
        <w:ind w:left="622" w:right="0"/>
        <w:jc w:val="left"/>
      </w:pPr>
      <w:r>
        <w:rPr/>
        <w:t>⑵</w:t>
        <w:tab/>
        <w:t>未办妥产权证书的固定资产情况</w:t>
      </w:r>
    </w:p>
    <w:p>
      <w:pPr>
        <w:spacing w:line="240" w:lineRule="auto" w:before="1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119"/>
        <w:gridCol w:w="233"/>
        <w:gridCol w:w="2792"/>
        <w:gridCol w:w="233"/>
        <w:gridCol w:w="1522"/>
        <w:gridCol w:w="254"/>
        <w:gridCol w:w="1822"/>
      </w:tblGrid>
      <w:tr>
        <w:trPr>
          <w:trHeight w:val="520" w:hRule="exact"/>
        </w:trPr>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209"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证书的时间</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1" w:hRule="exact"/>
        </w:trPr>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济南临港生产基地（一</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期）二车间</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该生产基地其他科研楼、办公</w:t>
            </w:r>
          </w:p>
          <w:p>
            <w:pPr>
              <w:pStyle w:val="TableParagraph"/>
              <w:spacing w:line="240" w:lineRule="auto"/>
              <w:ind w:left="26" w:right="25"/>
              <w:jc w:val="left"/>
              <w:rPr>
                <w:rFonts w:ascii="宋体" w:hAnsi="宋体" w:cs="宋体" w:eastAsia="宋体" w:hint="default"/>
                <w:sz w:val="21"/>
                <w:szCs w:val="21"/>
              </w:rPr>
            </w:pPr>
            <w:r>
              <w:rPr>
                <w:rFonts w:ascii="宋体" w:hAnsi="宋体" w:cs="宋体" w:eastAsia="宋体" w:hint="default"/>
                <w:spacing w:val="-1"/>
                <w:sz w:val="21"/>
                <w:szCs w:val="21"/>
              </w:rPr>
              <w:t>楼尚未完工，待完工后同时办</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理产权证手续。</w:t>
            </w: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53,584,000.00</w:t>
            </w:r>
          </w:p>
        </w:tc>
      </w:tr>
      <w:tr>
        <w:trPr>
          <w:trHeight w:val="550"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北京东港嘉华综合生</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产楼</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办理中</w:t>
            </w: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86,487,569.94</w:t>
            </w:r>
          </w:p>
        </w:tc>
      </w:tr>
      <w:tr>
        <w:trPr>
          <w:trHeight w:val="358"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140,071,569.94</w:t>
            </w:r>
          </w:p>
        </w:tc>
      </w:tr>
    </w:tbl>
    <w:p>
      <w:pPr>
        <w:spacing w:after="0" w:line="270" w:lineRule="exact"/>
        <w:jc w:val="right"/>
        <w:rPr>
          <w:rFonts w:ascii="宋体" w:hAnsi="宋体" w:cs="宋体" w:eastAsia="宋体" w:hint="default"/>
          <w:sz w:val="21"/>
          <w:szCs w:val="21"/>
        </w:rPr>
        <w:sectPr>
          <w:headerReference w:type="default" r:id="rId37"/>
          <w:footerReference w:type="default" r:id="rId38"/>
          <w:pgSz w:w="11910" w:h="16840"/>
          <w:pgMar w:header="915" w:footer="944" w:top="1100" w:bottom="1140" w:left="1240" w:right="1100"/>
          <w:pgNumType w:start="88"/>
        </w:sectPr>
      </w:pPr>
    </w:p>
    <w:p>
      <w:pPr>
        <w:spacing w:line="240" w:lineRule="auto" w:before="6"/>
        <w:rPr>
          <w:rFonts w:ascii="宋体" w:hAnsi="宋体" w:cs="宋体" w:eastAsia="宋体" w:hint="default"/>
          <w:sz w:val="24"/>
          <w:szCs w:val="24"/>
        </w:rPr>
      </w:pPr>
    </w:p>
    <w:p>
      <w:pPr>
        <w:pStyle w:val="Heading2"/>
        <w:tabs>
          <w:tab w:pos="1402" w:val="left" w:leader="none"/>
        </w:tabs>
        <w:spacing w:line="367" w:lineRule="exact"/>
        <w:ind w:left="562" w:right="4564"/>
        <w:jc w:val="left"/>
        <w:rPr>
          <w:b w:val="0"/>
          <w:bCs w:val="0"/>
        </w:rPr>
      </w:pPr>
      <w:r>
        <w:rPr>
          <w:rFonts w:ascii="Times New Roman" w:hAnsi="Times New Roman" w:cs="Times New Roman" w:eastAsia="Times New Roman" w:hint="default"/>
        </w:rPr>
        <w:t>11</w:t>
      </w:r>
      <w:r>
        <w:rPr/>
        <w:t>、</w:t>
        <w:tab/>
        <w:t>在建工程</w:t>
      </w:r>
      <w:r>
        <w:rPr>
          <w:b w:val="0"/>
          <w:bCs w:val="0"/>
        </w:rPr>
      </w:r>
    </w:p>
    <w:p>
      <w:pPr>
        <w:pStyle w:val="BodyText"/>
        <w:tabs>
          <w:tab w:pos="1102" w:val="left" w:leader="none"/>
        </w:tabs>
        <w:spacing w:line="240" w:lineRule="auto" w:before="210"/>
        <w:ind w:left="622" w:right="4564"/>
        <w:jc w:val="left"/>
      </w:pPr>
      <w:r>
        <w:rPr/>
        <w:t>⑴</w:t>
        <w:tab/>
        <w:t>在建工程基本情况</w:t>
      </w:r>
    </w:p>
    <w:p>
      <w:pPr>
        <w:spacing w:line="240" w:lineRule="auto" w:before="1"/>
        <w:rPr>
          <w:rFonts w:ascii="宋体" w:hAnsi="宋体" w:cs="宋体" w:eastAsia="宋体" w:hint="default"/>
          <w:sz w:val="11"/>
          <w:szCs w:val="11"/>
        </w:rPr>
      </w:pPr>
    </w:p>
    <w:tbl>
      <w:tblPr>
        <w:tblW w:w="0" w:type="auto"/>
        <w:jc w:val="left"/>
        <w:tblInd w:w="226" w:type="dxa"/>
        <w:tblLayout w:type="fixed"/>
        <w:tblCellMar>
          <w:top w:w="0" w:type="dxa"/>
          <w:left w:w="0" w:type="dxa"/>
          <w:bottom w:w="0" w:type="dxa"/>
          <w:right w:w="0" w:type="dxa"/>
        </w:tblCellMar>
        <w:tblLook w:val="01E0"/>
      </w:tblPr>
      <w:tblGrid>
        <w:gridCol w:w="3192"/>
        <w:gridCol w:w="238"/>
        <w:gridCol w:w="1779"/>
        <w:gridCol w:w="216"/>
        <w:gridCol w:w="1469"/>
        <w:gridCol w:w="216"/>
        <w:gridCol w:w="1770"/>
      </w:tblGrid>
      <w:tr>
        <w:trPr>
          <w:trHeight w:val="251" w:hRule="exact"/>
        </w:trPr>
        <w:tc>
          <w:tcPr>
            <w:tcW w:w="31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single" w:sz="8" w:space="0" w:color="000000"/>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Style w:val="TableParagraph"/>
              <w:spacing w:line="211"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6" w:type="dxa"/>
            <w:tcBorders>
              <w:top w:val="nil" w:sz="6" w:space="0" w:color="auto"/>
              <w:left w:val="nil" w:sz="6" w:space="0" w:color="auto"/>
              <w:bottom w:val="single" w:sz="8" w:space="0" w:color="000000"/>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
        </w:tc>
      </w:tr>
      <w:tr>
        <w:trPr>
          <w:trHeight w:val="360" w:hRule="exact"/>
        </w:trPr>
        <w:tc>
          <w:tcPr>
            <w:tcW w:w="3192"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 w:type="dxa"/>
            <w:tcBorders>
              <w:top w:val="single" w:sz="8" w:space="0" w:color="000000"/>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16" w:type="dxa"/>
            <w:tcBorders>
              <w:top w:val="single" w:sz="8" w:space="0" w:color="000000"/>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71" w:hRule="exact"/>
        </w:trPr>
        <w:tc>
          <w:tcPr>
            <w:tcW w:w="3192" w:type="dxa"/>
            <w:tcBorders>
              <w:top w:val="single" w:sz="8" w:space="0" w:color="000000"/>
              <w:left w:val="nil" w:sz="6" w:space="0" w:color="auto"/>
              <w:bottom w:val="nil" w:sz="6" w:space="0" w:color="auto"/>
              <w:right w:val="nil" w:sz="6" w:space="0" w:color="auto"/>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济南临港生产基地（一期）基建工</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w w:val="95"/>
                <w:sz w:val="20"/>
              </w:rPr>
              <w:t>72,212,250.84</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w w:val="95"/>
                <w:sz w:val="20"/>
              </w:rPr>
              <w:t>72,212,250.84</w:t>
            </w:r>
            <w:r>
              <w:rPr>
                <w:rFonts w:ascii="宋体"/>
                <w:sz w:val="20"/>
              </w:rPr>
            </w:r>
          </w:p>
        </w:tc>
      </w:tr>
      <w:tr>
        <w:trPr>
          <w:trHeight w:val="341"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济南印刷设备等</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0"/>
                <w:szCs w:val="20"/>
              </w:rPr>
            </w:pPr>
            <w:r>
              <w:rPr>
                <w:rFonts w:ascii="宋体"/>
                <w:w w:val="95"/>
                <w:sz w:val="20"/>
              </w:rPr>
              <w:t>25,733,108.79</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0"/>
                <w:szCs w:val="20"/>
              </w:rPr>
            </w:pPr>
            <w:r>
              <w:rPr>
                <w:rFonts w:ascii="宋体"/>
                <w:w w:val="95"/>
                <w:sz w:val="20"/>
              </w:rPr>
              <w:t>25,733,108.79</w:t>
            </w:r>
            <w:r>
              <w:rPr>
                <w:rFonts w:ascii="宋体"/>
                <w:sz w:val="20"/>
              </w:rPr>
            </w:r>
          </w:p>
        </w:tc>
      </w:tr>
      <w:tr>
        <w:trPr>
          <w:trHeight w:val="322"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北京东港嘉华综合生产楼工程</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50"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北京公司生产设备</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1"/>
              <w:jc w:val="right"/>
              <w:rPr>
                <w:rFonts w:ascii="宋体" w:hAnsi="宋体" w:cs="宋体" w:eastAsia="宋体" w:hint="default"/>
                <w:sz w:val="20"/>
                <w:szCs w:val="20"/>
              </w:rPr>
            </w:pPr>
            <w:r>
              <w:rPr>
                <w:rFonts w:ascii="宋体"/>
                <w:w w:val="95"/>
                <w:sz w:val="20"/>
              </w:rPr>
              <w:t>482,906.00</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0"/>
              <w:jc w:val="right"/>
              <w:rPr>
                <w:rFonts w:ascii="宋体" w:hAnsi="宋体" w:cs="宋体" w:eastAsia="宋体" w:hint="default"/>
                <w:sz w:val="20"/>
                <w:szCs w:val="20"/>
              </w:rPr>
            </w:pPr>
            <w:r>
              <w:rPr>
                <w:rFonts w:ascii="宋体"/>
                <w:w w:val="95"/>
                <w:sz w:val="20"/>
              </w:rPr>
              <w:t>482,906.00</w:t>
            </w:r>
            <w:r>
              <w:rPr>
                <w:rFonts w:ascii="宋体"/>
                <w:sz w:val="20"/>
              </w:rPr>
            </w:r>
          </w:p>
        </w:tc>
      </w:tr>
      <w:tr>
        <w:trPr>
          <w:trHeight w:val="372" w:hRule="exact"/>
        </w:trPr>
        <w:tc>
          <w:tcPr>
            <w:tcW w:w="319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98,428,265.63</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17"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98,428,265.63</w:t>
            </w:r>
            <w:r>
              <w:rPr>
                <w:rFonts w:ascii="宋体"/>
                <w:sz w:val="20"/>
              </w:rPr>
            </w:r>
          </w:p>
        </w:tc>
      </w:tr>
      <w:tr>
        <w:trPr>
          <w:trHeight w:val="713" w:hRule="exact"/>
        </w:trPr>
        <w:tc>
          <w:tcPr>
            <w:tcW w:w="31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17" w:space="0" w:color="000000"/>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single" w:sz="8" w:space="0" w:color="000000"/>
              <w:right w:val="nil" w:sz="6" w:space="0" w:color="auto"/>
            </w:tcBorders>
          </w:tcPr>
          <w:p>
            <w:pPr/>
          </w:p>
        </w:tc>
        <w:tc>
          <w:tcPr>
            <w:tcW w:w="1469" w:type="dxa"/>
            <w:tcBorders>
              <w:top w:val="single" w:sz="17"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16" w:type="dxa"/>
            <w:tcBorders>
              <w:top w:val="nil" w:sz="6" w:space="0" w:color="auto"/>
              <w:left w:val="nil" w:sz="6" w:space="0" w:color="auto"/>
              <w:bottom w:val="single" w:sz="8" w:space="0" w:color="000000"/>
              <w:right w:val="nil" w:sz="6" w:space="0" w:color="auto"/>
            </w:tcBorders>
          </w:tcPr>
          <w:p>
            <w:pPr/>
          </w:p>
        </w:tc>
        <w:tc>
          <w:tcPr>
            <w:tcW w:w="1770" w:type="dxa"/>
            <w:tcBorders>
              <w:top w:val="single" w:sz="17" w:space="0" w:color="000000"/>
              <w:left w:val="nil" w:sz="6" w:space="0" w:color="auto"/>
              <w:bottom w:val="single" w:sz="8" w:space="0" w:color="000000"/>
              <w:right w:val="nil" w:sz="6" w:space="0" w:color="auto"/>
            </w:tcBorders>
          </w:tcPr>
          <w:p>
            <w:pPr/>
          </w:p>
        </w:tc>
      </w:tr>
      <w:tr>
        <w:trPr>
          <w:trHeight w:val="360" w:hRule="exact"/>
        </w:trPr>
        <w:tc>
          <w:tcPr>
            <w:tcW w:w="3192" w:type="dxa"/>
            <w:tcBorders>
              <w:top w:val="nil" w:sz="6" w:space="0" w:color="auto"/>
              <w:left w:val="nil" w:sz="6" w:space="0" w:color="auto"/>
              <w:bottom w:val="single" w:sz="8" w:space="0" w:color="000000"/>
              <w:right w:val="nil" w:sz="6" w:space="0" w:color="auto"/>
            </w:tcBorders>
          </w:tcPr>
          <w:p>
            <w:pPr>
              <w:pStyle w:val="TableParagraph"/>
              <w:tabs>
                <w:tab w:pos="527" w:val="left" w:leader="none"/>
              </w:tabs>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 w:type="dxa"/>
            <w:tcBorders>
              <w:top w:val="single" w:sz="8" w:space="0" w:color="000000"/>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16" w:type="dxa"/>
            <w:tcBorders>
              <w:top w:val="single" w:sz="8" w:space="0" w:color="000000"/>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72" w:hRule="exact"/>
        </w:trPr>
        <w:tc>
          <w:tcPr>
            <w:tcW w:w="3192" w:type="dxa"/>
            <w:tcBorders>
              <w:top w:val="single" w:sz="8" w:space="0" w:color="000000"/>
              <w:left w:val="nil" w:sz="6" w:space="0" w:color="auto"/>
              <w:bottom w:val="nil" w:sz="6" w:space="0" w:color="auto"/>
              <w:right w:val="nil" w:sz="6" w:space="0" w:color="auto"/>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济南临港生产基地（一期）基建工</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0"/>
              <w:jc w:val="right"/>
              <w:rPr>
                <w:rFonts w:ascii="宋体" w:hAnsi="宋体" w:cs="宋体" w:eastAsia="宋体" w:hint="default"/>
                <w:sz w:val="21"/>
                <w:szCs w:val="21"/>
              </w:rPr>
            </w:pPr>
            <w:r>
              <w:rPr>
                <w:rFonts w:ascii="宋体"/>
                <w:spacing w:val="-1"/>
                <w:sz w:val="21"/>
              </w:rPr>
              <w:t>114,266,742.85</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0"/>
              <w:jc w:val="right"/>
              <w:rPr>
                <w:rFonts w:ascii="宋体" w:hAnsi="宋体" w:cs="宋体" w:eastAsia="宋体" w:hint="default"/>
                <w:sz w:val="21"/>
                <w:szCs w:val="21"/>
              </w:rPr>
            </w:pPr>
            <w:r>
              <w:rPr>
                <w:rFonts w:ascii="宋体"/>
                <w:spacing w:val="-1"/>
                <w:sz w:val="21"/>
              </w:rPr>
              <w:t>114,266,742.85</w:t>
            </w:r>
          </w:p>
        </w:tc>
      </w:tr>
      <w:tr>
        <w:trPr>
          <w:trHeight w:val="324"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济南印刷设备等</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9,486,726.47</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right"/>
              <w:rPr>
                <w:rFonts w:ascii="宋体" w:hAnsi="宋体" w:cs="宋体" w:eastAsia="宋体" w:hint="default"/>
                <w:sz w:val="21"/>
                <w:szCs w:val="21"/>
              </w:rPr>
            </w:pPr>
            <w:r>
              <w:rPr>
                <w:rFonts w:ascii="宋体"/>
                <w:spacing w:val="-1"/>
                <w:sz w:val="21"/>
              </w:rPr>
              <w:t>9,486,726.47</w:t>
            </w:r>
          </w:p>
        </w:tc>
      </w:tr>
      <w:tr>
        <w:trPr>
          <w:trHeight w:val="340"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北京东港嘉华综合生产楼工程</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73,106,125.81</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73,106,125.81</w:t>
            </w:r>
          </w:p>
        </w:tc>
      </w:tr>
      <w:tr>
        <w:trPr>
          <w:trHeight w:val="351"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北京公司生产设备</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
        </w:tc>
      </w:tr>
      <w:tr>
        <w:trPr>
          <w:trHeight w:val="372" w:hRule="exact"/>
        </w:trPr>
        <w:tc>
          <w:tcPr>
            <w:tcW w:w="3192"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196,859,595.13</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17"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196,859,595.13</w:t>
            </w:r>
          </w:p>
        </w:tc>
      </w:tr>
    </w:tbl>
    <w:p>
      <w:pPr>
        <w:spacing w:line="240" w:lineRule="auto" w:before="2"/>
        <w:rPr>
          <w:rFonts w:ascii="宋体" w:hAnsi="宋体" w:cs="宋体" w:eastAsia="宋体" w:hint="default"/>
          <w:sz w:val="12"/>
          <w:szCs w:val="12"/>
        </w:rPr>
      </w:pPr>
    </w:p>
    <w:p>
      <w:pPr>
        <w:pStyle w:val="BodyText"/>
        <w:tabs>
          <w:tab w:pos="1102" w:val="left" w:leader="none"/>
        </w:tabs>
        <w:spacing w:line="240" w:lineRule="auto" w:before="26"/>
        <w:ind w:left="622" w:right="4564"/>
        <w:jc w:val="left"/>
      </w:pPr>
      <w:r>
        <w:rPr/>
        <w:t>⑵</w:t>
        <w:tab/>
        <w:t>重大在建工程项目变动情况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250" w:type="dxa"/>
        <w:tblLayout w:type="fixed"/>
        <w:tblCellMar>
          <w:top w:w="0" w:type="dxa"/>
          <w:left w:w="0" w:type="dxa"/>
          <w:bottom w:w="0" w:type="dxa"/>
          <w:right w:w="0" w:type="dxa"/>
        </w:tblCellMar>
        <w:tblLook w:val="01E0"/>
      </w:tblPr>
      <w:tblGrid>
        <w:gridCol w:w="2382"/>
        <w:gridCol w:w="913"/>
        <w:gridCol w:w="1576"/>
        <w:gridCol w:w="1411"/>
        <w:gridCol w:w="1504"/>
        <w:gridCol w:w="1320"/>
      </w:tblGrid>
      <w:tr>
        <w:trPr>
          <w:trHeight w:val="452" w:hRule="exact"/>
        </w:trPr>
        <w:tc>
          <w:tcPr>
            <w:tcW w:w="2382"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913" w:type="dxa"/>
            <w:tcBorders>
              <w:top w:val="nil" w:sz="6" w:space="0" w:color="auto"/>
              <w:left w:val="nil" w:sz="6" w:space="0" w:color="auto"/>
              <w:bottom w:val="single" w:sz="8" w:space="0" w:color="000000"/>
              <w:right w:val="nil" w:sz="6" w:space="0" w:color="auto"/>
            </w:tcBorders>
          </w:tcPr>
          <w:p>
            <w:pPr>
              <w:pStyle w:val="TableParagraph"/>
              <w:spacing w:line="180" w:lineRule="exact"/>
              <w:ind w:left="150"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7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504"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转入固定资产数</w:t>
            </w: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5" w:hRule="exact"/>
        </w:trPr>
        <w:tc>
          <w:tcPr>
            <w:tcW w:w="2382" w:type="dxa"/>
            <w:tcBorders>
              <w:top w:val="single" w:sz="8" w:space="0" w:color="000000"/>
              <w:left w:val="nil" w:sz="6" w:space="0" w:color="auto"/>
              <w:bottom w:val="nil" w:sz="6" w:space="0" w:color="auto"/>
              <w:right w:val="nil" w:sz="6" w:space="0" w:color="auto"/>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济南临港生产基地（一期）</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基建工程</w:t>
            </w:r>
          </w:p>
        </w:tc>
        <w:tc>
          <w:tcPr>
            <w:tcW w:w="913" w:type="dxa"/>
            <w:tcBorders>
              <w:top w:val="single" w:sz="8" w:space="0" w:color="000000"/>
              <w:left w:val="nil" w:sz="6" w:space="0" w:color="auto"/>
              <w:bottom w:val="nil" w:sz="6" w:space="0" w:color="auto"/>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15,530.00</w:t>
            </w:r>
          </w:p>
        </w:tc>
        <w:tc>
          <w:tcPr>
            <w:tcW w:w="1576" w:type="dxa"/>
            <w:tcBorders>
              <w:top w:val="single" w:sz="8" w:space="0" w:color="000000"/>
              <w:left w:val="nil" w:sz="6" w:space="0" w:color="auto"/>
              <w:bottom w:val="nil" w:sz="6" w:space="0" w:color="auto"/>
              <w:right w:val="nil" w:sz="6" w:space="0" w:color="auto"/>
            </w:tcBorders>
          </w:tcPr>
          <w:p>
            <w:pPr>
              <w:pStyle w:val="TableParagraph"/>
              <w:spacing w:line="240" w:lineRule="auto" w:before="87"/>
              <w:ind w:right="66"/>
              <w:jc w:val="right"/>
              <w:rPr>
                <w:rFonts w:ascii="宋体" w:hAnsi="宋体" w:cs="宋体" w:eastAsia="宋体" w:hint="default"/>
                <w:sz w:val="18"/>
                <w:szCs w:val="18"/>
              </w:rPr>
            </w:pPr>
            <w:r>
              <w:rPr>
                <w:rFonts w:ascii="宋体"/>
                <w:spacing w:val="-1"/>
                <w:sz w:val="18"/>
              </w:rPr>
              <w:t>114,266,742.85</w:t>
            </w:r>
          </w:p>
        </w:tc>
        <w:tc>
          <w:tcPr>
            <w:tcW w:w="1411" w:type="dxa"/>
            <w:tcBorders>
              <w:top w:val="single" w:sz="8" w:space="0" w:color="000000"/>
              <w:left w:val="nil" w:sz="6" w:space="0" w:color="auto"/>
              <w:bottom w:val="nil" w:sz="6" w:space="0" w:color="auto"/>
              <w:right w:val="nil" w:sz="6" w:space="0" w:color="auto"/>
            </w:tcBorders>
          </w:tcPr>
          <w:p>
            <w:pPr>
              <w:pStyle w:val="TableParagraph"/>
              <w:spacing w:line="240" w:lineRule="auto" w:before="87"/>
              <w:ind w:right="80"/>
              <w:jc w:val="right"/>
              <w:rPr>
                <w:rFonts w:ascii="宋体" w:hAnsi="宋体" w:cs="宋体" w:eastAsia="宋体" w:hint="default"/>
                <w:sz w:val="18"/>
                <w:szCs w:val="18"/>
              </w:rPr>
            </w:pPr>
            <w:r>
              <w:rPr>
                <w:rFonts w:ascii="宋体"/>
                <w:spacing w:val="-1"/>
                <w:sz w:val="18"/>
              </w:rPr>
              <w:t>11,617,542.18</w:t>
            </w:r>
          </w:p>
        </w:tc>
        <w:tc>
          <w:tcPr>
            <w:tcW w:w="1504" w:type="dxa"/>
            <w:tcBorders>
              <w:top w:val="single" w:sz="8" w:space="0" w:color="000000"/>
              <w:left w:val="nil" w:sz="6" w:space="0" w:color="auto"/>
              <w:bottom w:val="nil" w:sz="6" w:space="0" w:color="auto"/>
              <w:right w:val="nil" w:sz="6" w:space="0" w:color="auto"/>
            </w:tcBorders>
          </w:tcPr>
          <w:p>
            <w:pPr>
              <w:pStyle w:val="TableParagraph"/>
              <w:spacing w:line="240" w:lineRule="auto" w:before="87"/>
              <w:ind w:left="233" w:right="0"/>
              <w:jc w:val="left"/>
              <w:rPr>
                <w:rFonts w:ascii="宋体" w:hAnsi="宋体" w:cs="宋体" w:eastAsia="宋体" w:hint="default"/>
                <w:sz w:val="18"/>
                <w:szCs w:val="18"/>
              </w:rPr>
            </w:pPr>
            <w:r>
              <w:rPr>
                <w:rFonts w:ascii="宋体"/>
                <w:sz w:val="18"/>
              </w:rPr>
              <w:t>53,672,034.19</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48"/>
              <w:jc w:val="right"/>
              <w:rPr>
                <w:rFonts w:ascii="宋体" w:hAnsi="宋体" w:cs="宋体" w:eastAsia="宋体" w:hint="default"/>
                <w:sz w:val="18"/>
                <w:szCs w:val="18"/>
              </w:rPr>
            </w:pPr>
            <w:r>
              <w:rPr>
                <w:rFonts w:ascii="宋体"/>
                <w:spacing w:val="-1"/>
                <w:sz w:val="18"/>
              </w:rPr>
              <w:t>72,212,250.84</w:t>
            </w:r>
          </w:p>
        </w:tc>
      </w:tr>
      <w:tr>
        <w:trPr>
          <w:trHeight w:val="494"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北京东港嘉华综合生产楼</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3" w:right="0"/>
              <w:jc w:val="center"/>
              <w:rPr>
                <w:rFonts w:ascii="宋体" w:hAnsi="宋体" w:cs="宋体" w:eastAsia="宋体" w:hint="default"/>
                <w:sz w:val="18"/>
                <w:szCs w:val="18"/>
              </w:rPr>
            </w:pPr>
            <w:r>
              <w:rPr>
                <w:rFonts w:ascii="宋体"/>
                <w:sz w:val="18"/>
              </w:rPr>
              <w:t>9,200.00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6"/>
              <w:jc w:val="right"/>
              <w:rPr>
                <w:rFonts w:ascii="宋体" w:hAnsi="宋体" w:cs="宋体" w:eastAsia="宋体" w:hint="default"/>
                <w:sz w:val="18"/>
                <w:szCs w:val="18"/>
              </w:rPr>
            </w:pPr>
            <w:r>
              <w:rPr>
                <w:rFonts w:ascii="宋体"/>
                <w:spacing w:val="-1"/>
                <w:sz w:val="18"/>
              </w:rPr>
              <w:t>73,106,125.81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0"/>
              <w:jc w:val="right"/>
              <w:rPr>
                <w:rFonts w:ascii="宋体" w:hAnsi="宋体" w:cs="宋体" w:eastAsia="宋体" w:hint="default"/>
                <w:sz w:val="18"/>
                <w:szCs w:val="18"/>
              </w:rPr>
            </w:pPr>
            <w:r>
              <w:rPr>
                <w:rFonts w:ascii="宋体"/>
                <w:spacing w:val="-1"/>
                <w:sz w:val="18"/>
              </w:rPr>
              <w:t>29,403,268.10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5" w:right="0"/>
              <w:jc w:val="left"/>
              <w:rPr>
                <w:rFonts w:ascii="宋体" w:hAnsi="宋体" w:cs="宋体" w:eastAsia="宋体" w:hint="default"/>
                <w:sz w:val="18"/>
                <w:szCs w:val="18"/>
              </w:rPr>
            </w:pPr>
            <w:r>
              <w:rPr>
                <w:rFonts w:ascii="宋体"/>
                <w:sz w:val="18"/>
              </w:rPr>
              <w:t>102,509,393.91</w:t>
            </w:r>
          </w:p>
        </w:tc>
        <w:tc>
          <w:tcPr>
            <w:tcW w:w="1320" w:type="dxa"/>
            <w:tcBorders>
              <w:top w:val="nil" w:sz="6" w:space="0" w:color="auto"/>
              <w:left w:val="nil" w:sz="6" w:space="0" w:color="auto"/>
              <w:bottom w:val="nil" w:sz="6" w:space="0" w:color="auto"/>
              <w:right w:val="nil" w:sz="6" w:space="0" w:color="auto"/>
            </w:tcBorders>
          </w:tcPr>
          <w:p>
            <w:pPr/>
          </w:p>
        </w:tc>
      </w:tr>
      <w:tr>
        <w:trPr>
          <w:trHeight w:val="317"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济南印刷设备</w:t>
            </w:r>
          </w:p>
        </w:tc>
        <w:tc>
          <w:tcPr>
            <w:tcW w:w="91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34" w:lineRule="exact"/>
              <w:ind w:right="66"/>
              <w:jc w:val="right"/>
              <w:rPr>
                <w:rFonts w:ascii="宋体" w:hAnsi="宋体" w:cs="宋体" w:eastAsia="宋体" w:hint="default"/>
                <w:sz w:val="18"/>
                <w:szCs w:val="18"/>
              </w:rPr>
            </w:pPr>
            <w:r>
              <w:rPr>
                <w:rFonts w:ascii="宋体"/>
                <w:spacing w:val="-1"/>
                <w:sz w:val="18"/>
              </w:rPr>
              <w:t>9,486,726.47</w:t>
            </w:r>
          </w:p>
        </w:tc>
        <w:tc>
          <w:tcPr>
            <w:tcW w:w="1411" w:type="dxa"/>
            <w:tcBorders>
              <w:top w:val="nil" w:sz="6" w:space="0" w:color="auto"/>
              <w:left w:val="nil" w:sz="6" w:space="0" w:color="auto"/>
              <w:bottom w:val="nil" w:sz="6" w:space="0" w:color="auto"/>
              <w:right w:val="nil" w:sz="6" w:space="0" w:color="auto"/>
            </w:tcBorders>
          </w:tcPr>
          <w:p>
            <w:pPr>
              <w:pStyle w:val="TableParagraph"/>
              <w:spacing w:line="234" w:lineRule="exact"/>
              <w:ind w:right="80"/>
              <w:jc w:val="right"/>
              <w:rPr>
                <w:rFonts w:ascii="宋体" w:hAnsi="宋体" w:cs="宋体" w:eastAsia="宋体" w:hint="default"/>
                <w:sz w:val="18"/>
                <w:szCs w:val="18"/>
              </w:rPr>
            </w:pPr>
            <w:r>
              <w:rPr>
                <w:rFonts w:ascii="宋体"/>
                <w:spacing w:val="-1"/>
                <w:sz w:val="18"/>
              </w:rPr>
              <w:t>132,384,139.94</w:t>
            </w:r>
          </w:p>
        </w:tc>
        <w:tc>
          <w:tcPr>
            <w:tcW w:w="1504" w:type="dxa"/>
            <w:tcBorders>
              <w:top w:val="nil" w:sz="6" w:space="0" w:color="auto"/>
              <w:left w:val="nil" w:sz="6" w:space="0" w:color="auto"/>
              <w:bottom w:val="nil" w:sz="6" w:space="0" w:color="auto"/>
              <w:right w:val="nil" w:sz="6" w:space="0" w:color="auto"/>
            </w:tcBorders>
          </w:tcPr>
          <w:p>
            <w:pPr>
              <w:pStyle w:val="TableParagraph"/>
              <w:spacing w:line="234" w:lineRule="exact"/>
              <w:ind w:left="145" w:right="0"/>
              <w:jc w:val="left"/>
              <w:rPr>
                <w:rFonts w:ascii="宋体" w:hAnsi="宋体" w:cs="宋体" w:eastAsia="宋体" w:hint="default"/>
                <w:sz w:val="18"/>
                <w:szCs w:val="18"/>
              </w:rPr>
            </w:pPr>
            <w:r>
              <w:rPr>
                <w:rFonts w:ascii="宋体"/>
                <w:sz w:val="18"/>
              </w:rPr>
              <w:t>116,137,757.62</w:t>
            </w:r>
          </w:p>
        </w:tc>
        <w:tc>
          <w:tcPr>
            <w:tcW w:w="1320" w:type="dxa"/>
            <w:tcBorders>
              <w:top w:val="nil" w:sz="6" w:space="0" w:color="auto"/>
              <w:left w:val="nil" w:sz="6" w:space="0" w:color="auto"/>
              <w:bottom w:val="nil" w:sz="6" w:space="0" w:color="auto"/>
              <w:right w:val="nil" w:sz="6" w:space="0" w:color="auto"/>
            </w:tcBorders>
          </w:tcPr>
          <w:p>
            <w:pPr>
              <w:pStyle w:val="TableParagraph"/>
              <w:spacing w:line="234" w:lineRule="exact"/>
              <w:ind w:right="48"/>
              <w:jc w:val="right"/>
              <w:rPr>
                <w:rFonts w:ascii="宋体" w:hAnsi="宋体" w:cs="宋体" w:eastAsia="宋体" w:hint="default"/>
                <w:sz w:val="18"/>
                <w:szCs w:val="18"/>
              </w:rPr>
            </w:pPr>
            <w:r>
              <w:rPr>
                <w:rFonts w:ascii="宋体"/>
                <w:spacing w:val="-1"/>
                <w:sz w:val="18"/>
              </w:rPr>
              <w:t>25,733,108.79</w:t>
            </w:r>
          </w:p>
        </w:tc>
      </w:tr>
      <w:tr>
        <w:trPr>
          <w:trHeight w:val="357"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sz w:val="18"/>
                <w:szCs w:val="18"/>
              </w:rPr>
              <w:t>北京公司印刷设备</w:t>
            </w:r>
          </w:p>
        </w:tc>
        <w:tc>
          <w:tcPr>
            <w:tcW w:w="91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8" w:space="0" w:color="000000"/>
              <w:right w:val="nil" w:sz="6" w:space="0" w:color="auto"/>
            </w:tcBorders>
          </w:tcPr>
          <w:p>
            <w:pP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right="80"/>
              <w:jc w:val="right"/>
              <w:rPr>
                <w:rFonts w:ascii="宋体" w:hAnsi="宋体" w:cs="宋体" w:eastAsia="宋体" w:hint="default"/>
                <w:sz w:val="18"/>
                <w:szCs w:val="18"/>
              </w:rPr>
            </w:pPr>
            <w:r>
              <w:rPr>
                <w:rFonts w:ascii="宋体"/>
                <w:spacing w:val="-1"/>
                <w:sz w:val="18"/>
              </w:rPr>
              <w:t>482,906.00</w:t>
            </w:r>
          </w:p>
        </w:tc>
        <w:tc>
          <w:tcPr>
            <w:tcW w:w="1504" w:type="dxa"/>
            <w:tcBorders>
              <w:top w:val="nil" w:sz="6" w:space="0" w:color="auto"/>
              <w:left w:val="nil" w:sz="6" w:space="0" w:color="auto"/>
              <w:bottom w:val="single" w:sz="8" w:space="0" w:color="000000"/>
              <w:right w:val="nil" w:sz="6" w:space="0" w:color="auto"/>
            </w:tcBorders>
          </w:tcPr>
          <w:p>
            <w:pPr/>
          </w:p>
        </w:tc>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right="48"/>
              <w:jc w:val="right"/>
              <w:rPr>
                <w:rFonts w:ascii="宋体" w:hAnsi="宋体" w:cs="宋体" w:eastAsia="宋体" w:hint="default"/>
                <w:sz w:val="18"/>
                <w:szCs w:val="18"/>
              </w:rPr>
            </w:pPr>
            <w:r>
              <w:rPr>
                <w:rFonts w:ascii="宋体"/>
                <w:spacing w:val="-1"/>
                <w:sz w:val="18"/>
              </w:rPr>
              <w:t>482,906.00</w:t>
            </w:r>
          </w:p>
        </w:tc>
      </w:tr>
      <w:tr>
        <w:trPr>
          <w:trHeight w:val="379"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913" w:type="dxa"/>
            <w:tcBorders>
              <w:top w:val="nil" w:sz="6" w:space="0" w:color="auto"/>
              <w:left w:val="nil" w:sz="6" w:space="0" w:color="auto"/>
              <w:bottom w:val="nil" w:sz="6" w:space="0" w:color="auto"/>
              <w:right w:val="nil" w:sz="6" w:space="0" w:color="auto"/>
            </w:tcBorders>
          </w:tcPr>
          <w:p>
            <w:pPr/>
          </w:p>
        </w:tc>
        <w:tc>
          <w:tcPr>
            <w:tcW w:w="1576"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66"/>
              <w:jc w:val="right"/>
              <w:rPr>
                <w:rFonts w:ascii="宋体" w:hAnsi="宋体" w:cs="宋体" w:eastAsia="宋体" w:hint="default"/>
                <w:sz w:val="18"/>
                <w:szCs w:val="18"/>
              </w:rPr>
            </w:pPr>
            <w:r>
              <w:rPr>
                <w:rFonts w:ascii="宋体"/>
                <w:spacing w:val="-1"/>
                <w:sz w:val="18"/>
              </w:rPr>
              <w:t>196,859,595.13</w:t>
            </w:r>
          </w:p>
        </w:tc>
        <w:tc>
          <w:tcPr>
            <w:tcW w:w="1411"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80"/>
              <w:jc w:val="right"/>
              <w:rPr>
                <w:rFonts w:ascii="宋体" w:hAnsi="宋体" w:cs="宋体" w:eastAsia="宋体" w:hint="default"/>
                <w:sz w:val="18"/>
                <w:szCs w:val="18"/>
              </w:rPr>
            </w:pPr>
            <w:r>
              <w:rPr>
                <w:rFonts w:ascii="宋体"/>
                <w:spacing w:val="-1"/>
                <w:sz w:val="18"/>
              </w:rPr>
              <w:t>173,887,856.22</w:t>
            </w:r>
          </w:p>
        </w:tc>
        <w:tc>
          <w:tcPr>
            <w:tcW w:w="1504"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left="145" w:right="0"/>
              <w:jc w:val="left"/>
              <w:rPr>
                <w:rFonts w:ascii="宋体" w:hAnsi="宋体" w:cs="宋体" w:eastAsia="宋体" w:hint="default"/>
                <w:sz w:val="18"/>
                <w:szCs w:val="18"/>
              </w:rPr>
            </w:pPr>
            <w:r>
              <w:rPr>
                <w:rFonts w:ascii="宋体"/>
                <w:sz w:val="18"/>
              </w:rPr>
              <w:t>272,319,185.72</w:t>
            </w:r>
          </w:p>
        </w:tc>
        <w:tc>
          <w:tcPr>
            <w:tcW w:w="1320"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48"/>
              <w:jc w:val="right"/>
              <w:rPr>
                <w:rFonts w:ascii="宋体" w:hAnsi="宋体" w:cs="宋体" w:eastAsia="宋体" w:hint="default"/>
                <w:sz w:val="18"/>
                <w:szCs w:val="18"/>
              </w:rPr>
            </w:pPr>
            <w:r>
              <w:rPr>
                <w:rFonts w:ascii="宋体"/>
                <w:spacing w:val="-1"/>
                <w:sz w:val="18"/>
              </w:rPr>
              <w:t>98,428,265.63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tbl>
      <w:tblPr>
        <w:tblW w:w="0" w:type="auto"/>
        <w:jc w:val="left"/>
        <w:tblInd w:w="306" w:type="dxa"/>
        <w:tblLayout w:type="fixed"/>
        <w:tblCellMar>
          <w:top w:w="0" w:type="dxa"/>
          <w:left w:w="0" w:type="dxa"/>
          <w:bottom w:w="0" w:type="dxa"/>
          <w:right w:w="0" w:type="dxa"/>
        </w:tblCellMar>
        <w:tblLook w:val="01E0"/>
      </w:tblPr>
      <w:tblGrid>
        <w:gridCol w:w="2465"/>
        <w:gridCol w:w="269"/>
        <w:gridCol w:w="1927"/>
        <w:gridCol w:w="214"/>
        <w:gridCol w:w="1459"/>
        <w:gridCol w:w="211"/>
        <w:gridCol w:w="2252"/>
      </w:tblGrid>
      <w:tr>
        <w:trPr>
          <w:trHeight w:val="219" w:hRule="exact"/>
        </w:trPr>
        <w:tc>
          <w:tcPr>
            <w:tcW w:w="2465"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26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8" w:space="0" w:color="000000"/>
              <w:right w:val="nil" w:sz="6" w:space="0" w:color="auto"/>
            </w:tcBorders>
          </w:tcPr>
          <w:p>
            <w:pPr>
              <w:pStyle w:val="TableParagraph"/>
              <w:spacing w:line="180" w:lineRule="exact"/>
              <w:ind w:left="153" w:right="0"/>
              <w:jc w:val="left"/>
              <w:rPr>
                <w:rFonts w:ascii="宋体" w:hAnsi="宋体" w:cs="宋体" w:eastAsia="宋体" w:hint="default"/>
                <w:sz w:val="18"/>
                <w:szCs w:val="18"/>
              </w:rPr>
            </w:pPr>
            <w:r>
              <w:rPr>
                <w:rFonts w:ascii="宋体" w:hAnsi="宋体" w:cs="宋体" w:eastAsia="宋体" w:hint="default"/>
                <w:sz w:val="18"/>
                <w:szCs w:val="18"/>
              </w:rPr>
              <w:t>工程投入占预算比例</w:t>
            </w:r>
          </w:p>
        </w:tc>
        <w:tc>
          <w:tcPr>
            <w:tcW w:w="2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8" w:space="0" w:color="000000"/>
              <w:right w:val="nil" w:sz="6" w:space="0" w:color="auto"/>
            </w:tcBorders>
          </w:tcPr>
          <w:p>
            <w:pPr>
              <w:pStyle w:val="TableParagraph"/>
              <w:spacing w:line="180" w:lineRule="exact"/>
              <w:ind w:left="369"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21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502" w:hRule="exact"/>
        </w:trPr>
        <w:tc>
          <w:tcPr>
            <w:tcW w:w="2465" w:type="dxa"/>
            <w:tcBorders>
              <w:top w:val="single" w:sz="8" w:space="0" w:color="000000"/>
              <w:left w:val="nil" w:sz="6" w:space="0" w:color="auto"/>
              <w:bottom w:val="nil" w:sz="6" w:space="0" w:color="auto"/>
              <w:right w:val="nil" w:sz="6" w:space="0" w:color="auto"/>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济南临港生产基地（一期）基</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建工程</w:t>
            </w:r>
          </w:p>
        </w:tc>
        <w:tc>
          <w:tcPr>
            <w:tcW w:w="269" w:type="dxa"/>
            <w:tcBorders>
              <w:top w:val="nil" w:sz="6" w:space="0" w:color="auto"/>
              <w:left w:val="nil" w:sz="6" w:space="0" w:color="auto"/>
              <w:bottom w:val="nil" w:sz="6" w:space="0" w:color="auto"/>
              <w:right w:val="nil" w:sz="6" w:space="0" w:color="auto"/>
            </w:tcBorders>
          </w:tcPr>
          <w:p>
            <w:pPr/>
          </w:p>
        </w:tc>
        <w:tc>
          <w:tcPr>
            <w:tcW w:w="1927"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81%</w:t>
            </w:r>
          </w:p>
        </w:tc>
        <w:tc>
          <w:tcPr>
            <w:tcW w:w="214" w:type="dxa"/>
            <w:tcBorders>
              <w:top w:val="nil" w:sz="6" w:space="0" w:color="auto"/>
              <w:left w:val="nil" w:sz="6" w:space="0" w:color="auto"/>
              <w:bottom w:val="nil" w:sz="6" w:space="0" w:color="auto"/>
              <w:right w:val="nil" w:sz="6" w:space="0" w:color="auto"/>
            </w:tcBorders>
          </w:tcPr>
          <w:p>
            <w:pPr/>
          </w:p>
        </w:tc>
        <w:tc>
          <w:tcPr>
            <w:tcW w:w="1459"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见下表</w:t>
            </w:r>
          </w:p>
        </w:tc>
        <w:tc>
          <w:tcPr>
            <w:tcW w:w="211" w:type="dxa"/>
            <w:tcBorders>
              <w:top w:val="nil" w:sz="6" w:space="0" w:color="auto"/>
              <w:left w:val="nil" w:sz="6" w:space="0" w:color="auto"/>
              <w:bottom w:val="nil" w:sz="6" w:space="0" w:color="auto"/>
              <w:right w:val="nil" w:sz="6" w:space="0" w:color="auto"/>
            </w:tcBorders>
          </w:tcPr>
          <w:p>
            <w:pPr/>
          </w:p>
        </w:tc>
        <w:tc>
          <w:tcPr>
            <w:tcW w:w="2252"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313"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北京东港嘉华综合生产楼工程</w:t>
            </w:r>
          </w:p>
        </w:tc>
        <w:tc>
          <w:tcPr>
            <w:tcW w:w="26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34" w:lineRule="exact"/>
              <w:ind w:right="53"/>
              <w:jc w:val="right"/>
              <w:rPr>
                <w:rFonts w:ascii="宋体" w:hAnsi="宋体" w:cs="宋体" w:eastAsia="宋体" w:hint="default"/>
                <w:sz w:val="18"/>
                <w:szCs w:val="18"/>
              </w:rPr>
            </w:pPr>
            <w:r>
              <w:rPr>
                <w:rFonts w:ascii="宋体"/>
                <w:sz w:val="18"/>
              </w:rPr>
              <w:t>111%</w:t>
            </w:r>
          </w:p>
        </w:tc>
        <w:tc>
          <w:tcPr>
            <w:tcW w:w="2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40"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济南印刷设备</w:t>
            </w:r>
          </w:p>
        </w:tc>
        <w:tc>
          <w:tcPr>
            <w:tcW w:w="26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募集及自有资金</w:t>
            </w:r>
          </w:p>
        </w:tc>
      </w:tr>
      <w:tr>
        <w:trPr>
          <w:trHeight w:val="341"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北京公司印刷设备</w:t>
            </w:r>
          </w:p>
        </w:tc>
        <w:tc>
          <w:tcPr>
            <w:tcW w:w="26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60"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69"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336" w:lineRule="auto" w:before="26"/>
        <w:ind w:left="1102" w:right="4564" w:hanging="480"/>
        <w:jc w:val="left"/>
      </w:pPr>
      <w:r>
        <w:rPr/>
        <w:t>注：本集团本年度在建工程无其他减少； 本集团在建工程无资本化利息。</w:t>
      </w:r>
    </w:p>
    <w:p>
      <w:pPr>
        <w:spacing w:after="0" w:line="336" w:lineRule="auto"/>
        <w:jc w:val="left"/>
        <w:sectPr>
          <w:headerReference w:type="default" r:id="rId39"/>
          <w:pgSz w:w="11910" w:h="16840"/>
          <w:pgMar w:header="840" w:footer="944" w:top="1160" w:bottom="1140" w:left="1240" w:right="1140"/>
        </w:sectPr>
      </w:pPr>
    </w:p>
    <w:p>
      <w:pPr>
        <w:spacing w:line="240" w:lineRule="auto" w:before="1"/>
        <w:rPr>
          <w:rFonts w:ascii="宋体" w:hAnsi="宋体" w:cs="宋体" w:eastAsia="宋体" w:hint="default"/>
          <w:sz w:val="22"/>
          <w:szCs w:val="22"/>
        </w:rPr>
      </w:pPr>
    </w:p>
    <w:p>
      <w:pPr>
        <w:pStyle w:val="BodyText"/>
        <w:tabs>
          <w:tab w:pos="1102" w:val="left" w:leader="none"/>
        </w:tabs>
        <w:spacing w:line="240" w:lineRule="auto" w:before="26"/>
        <w:ind w:left="622" w:right="4564"/>
        <w:jc w:val="left"/>
      </w:pPr>
      <w:r>
        <w:rPr/>
        <w:t>⑶</w:t>
        <w:tab/>
        <w:t>重大在建工程的工程进度情况</w:t>
      </w:r>
    </w:p>
    <w:p>
      <w:pPr>
        <w:spacing w:line="240" w:lineRule="auto" w:before="2"/>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2732"/>
        <w:gridCol w:w="435"/>
        <w:gridCol w:w="3214"/>
        <w:gridCol w:w="283"/>
        <w:gridCol w:w="2451"/>
      </w:tblGrid>
      <w:tr>
        <w:trPr>
          <w:trHeight w:val="258" w:hRule="exact"/>
        </w:trPr>
        <w:tc>
          <w:tcPr>
            <w:tcW w:w="2732"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5"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single" w:sz="8"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283"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single" w:sz="8" w:space="0" w:color="000000"/>
              <w:right w:val="nil" w:sz="6" w:space="0" w:color="auto"/>
            </w:tcBorders>
          </w:tcPr>
          <w:p>
            <w:pPr>
              <w:pStyle w:val="TableParagraph"/>
              <w:spacing w:line="211" w:lineRule="exact"/>
              <w:ind w:left="3"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450" w:hRule="exact"/>
        </w:trPr>
        <w:tc>
          <w:tcPr>
            <w:tcW w:w="2732" w:type="dxa"/>
            <w:tcBorders>
              <w:top w:val="single" w:sz="8" w:space="0" w:color="000000"/>
              <w:left w:val="nil" w:sz="6" w:space="0" w:color="auto"/>
              <w:bottom w:val="nil" w:sz="6" w:space="0" w:color="auto"/>
              <w:right w:val="nil" w:sz="6" w:space="0" w:color="auto"/>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济南临港生产基地（一期）</w:t>
            </w:r>
            <w:r>
              <w:rPr>
                <w:rFonts w:ascii="宋体" w:hAnsi="宋体" w:cs="宋体" w:eastAsia="宋体" w:hint="default"/>
                <w:sz w:val="21"/>
                <w:szCs w:val="21"/>
              </w:rPr>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435" w:type="dxa"/>
            <w:tcBorders>
              <w:top w:val="nil" w:sz="6" w:space="0" w:color="auto"/>
              <w:left w:val="nil" w:sz="6" w:space="0" w:color="auto"/>
              <w:bottom w:val="nil" w:sz="6" w:space="0" w:color="auto"/>
              <w:right w:val="nil" w:sz="6" w:space="0" w:color="auto"/>
            </w:tcBorders>
          </w:tcPr>
          <w:p>
            <w:pPr/>
          </w:p>
        </w:tc>
        <w:tc>
          <w:tcPr>
            <w:tcW w:w="3214" w:type="dxa"/>
            <w:tcBorders>
              <w:top w:val="single" w:sz="8" w:space="0" w:color="000000"/>
              <w:left w:val="nil" w:sz="6" w:space="0" w:color="auto"/>
              <w:bottom w:val="nil" w:sz="6" w:space="0" w:color="auto"/>
              <w:right w:val="nil" w:sz="6" w:space="0" w:color="auto"/>
            </w:tcBorders>
          </w:tcPr>
          <w:p>
            <w:pPr>
              <w:pStyle w:val="TableParagraph"/>
              <w:spacing w:line="241" w:lineRule="exact"/>
              <w:ind w:left="4" w:right="0"/>
              <w:jc w:val="both"/>
              <w:rPr>
                <w:rFonts w:ascii="宋体" w:hAnsi="宋体" w:cs="宋体" w:eastAsia="宋体" w:hint="default"/>
                <w:sz w:val="21"/>
                <w:szCs w:val="21"/>
              </w:rPr>
            </w:pPr>
            <w:r>
              <w:rPr>
                <w:rFonts w:ascii="宋体" w:hAnsi="宋体" w:cs="宋体" w:eastAsia="宋体" w:hint="default"/>
                <w:spacing w:val="8"/>
                <w:sz w:val="21"/>
                <w:szCs w:val="21"/>
              </w:rPr>
              <w:t>彩印车间及仓库已投入使用并转</w:t>
            </w:r>
          </w:p>
          <w:p>
            <w:pPr>
              <w:pStyle w:val="TableParagraph"/>
              <w:spacing w:line="237" w:lineRule="auto"/>
              <w:ind w:left="4" w:right="101"/>
              <w:jc w:val="both"/>
              <w:rPr>
                <w:rFonts w:ascii="宋体" w:hAnsi="宋体" w:cs="宋体" w:eastAsia="宋体" w:hint="default"/>
                <w:sz w:val="21"/>
                <w:szCs w:val="21"/>
              </w:rPr>
            </w:pPr>
            <w:r>
              <w:rPr>
                <w:rFonts w:ascii="宋体" w:hAnsi="宋体" w:cs="宋体" w:eastAsia="宋体" w:hint="default"/>
                <w:spacing w:val="-5"/>
                <w:sz w:val="21"/>
                <w:szCs w:val="21"/>
              </w:rPr>
              <w:t>入固定资产，办公楼、科研楼及卡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车间主体全部完工，正在进行收尾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工程，尚不能投入使用。该工程已</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完成</w:t>
            </w:r>
            <w:r>
              <w:rPr>
                <w:rFonts w:ascii="宋体" w:hAnsi="宋体" w:cs="宋体" w:eastAsia="宋体" w:hint="default"/>
                <w:spacing w:val="-55"/>
                <w:sz w:val="21"/>
                <w:szCs w:val="21"/>
              </w:rPr>
              <w:t> </w:t>
            </w:r>
            <w:r>
              <w:rPr>
                <w:rFonts w:ascii="宋体" w:hAnsi="宋体" w:cs="宋体" w:eastAsia="宋体" w:hint="default"/>
                <w:sz w:val="21"/>
                <w:szCs w:val="21"/>
              </w:rPr>
              <w:t>95%</w:t>
            </w:r>
            <w:r>
              <w:rPr>
                <w:rFonts w:ascii="宋体" w:hAnsi="宋体" w:cs="宋体" w:eastAsia="宋体" w:hint="default"/>
                <w:sz w:val="21"/>
                <w:szCs w:val="21"/>
              </w:rPr>
              <w:t>以上工程量。</w:t>
            </w:r>
          </w:p>
        </w:tc>
        <w:tc>
          <w:tcPr>
            <w:tcW w:w="283" w:type="dxa"/>
            <w:tcBorders>
              <w:top w:val="nil" w:sz="6" w:space="0" w:color="auto"/>
              <w:left w:val="nil" w:sz="6" w:space="0" w:color="auto"/>
              <w:bottom w:val="nil" w:sz="6" w:space="0" w:color="auto"/>
              <w:right w:val="nil" w:sz="6" w:space="0" w:color="auto"/>
            </w:tcBorders>
          </w:tcPr>
          <w:p>
            <w:pPr/>
          </w:p>
        </w:tc>
        <w:tc>
          <w:tcPr>
            <w:tcW w:w="2451" w:type="dxa"/>
            <w:tcBorders>
              <w:top w:val="single" w:sz="8" w:space="0" w:color="000000"/>
              <w:left w:val="nil" w:sz="6" w:space="0" w:color="auto"/>
              <w:bottom w:val="nil" w:sz="6" w:space="0" w:color="auto"/>
              <w:right w:val="nil" w:sz="6" w:space="0" w:color="auto"/>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工程进度以工程量为基础</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进行估计</w:t>
            </w:r>
          </w:p>
        </w:tc>
      </w:tr>
      <w:tr>
        <w:trPr>
          <w:trHeight w:val="59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济南印刷设备</w:t>
            </w:r>
          </w:p>
        </w:tc>
        <w:tc>
          <w:tcPr>
            <w:tcW w:w="435"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 w:right="101"/>
              <w:jc w:val="left"/>
              <w:rPr>
                <w:rFonts w:ascii="宋体" w:hAnsi="宋体" w:cs="宋体" w:eastAsia="宋体" w:hint="default"/>
                <w:sz w:val="21"/>
                <w:szCs w:val="21"/>
              </w:rPr>
            </w:pPr>
            <w:r>
              <w:rPr>
                <w:rFonts w:ascii="宋体" w:hAnsi="宋体" w:cs="宋体" w:eastAsia="宋体" w:hint="default"/>
                <w:spacing w:val="-5"/>
                <w:sz w:val="21"/>
                <w:szCs w:val="21"/>
              </w:rPr>
              <w:t>印刷设备大部分已运抵本公司，待</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临港基建收尾工程完成后安装。</w:t>
            </w:r>
          </w:p>
        </w:tc>
        <w:tc>
          <w:tcPr>
            <w:tcW w:w="283"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 w:right="106"/>
              <w:jc w:val="left"/>
              <w:rPr>
                <w:rFonts w:ascii="宋体" w:hAnsi="宋体" w:cs="宋体" w:eastAsia="宋体" w:hint="default"/>
                <w:sz w:val="21"/>
                <w:szCs w:val="21"/>
              </w:rPr>
            </w:pPr>
            <w:r>
              <w:rPr>
                <w:rFonts w:ascii="宋体" w:hAnsi="宋体" w:cs="宋体" w:eastAsia="宋体" w:hint="default"/>
                <w:sz w:val="21"/>
                <w:szCs w:val="21"/>
              </w:rPr>
              <w:t>工程进度以工程量为基础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进行估计</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tabs>
          <w:tab w:pos="1402" w:val="left" w:leader="none"/>
        </w:tabs>
        <w:spacing w:line="367" w:lineRule="exact"/>
        <w:ind w:left="625" w:right="4564"/>
        <w:jc w:val="left"/>
        <w:rPr>
          <w:b w:val="0"/>
          <w:bCs w:val="0"/>
        </w:rPr>
      </w:pPr>
      <w:r>
        <w:rPr>
          <w:rFonts w:ascii="Times New Roman" w:hAnsi="Times New Roman" w:cs="Times New Roman" w:eastAsia="Times New Roman" w:hint="default"/>
        </w:rPr>
        <w:t>12</w:t>
      </w:r>
      <w:r>
        <w:rPr/>
        <w:t>、</w:t>
        <w:tab/>
        <w:t>无形资产</w:t>
      </w:r>
      <w:r>
        <w:rPr>
          <w:b w:val="0"/>
          <w:bCs w:val="0"/>
        </w:rPr>
      </w:r>
    </w:p>
    <w:p>
      <w:pPr>
        <w:pStyle w:val="BodyText"/>
        <w:tabs>
          <w:tab w:pos="1102" w:val="left" w:leader="none"/>
        </w:tabs>
        <w:spacing w:line="240" w:lineRule="auto" w:before="213"/>
        <w:ind w:left="625" w:right="4564"/>
        <w:jc w:val="left"/>
      </w:pPr>
      <w:r>
        <w:rPr/>
        <w:t>⑴</w:t>
        <w:tab/>
        <w:t>无形资产情况</w:t>
      </w:r>
    </w:p>
    <w:p>
      <w:pPr>
        <w:spacing w:line="240" w:lineRule="auto" w:before="9"/>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114"/>
        <w:gridCol w:w="235"/>
        <w:gridCol w:w="1585"/>
        <w:gridCol w:w="233"/>
        <w:gridCol w:w="1479"/>
        <w:gridCol w:w="235"/>
        <w:gridCol w:w="1418"/>
        <w:gridCol w:w="238"/>
        <w:gridCol w:w="1536"/>
      </w:tblGrid>
      <w:tr>
        <w:trPr>
          <w:trHeight w:val="253" w:hRule="exact"/>
        </w:trPr>
        <w:tc>
          <w:tcPr>
            <w:tcW w:w="2114"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8" w:space="0" w:color="000000"/>
              <w:right w:val="nil" w:sz="6" w:space="0" w:color="auto"/>
            </w:tcBorders>
          </w:tcPr>
          <w:p>
            <w:pPr>
              <w:pStyle w:val="TableParagraph"/>
              <w:spacing w:line="211"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Style w:val="TableParagraph"/>
              <w:spacing w:line="211"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8" w:space="0" w:color="000000"/>
              <w:right w:val="nil" w:sz="6" w:space="0" w:color="auto"/>
            </w:tcBorders>
          </w:tcPr>
          <w:p>
            <w:pPr>
              <w:pStyle w:val="TableParagraph"/>
              <w:spacing w:line="211" w:lineRule="exact"/>
              <w:ind w:left="45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31" w:hRule="exact"/>
        </w:trPr>
        <w:tc>
          <w:tcPr>
            <w:tcW w:w="2114" w:type="dxa"/>
            <w:tcBorders>
              <w:top w:val="single" w:sz="8" w:space="0" w:color="000000"/>
              <w:left w:val="nil" w:sz="6" w:space="0" w:color="auto"/>
              <w:bottom w:val="nil" w:sz="6" w:space="0" w:color="auto"/>
              <w:right w:val="nil" w:sz="6" w:space="0" w:color="auto"/>
            </w:tcBorders>
          </w:tcPr>
          <w:p>
            <w:pPr>
              <w:pStyle w:val="TableParagraph"/>
              <w:spacing w:line="305"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75,267,921.80</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467,700.00</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75,735,621.80</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69,070,188.45</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69,070,188.45</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4,748,845.80</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467,700.00</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5,216,545.80</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800,000.00</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800,000.00</w:t>
            </w:r>
          </w:p>
        </w:tc>
      </w:tr>
      <w:tr>
        <w:trPr>
          <w:trHeight w:val="40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648,887.55</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648,887.55</w:t>
            </w:r>
          </w:p>
        </w:tc>
      </w:tr>
      <w:tr>
        <w:trPr>
          <w:trHeight w:val="394"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二、累计折耗合计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0"/>
              <w:jc w:val="right"/>
              <w:rPr>
                <w:rFonts w:ascii="宋体" w:hAnsi="宋体" w:cs="宋体" w:eastAsia="宋体" w:hint="default"/>
                <w:sz w:val="21"/>
                <w:szCs w:val="21"/>
              </w:rPr>
            </w:pPr>
            <w:r>
              <w:rPr>
                <w:rFonts w:ascii="宋体"/>
                <w:spacing w:val="-1"/>
                <w:sz w:val="21"/>
              </w:rPr>
              <w:t>10,046,069.97</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0"/>
              <w:jc w:val="right"/>
              <w:rPr>
                <w:rFonts w:ascii="宋体" w:hAnsi="宋体" w:cs="宋体" w:eastAsia="宋体" w:hint="default"/>
                <w:sz w:val="21"/>
                <w:szCs w:val="21"/>
              </w:rPr>
            </w:pPr>
            <w:r>
              <w:rPr>
                <w:rFonts w:ascii="宋体"/>
                <w:spacing w:val="-1"/>
                <w:sz w:val="21"/>
              </w:rPr>
              <w:t>2,180,440.79</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0"/>
              <w:jc w:val="right"/>
              <w:rPr>
                <w:rFonts w:ascii="宋体" w:hAnsi="宋体" w:cs="宋体" w:eastAsia="宋体" w:hint="default"/>
                <w:sz w:val="21"/>
                <w:szCs w:val="21"/>
              </w:rPr>
            </w:pPr>
            <w:r>
              <w:rPr>
                <w:rFonts w:ascii="宋体"/>
                <w:spacing w:val="-1"/>
                <w:sz w:val="21"/>
              </w:rPr>
              <w:t>12,226,510.76</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5,955,894.41</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1,371,145.70</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7,327,040.11</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3,314,581.08</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697,739.67</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4,012,320.75</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753,333.33</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46,666.67</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800,000.00</w:t>
            </w:r>
          </w:p>
        </w:tc>
      </w:tr>
      <w:tr>
        <w:trPr>
          <w:trHeight w:val="40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22,261.15</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64,888.75</w:t>
            </w: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87,149.90</w:t>
            </w:r>
          </w:p>
        </w:tc>
      </w:tr>
      <w:tr>
        <w:trPr>
          <w:trHeight w:val="39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三、账面净值合计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right="0"/>
              <w:jc w:val="right"/>
              <w:rPr>
                <w:rFonts w:ascii="宋体" w:hAnsi="宋体" w:cs="宋体" w:eastAsia="宋体" w:hint="default"/>
                <w:sz w:val="21"/>
                <w:szCs w:val="21"/>
              </w:rPr>
            </w:pPr>
            <w:r>
              <w:rPr>
                <w:rFonts w:ascii="宋体"/>
                <w:spacing w:val="-1"/>
                <w:sz w:val="21"/>
              </w:rPr>
              <w:t>65,221,851.83</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right="0"/>
              <w:jc w:val="right"/>
              <w:rPr>
                <w:rFonts w:ascii="宋体" w:hAnsi="宋体" w:cs="宋体" w:eastAsia="宋体" w:hint="default"/>
                <w:sz w:val="21"/>
                <w:szCs w:val="21"/>
              </w:rPr>
            </w:pPr>
            <w:r>
              <w:rPr>
                <w:rFonts w:ascii="宋体"/>
                <w:spacing w:val="-1"/>
                <w:sz w:val="21"/>
              </w:rPr>
              <w:t>63,509,111.04</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63,114,294.04</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61,743,148.34</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1,434,264.72</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1,204,225.05</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46,666.67</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39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626,626.40</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561,737.65</w:t>
            </w:r>
          </w:p>
        </w:tc>
      </w:tr>
      <w:tr>
        <w:trPr>
          <w:trHeight w:val="38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8"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8" w:space="0" w:color="000000"/>
              <w:right w:val="nil" w:sz="6" w:space="0" w:color="auto"/>
            </w:tcBorders>
          </w:tcPr>
          <w:p>
            <w:pP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nil" w:sz="6" w:space="0" w:color="auto"/>
              <w:right w:val="nil" w:sz="6" w:space="0" w:color="auto"/>
            </w:tcBorders>
          </w:tcPr>
          <w:p>
            <w:pP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38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37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362"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五、账面价值合计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0"/>
              <w:jc w:val="right"/>
              <w:rPr>
                <w:rFonts w:ascii="宋体" w:hAnsi="宋体" w:cs="宋体" w:eastAsia="宋体" w:hint="default"/>
                <w:sz w:val="21"/>
                <w:szCs w:val="21"/>
              </w:rPr>
            </w:pPr>
            <w:r>
              <w:rPr>
                <w:rFonts w:ascii="宋体"/>
                <w:spacing w:val="-1"/>
                <w:sz w:val="21"/>
              </w:rPr>
              <w:t>65,221,851.83</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0"/>
              <w:jc w:val="right"/>
              <w:rPr>
                <w:rFonts w:ascii="宋体" w:hAnsi="宋体" w:cs="宋体" w:eastAsia="宋体" w:hint="default"/>
                <w:sz w:val="21"/>
                <w:szCs w:val="21"/>
              </w:rPr>
            </w:pPr>
            <w:r>
              <w:rPr>
                <w:rFonts w:ascii="宋体"/>
                <w:spacing w:val="-1"/>
                <w:sz w:val="21"/>
              </w:rPr>
              <w:t>63,509,111.04</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22" w:right="0"/>
              <w:jc w:val="left"/>
              <w:rPr>
                <w:rFonts w:ascii="宋体" w:hAnsi="宋体" w:cs="宋体" w:eastAsia="宋体" w:hint="default"/>
                <w:sz w:val="21"/>
                <w:szCs w:val="21"/>
              </w:rPr>
            </w:pPr>
            <w:r>
              <w:rPr>
                <w:rFonts w:ascii="宋体" w:hAnsi="宋体" w:cs="宋体" w:eastAsia="宋体" w:hint="default"/>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63,114,294.04</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61,743,148.34</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1,434,264.72</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1,204,225.05</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46,666.67</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w w:val="100"/>
                <w:sz w:val="21"/>
              </w:rPr>
              <w:t>-</w:t>
            </w:r>
          </w:p>
        </w:tc>
      </w:tr>
      <w:tr>
        <w:trPr>
          <w:trHeight w:val="26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626,626.40</w:t>
            </w:r>
          </w:p>
        </w:tc>
        <w:tc>
          <w:tcPr>
            <w:tcW w:w="23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561,737.65</w:t>
            </w:r>
          </w:p>
        </w:tc>
      </w:tr>
    </w:tbl>
    <w:p>
      <w:pPr>
        <w:pStyle w:val="BodyText"/>
        <w:spacing w:line="240" w:lineRule="auto" w:before="71"/>
        <w:ind w:left="622" w:right="4564"/>
        <w:jc w:val="left"/>
      </w:pPr>
      <w:r>
        <w:rPr/>
        <w:t>注：本期摊销金额为</w:t>
      </w:r>
      <w:r>
        <w:rPr>
          <w:spacing w:val="-61"/>
        </w:rPr>
        <w:t> </w:t>
      </w:r>
      <w:r>
        <w:rPr>
          <w:rFonts w:ascii="宋体" w:hAnsi="宋体" w:cs="宋体" w:eastAsia="宋体" w:hint="default"/>
        </w:rPr>
        <w:t>2,180,440.79</w:t>
      </w:r>
      <w:r>
        <w:rPr>
          <w:rFonts w:ascii="宋体" w:hAnsi="宋体" w:cs="宋体" w:eastAsia="宋体" w:hint="default"/>
          <w:spacing w:val="-61"/>
        </w:rPr>
        <w:t> </w:t>
      </w:r>
      <w:r>
        <w:rPr/>
        <w:t>元。</w:t>
      </w:r>
    </w:p>
    <w:p>
      <w:pPr>
        <w:spacing w:after="0" w:line="240" w:lineRule="auto"/>
        <w:jc w:val="left"/>
        <w:sectPr>
          <w:pgSz w:w="11910" w:h="16840"/>
          <w:pgMar w:header="840" w:footer="944" w:top="1160" w:bottom="1140" w:left="1240" w:right="1140"/>
        </w:sectPr>
      </w:pPr>
    </w:p>
    <w:p>
      <w:pPr>
        <w:spacing w:line="240" w:lineRule="auto" w:before="12"/>
        <w:rPr>
          <w:rFonts w:ascii="宋体" w:hAnsi="宋体" w:cs="宋体" w:eastAsia="宋体" w:hint="default"/>
          <w:sz w:val="21"/>
          <w:szCs w:val="21"/>
        </w:rPr>
      </w:pPr>
    </w:p>
    <w:p>
      <w:pPr>
        <w:pStyle w:val="BodyText"/>
        <w:tabs>
          <w:tab w:pos="1102" w:val="left" w:leader="none"/>
        </w:tabs>
        <w:spacing w:line="240" w:lineRule="auto" w:before="26"/>
        <w:ind w:left="622" w:right="4564"/>
        <w:jc w:val="left"/>
      </w:pPr>
      <w:r>
        <w:rPr/>
        <w:t>⑵</w:t>
        <w:tab/>
        <w:t>开发项目支出</w:t>
      </w:r>
    </w:p>
    <w:p>
      <w:pPr>
        <w:spacing w:line="240" w:lineRule="auto" w:before="9"/>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2688"/>
        <w:gridCol w:w="139"/>
        <w:gridCol w:w="1128"/>
        <w:gridCol w:w="130"/>
        <w:gridCol w:w="1395"/>
        <w:gridCol w:w="137"/>
        <w:gridCol w:w="1387"/>
        <w:gridCol w:w="142"/>
        <w:gridCol w:w="872"/>
        <w:gridCol w:w="125"/>
        <w:gridCol w:w="979"/>
      </w:tblGrid>
      <w:tr>
        <w:trPr>
          <w:trHeight w:val="217" w:hRule="exact"/>
        </w:trPr>
        <w:tc>
          <w:tcPr>
            <w:tcW w:w="9122" w:type="dxa"/>
            <w:gridSpan w:val="11"/>
            <w:tcBorders>
              <w:top w:val="nil" w:sz="6" w:space="0" w:color="auto"/>
              <w:left w:val="nil" w:sz="6" w:space="0" w:color="auto"/>
              <w:bottom w:val="nil" w:sz="6" w:space="0" w:color="auto"/>
              <w:right w:val="nil" w:sz="6" w:space="0" w:color="auto"/>
            </w:tcBorders>
          </w:tcPr>
          <w:p>
            <w:pPr>
              <w:pStyle w:val="TableParagraph"/>
              <w:spacing w:line="180" w:lineRule="exact"/>
              <w:ind w:right="1942"/>
              <w:jc w:val="right"/>
              <w:rPr>
                <w:rFonts w:ascii="宋体" w:hAnsi="宋体" w:cs="宋体" w:eastAsia="宋体" w:hint="default"/>
                <w:sz w:val="18"/>
                <w:szCs w:val="18"/>
              </w:rPr>
            </w:pPr>
            <w:r>
              <w:rPr>
                <w:rFonts w:ascii="宋体" w:hAnsi="宋体" w:cs="宋体" w:eastAsia="宋体" w:hint="default"/>
                <w:sz w:val="18"/>
                <w:szCs w:val="18"/>
              </w:rPr>
              <w:t>本期减少</w:t>
            </w:r>
          </w:p>
        </w:tc>
      </w:tr>
      <w:tr>
        <w:trPr>
          <w:trHeight w:val="487" w:hRule="exact"/>
        </w:trPr>
        <w:tc>
          <w:tcPr>
            <w:tcW w:w="268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single" w:sz="8"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42" w:type="dxa"/>
            <w:tcBorders>
              <w:top w:val="single" w:sz="8" w:space="0" w:color="000000"/>
              <w:left w:val="nil" w:sz="6" w:space="0" w:color="auto"/>
              <w:bottom w:val="nil" w:sz="6" w:space="0" w:color="auto"/>
              <w:right w:val="nil" w:sz="6" w:space="0" w:color="auto"/>
            </w:tcBorders>
          </w:tcPr>
          <w:p>
            <w:pPr/>
          </w:p>
        </w:tc>
        <w:tc>
          <w:tcPr>
            <w:tcW w:w="872" w:type="dxa"/>
            <w:tcBorders>
              <w:top w:val="single" w:sz="8" w:space="0" w:color="000000"/>
              <w:left w:val="nil" w:sz="6" w:space="0" w:color="auto"/>
              <w:bottom w:val="single" w:sz="8" w:space="0" w:color="000000"/>
              <w:right w:val="nil" w:sz="6" w:space="0" w:color="auto"/>
            </w:tcBorders>
          </w:tcPr>
          <w:p>
            <w:pPr>
              <w:pStyle w:val="TableParagraph"/>
              <w:spacing w:line="206" w:lineRule="exact"/>
              <w:ind w:left="170" w:right="0" w:hanging="92"/>
              <w:jc w:val="left"/>
              <w:rPr>
                <w:rFonts w:ascii="宋体" w:hAnsi="宋体" w:cs="宋体" w:eastAsia="宋体" w:hint="default"/>
                <w:sz w:val="18"/>
                <w:szCs w:val="18"/>
              </w:rPr>
            </w:pPr>
            <w:r>
              <w:rPr>
                <w:rFonts w:ascii="宋体" w:hAnsi="宋体" w:cs="宋体" w:eastAsia="宋体" w:hint="default"/>
                <w:sz w:val="18"/>
                <w:szCs w:val="18"/>
              </w:rPr>
              <w:t>确认为无</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形资产</w:t>
            </w: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68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发票防伪技术研究</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single" w:sz="8"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1,794,713.72</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1,794,713.72</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single" w:sz="8" w:space="0" w:color="000000"/>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single" w:sz="8" w:space="0" w:color="000000"/>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保单防伪技术研究</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1,791,191.38</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1,791,191.38</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数据处理技术研究</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1,166,195.67</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1,166,195.67</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1"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智能标签技术研究</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1,010,906.06</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1,010,906.06</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银行账单外包制作数据处理系统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1,794,713.72</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1,794,713.72</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票据防伪系统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1,791,191.38</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1,791,191.38</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1"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基金账单制作系统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1,166,195.67</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1,166,195.67</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银行大额存单</w:t>
            </w:r>
            <w:r>
              <w:rPr>
                <w:rFonts w:ascii="宋体" w:hAnsi="宋体" w:cs="宋体" w:eastAsia="宋体" w:hint="default"/>
                <w:spacing w:val="-45"/>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防伪系统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1,010,906.06</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1,010,906.06</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3,000,167.33</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3,000,167.33</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1"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保单合同制作外包系统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1,250,613.32</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1,250,613.32</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仓储物流管理系统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1,052,898.49</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1,052,898.49</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车辆管理系统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1,742,165.22</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1,742,165.22</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1"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银行卡单据制作系统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302,293.80</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302,293.80</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全数字特种印刷流程自动控系统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1,471,849.21</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1,471,849.21</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一种可识别存折</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3,014,554.43</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3,014,554.43</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1"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一种可识别票据</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2,204,721.67</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2,204,721.67</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组合防伪标签</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1,572,288.02</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1,572,288.02</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机场行李条</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1,534,043.14</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1,534,043.14</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1"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精细化柔产品</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1,239,713.74</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1,239,713.74</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银行数据处理打印系统</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1,178,670.76</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1,178,670.76</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r>
      <w:tr>
        <w:trPr>
          <w:trHeight w:val="299"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8" w:space="0" w:color="000000"/>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7,047,698.31</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7,047,698.31</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single" w:sz="8" w:space="0" w:color="000000"/>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8" w:space="0" w:color="000000"/>
              <w:right w:val="nil" w:sz="6" w:space="0" w:color="auto"/>
            </w:tcBorders>
          </w:tcPr>
          <w:p>
            <w:pPr/>
          </w:p>
        </w:tc>
      </w:tr>
      <w:tr>
        <w:trPr>
          <w:trHeight w:val="372"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9" w:type="dxa"/>
            <w:tcBorders>
              <w:top w:val="nil" w:sz="6" w:space="0" w:color="auto"/>
              <w:left w:val="nil" w:sz="6" w:space="0" w:color="auto"/>
              <w:bottom w:val="nil" w:sz="6" w:space="0" w:color="auto"/>
              <w:right w:val="nil" w:sz="6" w:space="0" w:color="auto"/>
            </w:tcBorders>
          </w:tcPr>
          <w:p>
            <w:pPr/>
          </w:p>
        </w:tc>
        <w:tc>
          <w:tcPr>
            <w:tcW w:w="1128" w:type="dxa"/>
            <w:tcBorders>
              <w:top w:val="single" w:sz="8" w:space="0" w:color="000000"/>
              <w:left w:val="nil" w:sz="6" w:space="0" w:color="auto"/>
              <w:bottom w:val="single" w:sz="17" w:space="0" w:color="000000"/>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95"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pacing w:val="-1"/>
                <w:sz w:val="18"/>
              </w:rPr>
              <w:t>38,137,691.10</w:t>
            </w:r>
          </w:p>
        </w:tc>
        <w:tc>
          <w:tcPr>
            <w:tcW w:w="137" w:type="dxa"/>
            <w:tcBorders>
              <w:top w:val="nil" w:sz="6" w:space="0" w:color="auto"/>
              <w:left w:val="nil" w:sz="6" w:space="0" w:color="auto"/>
              <w:bottom w:val="nil" w:sz="6" w:space="0" w:color="auto"/>
              <w:right w:val="nil" w:sz="6" w:space="0" w:color="auto"/>
            </w:tcBorders>
          </w:tcPr>
          <w:p>
            <w:pPr/>
          </w:p>
        </w:tc>
        <w:tc>
          <w:tcPr>
            <w:tcW w:w="1387"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38,137,691.10</w:t>
            </w:r>
          </w:p>
        </w:tc>
        <w:tc>
          <w:tcPr>
            <w:tcW w:w="142" w:type="dxa"/>
            <w:tcBorders>
              <w:top w:val="nil" w:sz="6" w:space="0" w:color="auto"/>
              <w:left w:val="nil" w:sz="6" w:space="0" w:color="auto"/>
              <w:bottom w:val="nil" w:sz="6" w:space="0" w:color="auto"/>
              <w:right w:val="nil" w:sz="6" w:space="0" w:color="auto"/>
            </w:tcBorders>
          </w:tcPr>
          <w:p>
            <w:pPr/>
          </w:p>
        </w:tc>
        <w:tc>
          <w:tcPr>
            <w:tcW w:w="872" w:type="dxa"/>
            <w:tcBorders>
              <w:top w:val="single" w:sz="8" w:space="0" w:color="000000"/>
              <w:left w:val="nil" w:sz="6" w:space="0" w:color="auto"/>
              <w:bottom w:val="single" w:sz="17" w:space="0" w:color="000000"/>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979" w:type="dxa"/>
            <w:tcBorders>
              <w:top w:val="single" w:sz="8" w:space="0" w:color="000000"/>
              <w:left w:val="nil" w:sz="6" w:space="0" w:color="auto"/>
              <w:bottom w:val="single" w:sz="17" w:space="0" w:color="000000"/>
              <w:right w:val="nil" w:sz="6" w:space="0" w:color="auto"/>
            </w:tcBorders>
          </w:tcPr>
          <w:p>
            <w:pPr/>
          </w:p>
        </w:tc>
      </w:tr>
    </w:tbl>
    <w:p>
      <w:pPr>
        <w:spacing w:line="240" w:lineRule="auto" w:before="10"/>
        <w:rPr>
          <w:rFonts w:ascii="宋体" w:hAnsi="宋体" w:cs="宋体" w:eastAsia="宋体" w:hint="default"/>
          <w:sz w:val="25"/>
          <w:szCs w:val="25"/>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13</w:t>
      </w:r>
      <w:r>
        <w:rPr/>
        <w:t>、</w:t>
        <w:tab/>
        <w:t>长期待摊费用</w:t>
      </w:r>
      <w:r>
        <w:rPr>
          <w:b w:val="0"/>
          <w:bCs w:val="0"/>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28" w:type="dxa"/>
        <w:tblLayout w:type="fixed"/>
        <w:tblCellMar>
          <w:top w:w="0" w:type="dxa"/>
          <w:left w:w="0" w:type="dxa"/>
          <w:bottom w:w="0" w:type="dxa"/>
          <w:right w:w="0" w:type="dxa"/>
        </w:tblCellMar>
        <w:tblLook w:val="01E0"/>
      </w:tblPr>
      <w:tblGrid>
        <w:gridCol w:w="1862"/>
        <w:gridCol w:w="235"/>
        <w:gridCol w:w="1292"/>
        <w:gridCol w:w="235"/>
        <w:gridCol w:w="1150"/>
        <w:gridCol w:w="238"/>
        <w:gridCol w:w="1358"/>
        <w:gridCol w:w="235"/>
        <w:gridCol w:w="1222"/>
        <w:gridCol w:w="235"/>
        <w:gridCol w:w="1066"/>
      </w:tblGrid>
      <w:tr>
        <w:trPr>
          <w:trHeight w:val="217" w:hRule="exact"/>
        </w:trPr>
        <w:tc>
          <w:tcPr>
            <w:tcW w:w="1862" w:type="dxa"/>
            <w:tcBorders>
              <w:top w:val="nil" w:sz="6" w:space="0" w:color="auto"/>
              <w:left w:val="nil" w:sz="6" w:space="0" w:color="auto"/>
              <w:bottom w:val="single" w:sz="8" w:space="0" w:color="000000"/>
              <w:right w:val="nil" w:sz="6" w:space="0" w:color="auto"/>
            </w:tcBorders>
          </w:tcPr>
          <w:p>
            <w:pPr>
              <w:pStyle w:val="TableParagraph"/>
              <w:spacing w:line="180" w:lineRule="exact"/>
              <w:ind w:right="5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8"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8" w:space="0" w:color="000000"/>
              <w:right w:val="nil" w:sz="6" w:space="0" w:color="auto"/>
            </w:tcBorders>
          </w:tcPr>
          <w:p>
            <w:pPr>
              <w:pStyle w:val="TableParagraph"/>
              <w:spacing w:line="180" w:lineRule="exact"/>
              <w:ind w:left="1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8"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8"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23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8"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8" w:space="0" w:color="000000"/>
              <w:right w:val="nil" w:sz="6" w:space="0" w:color="auto"/>
            </w:tcBorders>
          </w:tcPr>
          <w:p>
            <w:pPr>
              <w:pStyle w:val="TableParagraph"/>
              <w:spacing w:line="180" w:lineRule="exact"/>
              <w:ind w:left="23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3" w:hRule="exact"/>
        </w:trPr>
        <w:tc>
          <w:tcPr>
            <w:tcW w:w="186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房屋财产保险</w:t>
            </w:r>
          </w:p>
        </w:tc>
        <w:tc>
          <w:tcPr>
            <w:tcW w:w="235" w:type="dxa"/>
            <w:tcBorders>
              <w:top w:val="nil" w:sz="6" w:space="0" w:color="auto"/>
              <w:left w:val="nil" w:sz="6" w:space="0" w:color="auto"/>
              <w:bottom w:val="nil" w:sz="6" w:space="0" w:color="auto"/>
              <w:right w:val="nil" w:sz="6" w:space="0" w:color="auto"/>
            </w:tcBorders>
          </w:tcPr>
          <w:p>
            <w:pPr/>
          </w:p>
        </w:tc>
        <w:tc>
          <w:tcPr>
            <w:tcW w:w="129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600.00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58"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20"/>
                <w:szCs w:val="20"/>
              </w:rPr>
            </w:pPr>
            <w:r>
              <w:rPr>
                <w:rFonts w:ascii="宋体"/>
                <w:w w:val="95"/>
                <w:sz w:val="20"/>
              </w:rPr>
              <w:t>600.00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22" w:type="dxa"/>
            <w:tcBorders>
              <w:top w:val="single" w:sz="8"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single" w:sz="8" w:space="0" w:color="000000"/>
              <w:left w:val="nil" w:sz="6" w:space="0" w:color="auto"/>
              <w:bottom w:val="nil" w:sz="6" w:space="0" w:color="auto"/>
              <w:right w:val="nil" w:sz="6" w:space="0" w:color="auto"/>
            </w:tcBorders>
          </w:tcPr>
          <w:p>
            <w:pPr/>
          </w:p>
        </w:tc>
      </w:tr>
      <w:tr>
        <w:trPr>
          <w:trHeight w:val="340"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3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宋体" w:hAnsi="宋体" w:cs="宋体" w:eastAsia="宋体" w:hint="default"/>
                <w:sz w:val="20"/>
                <w:szCs w:val="20"/>
              </w:rPr>
            </w:pPr>
            <w:r>
              <w:rPr>
                <w:rFonts w:ascii="宋体"/>
                <w:sz w:val="20"/>
              </w:rPr>
              <w:t>118,321.28</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宋体" w:hAnsi="宋体" w:cs="宋体" w:eastAsia="宋体" w:hint="default"/>
                <w:sz w:val="20"/>
                <w:szCs w:val="20"/>
              </w:rPr>
            </w:pPr>
            <w:r>
              <w:rPr>
                <w:rFonts w:ascii="宋体"/>
                <w:w w:val="95"/>
                <w:sz w:val="20"/>
              </w:rPr>
              <w:t>83,520.96</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
              <w:jc w:val="right"/>
              <w:rPr>
                <w:rFonts w:ascii="宋体" w:hAnsi="宋体" w:cs="宋体" w:eastAsia="宋体" w:hint="default"/>
                <w:sz w:val="20"/>
                <w:szCs w:val="20"/>
              </w:rPr>
            </w:pPr>
            <w:r>
              <w:rPr>
                <w:rFonts w:ascii="宋体"/>
                <w:w w:val="95"/>
                <w:sz w:val="20"/>
              </w:rPr>
              <w:t>34,800.32</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40"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热源管网建设费</w:t>
            </w:r>
          </w:p>
        </w:tc>
        <w:tc>
          <w:tcPr>
            <w:tcW w:w="23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0"/>
                <w:szCs w:val="20"/>
              </w:rPr>
            </w:pPr>
            <w:r>
              <w:rPr>
                <w:rFonts w:ascii="宋体"/>
                <w:w w:val="95"/>
                <w:sz w:val="20"/>
              </w:rPr>
              <w:t>50,005.00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0"/>
                <w:szCs w:val="20"/>
              </w:rPr>
            </w:pPr>
            <w:r>
              <w:rPr>
                <w:rFonts w:ascii="宋体"/>
                <w:w w:val="95"/>
                <w:sz w:val="20"/>
              </w:rPr>
              <w:t>39,996.00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
              <w:jc w:val="right"/>
              <w:rPr>
                <w:rFonts w:ascii="宋体" w:hAnsi="宋体" w:cs="宋体" w:eastAsia="宋体" w:hint="default"/>
                <w:sz w:val="20"/>
                <w:szCs w:val="20"/>
              </w:rPr>
            </w:pPr>
            <w:r>
              <w:rPr>
                <w:rFonts w:ascii="宋体"/>
                <w:w w:val="95"/>
                <w:sz w:val="20"/>
              </w:rPr>
              <w:t>10,009.00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0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23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1"/>
              <w:jc w:val="right"/>
              <w:rPr>
                <w:rFonts w:ascii="宋体" w:hAnsi="宋体" w:cs="宋体" w:eastAsia="宋体" w:hint="default"/>
                <w:sz w:val="20"/>
                <w:szCs w:val="20"/>
              </w:rPr>
            </w:pPr>
            <w:r>
              <w:rPr>
                <w:rFonts w:ascii="宋体"/>
                <w:w w:val="95"/>
                <w:sz w:val="20"/>
              </w:rPr>
              <w:t>292,924.72</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right"/>
              <w:rPr>
                <w:rFonts w:ascii="宋体" w:hAnsi="宋体" w:cs="宋体" w:eastAsia="宋体" w:hint="default"/>
                <w:sz w:val="20"/>
                <w:szCs w:val="20"/>
              </w:rPr>
            </w:pPr>
            <w:r>
              <w:rPr>
                <w:rFonts w:ascii="宋体"/>
                <w:w w:val="95"/>
                <w:sz w:val="20"/>
              </w:rPr>
              <w:t>167,385.72</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3"/>
              <w:jc w:val="right"/>
              <w:rPr>
                <w:rFonts w:ascii="宋体" w:hAnsi="宋体" w:cs="宋体" w:eastAsia="宋体" w:hint="default"/>
                <w:sz w:val="20"/>
                <w:szCs w:val="20"/>
              </w:rPr>
            </w:pPr>
            <w:r>
              <w:rPr>
                <w:rFonts w:ascii="宋体"/>
                <w:w w:val="95"/>
                <w:sz w:val="20"/>
              </w:rPr>
              <w:t>125,539.00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8" w:space="0" w:color="000000"/>
              <w:right w:val="nil" w:sz="6" w:space="0" w:color="auto"/>
            </w:tcBorders>
          </w:tcPr>
          <w:p>
            <w:pPr/>
          </w:p>
        </w:tc>
      </w:tr>
      <w:tr>
        <w:trPr>
          <w:trHeight w:val="372"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29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461,851.00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single" w:sz="8" w:space="0" w:color="000000"/>
              <w:left w:val="nil" w:sz="6" w:space="0" w:color="auto"/>
              <w:bottom w:val="single" w:sz="17"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5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0"/>
              <w:jc w:val="right"/>
              <w:rPr>
                <w:rFonts w:ascii="宋体" w:hAnsi="宋体" w:cs="宋体" w:eastAsia="宋体" w:hint="default"/>
                <w:sz w:val="20"/>
                <w:szCs w:val="20"/>
              </w:rPr>
            </w:pPr>
            <w:r>
              <w:rPr>
                <w:rFonts w:ascii="宋体"/>
                <w:w w:val="95"/>
                <w:sz w:val="20"/>
              </w:rPr>
              <w:t>291,502.68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2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170,348.32</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single" w:sz="8" w:space="0" w:color="000000"/>
              <w:left w:val="nil" w:sz="6" w:space="0" w:color="auto"/>
              <w:bottom w:val="single" w:sz="17"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0"/>
          <w:szCs w:val="10"/>
        </w:rPr>
      </w:pPr>
    </w:p>
    <w:p>
      <w:pPr>
        <w:pStyle w:val="BodyText"/>
        <w:spacing w:line="336" w:lineRule="auto" w:before="26"/>
        <w:ind w:right="145" w:firstLine="480"/>
        <w:jc w:val="left"/>
      </w:pPr>
      <w:r>
        <w:rPr>
          <w:spacing w:val="2"/>
        </w:rPr>
        <w:t>本集团长期待摊费用全部于下一年度摊销完毕，故本年期末转入一年内到期的非流</w:t>
      </w:r>
      <w:r>
        <w:rPr/>
        <w:t> 动资产。</w:t>
      </w:r>
    </w:p>
    <w:p>
      <w:pPr>
        <w:spacing w:after="0" w:line="336" w:lineRule="auto"/>
        <w:jc w:val="left"/>
        <w:sectPr>
          <w:pgSz w:w="11910" w:h="16840"/>
          <w:pgMar w:header="840" w:footer="944" w:top="1160" w:bottom="1140" w:left="1240" w:right="1140"/>
        </w:sectPr>
      </w:pPr>
    </w:p>
    <w:p>
      <w:pPr>
        <w:spacing w:line="240" w:lineRule="auto" w:before="6"/>
        <w:rPr>
          <w:rFonts w:ascii="宋体" w:hAnsi="宋体" w:cs="宋体" w:eastAsia="宋体" w:hint="default"/>
          <w:sz w:val="24"/>
          <w:szCs w:val="24"/>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14</w:t>
      </w:r>
      <w:r>
        <w:rPr/>
        <w:t>、</w:t>
        <w:tab/>
        <w:t>递延所得税资产</w:t>
      </w:r>
      <w:r>
        <w:rPr>
          <w:b w:val="0"/>
          <w:bCs w:val="0"/>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28" w:type="dxa"/>
        <w:tblLayout w:type="fixed"/>
        <w:tblCellMar>
          <w:top w:w="0" w:type="dxa"/>
          <w:left w:w="0" w:type="dxa"/>
          <w:bottom w:w="0" w:type="dxa"/>
          <w:right w:w="0" w:type="dxa"/>
        </w:tblCellMar>
        <w:tblLook w:val="01E0"/>
      </w:tblPr>
      <w:tblGrid>
        <w:gridCol w:w="2184"/>
        <w:gridCol w:w="238"/>
        <w:gridCol w:w="1562"/>
        <w:gridCol w:w="230"/>
        <w:gridCol w:w="1596"/>
        <w:gridCol w:w="228"/>
        <w:gridCol w:w="1414"/>
        <w:gridCol w:w="255"/>
        <w:gridCol w:w="1490"/>
      </w:tblGrid>
      <w:tr>
        <w:trPr>
          <w:trHeight w:val="217" w:hRule="exact"/>
        </w:trPr>
        <w:tc>
          <w:tcPr>
            <w:tcW w:w="581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384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387"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3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218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5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0" w:type="dxa"/>
            <w:tcBorders>
              <w:top w:val="single" w:sz="8" w:space="0" w:color="000000"/>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8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8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 w:type="dxa"/>
            <w:tcBorders>
              <w:top w:val="single" w:sz="8" w:space="0" w:color="000000"/>
              <w:left w:val="nil" w:sz="6" w:space="0" w:color="auto"/>
              <w:bottom w:val="nil" w:sz="6" w:space="0" w:color="auto"/>
              <w:right w:val="nil" w:sz="6" w:space="0" w:color="auto"/>
            </w:tcBorders>
          </w:tcPr>
          <w:p>
            <w:pPr/>
          </w:p>
        </w:tc>
        <w:tc>
          <w:tcPr>
            <w:tcW w:w="149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24"/>
              <w:jc w:val="right"/>
              <w:rPr>
                <w:rFonts w:ascii="宋体" w:hAnsi="宋体" w:cs="宋体" w:eastAsia="宋体" w:hint="default"/>
                <w:sz w:val="18"/>
                <w:szCs w:val="18"/>
              </w:rPr>
            </w:pPr>
            <w:r>
              <w:rPr>
                <w:rFonts w:ascii="宋体" w:hAnsi="宋体" w:cs="宋体" w:eastAsia="宋体" w:hint="default"/>
                <w:sz w:val="18"/>
                <w:szCs w:val="18"/>
              </w:rPr>
              <w:t>可抵扣暂时性差异</w:t>
            </w:r>
          </w:p>
        </w:tc>
      </w:tr>
      <w:tr>
        <w:trPr>
          <w:trHeight w:val="393" w:hRule="exact"/>
        </w:trPr>
        <w:tc>
          <w:tcPr>
            <w:tcW w:w="218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20"/>
                <w:szCs w:val="20"/>
              </w:rPr>
            </w:pPr>
            <w:r>
              <w:rPr>
                <w:rFonts w:ascii="宋体"/>
                <w:w w:val="95"/>
                <w:sz w:val="20"/>
              </w:rPr>
              <w:t>742,426.91</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5,043,578.24</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490,757.33</w:t>
            </w:r>
          </w:p>
        </w:tc>
        <w:tc>
          <w:tcPr>
            <w:tcW w:w="255" w:type="dxa"/>
            <w:tcBorders>
              <w:top w:val="nil" w:sz="6" w:space="0" w:color="auto"/>
              <w:left w:val="nil" w:sz="6" w:space="0" w:color="auto"/>
              <w:bottom w:val="nil" w:sz="6" w:space="0" w:color="auto"/>
              <w:right w:val="nil" w:sz="6" w:space="0" w:color="auto"/>
            </w:tcBorders>
          </w:tcPr>
          <w:p>
            <w:pPr/>
          </w:p>
        </w:tc>
        <w:tc>
          <w:tcPr>
            <w:tcW w:w="149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3,014,673.15</w:t>
            </w:r>
          </w:p>
        </w:tc>
      </w:tr>
      <w:tr>
        <w:trPr>
          <w:trHeight w:val="33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宋体" w:hAnsi="宋体" w:cs="宋体" w:eastAsia="宋体" w:hint="default"/>
                <w:sz w:val="20"/>
                <w:szCs w:val="20"/>
              </w:rPr>
            </w:pPr>
            <w:r>
              <w:rPr>
                <w:rFonts w:ascii="宋体"/>
                <w:w w:val="95"/>
                <w:sz w:val="20"/>
              </w:rPr>
              <w:t>8,036.69</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宋体" w:hAnsi="宋体" w:cs="宋体" w:eastAsia="宋体" w:hint="default"/>
                <w:sz w:val="20"/>
                <w:szCs w:val="20"/>
              </w:rPr>
            </w:pPr>
            <w:r>
              <w:rPr>
                <w:rFonts w:ascii="宋体"/>
                <w:w w:val="95"/>
                <w:sz w:val="20"/>
              </w:rPr>
              <w:t>53,577.91</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pacing w:val="-1"/>
                <w:sz w:val="18"/>
              </w:rPr>
              <w:t>10,769.03</w:t>
            </w:r>
          </w:p>
        </w:tc>
        <w:tc>
          <w:tcPr>
            <w:tcW w:w="25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宋体" w:hAnsi="宋体" w:cs="宋体" w:eastAsia="宋体" w:hint="default"/>
                <w:sz w:val="18"/>
                <w:szCs w:val="18"/>
              </w:rPr>
            </w:pPr>
            <w:r>
              <w:rPr>
                <w:rFonts w:ascii="宋体"/>
                <w:spacing w:val="-1"/>
                <w:sz w:val="18"/>
              </w:rPr>
              <w:t>71,793.55</w:t>
            </w:r>
          </w:p>
        </w:tc>
      </w:tr>
      <w:tr>
        <w:trPr>
          <w:trHeight w:val="34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18"/>
                <w:szCs w:val="18"/>
              </w:rPr>
            </w:pPr>
            <w:r>
              <w:rPr>
                <w:rFonts w:ascii="宋体" w:hAnsi="宋体" w:cs="宋体" w:eastAsia="宋体" w:hint="default"/>
                <w:sz w:val="18"/>
                <w:szCs w:val="18"/>
              </w:rPr>
              <w:t>开办费及无形资产摊销</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宋体" w:hAnsi="宋体" w:cs="宋体" w:eastAsia="宋体" w:hint="default"/>
                <w:sz w:val="20"/>
                <w:szCs w:val="20"/>
              </w:rPr>
            </w:pPr>
            <w:r>
              <w:rPr>
                <w:rFonts w:ascii="宋体"/>
                <w:w w:val="95"/>
                <w:sz w:val="20"/>
              </w:rPr>
              <w:t>66,685.49</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宋体" w:hAnsi="宋体" w:cs="宋体" w:eastAsia="宋体" w:hint="default"/>
                <w:sz w:val="20"/>
                <w:szCs w:val="20"/>
              </w:rPr>
            </w:pPr>
            <w:r>
              <w:rPr>
                <w:rFonts w:ascii="宋体"/>
                <w:w w:val="95"/>
                <w:sz w:val="20"/>
              </w:rPr>
              <w:t>520,654.57</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pacing w:val="-1"/>
                <w:sz w:val="18"/>
              </w:rPr>
              <w:t>312,593.54</w:t>
            </w:r>
          </w:p>
        </w:tc>
        <w:tc>
          <w:tcPr>
            <w:tcW w:w="25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pacing w:val="-1"/>
                <w:sz w:val="18"/>
              </w:rPr>
              <w:t>2,589,922.73</w:t>
            </w:r>
          </w:p>
        </w:tc>
      </w:tr>
      <w:tr>
        <w:trPr>
          <w:trHeight w:val="30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18"/>
                <w:szCs w:val="18"/>
              </w:rPr>
            </w:pPr>
            <w:r>
              <w:rPr>
                <w:rFonts w:ascii="宋体" w:hAnsi="宋体" w:cs="宋体" w:eastAsia="宋体" w:hint="default"/>
                <w:sz w:val="18"/>
                <w:szCs w:val="18"/>
              </w:rPr>
              <w:t>已计提未发放的工资</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right"/>
              <w:rPr>
                <w:rFonts w:ascii="宋体" w:hAnsi="宋体" w:cs="宋体" w:eastAsia="宋体" w:hint="default"/>
                <w:sz w:val="20"/>
                <w:szCs w:val="20"/>
              </w:rPr>
            </w:pPr>
            <w:r>
              <w:rPr>
                <w:rFonts w:ascii="宋体"/>
                <w:w w:val="95"/>
                <w:sz w:val="20"/>
              </w:rPr>
              <w:t>26,615.09</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1"/>
              <w:jc w:val="right"/>
              <w:rPr>
                <w:rFonts w:ascii="宋体" w:hAnsi="宋体" w:cs="宋体" w:eastAsia="宋体" w:hint="default"/>
                <w:sz w:val="20"/>
                <w:szCs w:val="20"/>
              </w:rPr>
            </w:pPr>
            <w:r>
              <w:rPr>
                <w:rFonts w:ascii="宋体"/>
                <w:w w:val="95"/>
                <w:sz w:val="20"/>
              </w:rPr>
              <w:t>209,934.85</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pacing w:val="-1"/>
                <w:sz w:val="18"/>
              </w:rPr>
              <w:t>361,593.75</w:t>
            </w:r>
          </w:p>
        </w:tc>
        <w:tc>
          <w:tcPr>
            <w:tcW w:w="25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pacing w:val="-1"/>
                <w:sz w:val="18"/>
              </w:rPr>
              <w:t>2,410,625.03</w:t>
            </w:r>
          </w:p>
        </w:tc>
      </w:tr>
      <w:tr>
        <w:trPr>
          <w:trHeight w:val="374"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0"/>
              <w:jc w:val="right"/>
              <w:rPr>
                <w:rFonts w:ascii="宋体" w:hAnsi="宋体" w:cs="宋体" w:eastAsia="宋体" w:hint="default"/>
                <w:sz w:val="20"/>
                <w:szCs w:val="20"/>
              </w:rPr>
            </w:pPr>
            <w:r>
              <w:rPr>
                <w:rFonts w:ascii="宋体"/>
                <w:w w:val="95"/>
                <w:sz w:val="20"/>
              </w:rPr>
              <w:t>843,764.18</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5,827,745.57</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1,175,713.65</w:t>
            </w:r>
          </w:p>
        </w:tc>
        <w:tc>
          <w:tcPr>
            <w:tcW w:w="255" w:type="dxa"/>
            <w:tcBorders>
              <w:top w:val="nil" w:sz="6" w:space="0" w:color="auto"/>
              <w:left w:val="nil" w:sz="6" w:space="0" w:color="auto"/>
              <w:bottom w:val="nil" w:sz="6" w:space="0" w:color="auto"/>
              <w:right w:val="nil" w:sz="6" w:space="0" w:color="auto"/>
            </w:tcBorders>
          </w:tcPr>
          <w:p>
            <w:pPr/>
          </w:p>
        </w:tc>
        <w:tc>
          <w:tcPr>
            <w:tcW w:w="149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8,087,014.46</w:t>
            </w:r>
          </w:p>
        </w:tc>
      </w:tr>
    </w:tbl>
    <w:p>
      <w:pPr>
        <w:spacing w:line="240" w:lineRule="auto" w:before="16"/>
        <w:rPr>
          <w:rFonts w:ascii="Microsoft JhengHei" w:hAnsi="Microsoft JhengHei" w:cs="Microsoft JhengHei" w:eastAsia="Microsoft JhengHei" w:hint="default"/>
          <w:b/>
          <w:bCs/>
          <w:sz w:val="10"/>
          <w:szCs w:val="10"/>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15</w:t>
      </w:r>
      <w:r>
        <w:rPr/>
        <w:t>、</w:t>
        <w:tab/>
        <w:t>资产减值准备明细</w:t>
      </w:r>
      <w:r>
        <w:rPr>
          <w:b w:val="0"/>
          <w:bCs w:val="0"/>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28" w:type="dxa"/>
        <w:tblLayout w:type="fixed"/>
        <w:tblCellMar>
          <w:top w:w="0" w:type="dxa"/>
          <w:left w:w="0" w:type="dxa"/>
          <w:bottom w:w="0" w:type="dxa"/>
          <w:right w:w="0" w:type="dxa"/>
        </w:tblCellMar>
        <w:tblLook w:val="01E0"/>
      </w:tblPr>
      <w:tblGrid>
        <w:gridCol w:w="2184"/>
        <w:gridCol w:w="279"/>
        <w:gridCol w:w="1224"/>
        <w:gridCol w:w="228"/>
        <w:gridCol w:w="1220"/>
        <w:gridCol w:w="235"/>
        <w:gridCol w:w="888"/>
        <w:gridCol w:w="228"/>
        <w:gridCol w:w="1061"/>
        <w:gridCol w:w="228"/>
        <w:gridCol w:w="1438"/>
      </w:tblGrid>
      <w:tr>
        <w:trPr>
          <w:trHeight w:val="217" w:hRule="exact"/>
        </w:trPr>
        <w:tc>
          <w:tcPr>
            <w:tcW w:w="9213" w:type="dxa"/>
            <w:gridSpan w:val="11"/>
            <w:tcBorders>
              <w:top w:val="nil" w:sz="6" w:space="0" w:color="auto"/>
              <w:left w:val="nil" w:sz="6" w:space="0" w:color="auto"/>
              <w:bottom w:val="nil" w:sz="6" w:space="0" w:color="auto"/>
              <w:right w:val="nil" w:sz="6" w:space="0" w:color="auto"/>
            </w:tcBorders>
          </w:tcPr>
          <w:p>
            <w:pPr>
              <w:pStyle w:val="TableParagraph"/>
              <w:spacing w:line="180" w:lineRule="exact"/>
              <w:ind w:left="6096" w:right="0"/>
              <w:jc w:val="left"/>
              <w:rPr>
                <w:rFonts w:ascii="宋体" w:hAnsi="宋体" w:cs="宋体" w:eastAsia="宋体" w:hint="default"/>
                <w:sz w:val="18"/>
                <w:szCs w:val="18"/>
              </w:rPr>
            </w:pPr>
            <w:r>
              <w:rPr>
                <w:rFonts w:ascii="宋体" w:hAnsi="宋体" w:cs="宋体" w:eastAsia="宋体" w:hint="default"/>
                <w:sz w:val="18"/>
                <w:szCs w:val="18"/>
              </w:rPr>
              <w:t>本期减少</w:t>
            </w:r>
          </w:p>
        </w:tc>
      </w:tr>
      <w:tr>
        <w:trPr>
          <w:trHeight w:val="361" w:hRule="exact"/>
        </w:trPr>
        <w:tc>
          <w:tcPr>
            <w:tcW w:w="2184"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79"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3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28"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235" w:type="dxa"/>
            <w:tcBorders>
              <w:top w:val="nil" w:sz="6" w:space="0" w:color="auto"/>
              <w:left w:val="nil" w:sz="6" w:space="0" w:color="auto"/>
              <w:bottom w:val="nil" w:sz="6" w:space="0" w:color="auto"/>
              <w:right w:val="nil" w:sz="6" w:space="0" w:color="auto"/>
            </w:tcBorders>
          </w:tcPr>
          <w:p>
            <w:pP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left="172" w:right="0"/>
              <w:jc w:val="left"/>
              <w:rPr>
                <w:rFonts w:ascii="宋体" w:hAnsi="宋体" w:cs="宋体" w:eastAsia="宋体" w:hint="default"/>
                <w:sz w:val="18"/>
                <w:szCs w:val="18"/>
              </w:rPr>
            </w:pPr>
            <w:r>
              <w:rPr>
                <w:rFonts w:ascii="宋体" w:hAnsi="宋体" w:cs="宋体" w:eastAsia="宋体" w:hint="default"/>
                <w:sz w:val="18"/>
                <w:szCs w:val="18"/>
              </w:rPr>
              <w:t>转回数</w:t>
            </w:r>
          </w:p>
        </w:tc>
        <w:tc>
          <w:tcPr>
            <w:tcW w:w="228" w:type="dxa"/>
            <w:tcBorders>
              <w:top w:val="single" w:sz="8" w:space="0" w:color="000000"/>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left="263"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2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45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18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 w:type="dxa"/>
            <w:tcBorders>
              <w:top w:val="nil" w:sz="6" w:space="0" w:color="auto"/>
              <w:left w:val="nil" w:sz="6" w:space="0" w:color="auto"/>
              <w:bottom w:val="nil" w:sz="6" w:space="0" w:color="auto"/>
              <w:right w:val="nil" w:sz="6" w:space="0" w:color="auto"/>
            </w:tcBorders>
          </w:tcPr>
          <w:p>
            <w:pPr/>
          </w:p>
        </w:tc>
        <w:tc>
          <w:tcPr>
            <w:tcW w:w="122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3,014,673.15</w:t>
            </w:r>
          </w:p>
        </w:tc>
        <w:tc>
          <w:tcPr>
            <w:tcW w:w="228" w:type="dxa"/>
            <w:tcBorders>
              <w:top w:val="nil" w:sz="6" w:space="0" w:color="auto"/>
              <w:left w:val="nil" w:sz="6" w:space="0" w:color="auto"/>
              <w:bottom w:val="nil" w:sz="6" w:space="0" w:color="auto"/>
              <w:right w:val="nil" w:sz="6" w:space="0" w:color="auto"/>
            </w:tcBorders>
          </w:tcPr>
          <w:p>
            <w:pPr/>
          </w:p>
        </w:tc>
        <w:tc>
          <w:tcPr>
            <w:tcW w:w="122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75"/>
              <w:jc w:val="center"/>
              <w:rPr>
                <w:rFonts w:ascii="宋体" w:hAnsi="宋体" w:cs="宋体" w:eastAsia="宋体" w:hint="default"/>
                <w:sz w:val="18"/>
                <w:szCs w:val="18"/>
              </w:rPr>
            </w:pPr>
            <w:r>
              <w:rPr>
                <w:rFonts w:ascii="宋体"/>
                <w:sz w:val="18"/>
              </w:rPr>
              <w:t>2,035,981.94</w:t>
            </w:r>
          </w:p>
        </w:tc>
        <w:tc>
          <w:tcPr>
            <w:tcW w:w="235" w:type="dxa"/>
            <w:tcBorders>
              <w:top w:val="nil" w:sz="6" w:space="0" w:color="auto"/>
              <w:left w:val="nil" w:sz="6" w:space="0" w:color="auto"/>
              <w:bottom w:val="nil" w:sz="6" w:space="0" w:color="auto"/>
              <w:right w:val="nil" w:sz="6" w:space="0" w:color="auto"/>
            </w:tcBorders>
          </w:tcPr>
          <w:p>
            <w:pPr/>
          </w:p>
        </w:tc>
        <w:tc>
          <w:tcPr>
            <w:tcW w:w="888" w:type="dxa"/>
            <w:tcBorders>
              <w:top w:val="single" w:sz="8"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7,076.85</w:t>
            </w:r>
          </w:p>
        </w:tc>
        <w:tc>
          <w:tcPr>
            <w:tcW w:w="22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5,043,578.24</w:t>
            </w:r>
          </w:p>
        </w:tc>
      </w:tr>
      <w:tr>
        <w:trPr>
          <w:trHeight w:val="29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79"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84,273.55</w:t>
            </w:r>
          </w:p>
        </w:tc>
        <w:tc>
          <w:tcPr>
            <w:tcW w:w="228"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8"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30,695.64</w:t>
            </w:r>
          </w:p>
        </w:tc>
        <w:tc>
          <w:tcPr>
            <w:tcW w:w="2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53,577.91</w:t>
            </w:r>
          </w:p>
        </w:tc>
      </w:tr>
      <w:tr>
        <w:trPr>
          <w:trHeight w:val="374"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79" w:type="dxa"/>
            <w:tcBorders>
              <w:top w:val="nil" w:sz="6" w:space="0" w:color="auto"/>
              <w:left w:val="nil" w:sz="6" w:space="0" w:color="auto"/>
              <w:bottom w:val="nil" w:sz="6" w:space="0" w:color="auto"/>
              <w:right w:val="nil" w:sz="6" w:space="0" w:color="auto"/>
            </w:tcBorders>
          </w:tcPr>
          <w:p>
            <w:pPr/>
          </w:p>
        </w:tc>
        <w:tc>
          <w:tcPr>
            <w:tcW w:w="122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3,098,946.70</w:t>
            </w:r>
          </w:p>
        </w:tc>
        <w:tc>
          <w:tcPr>
            <w:tcW w:w="228" w:type="dxa"/>
            <w:tcBorders>
              <w:top w:val="nil" w:sz="6" w:space="0" w:color="auto"/>
              <w:left w:val="nil" w:sz="6" w:space="0" w:color="auto"/>
              <w:bottom w:val="nil" w:sz="6" w:space="0" w:color="auto"/>
              <w:right w:val="nil" w:sz="6" w:space="0" w:color="auto"/>
            </w:tcBorders>
          </w:tcPr>
          <w:p>
            <w:pPr/>
          </w:p>
        </w:tc>
        <w:tc>
          <w:tcPr>
            <w:tcW w:w="122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74"/>
              <w:jc w:val="center"/>
              <w:rPr>
                <w:rFonts w:ascii="宋体" w:hAnsi="宋体" w:cs="宋体" w:eastAsia="宋体" w:hint="default"/>
                <w:sz w:val="18"/>
                <w:szCs w:val="18"/>
              </w:rPr>
            </w:pPr>
            <w:r>
              <w:rPr>
                <w:rFonts w:ascii="宋体"/>
                <w:sz w:val="18"/>
              </w:rPr>
              <w:t>2,035,981.94</w:t>
            </w:r>
          </w:p>
        </w:tc>
        <w:tc>
          <w:tcPr>
            <w:tcW w:w="235" w:type="dxa"/>
            <w:tcBorders>
              <w:top w:val="nil" w:sz="6" w:space="0" w:color="auto"/>
              <w:left w:val="nil" w:sz="6" w:space="0" w:color="auto"/>
              <w:bottom w:val="nil" w:sz="6" w:space="0" w:color="auto"/>
              <w:right w:val="nil" w:sz="6" w:space="0" w:color="auto"/>
            </w:tcBorders>
          </w:tcPr>
          <w:p>
            <w:pPr/>
          </w:p>
        </w:tc>
        <w:tc>
          <w:tcPr>
            <w:tcW w:w="888" w:type="dxa"/>
            <w:tcBorders>
              <w:top w:val="single" w:sz="8"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37,772.49</w:t>
            </w:r>
          </w:p>
        </w:tc>
        <w:tc>
          <w:tcPr>
            <w:tcW w:w="22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5,097,156.15</w:t>
            </w:r>
          </w:p>
        </w:tc>
      </w:tr>
    </w:tbl>
    <w:p>
      <w:pPr>
        <w:spacing w:line="240" w:lineRule="auto" w:before="6"/>
        <w:rPr>
          <w:rFonts w:ascii="Microsoft JhengHei" w:hAnsi="Microsoft JhengHei" w:cs="Microsoft JhengHei" w:eastAsia="Microsoft JhengHei" w:hint="default"/>
          <w:b/>
          <w:bCs/>
          <w:sz w:val="19"/>
          <w:szCs w:val="19"/>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16</w:t>
      </w:r>
      <w:r>
        <w:rPr/>
        <w:t>、</w:t>
        <w:tab/>
        <w:t>短期借款</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28" w:type="dxa"/>
        <w:tblLayout w:type="fixed"/>
        <w:tblCellMar>
          <w:top w:w="0" w:type="dxa"/>
          <w:left w:w="0" w:type="dxa"/>
          <w:bottom w:w="0" w:type="dxa"/>
          <w:right w:w="0" w:type="dxa"/>
        </w:tblCellMar>
        <w:tblLook w:val="01E0"/>
      </w:tblPr>
      <w:tblGrid>
        <w:gridCol w:w="2549"/>
        <w:gridCol w:w="1644"/>
        <w:gridCol w:w="2302"/>
        <w:gridCol w:w="669"/>
        <w:gridCol w:w="1964"/>
      </w:tblGrid>
      <w:tr>
        <w:trPr>
          <w:trHeight w:val="251" w:hRule="exact"/>
        </w:trPr>
        <w:tc>
          <w:tcPr>
            <w:tcW w:w="2549" w:type="dxa"/>
            <w:tcBorders>
              <w:top w:val="nil" w:sz="6" w:space="0" w:color="auto"/>
              <w:left w:val="nil" w:sz="6" w:space="0" w:color="auto"/>
              <w:bottom w:val="single" w:sz="8" w:space="0" w:color="000000"/>
              <w:right w:val="nil" w:sz="6" w:space="0" w:color="auto"/>
            </w:tcBorders>
          </w:tcPr>
          <w:p>
            <w:pPr>
              <w:pStyle w:val="TableParagraph"/>
              <w:spacing w:line="211" w:lineRule="exact"/>
              <w:ind w:right="1008"/>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64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8" w:space="0" w:color="000000"/>
              <w:right w:val="nil" w:sz="6" w:space="0" w:color="auto"/>
            </w:tcBorders>
          </w:tcPr>
          <w:p>
            <w:pPr>
              <w:pStyle w:val="TableParagraph"/>
              <w:spacing w:line="211" w:lineRule="exact"/>
              <w:ind w:left="83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669"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254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644" w:type="dxa"/>
            <w:tcBorders>
              <w:top w:val="nil" w:sz="6" w:space="0" w:color="auto"/>
              <w:left w:val="nil" w:sz="6" w:space="0" w:color="auto"/>
              <w:bottom w:val="nil" w:sz="6" w:space="0" w:color="auto"/>
              <w:right w:val="nil" w:sz="6" w:space="0" w:color="auto"/>
            </w:tcBorders>
          </w:tcPr>
          <w:p>
            <w:pPr/>
          </w:p>
        </w:tc>
        <w:tc>
          <w:tcPr>
            <w:tcW w:w="230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828" w:right="0"/>
              <w:jc w:val="left"/>
              <w:rPr>
                <w:rFonts w:ascii="宋体" w:hAnsi="宋体" w:cs="宋体" w:eastAsia="宋体" w:hint="default"/>
                <w:sz w:val="21"/>
                <w:szCs w:val="21"/>
              </w:rPr>
            </w:pPr>
            <w:r>
              <w:rPr>
                <w:rFonts w:ascii="宋体"/>
                <w:spacing w:val="-1"/>
                <w:sz w:val="21"/>
              </w:rPr>
              <w:t>100,000,000.00</w:t>
            </w:r>
          </w:p>
        </w:tc>
        <w:tc>
          <w:tcPr>
            <w:tcW w:w="669" w:type="dxa"/>
            <w:tcBorders>
              <w:top w:val="nil" w:sz="6" w:space="0" w:color="auto"/>
              <w:left w:val="nil" w:sz="6" w:space="0" w:color="auto"/>
              <w:bottom w:val="nil" w:sz="6" w:space="0" w:color="auto"/>
              <w:right w:val="nil" w:sz="6" w:space="0" w:color="auto"/>
            </w:tcBorders>
          </w:tcPr>
          <w:p>
            <w:pPr/>
          </w:p>
        </w:tc>
        <w:tc>
          <w:tcPr>
            <w:tcW w:w="196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120,000,000.00</w:t>
            </w:r>
          </w:p>
        </w:tc>
      </w:tr>
      <w:tr>
        <w:trPr>
          <w:trHeight w:val="374"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8"/>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44" w:type="dxa"/>
            <w:tcBorders>
              <w:top w:val="nil" w:sz="6" w:space="0" w:color="auto"/>
              <w:left w:val="nil" w:sz="6" w:space="0" w:color="auto"/>
              <w:bottom w:val="nil" w:sz="6" w:space="0" w:color="auto"/>
              <w:right w:val="nil" w:sz="6" w:space="0" w:color="auto"/>
            </w:tcBorders>
          </w:tcPr>
          <w:p>
            <w:pPr/>
          </w:p>
        </w:tc>
        <w:tc>
          <w:tcPr>
            <w:tcW w:w="230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828" w:right="0"/>
              <w:jc w:val="left"/>
              <w:rPr>
                <w:rFonts w:ascii="宋体" w:hAnsi="宋体" w:cs="宋体" w:eastAsia="宋体" w:hint="default"/>
                <w:sz w:val="21"/>
                <w:szCs w:val="21"/>
              </w:rPr>
            </w:pPr>
            <w:r>
              <w:rPr>
                <w:rFonts w:ascii="宋体"/>
                <w:spacing w:val="-1"/>
                <w:sz w:val="21"/>
              </w:rPr>
              <w:t>100,000,000.00</w:t>
            </w:r>
          </w:p>
        </w:tc>
        <w:tc>
          <w:tcPr>
            <w:tcW w:w="669" w:type="dxa"/>
            <w:tcBorders>
              <w:top w:val="nil" w:sz="6" w:space="0" w:color="auto"/>
              <w:left w:val="nil" w:sz="6" w:space="0" w:color="auto"/>
              <w:bottom w:val="nil" w:sz="6" w:space="0" w:color="auto"/>
              <w:right w:val="nil" w:sz="6" w:space="0" w:color="auto"/>
            </w:tcBorders>
          </w:tcPr>
          <w:p>
            <w:pPr/>
          </w:p>
        </w:tc>
        <w:tc>
          <w:tcPr>
            <w:tcW w:w="196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120,000,000.00</w:t>
            </w:r>
          </w:p>
        </w:tc>
      </w:tr>
    </w:tbl>
    <w:p>
      <w:pPr>
        <w:spacing w:line="240" w:lineRule="auto" w:before="7"/>
        <w:rPr>
          <w:rFonts w:ascii="Microsoft JhengHei" w:hAnsi="Microsoft JhengHei" w:cs="Microsoft JhengHei" w:eastAsia="Microsoft JhengHei" w:hint="default"/>
          <w:b/>
          <w:bCs/>
          <w:sz w:val="19"/>
          <w:szCs w:val="19"/>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17</w:t>
      </w:r>
      <w:r>
        <w:rPr/>
        <w:t>、</w:t>
        <w:tab/>
        <w:t>应付票据</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28" w:type="dxa"/>
        <w:tblLayout w:type="fixed"/>
        <w:tblCellMar>
          <w:top w:w="0" w:type="dxa"/>
          <w:left w:w="0" w:type="dxa"/>
          <w:bottom w:w="0" w:type="dxa"/>
          <w:right w:w="0" w:type="dxa"/>
        </w:tblCellMar>
        <w:tblLook w:val="01E0"/>
      </w:tblPr>
      <w:tblGrid>
        <w:gridCol w:w="2576"/>
        <w:gridCol w:w="1618"/>
        <w:gridCol w:w="2261"/>
        <w:gridCol w:w="681"/>
        <w:gridCol w:w="1978"/>
      </w:tblGrid>
      <w:tr>
        <w:trPr>
          <w:trHeight w:val="251" w:hRule="exact"/>
        </w:trPr>
        <w:tc>
          <w:tcPr>
            <w:tcW w:w="2576" w:type="dxa"/>
            <w:tcBorders>
              <w:top w:val="nil" w:sz="6" w:space="0" w:color="auto"/>
              <w:left w:val="nil" w:sz="6" w:space="0" w:color="auto"/>
              <w:bottom w:val="single" w:sz="8" w:space="0" w:color="000000"/>
              <w:right w:val="nil" w:sz="6" w:space="0" w:color="auto"/>
            </w:tcBorders>
          </w:tcPr>
          <w:p>
            <w:pPr>
              <w:pStyle w:val="TableParagraph"/>
              <w:spacing w:line="211" w:lineRule="exact"/>
              <w:ind w:right="1020"/>
              <w:jc w:val="right"/>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spacing w:val="2"/>
                <w:sz w:val="21"/>
                <w:szCs w:val="21"/>
              </w:rPr>
              <w:t> </w:t>
            </w:r>
            <w:r>
              <w:rPr>
                <w:rFonts w:ascii="宋体" w:hAnsi="宋体" w:cs="宋体" w:eastAsia="宋体" w:hint="default"/>
                <w:sz w:val="21"/>
                <w:szCs w:val="21"/>
              </w:rPr>
              <w:t>类</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681"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84" w:hRule="exact"/>
        </w:trPr>
        <w:tc>
          <w:tcPr>
            <w:tcW w:w="257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56,712,529.91</w:t>
            </w:r>
          </w:p>
        </w:tc>
        <w:tc>
          <w:tcPr>
            <w:tcW w:w="681" w:type="dxa"/>
            <w:tcBorders>
              <w:top w:val="nil" w:sz="6" w:space="0" w:color="auto"/>
              <w:left w:val="nil" w:sz="6" w:space="0" w:color="auto"/>
              <w:bottom w:val="nil" w:sz="6" w:space="0" w:color="auto"/>
              <w:right w:val="nil" w:sz="6" w:space="0" w:color="auto"/>
            </w:tcBorders>
          </w:tcPr>
          <w:p>
            <w:pPr/>
          </w:p>
        </w:tc>
        <w:tc>
          <w:tcPr>
            <w:tcW w:w="197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61,551,998.32</w:t>
            </w:r>
          </w:p>
        </w:tc>
      </w:tr>
      <w:tr>
        <w:trPr>
          <w:trHeight w:val="317"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8" w:space="0" w:color="000000"/>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8" w:space="0" w:color="000000"/>
              <w:right w:val="nil" w:sz="6" w:space="0" w:color="auto"/>
            </w:tcBorders>
          </w:tcPr>
          <w:p>
            <w:pPr/>
          </w:p>
        </w:tc>
      </w:tr>
      <w:tr>
        <w:trPr>
          <w:trHeight w:val="372"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20"/>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56,712,529.91</w:t>
            </w:r>
          </w:p>
        </w:tc>
        <w:tc>
          <w:tcPr>
            <w:tcW w:w="681" w:type="dxa"/>
            <w:tcBorders>
              <w:top w:val="nil" w:sz="6" w:space="0" w:color="auto"/>
              <w:left w:val="nil" w:sz="6" w:space="0" w:color="auto"/>
              <w:bottom w:val="nil" w:sz="6" w:space="0" w:color="auto"/>
              <w:right w:val="nil" w:sz="6" w:space="0" w:color="auto"/>
            </w:tcBorders>
          </w:tcPr>
          <w:p>
            <w:pPr/>
          </w:p>
        </w:tc>
        <w:tc>
          <w:tcPr>
            <w:tcW w:w="197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61,551,998.32</w:t>
            </w:r>
          </w:p>
        </w:tc>
      </w:tr>
    </w:tbl>
    <w:p>
      <w:pPr>
        <w:spacing w:line="240" w:lineRule="auto" w:before="3"/>
        <w:rPr>
          <w:rFonts w:ascii="Microsoft JhengHei" w:hAnsi="Microsoft JhengHei" w:cs="Microsoft JhengHei" w:eastAsia="Microsoft JhengHei" w:hint="default"/>
          <w:b/>
          <w:bCs/>
          <w:sz w:val="9"/>
          <w:szCs w:val="9"/>
        </w:rPr>
      </w:pPr>
    </w:p>
    <w:p>
      <w:pPr>
        <w:tabs>
          <w:tab w:pos="1402" w:val="left" w:leader="none"/>
        </w:tabs>
        <w:spacing w:line="494" w:lineRule="auto" w:before="26"/>
        <w:ind w:left="622" w:right="362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下一会计期间将到期的金额为</w:t>
      </w:r>
      <w:r>
        <w:rPr>
          <w:rFonts w:ascii="宋体" w:hAnsi="宋体" w:cs="宋体" w:eastAsia="宋体" w:hint="default"/>
          <w:spacing w:val="-60"/>
          <w:sz w:val="24"/>
          <w:szCs w:val="24"/>
        </w:rPr>
        <w:t> </w:t>
      </w:r>
      <w:r>
        <w:rPr>
          <w:rFonts w:ascii="宋体" w:hAnsi="宋体" w:cs="宋体" w:eastAsia="宋体" w:hint="default"/>
          <w:sz w:val="24"/>
          <w:szCs w:val="24"/>
        </w:rPr>
        <w:t>56,712,529.91</w:t>
      </w:r>
      <w:r>
        <w:rPr>
          <w:rFonts w:ascii="宋体" w:hAnsi="宋体" w:cs="宋体" w:eastAsia="宋体" w:hint="default"/>
          <w:spacing w:val="-60"/>
          <w:sz w:val="24"/>
          <w:szCs w:val="24"/>
        </w:rPr>
        <w:t> </w:t>
      </w:r>
      <w:r>
        <w:rPr>
          <w:rFonts w:ascii="宋体" w:hAnsi="宋体" w:cs="宋体" w:eastAsia="宋体" w:hint="default"/>
          <w:sz w:val="24"/>
          <w:szCs w:val="24"/>
        </w:rPr>
        <w:t>元。 </w:t>
      </w:r>
      <w:r>
        <w:rPr>
          <w:rFonts w:ascii="Times New Roman" w:hAnsi="Times New Roman" w:cs="Times New Roman" w:eastAsia="Times New Roman" w:hint="default"/>
          <w:b/>
          <w:bCs/>
          <w:sz w:val="24"/>
          <w:szCs w:val="24"/>
        </w:rPr>
        <w:t>18</w:t>
      </w:r>
      <w:r>
        <w:rPr>
          <w:rFonts w:ascii="Microsoft JhengHei" w:hAnsi="Microsoft JhengHei" w:cs="Microsoft JhengHei" w:eastAsia="Microsoft JhengHei" w:hint="default"/>
          <w:b/>
          <w:bCs/>
          <w:sz w:val="24"/>
          <w:szCs w:val="24"/>
        </w:rPr>
        <w:t>、</w:t>
        <w:tab/>
        <w:t>应付账款</w:t>
      </w:r>
      <w:r>
        <w:rPr>
          <w:rFonts w:ascii="Microsoft JhengHei" w:hAnsi="Microsoft JhengHei" w:cs="Microsoft JhengHei" w:eastAsia="Microsoft JhengHei" w:hint="default"/>
          <w:sz w:val="24"/>
          <w:szCs w:val="24"/>
        </w:rPr>
      </w:r>
    </w:p>
    <w:p>
      <w:pPr>
        <w:pStyle w:val="BodyText"/>
        <w:tabs>
          <w:tab w:pos="1102" w:val="left" w:leader="none"/>
        </w:tabs>
        <w:spacing w:line="240" w:lineRule="auto" w:before="17"/>
        <w:ind w:left="622" w:right="4564"/>
        <w:jc w:val="left"/>
      </w:pPr>
      <w:r>
        <w:rPr/>
        <w:t>⑴</w:t>
        <w:tab/>
        <w:t>应付账款明细情况</w:t>
      </w:r>
    </w:p>
    <w:p>
      <w:pPr>
        <w:spacing w:line="240" w:lineRule="auto" w:before="4"/>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604"/>
        <w:gridCol w:w="1575"/>
        <w:gridCol w:w="2122"/>
        <w:gridCol w:w="765"/>
        <w:gridCol w:w="1921"/>
      </w:tblGrid>
      <w:tr>
        <w:trPr>
          <w:trHeight w:val="287" w:hRule="exact"/>
        </w:trPr>
        <w:tc>
          <w:tcPr>
            <w:tcW w:w="2604" w:type="dxa"/>
            <w:tcBorders>
              <w:top w:val="nil" w:sz="6" w:space="0" w:color="auto"/>
              <w:left w:val="nil" w:sz="6" w:space="0" w:color="auto"/>
              <w:bottom w:val="single" w:sz="8" w:space="0" w:color="000000"/>
              <w:right w:val="nil" w:sz="6" w:space="0" w:color="auto"/>
            </w:tcBorders>
          </w:tcPr>
          <w:p>
            <w:pPr>
              <w:pStyle w:val="TableParagraph"/>
              <w:spacing w:line="211" w:lineRule="exact"/>
              <w:ind w:right="1035"/>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575"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8" w:space="0" w:color="000000"/>
              <w:right w:val="nil" w:sz="6" w:space="0" w:color="auto"/>
            </w:tcBorders>
          </w:tcPr>
          <w:p>
            <w:pPr>
              <w:pStyle w:val="TableParagraph"/>
              <w:spacing w:line="211" w:lineRule="exact"/>
              <w:ind w:left="74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765"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8"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2604"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应付购货款</w:t>
            </w:r>
          </w:p>
        </w:tc>
        <w:tc>
          <w:tcPr>
            <w:tcW w:w="1575" w:type="dxa"/>
            <w:tcBorders>
              <w:top w:val="nil" w:sz="6" w:space="0" w:color="auto"/>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753" w:right="0"/>
              <w:jc w:val="left"/>
              <w:rPr>
                <w:rFonts w:ascii="宋体" w:hAnsi="宋体" w:cs="宋体" w:eastAsia="宋体" w:hint="default"/>
                <w:sz w:val="21"/>
                <w:szCs w:val="21"/>
              </w:rPr>
            </w:pPr>
            <w:r>
              <w:rPr>
                <w:rFonts w:ascii="宋体"/>
                <w:spacing w:val="-1"/>
                <w:sz w:val="21"/>
              </w:rPr>
              <w:t>91,178,002.45</w:t>
            </w:r>
          </w:p>
        </w:tc>
        <w:tc>
          <w:tcPr>
            <w:tcW w:w="765" w:type="dxa"/>
            <w:tcBorders>
              <w:top w:val="nil" w:sz="6" w:space="0" w:color="auto"/>
              <w:left w:val="nil" w:sz="6" w:space="0" w:color="auto"/>
              <w:bottom w:val="nil" w:sz="6" w:space="0" w:color="auto"/>
              <w:right w:val="nil" w:sz="6" w:space="0" w:color="auto"/>
            </w:tcBorders>
          </w:tcPr>
          <w:p>
            <w:pPr/>
          </w:p>
        </w:tc>
        <w:tc>
          <w:tcPr>
            <w:tcW w:w="1921"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72,578,125.09</w:t>
            </w:r>
          </w:p>
        </w:tc>
      </w:tr>
      <w:tr>
        <w:trPr>
          <w:trHeight w:val="374"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5"/>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575" w:type="dxa"/>
            <w:tcBorders>
              <w:top w:val="nil" w:sz="6" w:space="0" w:color="auto"/>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single" w:sz="17" w:space="0" w:color="000000"/>
              <w:right w:val="nil" w:sz="6" w:space="0" w:color="auto"/>
            </w:tcBorders>
          </w:tcPr>
          <w:p>
            <w:pPr>
              <w:pStyle w:val="TableParagraph"/>
              <w:spacing w:line="274" w:lineRule="exact"/>
              <w:ind w:left="753" w:right="0"/>
              <w:jc w:val="left"/>
              <w:rPr>
                <w:rFonts w:ascii="宋体" w:hAnsi="宋体" w:cs="宋体" w:eastAsia="宋体" w:hint="default"/>
                <w:sz w:val="21"/>
                <w:szCs w:val="21"/>
              </w:rPr>
            </w:pPr>
            <w:r>
              <w:rPr>
                <w:rFonts w:ascii="宋体"/>
                <w:spacing w:val="-1"/>
                <w:sz w:val="21"/>
              </w:rPr>
              <w:t>91,178,002.45</w:t>
            </w:r>
          </w:p>
        </w:tc>
        <w:tc>
          <w:tcPr>
            <w:tcW w:w="765" w:type="dxa"/>
            <w:tcBorders>
              <w:top w:val="nil" w:sz="6" w:space="0" w:color="auto"/>
              <w:left w:val="nil" w:sz="6" w:space="0" w:color="auto"/>
              <w:bottom w:val="nil" w:sz="6" w:space="0" w:color="auto"/>
              <w:right w:val="nil" w:sz="6" w:space="0" w:color="auto"/>
            </w:tcBorders>
          </w:tcPr>
          <w:p>
            <w:pPr/>
          </w:p>
        </w:tc>
        <w:tc>
          <w:tcPr>
            <w:tcW w:w="1921"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72,578,125.09</w:t>
            </w:r>
          </w:p>
        </w:tc>
      </w:tr>
    </w:tbl>
    <w:p>
      <w:pPr>
        <w:spacing w:line="240" w:lineRule="auto" w:before="2"/>
        <w:rPr>
          <w:rFonts w:ascii="宋体" w:hAnsi="宋体" w:cs="宋体" w:eastAsia="宋体" w:hint="default"/>
          <w:sz w:val="23"/>
          <w:szCs w:val="23"/>
        </w:rPr>
      </w:pPr>
    </w:p>
    <w:p>
      <w:pPr>
        <w:pStyle w:val="BodyText"/>
        <w:tabs>
          <w:tab w:pos="1102" w:val="left" w:leader="none"/>
        </w:tabs>
        <w:spacing w:line="304" w:lineRule="auto" w:before="26"/>
        <w:ind w:right="145" w:firstLine="448"/>
        <w:jc w:val="left"/>
      </w:pPr>
      <w:r>
        <w:rPr/>
        <w:t>⑵</w:t>
        <w:tab/>
        <w:t>应付账款中无应付持有公司</w:t>
      </w:r>
      <w:r>
        <w:rPr>
          <w:spacing w:val="-63"/>
        </w:rPr>
        <w:t> </w:t>
      </w:r>
      <w:r>
        <w:rPr>
          <w:rFonts w:ascii="宋体" w:hAnsi="宋体" w:cs="宋体" w:eastAsia="宋体" w:hint="default"/>
        </w:rPr>
        <w:t>5%</w:t>
      </w:r>
      <w:r>
        <w:rPr/>
        <w:t>（含</w:t>
      </w:r>
      <w:r>
        <w:rPr>
          <w:spacing w:val="-63"/>
        </w:rPr>
        <w:t> </w:t>
      </w:r>
      <w:r>
        <w:rPr>
          <w:rFonts w:ascii="宋体" w:hAnsi="宋体" w:cs="宋体" w:eastAsia="宋体" w:hint="default"/>
        </w:rPr>
        <w:t>5%</w:t>
      </w:r>
      <w:r>
        <w:rPr/>
        <w:t>）以上表决权股份的股东单位或关联方的 款项。</w:t>
      </w:r>
    </w:p>
    <w:p>
      <w:pPr>
        <w:spacing w:after="0" w:line="304" w:lineRule="auto"/>
        <w:jc w:val="left"/>
        <w:sectPr>
          <w:pgSz w:w="11910" w:h="16840"/>
          <w:pgMar w:header="840" w:footer="944" w:top="1160" w:bottom="1140" w:left="1240" w:right="1140"/>
        </w:sectPr>
      </w:pPr>
    </w:p>
    <w:p>
      <w:pPr>
        <w:spacing w:line="240" w:lineRule="auto" w:before="6"/>
        <w:rPr>
          <w:rFonts w:ascii="宋体" w:hAnsi="宋体" w:cs="宋体" w:eastAsia="宋体" w:hint="default"/>
          <w:sz w:val="24"/>
          <w:szCs w:val="24"/>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19</w:t>
      </w:r>
      <w:r>
        <w:rPr/>
        <w:t>、</w:t>
        <w:tab/>
        <w:t>预收款项</w:t>
      </w:r>
      <w:r>
        <w:rPr>
          <w:b w:val="0"/>
          <w:bCs w:val="0"/>
        </w:rPr>
      </w:r>
    </w:p>
    <w:p>
      <w:pPr>
        <w:pStyle w:val="BodyText"/>
        <w:tabs>
          <w:tab w:pos="1102" w:val="left" w:leader="none"/>
        </w:tabs>
        <w:spacing w:line="240" w:lineRule="auto" w:before="210"/>
        <w:ind w:left="622" w:right="4564"/>
        <w:jc w:val="left"/>
      </w:pPr>
      <w:r>
        <w:rPr/>
        <w:t>⑴</w:t>
        <w:tab/>
        <w:t>预收款项明细情况</w:t>
      </w:r>
    </w:p>
    <w:p>
      <w:pPr>
        <w:spacing w:line="240" w:lineRule="auto" w:before="1"/>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2619"/>
        <w:gridCol w:w="1716"/>
        <w:gridCol w:w="2050"/>
        <w:gridCol w:w="741"/>
        <w:gridCol w:w="2017"/>
      </w:tblGrid>
      <w:tr>
        <w:trPr>
          <w:trHeight w:val="251" w:hRule="exact"/>
        </w:trPr>
        <w:tc>
          <w:tcPr>
            <w:tcW w:w="2619" w:type="dxa"/>
            <w:tcBorders>
              <w:top w:val="nil" w:sz="6" w:space="0" w:color="auto"/>
              <w:left w:val="nil" w:sz="6" w:space="0" w:color="auto"/>
              <w:bottom w:val="single" w:sz="8" w:space="0" w:color="000000"/>
              <w:right w:val="nil" w:sz="6" w:space="0" w:color="auto"/>
            </w:tcBorders>
          </w:tcPr>
          <w:p>
            <w:pPr>
              <w:pStyle w:val="TableParagraph"/>
              <w:spacing w:line="211" w:lineRule="exact"/>
              <w:ind w:right="1042"/>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7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11" w:lineRule="exact"/>
              <w:ind w:left="71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741"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single" w:sz="8" w:space="0" w:color="000000"/>
              <w:right w:val="nil" w:sz="6" w:space="0" w:color="auto"/>
            </w:tcBorders>
          </w:tcPr>
          <w:p>
            <w:pPr>
              <w:pStyle w:val="TableParagraph"/>
              <w:spacing w:line="211" w:lineRule="exact"/>
              <w:ind w:left="69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261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17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82" w:right="0"/>
              <w:jc w:val="left"/>
              <w:rPr>
                <w:rFonts w:ascii="宋体" w:hAnsi="宋体" w:cs="宋体" w:eastAsia="宋体" w:hint="default"/>
                <w:sz w:val="21"/>
                <w:szCs w:val="21"/>
              </w:rPr>
            </w:pPr>
            <w:r>
              <w:rPr>
                <w:rFonts w:ascii="宋体"/>
                <w:spacing w:val="-1"/>
                <w:sz w:val="21"/>
              </w:rPr>
              <w:t>13,489,623.02</w:t>
            </w:r>
          </w:p>
        </w:tc>
        <w:tc>
          <w:tcPr>
            <w:tcW w:w="741" w:type="dxa"/>
            <w:tcBorders>
              <w:top w:val="nil" w:sz="6" w:space="0" w:color="auto"/>
              <w:left w:val="nil" w:sz="6" w:space="0" w:color="auto"/>
              <w:bottom w:val="nil" w:sz="6" w:space="0" w:color="auto"/>
              <w:right w:val="nil" w:sz="6" w:space="0" w:color="auto"/>
            </w:tcBorders>
          </w:tcPr>
          <w:p>
            <w:pP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48" w:right="0"/>
              <w:jc w:val="left"/>
              <w:rPr>
                <w:rFonts w:ascii="宋体" w:hAnsi="宋体" w:cs="宋体" w:eastAsia="宋体" w:hint="default"/>
                <w:sz w:val="21"/>
                <w:szCs w:val="21"/>
              </w:rPr>
            </w:pPr>
            <w:r>
              <w:rPr>
                <w:rFonts w:ascii="宋体"/>
                <w:spacing w:val="-1"/>
                <w:sz w:val="21"/>
              </w:rPr>
              <w:t>30,525,146.03</w:t>
            </w:r>
          </w:p>
        </w:tc>
      </w:tr>
      <w:tr>
        <w:trPr>
          <w:trHeight w:val="374"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2"/>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682" w:right="0"/>
              <w:jc w:val="left"/>
              <w:rPr>
                <w:rFonts w:ascii="宋体" w:hAnsi="宋体" w:cs="宋体" w:eastAsia="宋体" w:hint="default"/>
                <w:sz w:val="21"/>
                <w:szCs w:val="21"/>
              </w:rPr>
            </w:pPr>
            <w:r>
              <w:rPr>
                <w:rFonts w:ascii="宋体"/>
                <w:spacing w:val="-1"/>
                <w:sz w:val="21"/>
              </w:rPr>
              <w:t>13,489,623.02</w:t>
            </w:r>
          </w:p>
        </w:tc>
        <w:tc>
          <w:tcPr>
            <w:tcW w:w="741" w:type="dxa"/>
            <w:tcBorders>
              <w:top w:val="nil" w:sz="6" w:space="0" w:color="auto"/>
              <w:left w:val="nil" w:sz="6" w:space="0" w:color="auto"/>
              <w:bottom w:val="nil" w:sz="6" w:space="0" w:color="auto"/>
              <w:right w:val="nil" w:sz="6" w:space="0" w:color="auto"/>
            </w:tcBorders>
          </w:tcPr>
          <w:p>
            <w:pPr/>
          </w:p>
        </w:tc>
        <w:tc>
          <w:tcPr>
            <w:tcW w:w="2017"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648" w:right="0"/>
              <w:jc w:val="left"/>
              <w:rPr>
                <w:rFonts w:ascii="宋体" w:hAnsi="宋体" w:cs="宋体" w:eastAsia="宋体" w:hint="default"/>
                <w:sz w:val="21"/>
                <w:szCs w:val="21"/>
              </w:rPr>
            </w:pPr>
            <w:r>
              <w:rPr>
                <w:rFonts w:ascii="宋体"/>
                <w:spacing w:val="-1"/>
                <w:sz w:val="21"/>
              </w:rPr>
              <w:t>30,525,146.03</w:t>
            </w:r>
          </w:p>
        </w:tc>
      </w:tr>
    </w:tbl>
    <w:p>
      <w:pPr>
        <w:spacing w:line="240" w:lineRule="auto" w:before="2"/>
        <w:rPr>
          <w:rFonts w:ascii="宋体" w:hAnsi="宋体" w:cs="宋体" w:eastAsia="宋体" w:hint="default"/>
          <w:sz w:val="23"/>
          <w:szCs w:val="23"/>
        </w:rPr>
      </w:pPr>
    </w:p>
    <w:p>
      <w:pPr>
        <w:pStyle w:val="BodyText"/>
        <w:tabs>
          <w:tab w:pos="1102" w:val="left" w:leader="none"/>
        </w:tabs>
        <w:spacing w:line="304" w:lineRule="auto" w:before="26"/>
        <w:ind w:right="145" w:firstLine="463"/>
        <w:jc w:val="left"/>
      </w:pPr>
      <w:r>
        <w:rPr/>
        <w:t>⑵</w:t>
        <w:tab/>
        <w:t>报告期预收款项中无预收持有公司</w:t>
      </w:r>
      <w:r>
        <w:rPr>
          <w:spacing w:val="-63"/>
        </w:rPr>
        <w:t> </w:t>
      </w:r>
      <w:r>
        <w:rPr>
          <w:rFonts w:ascii="宋体" w:hAnsi="宋体" w:cs="宋体" w:eastAsia="宋体" w:hint="default"/>
        </w:rPr>
        <w:t>5%</w:t>
      </w:r>
      <w:r>
        <w:rPr/>
        <w:t>（含</w:t>
      </w:r>
      <w:r>
        <w:rPr>
          <w:spacing w:val="-63"/>
        </w:rPr>
        <w:t> </w:t>
      </w:r>
      <w:r>
        <w:rPr>
          <w:rFonts w:ascii="宋体" w:hAnsi="宋体" w:cs="宋体" w:eastAsia="宋体" w:hint="default"/>
        </w:rPr>
        <w:t>5%</w:t>
      </w:r>
      <w:r>
        <w:rPr/>
        <w:t>）以上表决权股份的股东单位或关 联方的款项。</w:t>
      </w:r>
    </w:p>
    <w:p>
      <w:pPr>
        <w:spacing w:line="240" w:lineRule="auto" w:before="8"/>
        <w:rPr>
          <w:rFonts w:ascii="宋体" w:hAnsi="宋体" w:cs="宋体" w:eastAsia="宋体" w:hint="default"/>
          <w:sz w:val="20"/>
          <w:szCs w:val="20"/>
        </w:rPr>
      </w:pPr>
    </w:p>
    <w:p>
      <w:pPr>
        <w:pStyle w:val="Heading2"/>
        <w:tabs>
          <w:tab w:pos="1402" w:val="left" w:leader="none"/>
        </w:tabs>
        <w:spacing w:line="240" w:lineRule="auto"/>
        <w:ind w:left="622" w:right="4564"/>
        <w:jc w:val="left"/>
        <w:rPr>
          <w:b w:val="0"/>
          <w:bCs w:val="0"/>
        </w:rPr>
      </w:pPr>
      <w:r>
        <w:rPr>
          <w:rFonts w:ascii="Times New Roman" w:hAnsi="Times New Roman" w:cs="Times New Roman" w:eastAsia="Times New Roman" w:hint="default"/>
        </w:rPr>
        <w:t>20</w:t>
      </w:r>
      <w:r>
        <w:rPr/>
        <w:t>、</w:t>
        <w:tab/>
        <w:t>应付职工薪酬</w:t>
      </w:r>
      <w:r>
        <w:rPr>
          <w:b w:val="0"/>
          <w:bCs w:val="0"/>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178" w:type="dxa"/>
        <w:tblLayout w:type="fixed"/>
        <w:tblCellMar>
          <w:top w:w="0" w:type="dxa"/>
          <w:left w:w="0" w:type="dxa"/>
          <w:bottom w:w="0" w:type="dxa"/>
          <w:right w:w="0" w:type="dxa"/>
        </w:tblCellMar>
        <w:tblLook w:val="01E0"/>
      </w:tblPr>
      <w:tblGrid>
        <w:gridCol w:w="2849"/>
        <w:gridCol w:w="127"/>
        <w:gridCol w:w="1308"/>
        <w:gridCol w:w="132"/>
        <w:gridCol w:w="1400"/>
        <w:gridCol w:w="134"/>
        <w:gridCol w:w="1565"/>
        <w:gridCol w:w="135"/>
        <w:gridCol w:w="1416"/>
      </w:tblGrid>
      <w:tr>
        <w:trPr>
          <w:trHeight w:val="217" w:hRule="exact"/>
        </w:trPr>
        <w:tc>
          <w:tcPr>
            <w:tcW w:w="2849"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Style w:val="TableParagraph"/>
              <w:spacing w:line="180" w:lineRule="exact"/>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8" w:space="0" w:color="000000"/>
              <w:right w:val="nil" w:sz="6" w:space="0" w:color="auto"/>
            </w:tcBorders>
          </w:tcPr>
          <w:p>
            <w:pPr>
              <w:pStyle w:val="TableParagraph"/>
              <w:spacing w:line="180" w:lineRule="exact"/>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8" w:space="0" w:color="000000"/>
              <w:right w:val="nil" w:sz="6" w:space="0" w:color="auto"/>
            </w:tcBorders>
          </w:tcPr>
          <w:p>
            <w:pPr>
              <w:pStyle w:val="TableParagraph"/>
              <w:spacing w:line="180" w:lineRule="exact"/>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8" w:space="0" w:color="000000"/>
              <w:right w:val="nil" w:sz="6" w:space="0" w:color="auto"/>
            </w:tcBorders>
          </w:tcPr>
          <w:p>
            <w:pPr>
              <w:pStyle w:val="TableParagraph"/>
              <w:spacing w:line="180" w:lineRule="exact"/>
              <w:ind w:left="44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9" w:hRule="exact"/>
        </w:trPr>
        <w:tc>
          <w:tcPr>
            <w:tcW w:w="2849"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left="57"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right="53"/>
              <w:jc w:val="right"/>
              <w:rPr>
                <w:rFonts w:ascii="宋体" w:hAnsi="宋体" w:cs="宋体" w:eastAsia="宋体" w:hint="default"/>
                <w:sz w:val="18"/>
                <w:szCs w:val="18"/>
              </w:rPr>
            </w:pPr>
            <w:r>
              <w:rPr>
                <w:rFonts w:ascii="宋体"/>
                <w:spacing w:val="-1"/>
                <w:sz w:val="18"/>
              </w:rPr>
              <w:t>3,968,147.86</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right="56"/>
              <w:jc w:val="right"/>
              <w:rPr>
                <w:rFonts w:ascii="宋体" w:hAnsi="宋体" w:cs="宋体" w:eastAsia="宋体" w:hint="default"/>
                <w:sz w:val="18"/>
                <w:szCs w:val="18"/>
              </w:rPr>
            </w:pPr>
            <w:r>
              <w:rPr>
                <w:rFonts w:ascii="宋体"/>
                <w:spacing w:val="-1"/>
                <w:sz w:val="18"/>
              </w:rPr>
              <w:t>50,655,630.53</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right="53"/>
              <w:jc w:val="right"/>
              <w:rPr>
                <w:rFonts w:ascii="宋体" w:hAnsi="宋体" w:cs="宋体" w:eastAsia="宋体" w:hint="default"/>
                <w:sz w:val="18"/>
                <w:szCs w:val="18"/>
              </w:rPr>
            </w:pPr>
            <w:r>
              <w:rPr>
                <w:rFonts w:ascii="宋体"/>
                <w:spacing w:val="-1"/>
                <w:sz w:val="18"/>
              </w:rPr>
              <w:t>50,850,474.18</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right="55"/>
              <w:jc w:val="right"/>
              <w:rPr>
                <w:rFonts w:ascii="宋体" w:hAnsi="宋体" w:cs="宋体" w:eastAsia="宋体" w:hint="default"/>
                <w:sz w:val="18"/>
                <w:szCs w:val="18"/>
              </w:rPr>
            </w:pPr>
            <w:r>
              <w:rPr>
                <w:rFonts w:ascii="宋体"/>
                <w:spacing w:val="-1"/>
                <w:sz w:val="18"/>
              </w:rPr>
              <w:t>3,773,304.21</w:t>
            </w:r>
          </w:p>
        </w:tc>
      </w:tr>
      <w:tr>
        <w:trPr>
          <w:trHeight w:val="344"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宋体" w:hAnsi="宋体" w:cs="宋体" w:eastAsia="宋体" w:hint="default"/>
                <w:sz w:val="18"/>
                <w:szCs w:val="18"/>
              </w:rPr>
            </w:pPr>
            <w:r>
              <w:rPr>
                <w:rFonts w:ascii="宋体"/>
                <w:spacing w:val="-1"/>
                <w:sz w:val="18"/>
              </w:rPr>
              <w:t>1,646,657.83</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
              <w:jc w:val="right"/>
              <w:rPr>
                <w:rFonts w:ascii="宋体" w:hAnsi="宋体" w:cs="宋体" w:eastAsia="宋体" w:hint="default"/>
                <w:sz w:val="18"/>
                <w:szCs w:val="18"/>
              </w:rPr>
            </w:pPr>
            <w:r>
              <w:rPr>
                <w:rFonts w:ascii="宋体"/>
                <w:spacing w:val="-1"/>
                <w:sz w:val="18"/>
              </w:rPr>
              <w:t>1,646,657.83</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4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宋体" w:hAnsi="宋体" w:cs="宋体" w:eastAsia="宋体" w:hint="default"/>
                <w:sz w:val="18"/>
                <w:szCs w:val="18"/>
              </w:rPr>
            </w:pPr>
            <w:r>
              <w:rPr>
                <w:rFonts w:ascii="宋体"/>
                <w:spacing w:val="-1"/>
                <w:sz w:val="18"/>
              </w:rPr>
              <w:t>-1,204.06</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宋体" w:hAnsi="宋体" w:cs="宋体" w:eastAsia="宋体" w:hint="default"/>
                <w:sz w:val="18"/>
                <w:szCs w:val="18"/>
              </w:rPr>
            </w:pPr>
            <w:r>
              <w:rPr>
                <w:rFonts w:ascii="宋体"/>
                <w:spacing w:val="-1"/>
                <w:sz w:val="18"/>
              </w:rPr>
              <w:t>16,252,530.62</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right"/>
              <w:rPr>
                <w:rFonts w:ascii="宋体" w:hAnsi="宋体" w:cs="宋体" w:eastAsia="宋体" w:hint="default"/>
                <w:sz w:val="18"/>
                <w:szCs w:val="18"/>
              </w:rPr>
            </w:pPr>
            <w:r>
              <w:rPr>
                <w:rFonts w:ascii="宋体"/>
                <w:spacing w:val="-1"/>
                <w:sz w:val="18"/>
              </w:rPr>
              <w:t>14,451,447.88</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1,799,878.68</w:t>
            </w:r>
          </w:p>
        </w:tc>
      </w:tr>
      <w:tr>
        <w:trPr>
          <w:trHeight w:val="34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4,076,717.54</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right"/>
              <w:rPr>
                <w:rFonts w:ascii="宋体" w:hAnsi="宋体" w:cs="宋体" w:eastAsia="宋体" w:hint="default"/>
                <w:sz w:val="18"/>
                <w:szCs w:val="18"/>
              </w:rPr>
            </w:pPr>
            <w:r>
              <w:rPr>
                <w:rFonts w:ascii="宋体"/>
                <w:spacing w:val="-1"/>
                <w:sz w:val="18"/>
              </w:rPr>
              <w:t>3,666,678.32</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410,039.22</w:t>
            </w:r>
          </w:p>
        </w:tc>
      </w:tr>
      <w:tr>
        <w:trPr>
          <w:trHeight w:val="344"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宋体" w:hAnsi="宋体" w:cs="宋体" w:eastAsia="宋体" w:hint="default"/>
                <w:sz w:val="18"/>
                <w:szCs w:val="18"/>
              </w:rPr>
            </w:pPr>
            <w:r>
              <w:rPr>
                <w:rFonts w:ascii="宋体"/>
                <w:spacing w:val="-1"/>
                <w:sz w:val="18"/>
              </w:rPr>
              <w:t>10,928,164.11</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right"/>
              <w:rPr>
                <w:rFonts w:ascii="宋体" w:hAnsi="宋体" w:cs="宋体" w:eastAsia="宋体" w:hint="default"/>
                <w:sz w:val="18"/>
                <w:szCs w:val="18"/>
              </w:rPr>
            </w:pPr>
            <w:r>
              <w:rPr>
                <w:rFonts w:ascii="宋体"/>
                <w:spacing w:val="-1"/>
                <w:sz w:val="18"/>
              </w:rPr>
              <w:t>9,714,052.33</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1,214,111.78</w:t>
            </w:r>
          </w:p>
        </w:tc>
      </w:tr>
      <w:tr>
        <w:trPr>
          <w:trHeight w:val="344"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工伤保险费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宋体" w:hAnsi="宋体" w:cs="宋体" w:eastAsia="宋体" w:hint="default"/>
                <w:sz w:val="18"/>
                <w:szCs w:val="18"/>
              </w:rPr>
            </w:pPr>
            <w:r>
              <w:rPr>
                <w:rFonts w:ascii="宋体"/>
                <w:spacing w:val="-1"/>
                <w:sz w:val="18"/>
              </w:rPr>
              <w:t>280,923.67</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
              <w:jc w:val="right"/>
              <w:rPr>
                <w:rFonts w:ascii="宋体" w:hAnsi="宋体" w:cs="宋体" w:eastAsia="宋体" w:hint="default"/>
                <w:sz w:val="18"/>
                <w:szCs w:val="18"/>
              </w:rPr>
            </w:pPr>
            <w:r>
              <w:rPr>
                <w:rFonts w:ascii="宋体"/>
                <w:spacing w:val="-1"/>
                <w:sz w:val="18"/>
              </w:rPr>
              <w:t>239,983.91</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宋体" w:hAnsi="宋体" w:cs="宋体" w:eastAsia="宋体" w:hint="default"/>
                <w:sz w:val="18"/>
                <w:szCs w:val="18"/>
              </w:rPr>
            </w:pPr>
            <w:r>
              <w:rPr>
                <w:rFonts w:ascii="宋体"/>
                <w:spacing w:val="-1"/>
                <w:sz w:val="18"/>
              </w:rPr>
              <w:t>40,939.76</w:t>
            </w:r>
          </w:p>
        </w:tc>
      </w:tr>
      <w:tr>
        <w:trPr>
          <w:trHeight w:val="34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宋体" w:hAnsi="宋体" w:cs="宋体" w:eastAsia="宋体" w:hint="default"/>
                <w:sz w:val="18"/>
                <w:szCs w:val="18"/>
              </w:rPr>
            </w:pPr>
            <w:r>
              <w:rPr>
                <w:rFonts w:ascii="宋体"/>
                <w:spacing w:val="-1"/>
                <w:sz w:val="18"/>
              </w:rPr>
              <w:t>-1,204.06</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636,427.10</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right"/>
              <w:rPr>
                <w:rFonts w:ascii="宋体" w:hAnsi="宋体" w:cs="宋体" w:eastAsia="宋体" w:hint="default"/>
                <w:sz w:val="18"/>
                <w:szCs w:val="18"/>
              </w:rPr>
            </w:pPr>
            <w:r>
              <w:rPr>
                <w:rFonts w:ascii="宋体"/>
                <w:spacing w:val="-1"/>
                <w:sz w:val="18"/>
              </w:rPr>
              <w:t>539,901.57</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95,321.47</w:t>
            </w:r>
          </w:p>
        </w:tc>
      </w:tr>
      <w:tr>
        <w:trPr>
          <w:trHeight w:val="34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生育保险费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330,298.20</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right"/>
              <w:rPr>
                <w:rFonts w:ascii="宋体" w:hAnsi="宋体" w:cs="宋体" w:eastAsia="宋体" w:hint="default"/>
                <w:sz w:val="18"/>
                <w:szCs w:val="18"/>
              </w:rPr>
            </w:pPr>
            <w:r>
              <w:rPr>
                <w:rFonts w:ascii="宋体"/>
                <w:spacing w:val="-1"/>
                <w:sz w:val="18"/>
              </w:rPr>
              <w:t>290,831.75</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4"/>
              <w:jc w:val="right"/>
              <w:rPr>
                <w:rFonts w:ascii="宋体" w:hAnsi="宋体" w:cs="宋体" w:eastAsia="宋体" w:hint="default"/>
                <w:sz w:val="18"/>
                <w:szCs w:val="18"/>
              </w:rPr>
            </w:pPr>
            <w:r>
              <w:rPr>
                <w:rFonts w:ascii="宋体"/>
                <w:spacing w:val="-1"/>
                <w:sz w:val="18"/>
              </w:rPr>
              <w:t>39,466.45</w:t>
            </w:r>
          </w:p>
        </w:tc>
      </w:tr>
      <w:tr>
        <w:trPr>
          <w:trHeight w:val="34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2"/>
              <w:jc w:val="right"/>
              <w:rPr>
                <w:rFonts w:ascii="宋体" w:hAnsi="宋体" w:cs="宋体" w:eastAsia="宋体" w:hint="default"/>
                <w:sz w:val="18"/>
                <w:szCs w:val="18"/>
              </w:rPr>
            </w:pPr>
            <w:r>
              <w:rPr>
                <w:rFonts w:ascii="宋体"/>
                <w:spacing w:val="-1"/>
                <w:sz w:val="18"/>
              </w:rPr>
              <w:t>103,103.00</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3,701,266.50</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right"/>
              <w:rPr>
                <w:rFonts w:ascii="宋体" w:hAnsi="宋体" w:cs="宋体" w:eastAsia="宋体" w:hint="default"/>
                <w:sz w:val="18"/>
                <w:szCs w:val="18"/>
              </w:rPr>
            </w:pPr>
            <w:r>
              <w:rPr>
                <w:rFonts w:ascii="宋体"/>
                <w:spacing w:val="-1"/>
                <w:sz w:val="18"/>
              </w:rPr>
              <w:t>3,737,193.50</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宋体" w:hAnsi="宋体" w:cs="宋体" w:eastAsia="宋体" w:hint="default"/>
                <w:sz w:val="18"/>
                <w:szCs w:val="18"/>
              </w:rPr>
            </w:pPr>
            <w:r>
              <w:rPr>
                <w:rFonts w:ascii="宋体"/>
                <w:spacing w:val="-1"/>
                <w:sz w:val="18"/>
              </w:rPr>
              <w:t>67,176.00</w:t>
            </w:r>
          </w:p>
        </w:tc>
      </w:tr>
      <w:tr>
        <w:trPr>
          <w:trHeight w:val="301"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53"/>
              <w:jc w:val="right"/>
              <w:rPr>
                <w:rFonts w:ascii="宋体" w:hAnsi="宋体" w:cs="宋体" w:eastAsia="宋体" w:hint="default"/>
                <w:sz w:val="18"/>
                <w:szCs w:val="18"/>
              </w:rPr>
            </w:pPr>
            <w:r>
              <w:rPr>
                <w:rFonts w:ascii="宋体"/>
                <w:spacing w:val="-1"/>
                <w:sz w:val="18"/>
              </w:rPr>
              <w:t>2,461,262.89</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55"/>
              <w:jc w:val="right"/>
              <w:rPr>
                <w:rFonts w:ascii="宋体" w:hAnsi="宋体" w:cs="宋体" w:eastAsia="宋体" w:hint="default"/>
                <w:sz w:val="18"/>
                <w:szCs w:val="18"/>
              </w:rPr>
            </w:pPr>
            <w:r>
              <w:rPr>
                <w:rFonts w:ascii="宋体"/>
                <w:spacing w:val="-1"/>
                <w:sz w:val="18"/>
              </w:rPr>
              <w:t>2,208,916.96</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53"/>
              <w:jc w:val="right"/>
              <w:rPr>
                <w:rFonts w:ascii="宋体" w:hAnsi="宋体" w:cs="宋体" w:eastAsia="宋体" w:hint="default"/>
                <w:sz w:val="18"/>
                <w:szCs w:val="18"/>
              </w:rPr>
            </w:pPr>
            <w:r>
              <w:rPr>
                <w:rFonts w:ascii="宋体"/>
                <w:spacing w:val="-1"/>
                <w:sz w:val="18"/>
              </w:rPr>
              <w:t>287,893.67</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55"/>
              <w:jc w:val="right"/>
              <w:rPr>
                <w:rFonts w:ascii="宋体" w:hAnsi="宋体" w:cs="宋体" w:eastAsia="宋体" w:hint="default"/>
                <w:sz w:val="18"/>
                <w:szCs w:val="18"/>
              </w:rPr>
            </w:pPr>
            <w:r>
              <w:rPr>
                <w:rFonts w:ascii="宋体"/>
                <w:spacing w:val="-1"/>
                <w:sz w:val="18"/>
              </w:rPr>
              <w:t>4,382,286.18</w:t>
            </w:r>
          </w:p>
        </w:tc>
      </w:tr>
      <w:tr>
        <w:trPr>
          <w:trHeight w:val="379"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7"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single" w:sz="17" w:space="0" w:color="000000"/>
              <w:right w:val="nil" w:sz="6" w:space="0" w:color="auto"/>
            </w:tcBorders>
          </w:tcPr>
          <w:p>
            <w:pPr>
              <w:pStyle w:val="TableParagraph"/>
              <w:spacing w:line="240" w:lineRule="auto" w:before="82"/>
              <w:ind w:right="53"/>
              <w:jc w:val="right"/>
              <w:rPr>
                <w:rFonts w:ascii="宋体" w:hAnsi="宋体" w:cs="宋体" w:eastAsia="宋体" w:hint="default"/>
                <w:sz w:val="18"/>
                <w:szCs w:val="18"/>
              </w:rPr>
            </w:pPr>
            <w:r>
              <w:rPr>
                <w:rFonts w:ascii="宋体"/>
                <w:spacing w:val="-1"/>
                <w:sz w:val="18"/>
              </w:rPr>
              <w:t>6,531,309.69</w:t>
            </w:r>
          </w:p>
        </w:tc>
        <w:tc>
          <w:tcPr>
            <w:tcW w:w="132" w:type="dxa"/>
            <w:tcBorders>
              <w:top w:val="nil" w:sz="6" w:space="0" w:color="auto"/>
              <w:left w:val="nil" w:sz="6" w:space="0" w:color="auto"/>
              <w:bottom w:val="nil" w:sz="6" w:space="0" w:color="auto"/>
              <w:right w:val="nil" w:sz="6" w:space="0" w:color="auto"/>
            </w:tcBorders>
          </w:tcPr>
          <w:p>
            <w:pPr/>
          </w:p>
        </w:tc>
        <w:tc>
          <w:tcPr>
            <w:tcW w:w="1400" w:type="dxa"/>
            <w:tcBorders>
              <w:top w:val="single" w:sz="8" w:space="0" w:color="000000"/>
              <w:left w:val="nil" w:sz="6" w:space="0" w:color="auto"/>
              <w:bottom w:val="single" w:sz="17" w:space="0" w:color="000000"/>
              <w:right w:val="nil" w:sz="6" w:space="0" w:color="auto"/>
            </w:tcBorders>
          </w:tcPr>
          <w:p>
            <w:pPr>
              <w:pStyle w:val="TableParagraph"/>
              <w:spacing w:line="240" w:lineRule="auto" w:before="82"/>
              <w:ind w:right="56"/>
              <w:jc w:val="right"/>
              <w:rPr>
                <w:rFonts w:ascii="宋体" w:hAnsi="宋体" w:cs="宋体" w:eastAsia="宋体" w:hint="default"/>
                <w:sz w:val="18"/>
                <w:szCs w:val="18"/>
              </w:rPr>
            </w:pPr>
            <w:r>
              <w:rPr>
                <w:rFonts w:ascii="宋体"/>
                <w:spacing w:val="-1"/>
                <w:sz w:val="18"/>
              </w:rPr>
              <w:t>74,465,002.44</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single" w:sz="17" w:space="0" w:color="000000"/>
              <w:right w:val="nil" w:sz="6" w:space="0" w:color="auto"/>
            </w:tcBorders>
          </w:tcPr>
          <w:p>
            <w:pPr>
              <w:pStyle w:val="TableParagraph"/>
              <w:spacing w:line="240" w:lineRule="auto" w:before="82"/>
              <w:ind w:right="53"/>
              <w:jc w:val="right"/>
              <w:rPr>
                <w:rFonts w:ascii="宋体" w:hAnsi="宋体" w:cs="宋体" w:eastAsia="宋体" w:hint="default"/>
                <w:sz w:val="18"/>
                <w:szCs w:val="18"/>
              </w:rPr>
            </w:pPr>
            <w:r>
              <w:rPr>
                <w:rFonts w:ascii="宋体"/>
                <w:spacing w:val="-1"/>
                <w:sz w:val="18"/>
              </w:rPr>
              <w:t>70,973,667.06</w:t>
            </w:r>
          </w:p>
        </w:tc>
        <w:tc>
          <w:tcPr>
            <w:tcW w:w="135" w:type="dxa"/>
            <w:tcBorders>
              <w:top w:val="nil" w:sz="6" w:space="0" w:color="auto"/>
              <w:left w:val="nil" w:sz="6" w:space="0" w:color="auto"/>
              <w:bottom w:val="nil" w:sz="6" w:space="0" w:color="auto"/>
              <w:right w:val="nil" w:sz="6" w:space="0" w:color="auto"/>
            </w:tcBorders>
          </w:tcPr>
          <w:p>
            <w:pPr/>
          </w:p>
        </w:tc>
        <w:tc>
          <w:tcPr>
            <w:tcW w:w="1416" w:type="dxa"/>
            <w:tcBorders>
              <w:top w:val="single" w:sz="8" w:space="0" w:color="000000"/>
              <w:left w:val="nil" w:sz="6" w:space="0" w:color="auto"/>
              <w:bottom w:val="single" w:sz="17" w:space="0" w:color="000000"/>
              <w:right w:val="nil" w:sz="6" w:space="0" w:color="auto"/>
            </w:tcBorders>
          </w:tcPr>
          <w:p>
            <w:pPr>
              <w:pStyle w:val="TableParagraph"/>
              <w:spacing w:line="240" w:lineRule="auto" w:before="82"/>
              <w:ind w:right="55"/>
              <w:jc w:val="right"/>
              <w:rPr>
                <w:rFonts w:ascii="宋体" w:hAnsi="宋体" w:cs="宋体" w:eastAsia="宋体" w:hint="default"/>
                <w:sz w:val="18"/>
                <w:szCs w:val="18"/>
              </w:rPr>
            </w:pPr>
            <w:r>
              <w:rPr>
                <w:rFonts w:ascii="宋体"/>
                <w:spacing w:val="-1"/>
                <w:sz w:val="18"/>
              </w:rPr>
              <w:t>10,022,645.07</w:t>
            </w:r>
          </w:p>
        </w:tc>
      </w:tr>
    </w:tbl>
    <w:p>
      <w:pPr>
        <w:pStyle w:val="BodyText"/>
        <w:spacing w:line="240" w:lineRule="auto" w:before="39"/>
        <w:ind w:left="622" w:right="4564"/>
        <w:jc w:val="left"/>
      </w:pPr>
      <w:r>
        <w:rPr/>
        <w:t>注：</w:t>
      </w:r>
    </w:p>
    <w:p>
      <w:pPr>
        <w:pStyle w:val="BodyText"/>
        <w:tabs>
          <w:tab w:pos="1102" w:val="left" w:leader="none"/>
        </w:tabs>
        <w:spacing w:line="240" w:lineRule="auto" w:before="84"/>
        <w:ind w:left="622" w:right="145"/>
        <w:jc w:val="left"/>
      </w:pPr>
      <w:r>
        <w:rPr>
          <w:rFonts w:ascii="宋体" w:hAnsi="宋体" w:cs="宋体" w:eastAsia="宋体" w:hint="default"/>
        </w:rPr>
        <w:t>①</w:t>
        <w:tab/>
      </w:r>
      <w:r>
        <w:rPr/>
        <w:t>应付职工薪酬中无属于拖欠性质的款项；</w:t>
      </w:r>
    </w:p>
    <w:p>
      <w:pPr>
        <w:tabs>
          <w:tab w:pos="1102" w:val="left" w:leader="none"/>
          <w:tab w:pos="1402" w:val="left" w:leader="none"/>
        </w:tabs>
        <w:spacing w:line="494" w:lineRule="auto" w:before="86"/>
        <w:ind w:left="622" w:right="3380" w:firstLine="0"/>
        <w:jc w:val="left"/>
        <w:rPr>
          <w:rFonts w:ascii="Microsoft JhengHei" w:hAnsi="Microsoft JhengHei" w:cs="Microsoft JhengHei" w:eastAsia="Microsoft JhengHei" w:hint="default"/>
          <w:sz w:val="24"/>
          <w:szCs w:val="24"/>
        </w:rPr>
      </w:pPr>
      <w:r>
        <w:rPr/>
        <w:pict>
          <v:shape style="position:absolute;margin-left:69.143997pt;margin-top:62.280628pt;width:448.05pt;height:172.4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8"/>
                    <w:gridCol w:w="677"/>
                    <w:gridCol w:w="2235"/>
                    <w:gridCol w:w="826"/>
                    <w:gridCol w:w="2156"/>
                  </w:tblGrid>
                  <w:tr>
                    <w:trPr>
                      <w:trHeight w:val="254" w:hRule="exact"/>
                    </w:trPr>
                    <w:tc>
                      <w:tcPr>
                        <w:tcW w:w="3068"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21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8" w:space="0" w:color="000000"/>
                          <w:right w:val="nil" w:sz="6" w:space="0" w:color="auto"/>
                        </w:tcBorders>
                      </w:tcPr>
                      <w:p>
                        <w:pPr>
                          <w:pStyle w:val="TableParagraph"/>
                          <w:spacing w:line="21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306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-3,413,384.95</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-2,018,521.55</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17,567.21</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0.02</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1,190,614.61</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1,654,685.35</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260,734.23</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179,283.99</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57,339.60</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14,615.65</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25,165.16</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8,351.80</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212,575.37</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196,589.80</w:t>
                        </w:r>
                      </w:p>
                    </w:tc>
                  </w:tr>
                  <w:tr>
                    <w:trPr>
                      <w:trHeight w:val="312"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土地使用费</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325,823.40</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169,810.40</w:t>
                        </w:r>
                      </w:p>
                    </w:tc>
                  </w:tr>
                  <w:tr>
                    <w:trPr>
                      <w:trHeight w:val="301"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堤防维护费</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8"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41,464.94</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single" w:sz="8"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22,456.10</w:t>
                        </w:r>
                      </w:p>
                    </w:tc>
                  </w:tr>
                  <w:tr>
                    <w:trPr>
                      <w:trHeight w:val="346" w:hRule="exact"/>
                    </w:trPr>
                    <w:tc>
                      <w:tcPr>
                        <w:tcW w:w="3068"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72" w:lineRule="exact"/>
                          <w:ind w:right="121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677" w:type="dxa"/>
                        <w:tcBorders>
                          <w:top w:val="nil" w:sz="6" w:space="0" w:color="auto"/>
                          <w:left w:val="nil" w:sz="6" w:space="0" w:color="auto"/>
                          <w:bottom w:val="nil" w:sz="6" w:space="0" w:color="auto"/>
                          <w:right w:val="nil" w:sz="6" w:space="0" w:color="auto"/>
                        </w:tcBorders>
                      </w:tcPr>
                      <w:p>
                        <w:pPr/>
                      </w:p>
                    </w:tc>
                    <w:tc>
                      <w:tcPr>
                        <w:tcW w:w="2235"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-1,282,100.43</w:t>
                        </w:r>
                      </w:p>
                    </w:tc>
                    <w:tc>
                      <w:tcPr>
                        <w:tcW w:w="826" w:type="dxa"/>
                        <w:tcBorders>
                          <w:top w:val="nil" w:sz="6" w:space="0" w:color="auto"/>
                          <w:left w:val="nil" w:sz="6" w:space="0" w:color="auto"/>
                          <w:bottom w:val="nil" w:sz="6" w:space="0" w:color="auto"/>
                          <w:right w:val="nil" w:sz="6" w:space="0" w:color="auto"/>
                        </w:tcBorders>
                      </w:tcPr>
                      <w:p>
                        <w:pPr/>
                      </w:p>
                    </w:tc>
                    <w:tc>
                      <w:tcPr>
                        <w:tcW w:w="2156"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227,271.56</w:t>
                        </w:r>
                      </w:p>
                    </w:tc>
                  </w:tr>
                </w:tbl>
                <w:p>
                  <w:pPr/>
                </w:p>
              </w:txbxContent>
            </v:textbox>
            <w10:wrap type="none"/>
          </v:shape>
        </w:pict>
      </w:r>
      <w:r>
        <w:rPr>
          <w:rFonts w:ascii="宋体" w:hAnsi="宋体" w:cs="宋体" w:eastAsia="宋体" w:hint="default"/>
          <w:sz w:val="24"/>
          <w:szCs w:val="24"/>
        </w:rPr>
        <w:t>②</w:t>
        <w:tab/>
      </w:r>
      <w:r>
        <w:rPr>
          <w:rFonts w:ascii="宋体" w:hAnsi="宋体" w:cs="宋体" w:eastAsia="宋体" w:hint="default"/>
          <w:sz w:val="24"/>
          <w:szCs w:val="24"/>
        </w:rPr>
        <w:t>应付职工薪酬余额计划于下一年第一季度发放。 </w:t>
      </w:r>
      <w:r>
        <w:rPr>
          <w:rFonts w:ascii="Times New Roman" w:hAnsi="Times New Roman" w:cs="Times New Roman" w:eastAsia="Times New Roman" w:hint="default"/>
          <w:b/>
          <w:bCs/>
          <w:sz w:val="24"/>
          <w:szCs w:val="24"/>
        </w:rPr>
        <w:t>21</w:t>
      </w:r>
      <w:r>
        <w:rPr>
          <w:rFonts w:ascii="Microsoft JhengHei" w:hAnsi="Microsoft JhengHei" w:cs="Microsoft JhengHei" w:eastAsia="Microsoft JhengHei" w:hint="default"/>
          <w:b/>
          <w:bCs/>
          <w:sz w:val="24"/>
          <w:szCs w:val="24"/>
        </w:rPr>
        <w:t>、</w:t>
        <w:tab/>
        <w:tab/>
        <w:t>应交税费</w:t>
      </w:r>
      <w:r>
        <w:rPr>
          <w:rFonts w:ascii="Microsoft JhengHei" w:hAnsi="Microsoft JhengHei" w:cs="Microsoft JhengHei" w:eastAsia="Microsoft JhengHei" w:hint="default"/>
          <w:sz w:val="24"/>
          <w:szCs w:val="24"/>
        </w:rPr>
      </w:r>
    </w:p>
    <w:p>
      <w:pPr>
        <w:spacing w:after="0" w:line="494" w:lineRule="auto"/>
        <w:jc w:val="left"/>
        <w:rPr>
          <w:rFonts w:ascii="Microsoft JhengHei" w:hAnsi="Microsoft JhengHei" w:cs="Microsoft JhengHei" w:eastAsia="Microsoft JhengHei" w:hint="default"/>
          <w:sz w:val="24"/>
          <w:szCs w:val="24"/>
        </w:rPr>
        <w:sectPr>
          <w:pgSz w:w="11910" w:h="16840"/>
          <w:pgMar w:header="840" w:footer="944" w:top="1160" w:bottom="1140" w:left="1240" w:right="1140"/>
        </w:sectPr>
      </w:pPr>
    </w:p>
    <w:p>
      <w:pPr>
        <w:spacing w:line="240" w:lineRule="auto" w:before="7"/>
        <w:rPr>
          <w:rFonts w:ascii="Microsoft JhengHei" w:hAnsi="Microsoft JhengHei" w:cs="Microsoft JhengHei" w:eastAsia="Microsoft JhengHei" w:hint="default"/>
          <w:b/>
          <w:bCs/>
          <w:sz w:val="18"/>
          <w:szCs w:val="18"/>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22</w:t>
      </w:r>
      <w:r>
        <w:rPr/>
        <w:t>、</w:t>
        <w:tab/>
        <w:t>应付利息</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28" w:type="dxa"/>
        <w:tblLayout w:type="fixed"/>
        <w:tblCellMar>
          <w:top w:w="0" w:type="dxa"/>
          <w:left w:w="0" w:type="dxa"/>
          <w:bottom w:w="0" w:type="dxa"/>
          <w:right w:w="0" w:type="dxa"/>
        </w:tblCellMar>
        <w:tblLook w:val="01E0"/>
      </w:tblPr>
      <w:tblGrid>
        <w:gridCol w:w="3068"/>
        <w:gridCol w:w="691"/>
        <w:gridCol w:w="2249"/>
        <w:gridCol w:w="797"/>
        <w:gridCol w:w="2156"/>
      </w:tblGrid>
      <w:tr>
        <w:trPr>
          <w:trHeight w:val="251" w:hRule="exact"/>
        </w:trPr>
        <w:tc>
          <w:tcPr>
            <w:tcW w:w="3068"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21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691"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8" w:space="0" w:color="000000"/>
              <w:right w:val="nil" w:sz="6" w:space="0" w:color="auto"/>
            </w:tcBorders>
          </w:tcPr>
          <w:p>
            <w:pPr>
              <w:pStyle w:val="TableParagraph"/>
              <w:spacing w:line="21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797"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306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691" w:type="dxa"/>
            <w:tcBorders>
              <w:top w:val="nil" w:sz="6" w:space="0" w:color="auto"/>
              <w:left w:val="nil" w:sz="6" w:space="0" w:color="auto"/>
              <w:bottom w:val="nil" w:sz="6" w:space="0" w:color="auto"/>
              <w:right w:val="nil" w:sz="6" w:space="0" w:color="auto"/>
            </w:tcBorders>
          </w:tcPr>
          <w:p>
            <w:pPr/>
          </w:p>
        </w:tc>
        <w:tc>
          <w:tcPr>
            <w:tcW w:w="224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153,977.78</w:t>
            </w:r>
          </w:p>
        </w:tc>
        <w:tc>
          <w:tcPr>
            <w:tcW w:w="797" w:type="dxa"/>
            <w:tcBorders>
              <w:top w:val="nil" w:sz="6" w:space="0" w:color="auto"/>
              <w:left w:val="nil" w:sz="6" w:space="0" w:color="auto"/>
              <w:bottom w:val="nil" w:sz="6" w:space="0" w:color="auto"/>
              <w:right w:val="nil" w:sz="6" w:space="0" w:color="auto"/>
            </w:tcBorders>
          </w:tcPr>
          <w:p>
            <w:pPr/>
          </w:p>
        </w:tc>
        <w:tc>
          <w:tcPr>
            <w:tcW w:w="215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141,007.50</w:t>
            </w:r>
          </w:p>
        </w:tc>
      </w:tr>
      <w:tr>
        <w:trPr>
          <w:trHeight w:val="374" w:hRule="exact"/>
        </w:trPr>
        <w:tc>
          <w:tcPr>
            <w:tcW w:w="3068"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45"/>
              <w:ind w:right="121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691" w:type="dxa"/>
            <w:tcBorders>
              <w:top w:val="nil" w:sz="6" w:space="0" w:color="auto"/>
              <w:left w:val="nil" w:sz="6" w:space="0" w:color="auto"/>
              <w:bottom w:val="nil" w:sz="6" w:space="0" w:color="auto"/>
              <w:right w:val="nil" w:sz="6" w:space="0" w:color="auto"/>
            </w:tcBorders>
          </w:tcPr>
          <w:p>
            <w:pPr/>
          </w:p>
        </w:tc>
        <w:tc>
          <w:tcPr>
            <w:tcW w:w="2249"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153,977.78</w:t>
            </w:r>
          </w:p>
        </w:tc>
        <w:tc>
          <w:tcPr>
            <w:tcW w:w="797" w:type="dxa"/>
            <w:tcBorders>
              <w:top w:val="nil" w:sz="6" w:space="0" w:color="auto"/>
              <w:left w:val="nil" w:sz="6" w:space="0" w:color="auto"/>
              <w:bottom w:val="nil" w:sz="6" w:space="0" w:color="auto"/>
              <w:right w:val="nil" w:sz="6" w:space="0" w:color="auto"/>
            </w:tcBorders>
          </w:tcPr>
          <w:p>
            <w:pPr/>
          </w:p>
        </w:tc>
        <w:tc>
          <w:tcPr>
            <w:tcW w:w="2156"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141,007.50</w:t>
            </w:r>
          </w:p>
        </w:tc>
      </w:tr>
    </w:tbl>
    <w:p>
      <w:pPr>
        <w:spacing w:line="240" w:lineRule="auto" w:before="6"/>
        <w:rPr>
          <w:rFonts w:ascii="Microsoft JhengHei" w:hAnsi="Microsoft JhengHei" w:cs="Microsoft JhengHei" w:eastAsia="Microsoft JhengHei" w:hint="default"/>
          <w:b/>
          <w:bCs/>
          <w:sz w:val="19"/>
          <w:szCs w:val="19"/>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23</w:t>
      </w:r>
      <w:r>
        <w:rPr/>
        <w:t>、</w:t>
        <w:tab/>
        <w:t>应付股利</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28" w:type="dxa"/>
        <w:tblLayout w:type="fixed"/>
        <w:tblCellMar>
          <w:top w:w="0" w:type="dxa"/>
          <w:left w:w="0" w:type="dxa"/>
          <w:bottom w:w="0" w:type="dxa"/>
          <w:right w:w="0" w:type="dxa"/>
        </w:tblCellMar>
        <w:tblLook w:val="01E0"/>
      </w:tblPr>
      <w:tblGrid>
        <w:gridCol w:w="3039"/>
        <w:gridCol w:w="735"/>
        <w:gridCol w:w="2247"/>
        <w:gridCol w:w="792"/>
        <w:gridCol w:w="2163"/>
      </w:tblGrid>
      <w:tr>
        <w:trPr>
          <w:trHeight w:val="254" w:hRule="exact"/>
        </w:trPr>
        <w:tc>
          <w:tcPr>
            <w:tcW w:w="3039"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79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8" w:space="0" w:color="000000"/>
              <w:right w:val="nil" w:sz="6" w:space="0" w:color="auto"/>
            </w:tcBorders>
          </w:tcPr>
          <w:p>
            <w:pPr>
              <w:pStyle w:val="TableParagraph"/>
              <w:spacing w:line="211"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0" w:hRule="exact"/>
        </w:trPr>
        <w:tc>
          <w:tcPr>
            <w:tcW w:w="3039"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英属维尔京群岛欣泉有限公司</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1,128,127.71</w:t>
            </w:r>
          </w:p>
        </w:tc>
        <w:tc>
          <w:tcPr>
            <w:tcW w:w="792" w:type="dxa"/>
            <w:tcBorders>
              <w:top w:val="nil" w:sz="6" w:space="0" w:color="auto"/>
              <w:left w:val="nil" w:sz="6" w:space="0" w:color="auto"/>
              <w:bottom w:val="nil" w:sz="6" w:space="0" w:color="auto"/>
              <w:right w:val="nil" w:sz="6" w:space="0" w:color="auto"/>
            </w:tcBorders>
          </w:tcPr>
          <w:p>
            <w:pPr/>
          </w:p>
        </w:tc>
        <w:tc>
          <w:tcPr>
            <w:tcW w:w="2163" w:type="dxa"/>
            <w:tcBorders>
              <w:top w:val="single" w:sz="8" w:space="0" w:color="000000"/>
              <w:left w:val="nil" w:sz="6" w:space="0" w:color="auto"/>
              <w:bottom w:val="single" w:sz="8" w:space="0" w:color="000000"/>
              <w:right w:val="nil" w:sz="6" w:space="0" w:color="auto"/>
            </w:tcBorders>
          </w:tcPr>
          <w:p>
            <w:pPr/>
          </w:p>
        </w:tc>
      </w:tr>
      <w:tr>
        <w:trPr>
          <w:trHeight w:val="372"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1,128,127.71</w:t>
            </w:r>
          </w:p>
        </w:tc>
        <w:tc>
          <w:tcPr>
            <w:tcW w:w="792" w:type="dxa"/>
            <w:tcBorders>
              <w:top w:val="nil" w:sz="6" w:space="0" w:color="auto"/>
              <w:left w:val="nil" w:sz="6" w:space="0" w:color="auto"/>
              <w:bottom w:val="nil" w:sz="6" w:space="0" w:color="auto"/>
              <w:right w:val="nil" w:sz="6" w:space="0" w:color="auto"/>
            </w:tcBorders>
          </w:tcPr>
          <w:p>
            <w:pPr/>
          </w:p>
        </w:tc>
        <w:tc>
          <w:tcPr>
            <w:tcW w:w="2163" w:type="dxa"/>
            <w:tcBorders>
              <w:top w:val="single" w:sz="8" w:space="0" w:color="000000"/>
              <w:left w:val="nil" w:sz="6" w:space="0" w:color="auto"/>
              <w:bottom w:val="single" w:sz="17" w:space="0" w:color="000000"/>
              <w:right w:val="nil" w:sz="6" w:space="0" w:color="auto"/>
            </w:tcBorders>
          </w:tcPr>
          <w:p>
            <w:pPr/>
          </w:p>
        </w:tc>
      </w:tr>
    </w:tbl>
    <w:p>
      <w:pPr>
        <w:spacing w:line="240" w:lineRule="auto" w:before="7"/>
        <w:rPr>
          <w:rFonts w:ascii="Microsoft JhengHei" w:hAnsi="Microsoft JhengHei" w:cs="Microsoft JhengHei" w:eastAsia="Microsoft JhengHei" w:hint="default"/>
          <w:b/>
          <w:bCs/>
          <w:sz w:val="19"/>
          <w:szCs w:val="19"/>
        </w:rPr>
      </w:pPr>
    </w:p>
    <w:p>
      <w:pPr>
        <w:pStyle w:val="Heading2"/>
        <w:tabs>
          <w:tab w:pos="1402" w:val="left" w:leader="none"/>
        </w:tabs>
        <w:spacing w:line="367" w:lineRule="exact"/>
        <w:ind w:left="622" w:right="4564"/>
        <w:jc w:val="left"/>
        <w:rPr>
          <w:b w:val="0"/>
          <w:bCs w:val="0"/>
        </w:rPr>
      </w:pPr>
      <w:r>
        <w:rPr>
          <w:rFonts w:ascii="Times New Roman" w:hAnsi="Times New Roman" w:cs="Times New Roman" w:eastAsia="Times New Roman" w:hint="default"/>
        </w:rPr>
        <w:t>24</w:t>
      </w:r>
      <w:r>
        <w:rPr/>
        <w:t>、</w:t>
        <w:tab/>
        <w:t>其他应付款</w:t>
      </w:r>
      <w:r>
        <w:rPr>
          <w:b w:val="0"/>
          <w:bCs w:val="0"/>
        </w:rPr>
      </w:r>
    </w:p>
    <w:p>
      <w:pPr>
        <w:pStyle w:val="BodyText"/>
        <w:tabs>
          <w:tab w:pos="1102" w:val="left" w:leader="none"/>
        </w:tabs>
        <w:spacing w:line="240" w:lineRule="auto" w:before="213"/>
        <w:ind w:left="622" w:right="4564"/>
        <w:jc w:val="left"/>
      </w:pPr>
      <w:r>
        <w:rPr/>
        <w:t>⑴</w:t>
        <w:tab/>
        <w:t>其他应付款明细情况</w:t>
      </w:r>
    </w:p>
    <w:p>
      <w:pPr>
        <w:spacing w:line="240" w:lineRule="auto" w:before="9"/>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024"/>
        <w:gridCol w:w="735"/>
        <w:gridCol w:w="2249"/>
        <w:gridCol w:w="797"/>
        <w:gridCol w:w="2142"/>
      </w:tblGrid>
      <w:tr>
        <w:trPr>
          <w:trHeight w:val="254" w:hRule="exact"/>
        </w:trPr>
        <w:tc>
          <w:tcPr>
            <w:tcW w:w="3024" w:type="dxa"/>
            <w:tcBorders>
              <w:top w:val="nil" w:sz="6" w:space="0" w:color="auto"/>
              <w:left w:val="nil" w:sz="6" w:space="0" w:color="auto"/>
              <w:bottom w:val="single" w:sz="8" w:space="0" w:color="000000"/>
              <w:right w:val="nil" w:sz="6" w:space="0" w:color="auto"/>
            </w:tcBorders>
          </w:tcPr>
          <w:p>
            <w:pPr>
              <w:pStyle w:val="TableParagraph"/>
              <w:spacing w:line="211" w:lineRule="exact"/>
              <w:ind w:right="1246"/>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73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8" w:space="0" w:color="000000"/>
              <w:right w:val="nil" w:sz="6" w:space="0" w:color="auto"/>
            </w:tcBorders>
          </w:tcPr>
          <w:p>
            <w:pPr>
              <w:pStyle w:val="TableParagraph"/>
              <w:spacing w:line="21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797"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single" w:sz="8"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39" w:hRule="exact"/>
        </w:trPr>
        <w:tc>
          <w:tcPr>
            <w:tcW w:w="3024"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735" w:type="dxa"/>
            <w:tcBorders>
              <w:top w:val="nil" w:sz="6" w:space="0" w:color="auto"/>
              <w:left w:val="nil" w:sz="6" w:space="0" w:color="auto"/>
              <w:bottom w:val="nil" w:sz="6" w:space="0" w:color="auto"/>
              <w:right w:val="nil" w:sz="6" w:space="0" w:color="auto"/>
            </w:tcBorders>
          </w:tcPr>
          <w:p>
            <w:pPr/>
          </w:p>
        </w:tc>
        <w:tc>
          <w:tcPr>
            <w:tcW w:w="2249"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spacing w:val="-1"/>
                <w:sz w:val="21"/>
              </w:rPr>
              <w:t>47,683,161.32</w:t>
            </w:r>
          </w:p>
        </w:tc>
        <w:tc>
          <w:tcPr>
            <w:tcW w:w="797" w:type="dxa"/>
            <w:tcBorders>
              <w:top w:val="nil" w:sz="6" w:space="0" w:color="auto"/>
              <w:left w:val="nil" w:sz="6" w:space="0" w:color="auto"/>
              <w:bottom w:val="nil" w:sz="6" w:space="0" w:color="auto"/>
              <w:right w:val="nil" w:sz="6" w:space="0" w:color="auto"/>
            </w:tcBorders>
          </w:tcPr>
          <w:p>
            <w:pPr/>
          </w:p>
        </w:tc>
        <w:tc>
          <w:tcPr>
            <w:tcW w:w="2142"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spacing w:val="-1"/>
                <w:sz w:val="21"/>
              </w:rPr>
              <w:t>82,518,718.70</w:t>
            </w:r>
          </w:p>
        </w:tc>
      </w:tr>
      <w:tr>
        <w:trPr>
          <w:trHeight w:val="304"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735"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8"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7,619,220.56</w:t>
            </w:r>
          </w:p>
        </w:tc>
        <w:tc>
          <w:tcPr>
            <w:tcW w:w="797"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single" w:sz="8"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6,879,900.32</w:t>
            </w:r>
          </w:p>
        </w:tc>
      </w:tr>
      <w:tr>
        <w:trPr>
          <w:trHeight w:val="346"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46"/>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735" w:type="dxa"/>
            <w:tcBorders>
              <w:top w:val="nil" w:sz="6" w:space="0" w:color="auto"/>
              <w:left w:val="nil" w:sz="6" w:space="0" w:color="auto"/>
              <w:bottom w:val="nil" w:sz="6" w:space="0" w:color="auto"/>
              <w:right w:val="nil" w:sz="6" w:space="0" w:color="auto"/>
            </w:tcBorders>
          </w:tcPr>
          <w:p>
            <w:pPr/>
          </w:p>
        </w:tc>
        <w:tc>
          <w:tcPr>
            <w:tcW w:w="2249"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55,302,381.88</w:t>
            </w:r>
          </w:p>
        </w:tc>
        <w:tc>
          <w:tcPr>
            <w:tcW w:w="797" w:type="dxa"/>
            <w:tcBorders>
              <w:top w:val="nil" w:sz="6" w:space="0" w:color="auto"/>
              <w:left w:val="nil" w:sz="6" w:space="0" w:color="auto"/>
              <w:bottom w:val="nil" w:sz="6" w:space="0" w:color="auto"/>
              <w:right w:val="nil" w:sz="6" w:space="0" w:color="auto"/>
            </w:tcBorders>
          </w:tcPr>
          <w:p>
            <w:pPr/>
          </w:p>
        </w:tc>
        <w:tc>
          <w:tcPr>
            <w:tcW w:w="2142"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spacing w:val="-1"/>
                <w:sz w:val="21"/>
              </w:rPr>
              <w:t>89,398,619.02</w:t>
            </w:r>
          </w:p>
        </w:tc>
      </w:tr>
    </w:tbl>
    <w:p>
      <w:pPr>
        <w:spacing w:line="240" w:lineRule="auto" w:before="2"/>
        <w:rPr>
          <w:rFonts w:ascii="宋体" w:hAnsi="宋体" w:cs="宋体" w:eastAsia="宋体" w:hint="default"/>
          <w:sz w:val="23"/>
          <w:szCs w:val="23"/>
        </w:rPr>
      </w:pPr>
    </w:p>
    <w:p>
      <w:pPr>
        <w:pStyle w:val="BodyText"/>
        <w:tabs>
          <w:tab w:pos="1102" w:val="left" w:leader="none"/>
        </w:tabs>
        <w:spacing w:line="307" w:lineRule="auto" w:before="26"/>
        <w:ind w:right="145" w:firstLine="480"/>
        <w:jc w:val="left"/>
      </w:pPr>
      <w:r>
        <w:rPr/>
        <w:t>⑵</w:t>
        <w:tab/>
        <w:t>报告期其他应付款中无应付持有公司</w:t>
      </w:r>
      <w:r>
        <w:rPr>
          <w:spacing w:val="-63"/>
        </w:rPr>
        <w:t> </w:t>
      </w:r>
      <w:r>
        <w:rPr>
          <w:rFonts w:ascii="宋体" w:hAnsi="宋体" w:cs="宋体" w:eastAsia="宋体" w:hint="default"/>
        </w:rPr>
        <w:t>5%</w:t>
      </w:r>
      <w:r>
        <w:rPr/>
        <w:t>（含</w:t>
      </w:r>
      <w:r>
        <w:rPr>
          <w:spacing w:val="-63"/>
        </w:rPr>
        <w:t> </w:t>
      </w:r>
      <w:r>
        <w:rPr>
          <w:rFonts w:ascii="宋体" w:hAnsi="宋体" w:cs="宋体" w:eastAsia="宋体" w:hint="default"/>
        </w:rPr>
        <w:t>5%</w:t>
      </w:r>
      <w:r>
        <w:rPr/>
        <w:t>）以上表决权股份的股东单位或 关联方的款项。</w:t>
      </w:r>
    </w:p>
    <w:p>
      <w:pPr>
        <w:pStyle w:val="BodyText"/>
        <w:tabs>
          <w:tab w:pos="1102" w:val="left" w:leader="none"/>
        </w:tabs>
        <w:spacing w:line="240" w:lineRule="auto" w:before="164"/>
        <w:ind w:left="622" w:right="145"/>
        <w:jc w:val="left"/>
      </w:pPr>
      <w:r>
        <w:rPr/>
        <w:t>⑶</w:t>
        <w:tab/>
        <w:t>关联方余额详见附注八、６、关联方应收应付款项。</w:t>
      </w:r>
    </w:p>
    <w:p>
      <w:pPr>
        <w:spacing w:line="240" w:lineRule="auto" w:before="8"/>
        <w:rPr>
          <w:rFonts w:ascii="宋体" w:hAnsi="宋体" w:cs="宋体" w:eastAsia="宋体" w:hint="default"/>
          <w:sz w:val="17"/>
          <w:szCs w:val="17"/>
        </w:rPr>
      </w:pPr>
    </w:p>
    <w:p>
      <w:pPr>
        <w:pStyle w:val="BodyText"/>
        <w:tabs>
          <w:tab w:pos="1102" w:val="left" w:leader="none"/>
        </w:tabs>
        <w:spacing w:line="240" w:lineRule="auto" w:before="0"/>
        <w:ind w:left="622" w:right="145"/>
        <w:jc w:val="left"/>
      </w:pPr>
      <w:r>
        <w:rPr/>
        <w:t>⑷</w:t>
        <w:tab/>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年的大额其他应付款情况的说明</w:t>
      </w:r>
    </w:p>
    <w:p>
      <w:pPr>
        <w:spacing w:line="240" w:lineRule="auto" w:before="4"/>
        <w:rPr>
          <w:rFonts w:ascii="宋体" w:hAnsi="宋体" w:cs="宋体" w:eastAsia="宋体" w:hint="default"/>
          <w:sz w:val="15"/>
          <w:szCs w:val="15"/>
        </w:rPr>
      </w:pPr>
    </w:p>
    <w:tbl>
      <w:tblPr>
        <w:tblW w:w="0" w:type="auto"/>
        <w:jc w:val="left"/>
        <w:tblInd w:w="128" w:type="dxa"/>
        <w:tblLayout w:type="fixed"/>
        <w:tblCellMar>
          <w:top w:w="0" w:type="dxa"/>
          <w:left w:w="0" w:type="dxa"/>
          <w:bottom w:w="0" w:type="dxa"/>
          <w:right w:w="0" w:type="dxa"/>
        </w:tblCellMar>
        <w:tblLook w:val="01E0"/>
      </w:tblPr>
      <w:tblGrid>
        <w:gridCol w:w="3024"/>
        <w:gridCol w:w="231"/>
        <w:gridCol w:w="1589"/>
        <w:gridCol w:w="279"/>
        <w:gridCol w:w="1601"/>
        <w:gridCol w:w="278"/>
        <w:gridCol w:w="1800"/>
      </w:tblGrid>
      <w:tr>
        <w:trPr>
          <w:trHeight w:val="253" w:hRule="exact"/>
        </w:trPr>
        <w:tc>
          <w:tcPr>
            <w:tcW w:w="3024" w:type="dxa"/>
            <w:tcBorders>
              <w:top w:val="nil" w:sz="6" w:space="0" w:color="auto"/>
              <w:left w:val="nil" w:sz="6" w:space="0" w:color="auto"/>
              <w:bottom w:val="single" w:sz="8" w:space="0" w:color="000000"/>
              <w:right w:val="nil" w:sz="6" w:space="0" w:color="auto"/>
            </w:tcBorders>
          </w:tcPr>
          <w:p>
            <w:pPr>
              <w:pStyle w:val="TableParagraph"/>
              <w:spacing w:line="211" w:lineRule="exact"/>
              <w:ind w:left="986" w:right="0"/>
              <w:jc w:val="left"/>
              <w:rPr>
                <w:rFonts w:ascii="宋体" w:hAnsi="宋体" w:cs="宋体" w:eastAsia="宋体" w:hint="default"/>
                <w:sz w:val="21"/>
                <w:szCs w:val="21"/>
              </w:rPr>
            </w:pPr>
            <w:r>
              <w:rPr>
                <w:rFonts w:ascii="宋体" w:hAnsi="宋体" w:cs="宋体" w:eastAsia="宋体" w:hint="default"/>
                <w:sz w:val="21"/>
                <w:szCs w:val="21"/>
              </w:rPr>
              <w:t>债权人名称</w:t>
            </w:r>
          </w:p>
        </w:tc>
        <w:tc>
          <w:tcPr>
            <w:tcW w:w="23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c>
          <w:tcPr>
            <w:tcW w:w="27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468" w:hRule="exact"/>
        </w:trPr>
        <w:tc>
          <w:tcPr>
            <w:tcW w:w="3024"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left="2" w:right="0"/>
              <w:jc w:val="left"/>
              <w:rPr>
                <w:rFonts w:ascii="宋体" w:hAnsi="宋体" w:cs="宋体" w:eastAsia="宋体" w:hint="default"/>
                <w:sz w:val="21"/>
                <w:szCs w:val="21"/>
              </w:rPr>
            </w:pPr>
            <w:r>
              <w:rPr>
                <w:rFonts w:ascii="宋体" w:hAnsi="宋体" w:cs="宋体" w:eastAsia="宋体" w:hint="default"/>
                <w:sz w:val="21"/>
                <w:szCs w:val="21"/>
              </w:rPr>
              <w:t>上海东江建筑装饰工程有限公司</w:t>
            </w:r>
          </w:p>
        </w:tc>
        <w:tc>
          <w:tcPr>
            <w:tcW w:w="231"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pacing w:val="-1"/>
                <w:sz w:val="21"/>
              </w:rPr>
              <w:t>7,200,000.00</w:t>
            </w:r>
          </w:p>
        </w:tc>
        <w:tc>
          <w:tcPr>
            <w:tcW w:w="279" w:type="dxa"/>
            <w:tcBorders>
              <w:top w:val="nil" w:sz="6" w:space="0" w:color="auto"/>
              <w:left w:val="nil" w:sz="6" w:space="0" w:color="auto"/>
              <w:bottom w:val="nil" w:sz="6" w:space="0" w:color="auto"/>
              <w:right w:val="nil" w:sz="6" w:space="0" w:color="auto"/>
            </w:tcBorders>
          </w:tcPr>
          <w:p>
            <w:pPr/>
          </w:p>
        </w:tc>
        <w:tc>
          <w:tcPr>
            <w:tcW w:w="1601"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工程未完工</w:t>
            </w:r>
          </w:p>
        </w:tc>
        <w:tc>
          <w:tcPr>
            <w:tcW w:w="278"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7"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山东三箭建筑工程股份有限公司</w:t>
            </w:r>
          </w:p>
        </w:tc>
        <w:tc>
          <w:tcPr>
            <w:tcW w:w="23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6,326,799.57</w:t>
            </w:r>
          </w:p>
        </w:tc>
        <w:tc>
          <w:tcPr>
            <w:tcW w:w="27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工程未完工</w:t>
            </w:r>
          </w:p>
        </w:tc>
        <w:tc>
          <w:tcPr>
            <w:tcW w:w="27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5"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山东杭萧钢构有限公司</w:t>
            </w:r>
          </w:p>
        </w:tc>
        <w:tc>
          <w:tcPr>
            <w:tcW w:w="23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4,733,705.20</w:t>
            </w:r>
          </w:p>
        </w:tc>
        <w:tc>
          <w:tcPr>
            <w:tcW w:w="27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工程未完工</w:t>
            </w:r>
          </w:p>
        </w:tc>
        <w:tc>
          <w:tcPr>
            <w:tcW w:w="27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2"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17" w:space="0" w:color="000000"/>
              <w:right w:val="nil" w:sz="6" w:space="0" w:color="auto"/>
            </w:tcBorders>
          </w:tcPr>
          <w:p>
            <w:pPr>
              <w:pStyle w:val="TableParagraph"/>
              <w:spacing w:line="240" w:lineRule="auto" w:before="93"/>
              <w:ind w:right="-1"/>
              <w:jc w:val="right"/>
              <w:rPr>
                <w:rFonts w:ascii="宋体" w:hAnsi="宋体" w:cs="宋体" w:eastAsia="宋体" w:hint="default"/>
                <w:sz w:val="21"/>
                <w:szCs w:val="21"/>
              </w:rPr>
            </w:pPr>
            <w:r>
              <w:rPr>
                <w:rFonts w:ascii="宋体"/>
                <w:spacing w:val="-1"/>
                <w:sz w:val="21"/>
              </w:rPr>
              <w:t>18,260,504.77</w:t>
            </w:r>
          </w:p>
        </w:tc>
        <w:tc>
          <w:tcPr>
            <w:tcW w:w="27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2"/>
          <w:szCs w:val="12"/>
        </w:rPr>
      </w:pPr>
    </w:p>
    <w:p>
      <w:pPr>
        <w:pStyle w:val="BodyText"/>
        <w:tabs>
          <w:tab w:pos="1102" w:val="left" w:leader="none"/>
        </w:tabs>
        <w:spacing w:line="240" w:lineRule="auto" w:before="26"/>
        <w:ind w:left="622" w:right="4564"/>
        <w:jc w:val="left"/>
      </w:pPr>
      <w:r>
        <w:rPr/>
        <w:t>⑸</w:t>
        <w:tab/>
        <w:t>对于金额较大的其他应付款的说明</w:t>
      </w:r>
    </w:p>
    <w:p>
      <w:pPr>
        <w:spacing w:line="240" w:lineRule="auto" w:before="12"/>
        <w:rPr>
          <w:rFonts w:ascii="宋体" w:hAnsi="宋体" w:cs="宋体" w:eastAsia="宋体" w:hint="default"/>
          <w:sz w:val="10"/>
          <w:szCs w:val="10"/>
        </w:rPr>
      </w:pPr>
    </w:p>
    <w:tbl>
      <w:tblPr>
        <w:tblW w:w="0" w:type="auto"/>
        <w:jc w:val="left"/>
        <w:tblInd w:w="142" w:type="dxa"/>
        <w:tblLayout w:type="fixed"/>
        <w:tblCellMar>
          <w:top w:w="0" w:type="dxa"/>
          <w:left w:w="0" w:type="dxa"/>
          <w:bottom w:w="0" w:type="dxa"/>
          <w:right w:w="0" w:type="dxa"/>
        </w:tblCellMar>
        <w:tblLook w:val="01E0"/>
      </w:tblPr>
      <w:tblGrid>
        <w:gridCol w:w="3809"/>
        <w:gridCol w:w="303"/>
        <w:gridCol w:w="2907"/>
        <w:gridCol w:w="310"/>
        <w:gridCol w:w="1534"/>
      </w:tblGrid>
      <w:tr>
        <w:trPr>
          <w:trHeight w:val="254" w:hRule="exact"/>
        </w:trPr>
        <w:tc>
          <w:tcPr>
            <w:tcW w:w="3809"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303"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82" w:hRule="exact"/>
        </w:trPr>
        <w:tc>
          <w:tcPr>
            <w:tcW w:w="3809"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上海市闵行区邮政局</w:t>
            </w:r>
          </w:p>
        </w:tc>
        <w:tc>
          <w:tcPr>
            <w:tcW w:w="303" w:type="dxa"/>
            <w:tcBorders>
              <w:top w:val="nil" w:sz="6" w:space="0" w:color="auto"/>
              <w:left w:val="nil" w:sz="6" w:space="0" w:color="auto"/>
              <w:bottom w:val="nil" w:sz="6" w:space="0" w:color="auto"/>
              <w:right w:val="nil" w:sz="6" w:space="0" w:color="auto"/>
            </w:tcBorders>
          </w:tcPr>
          <w:p>
            <w:pPr/>
          </w:p>
        </w:tc>
        <w:tc>
          <w:tcPr>
            <w:tcW w:w="2907"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3,619,124.51</w:t>
            </w:r>
          </w:p>
        </w:tc>
        <w:tc>
          <w:tcPr>
            <w:tcW w:w="310" w:type="dxa"/>
            <w:tcBorders>
              <w:top w:val="nil" w:sz="6" w:space="0" w:color="auto"/>
              <w:left w:val="nil" w:sz="6" w:space="0" w:color="auto"/>
              <w:bottom w:val="nil" w:sz="6" w:space="0" w:color="auto"/>
              <w:right w:val="nil" w:sz="6" w:space="0" w:color="auto"/>
            </w:tcBorders>
          </w:tcPr>
          <w:p>
            <w:pPr/>
          </w:p>
        </w:tc>
        <w:tc>
          <w:tcPr>
            <w:tcW w:w="1534"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40"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山东三箭建设工程股份有限公司</w:t>
            </w:r>
          </w:p>
        </w:tc>
        <w:tc>
          <w:tcPr>
            <w:tcW w:w="303"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6,326,799.57</w:t>
            </w:r>
          </w:p>
        </w:tc>
        <w:tc>
          <w:tcPr>
            <w:tcW w:w="31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340"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上海东江建筑装饰工程有限公司</w:t>
            </w:r>
          </w:p>
        </w:tc>
        <w:tc>
          <w:tcPr>
            <w:tcW w:w="303"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7,200,000.00</w:t>
            </w:r>
          </w:p>
        </w:tc>
        <w:tc>
          <w:tcPr>
            <w:tcW w:w="31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318"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山东杭萧钢构有限公司</w:t>
            </w:r>
          </w:p>
        </w:tc>
        <w:tc>
          <w:tcPr>
            <w:tcW w:w="303"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4,733,705.20</w:t>
            </w:r>
          </w:p>
        </w:tc>
        <w:tc>
          <w:tcPr>
            <w:tcW w:w="31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372"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03" w:type="dxa"/>
            <w:tcBorders>
              <w:top w:val="nil" w:sz="6" w:space="0" w:color="auto"/>
              <w:left w:val="nil" w:sz="6" w:space="0" w:color="auto"/>
              <w:bottom w:val="nil" w:sz="6" w:space="0" w:color="auto"/>
              <w:right w:val="nil" w:sz="6" w:space="0" w:color="auto"/>
            </w:tcBorders>
          </w:tcPr>
          <w:p>
            <w:pPr/>
          </w:p>
        </w:tc>
        <w:tc>
          <w:tcPr>
            <w:tcW w:w="2907"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21,879,629.28</w:t>
            </w:r>
          </w:p>
        </w:tc>
        <w:tc>
          <w:tcPr>
            <w:tcW w:w="31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40" w:footer="944" w:top="1160" w:bottom="1140" w:left="1240" w:right="1140"/>
        </w:sectPr>
      </w:pPr>
    </w:p>
    <w:p>
      <w:pPr>
        <w:spacing w:line="240" w:lineRule="auto" w:before="8"/>
        <w:rPr>
          <w:rFonts w:ascii="宋体" w:hAnsi="宋体" w:cs="宋体" w:eastAsia="宋体" w:hint="default"/>
          <w:sz w:val="5"/>
          <w:szCs w:val="5"/>
        </w:rPr>
      </w:pPr>
    </w:p>
    <w:p>
      <w:pPr>
        <w:spacing w:line="326"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01.65pt;height:16.3500pt;mso-position-horizontal-relative:char;mso-position-vertical-relative:line" coordorigin="0,0" coordsize="14033,327">
            <v:group style="position:absolute;left:7;top:319;width:14018;height:2" coordorigin="7,319" coordsize="14018,2">
              <v:shape style="position:absolute;left:7;top:319;width:14018;height:2" coordorigin="7,319" coordsize="14018,0" path="m7,319l14025,319e" filled="false" stroked="true" strokeweight=".72pt" strokecolor="#000000">
                <v:path arrowok="t"/>
              </v:shape>
              <v:shape style="position:absolute;left:42;top:0;width:360;height:315" type="#_x0000_t75" stroked="false">
                <v:imagedata r:id="rId7" o:title=""/>
              </v:shape>
              <v:shape style="position:absolute;left:0;top:0;width:14033;height:327" type="#_x0000_t202" filled="false" stroked="false">
                <v:textbox inset="0,0,0,0">
                  <w:txbxContent>
                    <w:p>
                      <w:pPr>
                        <w:spacing w:before="29"/>
                        <w:ind w:left="542" w:right="0" w:firstLine="0"/>
                        <w:jc w:val="center"/>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6"/>
          <w:sz w:val="20"/>
          <w:szCs w:val="20"/>
        </w:rPr>
      </w:r>
    </w:p>
    <w:p>
      <w:pPr>
        <w:spacing w:line="240" w:lineRule="auto" w:before="4"/>
        <w:rPr>
          <w:rFonts w:ascii="宋体" w:hAnsi="宋体" w:cs="宋体" w:eastAsia="宋体" w:hint="default"/>
          <w:sz w:val="20"/>
          <w:szCs w:val="20"/>
        </w:rPr>
      </w:pPr>
    </w:p>
    <w:p>
      <w:pPr>
        <w:pStyle w:val="Heading2"/>
        <w:tabs>
          <w:tab w:pos="1400" w:val="left" w:leader="none"/>
        </w:tabs>
        <w:spacing w:line="367" w:lineRule="exact"/>
        <w:ind w:left="560" w:right="0"/>
        <w:jc w:val="left"/>
        <w:rPr>
          <w:b w:val="0"/>
          <w:bCs w:val="0"/>
        </w:rPr>
      </w:pPr>
      <w:r>
        <w:rPr>
          <w:rFonts w:ascii="Times New Roman" w:hAnsi="Times New Roman" w:cs="Times New Roman" w:eastAsia="Times New Roman" w:hint="default"/>
        </w:rPr>
        <w:t>25</w:t>
      </w:r>
      <w:r>
        <w:rPr/>
        <w:t>、</w:t>
        <w:tab/>
        <w:t>股本</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2588"/>
        <w:gridCol w:w="1419"/>
        <w:gridCol w:w="771"/>
        <w:gridCol w:w="1356"/>
        <w:gridCol w:w="811"/>
        <w:gridCol w:w="1596"/>
        <w:gridCol w:w="1378"/>
        <w:gridCol w:w="1433"/>
        <w:gridCol w:w="1390"/>
        <w:gridCol w:w="1106"/>
      </w:tblGrid>
      <w:tr>
        <w:trPr>
          <w:trHeight w:val="249" w:hRule="exact"/>
        </w:trPr>
        <w:tc>
          <w:tcPr>
            <w:tcW w:w="2588"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211" w:lineRule="exact"/>
              <w:ind w:left="7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771" w:type="dxa"/>
            <w:tcBorders>
              <w:top w:val="nil" w:sz="6" w:space="0" w:color="auto"/>
              <w:left w:val="nil" w:sz="6" w:space="0" w:color="auto"/>
              <w:bottom w:val="single" w:sz="4" w:space="0" w:color="000000"/>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c>
          <w:tcPr>
            <w:tcW w:w="811" w:type="dxa"/>
            <w:tcBorders>
              <w:top w:val="nil" w:sz="6" w:space="0" w:color="auto"/>
              <w:left w:val="nil" w:sz="6" w:space="0" w:color="auto"/>
              <w:bottom w:val="single" w:sz="4" w:space="0" w:color="000000"/>
              <w:right w:val="nil" w:sz="6" w:space="0" w:color="auto"/>
            </w:tcBorders>
          </w:tcPr>
          <w:p>
            <w:pPr/>
          </w:p>
        </w:tc>
        <w:tc>
          <w:tcPr>
            <w:tcW w:w="2974"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33" w:type="dxa"/>
            <w:tcBorders>
              <w:top w:val="nil" w:sz="6" w:space="0" w:color="auto"/>
              <w:left w:val="nil" w:sz="6" w:space="0" w:color="auto"/>
              <w:bottom w:val="single" w:sz="4" w:space="0" w:color="000000"/>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11" w:lineRule="exact"/>
              <w:ind w:right="2"/>
              <w:jc w:val="right"/>
              <w:rPr>
                <w:rFonts w:ascii="宋体" w:hAnsi="宋体" w:cs="宋体" w:eastAsia="宋体" w:hint="default"/>
                <w:sz w:val="21"/>
                <w:szCs w:val="21"/>
              </w:rPr>
            </w:pPr>
            <w:r>
              <w:rPr>
                <w:rFonts w:ascii="宋体" w:hAnsi="宋体" w:cs="宋体" w:eastAsia="宋体" w:hint="default"/>
                <w:sz w:val="21"/>
                <w:szCs w:val="21"/>
              </w:rPr>
              <w:t>期末</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left"/>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348" w:hRule="exact"/>
        </w:trPr>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74"/>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4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5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5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29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8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23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12"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6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5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8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80" w:hRule="exact"/>
        </w:trPr>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419"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7"/>
              <w:ind w:right="0"/>
              <w:jc w:val="left"/>
              <w:rPr>
                <w:rFonts w:ascii="Microsoft JhengHei" w:hAnsi="Microsoft JhengHei" w:cs="Microsoft JhengHei" w:eastAsia="Microsoft JhengHei" w:hint="default"/>
                <w:b/>
                <w:bCs/>
                <w:sz w:val="20"/>
                <w:szCs w:val="20"/>
              </w:rPr>
            </w:pPr>
          </w:p>
        </w:tc>
        <w:tc>
          <w:tcPr>
            <w:tcW w:w="771"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
        </w:tc>
        <w:tc>
          <w:tcPr>
            <w:tcW w:w="811"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5" w:right="0"/>
              <w:jc w:val="left"/>
              <w:rPr>
                <w:rFonts w:ascii="宋体" w:hAnsi="宋体" w:cs="宋体" w:eastAsia="宋体" w:hint="default"/>
                <w:sz w:val="21"/>
                <w:szCs w:val="21"/>
              </w:rPr>
            </w:pPr>
            <w:r>
              <w:rPr>
                <w:rFonts w:ascii="宋体"/>
                <w:sz w:val="21"/>
              </w:rPr>
              <w:t>38,950,000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35.41%</w:t>
            </w: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1"/>
              <w:jc w:val="right"/>
              <w:rPr>
                <w:rFonts w:ascii="宋体" w:hAnsi="宋体" w:cs="宋体" w:eastAsia="宋体" w:hint="default"/>
                <w:sz w:val="21"/>
                <w:szCs w:val="21"/>
              </w:rPr>
            </w:pPr>
            <w:r>
              <w:rPr>
                <w:rFonts w:ascii="宋体"/>
                <w:spacing w:val="-1"/>
                <w:sz w:val="21"/>
              </w:rPr>
              <w:t>-38,950,000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
              <w:jc w:val="right"/>
              <w:rPr>
                <w:rFonts w:ascii="宋体" w:hAnsi="宋体" w:cs="宋体" w:eastAsia="宋体" w:hint="default"/>
                <w:sz w:val="21"/>
                <w:szCs w:val="21"/>
              </w:rPr>
            </w:pPr>
            <w:r>
              <w:rPr>
                <w:rFonts w:ascii="宋体"/>
                <w:spacing w:val="-1"/>
                <w:sz w:val="21"/>
              </w:rPr>
              <w:t>-38,950,000</w:t>
            </w: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5" w:right="0"/>
              <w:jc w:val="left"/>
              <w:rPr>
                <w:rFonts w:ascii="宋体" w:hAnsi="宋体" w:cs="宋体" w:eastAsia="宋体" w:hint="default"/>
                <w:sz w:val="21"/>
                <w:szCs w:val="21"/>
              </w:rPr>
            </w:pPr>
            <w:r>
              <w:rPr>
                <w:rFonts w:ascii="宋体"/>
                <w:sz w:val="21"/>
              </w:rPr>
              <w:t>38,950,000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35.41%</w:t>
            </w: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1"/>
              <w:jc w:val="right"/>
              <w:rPr>
                <w:rFonts w:ascii="宋体" w:hAnsi="宋体" w:cs="宋体" w:eastAsia="宋体" w:hint="default"/>
                <w:sz w:val="21"/>
                <w:szCs w:val="21"/>
              </w:rPr>
            </w:pPr>
            <w:r>
              <w:rPr>
                <w:rFonts w:ascii="宋体"/>
                <w:spacing w:val="-1"/>
                <w:sz w:val="21"/>
              </w:rPr>
              <w:t>-38,950,000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
              <w:jc w:val="right"/>
              <w:rPr>
                <w:rFonts w:ascii="宋体" w:hAnsi="宋体" w:cs="宋体" w:eastAsia="宋体" w:hint="default"/>
                <w:sz w:val="21"/>
                <w:szCs w:val="21"/>
              </w:rPr>
            </w:pPr>
            <w:r>
              <w:rPr>
                <w:rFonts w:ascii="宋体"/>
                <w:spacing w:val="-1"/>
                <w:sz w:val="21"/>
              </w:rPr>
              <w:t>-38,950,000</w:t>
            </w: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869"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1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5" w:right="0"/>
              <w:jc w:val="left"/>
              <w:rPr>
                <w:rFonts w:ascii="宋体" w:hAnsi="宋体" w:cs="宋体" w:eastAsia="宋体" w:hint="default"/>
                <w:sz w:val="21"/>
                <w:szCs w:val="21"/>
              </w:rPr>
            </w:pPr>
            <w:r>
              <w:rPr>
                <w:rFonts w:ascii="宋体"/>
                <w:sz w:val="21"/>
              </w:rPr>
              <w:t>38,950,000</w:t>
            </w:r>
          </w:p>
        </w:tc>
        <w:tc>
          <w:tcPr>
            <w:tcW w:w="77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35.41%</w:t>
            </w:r>
          </w:p>
        </w:tc>
        <w:tc>
          <w:tcPr>
            <w:tcW w:w="1356" w:type="dxa"/>
            <w:tcBorders>
              <w:top w:val="nil" w:sz="6" w:space="0" w:color="auto"/>
              <w:left w:val="nil" w:sz="6" w:space="0" w:color="auto"/>
              <w:bottom w:val="single" w:sz="4" w:space="0" w:color="000000"/>
              <w:right w:val="nil" w:sz="6" w:space="0" w:color="auto"/>
            </w:tcBorders>
          </w:tcPr>
          <w:p>
            <w:pPr/>
          </w:p>
        </w:tc>
        <w:tc>
          <w:tcPr>
            <w:tcW w:w="811"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1"/>
              <w:jc w:val="right"/>
              <w:rPr>
                <w:rFonts w:ascii="宋体" w:hAnsi="宋体" w:cs="宋体" w:eastAsia="宋体" w:hint="default"/>
                <w:sz w:val="21"/>
                <w:szCs w:val="21"/>
              </w:rPr>
            </w:pPr>
            <w:r>
              <w:rPr>
                <w:rFonts w:ascii="宋体"/>
                <w:spacing w:val="-1"/>
                <w:sz w:val="21"/>
              </w:rPr>
              <w:t>-38,950,000</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2"/>
              <w:jc w:val="right"/>
              <w:rPr>
                <w:rFonts w:ascii="宋体" w:hAnsi="宋体" w:cs="宋体" w:eastAsia="宋体" w:hint="default"/>
                <w:sz w:val="21"/>
                <w:szCs w:val="21"/>
              </w:rPr>
            </w:pPr>
            <w:r>
              <w:rPr>
                <w:rFonts w:ascii="宋体"/>
                <w:spacing w:val="-1"/>
                <w:sz w:val="21"/>
              </w:rPr>
              <w:t>-38,950,000</w:t>
            </w:r>
          </w:p>
        </w:tc>
        <w:tc>
          <w:tcPr>
            <w:tcW w:w="1390" w:type="dxa"/>
            <w:tcBorders>
              <w:top w:val="nil" w:sz="6" w:space="0" w:color="auto"/>
              <w:left w:val="nil" w:sz="6" w:space="0" w:color="auto"/>
              <w:bottom w:val="single" w:sz="4" w:space="0" w:color="000000"/>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
        </w:tc>
      </w:tr>
      <w:tr>
        <w:trPr>
          <w:trHeight w:val="379"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419"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25"/>
              <w:ind w:left="225" w:right="0"/>
              <w:jc w:val="left"/>
              <w:rPr>
                <w:rFonts w:ascii="宋体" w:hAnsi="宋体" w:cs="宋体" w:eastAsia="宋体" w:hint="default"/>
                <w:sz w:val="21"/>
                <w:szCs w:val="21"/>
              </w:rPr>
            </w:pPr>
            <w:r>
              <w:rPr>
                <w:rFonts w:ascii="宋体"/>
                <w:sz w:val="21"/>
              </w:rPr>
              <w:t>71,050,000</w:t>
            </w:r>
          </w:p>
        </w:tc>
        <w:tc>
          <w:tcPr>
            <w:tcW w:w="771"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z w:val="21"/>
              </w:rPr>
              <w:t>64.59%</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276" w:right="0"/>
              <w:jc w:val="left"/>
              <w:rPr>
                <w:rFonts w:ascii="宋体" w:hAnsi="宋体" w:cs="宋体" w:eastAsia="宋体" w:hint="default"/>
                <w:sz w:val="21"/>
                <w:szCs w:val="21"/>
              </w:rPr>
            </w:pPr>
            <w:r>
              <w:rPr>
                <w:rFonts w:ascii="宋体"/>
                <w:sz w:val="21"/>
              </w:rPr>
              <w:t>14,124,172</w:t>
            </w:r>
          </w:p>
        </w:tc>
        <w:tc>
          <w:tcPr>
            <w:tcW w:w="811"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21"/>
              <w:jc w:val="right"/>
              <w:rPr>
                <w:rFonts w:ascii="宋体" w:hAnsi="宋体" w:cs="宋体" w:eastAsia="宋体" w:hint="default"/>
                <w:sz w:val="21"/>
                <w:szCs w:val="21"/>
              </w:rPr>
            </w:pPr>
            <w:r>
              <w:rPr>
                <w:rFonts w:ascii="宋体"/>
                <w:spacing w:val="-1"/>
                <w:sz w:val="21"/>
              </w:rPr>
              <w:t>38,950,000</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22"/>
              <w:jc w:val="right"/>
              <w:rPr>
                <w:rFonts w:ascii="宋体" w:hAnsi="宋体" w:cs="宋体" w:eastAsia="宋体" w:hint="default"/>
                <w:sz w:val="21"/>
                <w:szCs w:val="21"/>
              </w:rPr>
            </w:pPr>
            <w:r>
              <w:rPr>
                <w:rFonts w:ascii="宋体"/>
                <w:spacing w:val="-1"/>
                <w:sz w:val="21"/>
              </w:rPr>
              <w:t>53,074,172</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124,124,172</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100.00%</w:t>
            </w: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ind w:left="225" w:right="0"/>
              <w:jc w:val="left"/>
              <w:rPr>
                <w:rFonts w:ascii="宋体" w:hAnsi="宋体" w:cs="宋体" w:eastAsia="宋体" w:hint="default"/>
                <w:sz w:val="21"/>
                <w:szCs w:val="21"/>
              </w:rPr>
            </w:pPr>
            <w:r>
              <w:rPr>
                <w:rFonts w:ascii="宋体"/>
                <w:sz w:val="21"/>
              </w:rPr>
              <w:t>71,050,000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z w:val="21"/>
              </w:rPr>
              <w:t>64.59%</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left="276" w:right="0"/>
              <w:jc w:val="left"/>
              <w:rPr>
                <w:rFonts w:ascii="宋体" w:hAnsi="宋体" w:cs="宋体" w:eastAsia="宋体" w:hint="default"/>
                <w:sz w:val="21"/>
                <w:szCs w:val="21"/>
              </w:rPr>
            </w:pPr>
            <w:r>
              <w:rPr>
                <w:rFonts w:ascii="宋体"/>
                <w:sz w:val="21"/>
              </w:rPr>
              <w:t>14,124,172</w:t>
            </w: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21"/>
              <w:jc w:val="right"/>
              <w:rPr>
                <w:rFonts w:ascii="宋体" w:hAnsi="宋体" w:cs="宋体" w:eastAsia="宋体" w:hint="default"/>
                <w:sz w:val="21"/>
                <w:szCs w:val="21"/>
              </w:rPr>
            </w:pPr>
            <w:r>
              <w:rPr>
                <w:rFonts w:ascii="宋体"/>
                <w:spacing w:val="-1"/>
                <w:sz w:val="21"/>
              </w:rPr>
              <w:t>38,950,000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22"/>
              <w:jc w:val="right"/>
              <w:rPr>
                <w:rFonts w:ascii="宋体" w:hAnsi="宋体" w:cs="宋体" w:eastAsia="宋体" w:hint="default"/>
                <w:sz w:val="21"/>
                <w:szCs w:val="21"/>
              </w:rPr>
            </w:pPr>
            <w:r>
              <w:rPr>
                <w:rFonts w:ascii="宋体"/>
                <w:spacing w:val="-1"/>
                <w:sz w:val="21"/>
              </w:rPr>
              <w:t>53,074,172</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124,124,172</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100.00%</w:t>
            </w:r>
          </w:p>
        </w:tc>
      </w:tr>
      <w:tr>
        <w:trPr>
          <w:trHeight w:val="34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1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5" w:right="0"/>
              <w:jc w:val="left"/>
              <w:rPr>
                <w:rFonts w:ascii="宋体" w:hAnsi="宋体" w:cs="宋体" w:eastAsia="宋体" w:hint="default"/>
                <w:sz w:val="21"/>
                <w:szCs w:val="21"/>
              </w:rPr>
            </w:pPr>
            <w:r>
              <w:rPr>
                <w:rFonts w:ascii="宋体"/>
                <w:sz w:val="21"/>
              </w:rPr>
              <w:t>71,050,000</w:t>
            </w:r>
          </w:p>
        </w:tc>
        <w:tc>
          <w:tcPr>
            <w:tcW w:w="77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64.59%</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76" w:right="0"/>
              <w:jc w:val="left"/>
              <w:rPr>
                <w:rFonts w:ascii="宋体" w:hAnsi="宋体" w:cs="宋体" w:eastAsia="宋体" w:hint="default"/>
                <w:sz w:val="21"/>
                <w:szCs w:val="21"/>
              </w:rPr>
            </w:pPr>
            <w:r>
              <w:rPr>
                <w:rFonts w:ascii="宋体"/>
                <w:sz w:val="21"/>
              </w:rPr>
              <w:t>14,124,172</w:t>
            </w:r>
          </w:p>
        </w:tc>
        <w:tc>
          <w:tcPr>
            <w:tcW w:w="811"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1"/>
              <w:jc w:val="right"/>
              <w:rPr>
                <w:rFonts w:ascii="宋体" w:hAnsi="宋体" w:cs="宋体" w:eastAsia="宋体" w:hint="default"/>
                <w:sz w:val="21"/>
                <w:szCs w:val="21"/>
              </w:rPr>
            </w:pPr>
            <w:r>
              <w:rPr>
                <w:rFonts w:ascii="宋体"/>
                <w:spacing w:val="-1"/>
                <w:sz w:val="21"/>
              </w:rPr>
              <w:t>38,950,000</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2"/>
              <w:jc w:val="right"/>
              <w:rPr>
                <w:rFonts w:ascii="宋体" w:hAnsi="宋体" w:cs="宋体" w:eastAsia="宋体" w:hint="default"/>
                <w:sz w:val="21"/>
                <w:szCs w:val="21"/>
              </w:rPr>
            </w:pPr>
            <w:r>
              <w:rPr>
                <w:rFonts w:ascii="宋体"/>
                <w:spacing w:val="-1"/>
                <w:sz w:val="21"/>
              </w:rPr>
              <w:t>53,074,172</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124,124,172</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100.00%</w:t>
            </w:r>
          </w:p>
        </w:tc>
      </w:tr>
      <w:tr>
        <w:trPr>
          <w:trHeight w:val="362"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19"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25"/>
              <w:ind w:left="122" w:right="0"/>
              <w:jc w:val="left"/>
              <w:rPr>
                <w:rFonts w:ascii="宋体" w:hAnsi="宋体" w:cs="宋体" w:eastAsia="宋体" w:hint="default"/>
                <w:sz w:val="21"/>
                <w:szCs w:val="21"/>
              </w:rPr>
            </w:pPr>
            <w:r>
              <w:rPr>
                <w:rFonts w:ascii="宋体"/>
                <w:sz w:val="21"/>
              </w:rPr>
              <w:t>110,000,000</w:t>
            </w:r>
          </w:p>
        </w:tc>
        <w:tc>
          <w:tcPr>
            <w:tcW w:w="7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100.00%</w:t>
            </w: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left="276" w:right="0"/>
              <w:jc w:val="left"/>
              <w:rPr>
                <w:rFonts w:ascii="宋体" w:hAnsi="宋体" w:cs="宋体" w:eastAsia="宋体" w:hint="default"/>
                <w:sz w:val="21"/>
                <w:szCs w:val="21"/>
              </w:rPr>
            </w:pPr>
            <w:r>
              <w:rPr>
                <w:rFonts w:ascii="宋体"/>
                <w:sz w:val="21"/>
              </w:rPr>
              <w:t>14,124,172</w:t>
            </w:r>
          </w:p>
        </w:tc>
        <w:tc>
          <w:tcPr>
            <w:tcW w:w="811" w:type="dxa"/>
            <w:tcBorders>
              <w:top w:val="single" w:sz="4" w:space="0" w:color="000000"/>
              <w:left w:val="nil" w:sz="6" w:space="0" w:color="auto"/>
              <w:bottom w:val="single" w:sz="12" w:space="0" w:color="000000"/>
              <w:right w:val="nil" w:sz="6" w:space="0" w:color="auto"/>
            </w:tcBorders>
          </w:tcPr>
          <w:p>
            <w:pPr/>
          </w:p>
        </w:tc>
        <w:tc>
          <w:tcPr>
            <w:tcW w:w="1596" w:type="dxa"/>
            <w:tcBorders>
              <w:top w:val="single" w:sz="4" w:space="0" w:color="000000"/>
              <w:left w:val="nil" w:sz="6" w:space="0" w:color="auto"/>
              <w:bottom w:val="single" w:sz="12" w:space="0" w:color="000000"/>
              <w:right w:val="nil" w:sz="6" w:space="0" w:color="auto"/>
            </w:tcBorders>
          </w:tcPr>
          <w:p>
            <w:pPr/>
          </w:p>
        </w:tc>
        <w:tc>
          <w:tcPr>
            <w:tcW w:w="1378" w:type="dxa"/>
            <w:tcBorders>
              <w:top w:val="single" w:sz="4" w:space="0" w:color="000000"/>
              <w:left w:val="nil" w:sz="6" w:space="0" w:color="auto"/>
              <w:bottom w:val="single" w:sz="12" w:space="0" w:color="000000"/>
              <w:right w:val="nil" w:sz="6" w:space="0" w:color="auto"/>
            </w:tcBorders>
          </w:tcPr>
          <w:p>
            <w:pPr/>
          </w:p>
        </w:tc>
        <w:tc>
          <w:tcPr>
            <w:tcW w:w="14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2"/>
              <w:jc w:val="right"/>
              <w:rPr>
                <w:rFonts w:ascii="宋体" w:hAnsi="宋体" w:cs="宋体" w:eastAsia="宋体" w:hint="default"/>
                <w:sz w:val="21"/>
                <w:szCs w:val="21"/>
              </w:rPr>
            </w:pPr>
            <w:r>
              <w:rPr>
                <w:rFonts w:ascii="宋体"/>
                <w:spacing w:val="-1"/>
                <w:sz w:val="21"/>
              </w:rPr>
              <w:t>14,124,172</w:t>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124,124,172</w:t>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72"/>
        <w:ind w:left="740" w:right="0"/>
        <w:jc w:val="left"/>
        <w:rPr>
          <w:rFonts w:ascii="宋体" w:hAnsi="宋体" w:cs="宋体" w:eastAsia="宋体" w:hint="default"/>
        </w:rPr>
      </w:pPr>
      <w:r>
        <w:rPr>
          <w:spacing w:val="-8"/>
        </w:rPr>
        <w:t>注：</w:t>
      </w:r>
      <w:r>
        <w:rPr>
          <w:rFonts w:ascii="宋体" w:hAnsi="宋体" w:cs="宋体" w:eastAsia="宋体" w:hint="default"/>
          <w:spacing w:val="-8"/>
        </w:rPr>
        <w:t>2009</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日经公司</w:t>
      </w:r>
      <w:r>
        <w:rPr>
          <w:spacing w:val="-57"/>
        </w:rPr>
        <w:t> </w:t>
      </w:r>
      <w:r>
        <w:rPr>
          <w:rFonts w:ascii="宋体" w:hAnsi="宋体" w:cs="宋体" w:eastAsia="宋体" w:hint="default"/>
        </w:rPr>
        <w:t>2009</w:t>
      </w:r>
      <w:r>
        <w:rPr>
          <w:rFonts w:ascii="宋体" w:hAnsi="宋体" w:cs="宋体" w:eastAsia="宋体" w:hint="default"/>
          <w:spacing w:val="-57"/>
        </w:rPr>
        <w:t> </w:t>
      </w:r>
      <w:r>
        <w:rPr>
          <w:spacing w:val="-5"/>
        </w:rPr>
        <w:t>年第二次临时股东大会通过，及中国证监会证监许可【</w:t>
      </w:r>
      <w:r>
        <w:rPr>
          <w:rFonts w:ascii="宋体" w:hAnsi="宋体" w:cs="宋体" w:eastAsia="宋体" w:hint="default"/>
          <w:spacing w:val="-5"/>
        </w:rPr>
        <w:t>2010</w:t>
      </w:r>
      <w:r>
        <w:rPr>
          <w:spacing w:val="-5"/>
        </w:rPr>
        <w:t>】</w:t>
      </w:r>
      <w:r>
        <w:rPr>
          <w:rFonts w:ascii="宋体" w:hAnsi="宋体" w:cs="宋体" w:eastAsia="宋体" w:hint="default"/>
          <w:spacing w:val="-5"/>
        </w:rPr>
        <w:t>1210</w:t>
      </w:r>
      <w:r>
        <w:rPr>
          <w:rFonts w:ascii="宋体" w:hAnsi="宋体" w:cs="宋体" w:eastAsia="宋体" w:hint="default"/>
          <w:spacing w:val="-57"/>
        </w:rPr>
        <w:t> </w:t>
      </w:r>
      <w:r>
        <w:rPr>
          <w:spacing w:val="-6"/>
        </w:rPr>
        <w:t>号文核准，本公司于</w:t>
      </w:r>
      <w:r>
        <w:rPr>
          <w:spacing w:val="-57"/>
        </w:rPr>
        <w:t> </w:t>
      </w:r>
      <w:r>
        <w:rPr>
          <w:rFonts w:ascii="宋体" w:hAnsi="宋体" w:cs="宋体" w:eastAsia="宋体" w:hint="default"/>
        </w:rPr>
        <w:t>2010</w:t>
      </w:r>
    </w:p>
    <w:p>
      <w:pPr>
        <w:pStyle w:val="BodyText"/>
        <w:spacing w:line="240" w:lineRule="auto" w:before="125"/>
        <w:ind w:left="140" w:right="0"/>
        <w:jc w:val="left"/>
      </w:pPr>
      <w:r>
        <w:rPr/>
        <w:t>年</w:t>
      </w:r>
      <w:r>
        <w:rPr>
          <w:spacing w:val="-59"/>
        </w:rPr>
        <w:t> </w:t>
      </w:r>
      <w:r>
        <w:rPr>
          <w:rFonts w:ascii="宋体" w:hAnsi="宋体" w:cs="宋体" w:eastAsia="宋体" w:hint="default"/>
        </w:rPr>
        <w:t>9</w:t>
      </w:r>
      <w:r>
        <w:rPr>
          <w:rFonts w:ascii="宋体" w:hAnsi="宋体" w:cs="宋体" w:eastAsia="宋体" w:hint="default"/>
          <w:spacing w:val="-59"/>
        </w:rPr>
        <w:t> </w:t>
      </w:r>
      <w:r>
        <w:rPr/>
        <w:t>月增发新股</w:t>
      </w:r>
      <w:r>
        <w:rPr>
          <w:spacing w:val="-60"/>
        </w:rPr>
        <w:t> </w:t>
      </w:r>
      <w:r>
        <w:rPr>
          <w:rFonts w:ascii="宋体" w:hAnsi="宋体" w:cs="宋体" w:eastAsia="宋体" w:hint="default"/>
        </w:rPr>
        <w:t>14,124,172</w:t>
      </w:r>
      <w:r>
        <w:rPr>
          <w:rFonts w:ascii="宋体" w:hAnsi="宋体" w:cs="宋体" w:eastAsia="宋体" w:hint="default"/>
          <w:spacing w:val="-59"/>
        </w:rPr>
        <w:t> </w:t>
      </w:r>
      <w:r>
        <w:rPr>
          <w:spacing w:val="-3"/>
        </w:rPr>
        <w:t>股，发行价格为每股</w:t>
      </w:r>
      <w:r>
        <w:rPr>
          <w:spacing w:val="-59"/>
        </w:rPr>
        <w:t> </w:t>
      </w:r>
      <w:r>
        <w:rPr>
          <w:rFonts w:ascii="宋体" w:hAnsi="宋体" w:cs="宋体" w:eastAsia="宋体" w:hint="default"/>
        </w:rPr>
        <w:t>25.69</w:t>
      </w:r>
      <w:r>
        <w:rPr>
          <w:rFonts w:ascii="宋体" w:hAnsi="宋体" w:cs="宋体" w:eastAsia="宋体" w:hint="default"/>
          <w:spacing w:val="-59"/>
        </w:rPr>
        <w:t> </w:t>
      </w:r>
      <w:r>
        <w:rPr>
          <w:spacing w:val="-3"/>
        </w:rPr>
        <w:t>元，募集资金总额</w:t>
      </w:r>
      <w:r>
        <w:rPr>
          <w:spacing w:val="-59"/>
        </w:rPr>
        <w:t> </w:t>
      </w:r>
      <w:r>
        <w:rPr>
          <w:rFonts w:ascii="宋体" w:hAnsi="宋体" w:cs="宋体" w:eastAsia="宋体" w:hint="default"/>
        </w:rPr>
        <w:t>362,849,978.68</w:t>
      </w:r>
      <w:r>
        <w:rPr>
          <w:rFonts w:ascii="宋体" w:hAnsi="宋体" w:cs="宋体" w:eastAsia="宋体" w:hint="default"/>
          <w:spacing w:val="-59"/>
        </w:rPr>
        <w:t> </w:t>
      </w:r>
      <w:r>
        <w:rPr>
          <w:spacing w:val="-4"/>
        </w:rPr>
        <w:t>元，资金已于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t>日划至公司</w:t>
      </w:r>
    </w:p>
    <w:p>
      <w:pPr>
        <w:pStyle w:val="BodyText"/>
        <w:spacing w:line="240" w:lineRule="auto" w:before="125"/>
        <w:ind w:left="140" w:right="0"/>
        <w:jc w:val="left"/>
        <w:rPr>
          <w:rFonts w:ascii="宋体" w:hAnsi="宋体" w:cs="宋体" w:eastAsia="宋体" w:hint="default"/>
        </w:rPr>
      </w:pPr>
      <w:r>
        <w:rPr/>
        <w:t>指定账户。其中 </w:t>
      </w:r>
      <w:r>
        <w:rPr>
          <w:rFonts w:ascii="宋体" w:hAnsi="宋体" w:cs="宋体" w:eastAsia="宋体" w:hint="default"/>
        </w:rPr>
        <w:t>14,124,172</w:t>
      </w:r>
      <w:r>
        <w:rPr>
          <w:rFonts w:ascii="宋体" w:hAnsi="宋体" w:cs="宋体" w:eastAsia="宋体" w:hint="default"/>
          <w:spacing w:val="-57"/>
        </w:rPr>
        <w:t> </w:t>
      </w:r>
      <w:r>
        <w:rPr/>
        <w:t>元记入股本，中瑞岳华会计师事务所有限公司已对上述资金进行了验证，并出具了中瑞岳华验字</w:t>
      </w:r>
      <w:r>
        <w:rPr>
          <w:rFonts w:ascii="宋体" w:hAnsi="宋体" w:cs="宋体" w:eastAsia="宋体" w:hint="default"/>
        </w:rPr>
        <w:t>[2010]</w:t>
      </w:r>
    </w:p>
    <w:p>
      <w:pPr>
        <w:pStyle w:val="BodyText"/>
        <w:spacing w:line="240" w:lineRule="auto" w:before="127"/>
        <w:ind w:left="140" w:right="0"/>
        <w:jc w:val="left"/>
      </w:pPr>
      <w:r>
        <w:rPr/>
        <w:t>第</w:t>
      </w:r>
      <w:r>
        <w:rPr>
          <w:spacing w:val="-60"/>
        </w:rPr>
        <w:t> </w:t>
      </w:r>
      <w:r>
        <w:rPr>
          <w:rFonts w:ascii="宋体" w:hAnsi="宋体" w:cs="宋体" w:eastAsia="宋体" w:hint="default"/>
        </w:rPr>
        <w:t>243</w:t>
      </w:r>
      <w:r>
        <w:rPr>
          <w:rFonts w:ascii="宋体" w:hAnsi="宋体" w:cs="宋体" w:eastAsia="宋体" w:hint="default"/>
          <w:spacing w:val="-60"/>
        </w:rPr>
        <w:t> </w:t>
      </w:r>
      <w:r>
        <w:rPr/>
        <w:t>号《验资报告》。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76"/>
        <w:ind w:left="6963" w:right="6961" w:firstLine="0"/>
        <w:jc w:val="center"/>
        <w:rPr>
          <w:rFonts w:ascii="Times New Roman" w:hAnsi="Times New Roman" w:cs="Times New Roman" w:eastAsia="Times New Roman" w:hint="default"/>
          <w:sz w:val="18"/>
          <w:szCs w:val="18"/>
        </w:rPr>
      </w:pPr>
      <w:r>
        <w:rPr>
          <w:rFonts w:ascii="Times New Roman"/>
          <w:sz w:val="18"/>
        </w:rPr>
        <w:t>95</w:t>
      </w:r>
    </w:p>
    <w:p>
      <w:pPr>
        <w:spacing w:after="0"/>
        <w:jc w:val="center"/>
        <w:rPr>
          <w:rFonts w:ascii="Times New Roman" w:hAnsi="Times New Roman" w:cs="Times New Roman" w:eastAsia="Times New Roman" w:hint="default"/>
          <w:sz w:val="18"/>
          <w:szCs w:val="18"/>
        </w:rPr>
        <w:sectPr>
          <w:headerReference w:type="default" r:id="rId40"/>
          <w:footerReference w:type="default" r:id="rId41"/>
          <w:pgSz w:w="16840" w:h="11910" w:orient="landscape"/>
          <w:pgMar w:header="0" w:footer="0" w:top="760" w:bottom="280" w:left="1300" w:right="1300"/>
        </w:sectPr>
      </w:pPr>
    </w:p>
    <w:p>
      <w:pPr>
        <w:spacing w:line="240" w:lineRule="auto" w:before="0"/>
        <w:rPr>
          <w:rFonts w:ascii="Times New Roman" w:hAnsi="Times New Roman" w:cs="Times New Roman" w:eastAsia="Times New Roman" w:hint="default"/>
          <w:sz w:val="20"/>
          <w:szCs w:val="20"/>
        </w:rPr>
      </w:pPr>
      <w:r>
        <w:rPr/>
        <w:pict>
          <v:group style="position:absolute;margin-left:79.223999pt;margin-top:41.999985pt;width:453.7pt;height:16.3500pt;mso-position-horizontal-relative:page;mso-position-vertical-relative:page;z-index:-744856" coordorigin="1584,840" coordsize="9074,327">
            <v:group style="position:absolute;left:1592;top:1159;width:9059;height:2" coordorigin="1592,1159" coordsize="9059,2">
              <v:shape style="position:absolute;left:1592;top:1159;width:9059;height:2" coordorigin="1592,1159" coordsize="9059,0" path="m1592,1159l10651,1159e" filled="false" stroked="true" strokeweight=".72pt" strokecolor="#000000">
                <v:path arrowok="t"/>
              </v:shape>
              <v:shape style="position:absolute;left:1626;top:840;width:360;height:315" type="#_x0000_t75" stroked="false">
                <v:imagedata r:id="rId7" o:title=""/>
              </v:shape>
            </v:group>
            <w10:wrap type="none"/>
          </v:group>
        </w:pict>
      </w:r>
    </w:p>
    <w:p>
      <w:pPr>
        <w:spacing w:line="240" w:lineRule="auto" w:before="10"/>
        <w:rPr>
          <w:rFonts w:ascii="Times New Roman" w:hAnsi="Times New Roman" w:cs="Times New Roman" w:eastAsia="Times New Roman" w:hint="default"/>
          <w:sz w:val="24"/>
          <w:szCs w:val="24"/>
        </w:rPr>
      </w:pPr>
    </w:p>
    <w:p>
      <w:pPr>
        <w:pStyle w:val="Heading2"/>
        <w:tabs>
          <w:tab w:pos="1400" w:val="left" w:leader="none"/>
        </w:tabs>
        <w:spacing w:line="367" w:lineRule="exact"/>
        <w:ind w:right="86"/>
        <w:jc w:val="left"/>
        <w:rPr>
          <w:b w:val="0"/>
          <w:bCs w:val="0"/>
        </w:rPr>
      </w:pPr>
      <w:r>
        <w:rPr>
          <w:rFonts w:ascii="Times New Roman" w:hAnsi="Times New Roman" w:cs="Times New Roman" w:eastAsia="Times New Roman" w:hint="default"/>
        </w:rPr>
        <w:t>26</w:t>
      </w:r>
      <w:r>
        <w:rPr/>
        <w:t>、</w:t>
        <w:tab/>
        <w:t>资本公积</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90" w:type="dxa"/>
        <w:tblLayout w:type="fixed"/>
        <w:tblCellMar>
          <w:top w:w="0" w:type="dxa"/>
          <w:left w:w="0" w:type="dxa"/>
          <w:bottom w:w="0" w:type="dxa"/>
          <w:right w:w="0" w:type="dxa"/>
        </w:tblCellMar>
        <w:tblLook w:val="01E0"/>
      </w:tblPr>
      <w:tblGrid>
        <w:gridCol w:w="1750"/>
        <w:gridCol w:w="250"/>
        <w:gridCol w:w="1572"/>
        <w:gridCol w:w="166"/>
        <w:gridCol w:w="1594"/>
        <w:gridCol w:w="228"/>
        <w:gridCol w:w="1423"/>
        <w:gridCol w:w="156"/>
        <w:gridCol w:w="1717"/>
      </w:tblGrid>
      <w:tr>
        <w:trPr>
          <w:trHeight w:val="251" w:hRule="exact"/>
        </w:trPr>
        <w:tc>
          <w:tcPr>
            <w:tcW w:w="1750"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5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8"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8" w:space="0" w:color="000000"/>
              <w:right w:val="nil" w:sz="6" w:space="0" w:color="auto"/>
            </w:tcBorders>
          </w:tcPr>
          <w:p>
            <w:pPr>
              <w:pStyle w:val="TableParagraph"/>
              <w:spacing w:line="211"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single" w:sz="8" w:space="0" w:color="000000"/>
              <w:right w:val="nil" w:sz="6" w:space="0" w:color="auto"/>
            </w:tcBorders>
          </w:tcPr>
          <w:p>
            <w:pPr>
              <w:pStyle w:val="TableParagraph"/>
              <w:spacing w:line="211" w:lineRule="exact"/>
              <w:ind w:left="54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85" w:hRule="exact"/>
        </w:trPr>
        <w:tc>
          <w:tcPr>
            <w:tcW w:w="175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250" w:type="dxa"/>
            <w:tcBorders>
              <w:top w:val="nil" w:sz="6" w:space="0" w:color="auto"/>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246,480,855.55</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14" w:right="0"/>
              <w:jc w:val="center"/>
              <w:rPr>
                <w:rFonts w:ascii="宋体" w:hAnsi="宋体" w:cs="宋体" w:eastAsia="宋体" w:hint="default"/>
                <w:sz w:val="21"/>
                <w:szCs w:val="21"/>
              </w:rPr>
            </w:pPr>
            <w:r>
              <w:rPr>
                <w:rFonts w:ascii="宋体"/>
                <w:spacing w:val="-1"/>
                <w:sz w:val="21"/>
              </w:rPr>
              <w:t>330,984,442.53</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single" w:sz="8"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717"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577,465,298.08</w:t>
            </w:r>
          </w:p>
        </w:tc>
      </w:tr>
      <w:tr>
        <w:trPr>
          <w:trHeight w:val="316"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5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2,050,905.62</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8"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2,050,905.62</w:t>
            </w:r>
          </w:p>
        </w:tc>
      </w:tr>
      <w:tr>
        <w:trPr>
          <w:trHeight w:val="374"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50" w:type="dxa"/>
            <w:tcBorders>
              <w:top w:val="nil" w:sz="6" w:space="0" w:color="auto"/>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248,531,761.17</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114" w:right="0"/>
              <w:jc w:val="center"/>
              <w:rPr>
                <w:rFonts w:ascii="宋体" w:hAnsi="宋体" w:cs="宋体" w:eastAsia="宋体" w:hint="default"/>
                <w:sz w:val="21"/>
                <w:szCs w:val="21"/>
              </w:rPr>
            </w:pPr>
            <w:r>
              <w:rPr>
                <w:rFonts w:ascii="宋体"/>
                <w:spacing w:val="-1"/>
                <w:sz w:val="21"/>
              </w:rPr>
              <w:t>330,984,442.53</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single" w:sz="8" w:space="0" w:color="000000"/>
              <w:left w:val="nil" w:sz="6" w:space="0" w:color="auto"/>
              <w:bottom w:val="single" w:sz="17"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717"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579,516,203.70</w:t>
            </w:r>
          </w:p>
        </w:tc>
      </w:tr>
    </w:tbl>
    <w:p>
      <w:pPr>
        <w:pStyle w:val="BodyText"/>
        <w:spacing w:line="240" w:lineRule="auto" w:before="72"/>
        <w:ind w:left="620" w:right="86"/>
        <w:jc w:val="left"/>
      </w:pPr>
      <w:r>
        <w:rPr/>
        <w:t>本公司于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月增发新股</w:t>
      </w:r>
      <w:r>
        <w:rPr>
          <w:spacing w:val="-60"/>
        </w:rPr>
        <w:t> </w:t>
      </w:r>
      <w:r>
        <w:rPr>
          <w:rFonts w:ascii="宋体" w:hAnsi="宋体" w:cs="宋体" w:eastAsia="宋体" w:hint="default"/>
        </w:rPr>
        <w:t>14,124,172</w:t>
      </w:r>
      <w:r>
        <w:rPr>
          <w:rFonts w:ascii="宋体" w:hAnsi="宋体" w:cs="宋体" w:eastAsia="宋体" w:hint="default"/>
          <w:spacing w:val="-60"/>
        </w:rPr>
        <w:t> </w:t>
      </w:r>
      <w:r>
        <w:rPr>
          <w:spacing w:val="-7"/>
        </w:rPr>
        <w:t>股，发行价格为每股</w:t>
      </w:r>
      <w:r>
        <w:rPr>
          <w:spacing w:val="-60"/>
        </w:rPr>
        <w:t> </w:t>
      </w:r>
      <w:r>
        <w:rPr>
          <w:rFonts w:ascii="宋体" w:hAnsi="宋体" w:cs="宋体" w:eastAsia="宋体" w:hint="default"/>
        </w:rPr>
        <w:t>25.69</w:t>
      </w:r>
      <w:r>
        <w:rPr>
          <w:rFonts w:ascii="宋体" w:hAnsi="宋体" w:cs="宋体" w:eastAsia="宋体" w:hint="default"/>
          <w:spacing w:val="-60"/>
        </w:rPr>
        <w:t> </w:t>
      </w:r>
      <w:r>
        <w:rPr>
          <w:spacing w:val="-12"/>
        </w:rPr>
        <w:t>元，募集资</w:t>
      </w:r>
    </w:p>
    <w:p>
      <w:pPr>
        <w:pStyle w:val="BodyText"/>
        <w:spacing w:line="240" w:lineRule="auto" w:before="125"/>
        <w:ind w:left="140" w:right="86"/>
        <w:jc w:val="left"/>
      </w:pPr>
      <w:r>
        <w:rPr>
          <w:spacing w:val="16"/>
        </w:rPr>
        <w:t>金总额</w:t>
      </w:r>
      <w:r>
        <w:rPr>
          <w:spacing w:val="23"/>
        </w:rPr>
        <w:t> </w:t>
      </w:r>
      <w:r>
        <w:rPr>
          <w:rFonts w:ascii="宋体" w:hAnsi="宋体" w:cs="宋体" w:eastAsia="宋体" w:hint="default"/>
        </w:rPr>
        <w:t>362,849,978.68</w:t>
      </w:r>
      <w:r>
        <w:rPr>
          <w:rFonts w:ascii="宋体" w:hAnsi="宋体" w:cs="宋体" w:eastAsia="宋体" w:hint="default"/>
          <w:spacing w:val="24"/>
        </w:rPr>
        <w:t> </w:t>
      </w:r>
      <w:r>
        <w:rPr>
          <w:spacing w:val="11"/>
        </w:rPr>
        <w:t>元，</w:t>
      </w:r>
      <w:r>
        <w:rPr>
          <w:spacing w:val="-99"/>
        </w:rPr>
        <w:t> </w:t>
      </w:r>
      <w:r>
        <w:rPr>
          <w:spacing w:val="18"/>
        </w:rPr>
        <w:t>扣除发行费用</w:t>
      </w:r>
      <w:r>
        <w:rPr>
          <w:spacing w:val="26"/>
        </w:rPr>
        <w:t> </w:t>
      </w:r>
      <w:r>
        <w:rPr>
          <w:rFonts w:ascii="宋体" w:hAnsi="宋体" w:cs="宋体" w:eastAsia="宋体" w:hint="default"/>
        </w:rPr>
        <w:t>17,741,364.15</w:t>
      </w:r>
      <w:r>
        <w:rPr>
          <w:rFonts w:ascii="宋体" w:hAnsi="宋体" w:cs="宋体" w:eastAsia="宋体" w:hint="default"/>
          <w:spacing w:val="24"/>
        </w:rPr>
        <w:t> </w:t>
      </w:r>
      <w:r>
        <w:rPr>
          <w:spacing w:val="10"/>
        </w:rPr>
        <w:t>元，</w:t>
      </w:r>
      <w:r>
        <w:rPr>
          <w:spacing w:val="-97"/>
        </w:rPr>
        <w:t> </w:t>
      </w:r>
      <w:r>
        <w:rPr>
          <w:spacing w:val="19"/>
        </w:rPr>
        <w:t>募集资金净额为</w:t>
      </w:r>
    </w:p>
    <w:p>
      <w:pPr>
        <w:pStyle w:val="BodyText"/>
        <w:spacing w:line="336" w:lineRule="auto" w:before="127"/>
        <w:ind w:left="140" w:right="162"/>
        <w:jc w:val="left"/>
      </w:pPr>
      <w:r>
        <w:rPr>
          <w:rFonts w:ascii="宋体" w:hAnsi="宋体" w:cs="宋体" w:eastAsia="宋体" w:hint="default"/>
        </w:rPr>
        <w:t>345,108,614.53</w:t>
      </w:r>
      <w:r>
        <w:rPr>
          <w:rFonts w:ascii="宋体" w:hAnsi="宋体" w:cs="宋体" w:eastAsia="宋体" w:hint="default"/>
          <w:spacing w:val="-49"/>
        </w:rPr>
        <w:t> </w:t>
      </w:r>
      <w:r>
        <w:rPr/>
        <w:t>元。其中</w:t>
      </w:r>
      <w:r>
        <w:rPr>
          <w:spacing w:val="-48"/>
        </w:rPr>
        <w:t> </w:t>
      </w:r>
      <w:r>
        <w:rPr>
          <w:rFonts w:ascii="宋体" w:hAnsi="宋体" w:cs="宋体" w:eastAsia="宋体" w:hint="default"/>
        </w:rPr>
        <w:t>14,124,172</w:t>
      </w:r>
      <w:r>
        <w:rPr>
          <w:rFonts w:ascii="宋体" w:hAnsi="宋体" w:cs="宋体" w:eastAsia="宋体" w:hint="default"/>
          <w:spacing w:val="-48"/>
        </w:rPr>
        <w:t> </w:t>
      </w:r>
      <w:r>
        <w:rPr/>
        <w:t>元记入股本，其余</w:t>
      </w:r>
      <w:r>
        <w:rPr>
          <w:spacing w:val="-48"/>
        </w:rPr>
        <w:t> </w:t>
      </w:r>
      <w:r>
        <w:rPr>
          <w:rFonts w:ascii="宋体" w:hAnsi="宋体" w:cs="宋体" w:eastAsia="宋体" w:hint="default"/>
        </w:rPr>
        <w:t>330,984,442.53</w:t>
      </w:r>
      <w:r>
        <w:rPr>
          <w:rFonts w:ascii="宋体" w:hAnsi="宋体" w:cs="宋体" w:eastAsia="宋体" w:hint="default"/>
          <w:spacing w:val="-48"/>
        </w:rPr>
        <w:t> </w:t>
      </w:r>
      <w:r>
        <w:rPr/>
        <w:t>元记入资本 公积</w:t>
      </w:r>
      <w:r>
        <w:rPr>
          <w:rFonts w:ascii="宋体" w:hAnsi="宋体" w:cs="宋体" w:eastAsia="宋体" w:hint="default"/>
        </w:rPr>
        <w:t>-</w:t>
      </w:r>
      <w:r>
        <w:rPr/>
        <w:t>资本溢价。</w:t>
      </w:r>
    </w:p>
    <w:p>
      <w:pPr>
        <w:pStyle w:val="Heading2"/>
        <w:tabs>
          <w:tab w:pos="1400" w:val="left" w:leader="none"/>
        </w:tabs>
        <w:spacing w:line="240" w:lineRule="auto" w:before="97"/>
        <w:ind w:right="86"/>
        <w:jc w:val="left"/>
        <w:rPr>
          <w:b w:val="0"/>
          <w:bCs w:val="0"/>
        </w:rPr>
      </w:pPr>
      <w:r>
        <w:rPr>
          <w:rFonts w:ascii="Times New Roman" w:hAnsi="Times New Roman" w:cs="Times New Roman" w:eastAsia="Times New Roman" w:hint="default"/>
        </w:rPr>
        <w:t>27</w:t>
      </w:r>
      <w:r>
        <w:rPr/>
        <w:t>、</w:t>
        <w:tab/>
        <w:t>盈余公积</w:t>
      </w:r>
      <w:r>
        <w:rPr>
          <w:b w:val="0"/>
          <w:bCs w:val="0"/>
        </w:rPr>
      </w:r>
    </w:p>
    <w:p>
      <w:pPr>
        <w:spacing w:line="240" w:lineRule="auto" w:before="3"/>
        <w:rPr>
          <w:rFonts w:ascii="Microsoft JhengHei" w:hAnsi="Microsoft JhengHei" w:cs="Microsoft JhengHei" w:eastAsia="Microsoft JhengHei" w:hint="default"/>
          <w:b/>
          <w:bCs/>
          <w:sz w:val="11"/>
          <w:szCs w:val="11"/>
        </w:rPr>
      </w:pPr>
    </w:p>
    <w:tbl>
      <w:tblPr>
        <w:tblW w:w="0" w:type="auto"/>
        <w:jc w:val="left"/>
        <w:tblInd w:w="190" w:type="dxa"/>
        <w:tblLayout w:type="fixed"/>
        <w:tblCellMar>
          <w:top w:w="0" w:type="dxa"/>
          <w:left w:w="0" w:type="dxa"/>
          <w:bottom w:w="0" w:type="dxa"/>
          <w:right w:w="0" w:type="dxa"/>
        </w:tblCellMar>
        <w:tblLook w:val="01E0"/>
      </w:tblPr>
      <w:tblGrid>
        <w:gridCol w:w="1764"/>
        <w:gridCol w:w="266"/>
        <w:gridCol w:w="1546"/>
        <w:gridCol w:w="233"/>
        <w:gridCol w:w="1546"/>
        <w:gridCol w:w="230"/>
        <w:gridCol w:w="1392"/>
        <w:gridCol w:w="265"/>
        <w:gridCol w:w="1589"/>
      </w:tblGrid>
      <w:tr>
        <w:trPr>
          <w:trHeight w:val="238" w:hRule="exact"/>
        </w:trPr>
        <w:tc>
          <w:tcPr>
            <w:tcW w:w="1764" w:type="dxa"/>
            <w:tcBorders>
              <w:top w:val="nil" w:sz="6" w:space="0" w:color="auto"/>
              <w:left w:val="nil" w:sz="6" w:space="0" w:color="auto"/>
              <w:bottom w:val="single" w:sz="8"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期初数</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199" w:lineRule="exact"/>
              <w:ind w:left="376"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8" w:space="0" w:color="000000"/>
              <w:right w:val="nil" w:sz="6" w:space="0" w:color="auto"/>
            </w:tcBorders>
          </w:tcPr>
          <w:p>
            <w:pPr>
              <w:pStyle w:val="TableParagraph"/>
              <w:spacing w:line="199" w:lineRule="exact"/>
              <w:ind w:left="299"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199" w:lineRule="exact"/>
              <w:ind w:left="496"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470" w:hRule="exact"/>
        </w:trPr>
        <w:tc>
          <w:tcPr>
            <w:tcW w:w="1764" w:type="dxa"/>
            <w:tcBorders>
              <w:top w:val="single" w:sz="8" w:space="0" w:color="000000"/>
              <w:left w:val="nil" w:sz="6" w:space="0" w:color="auto"/>
              <w:bottom w:val="nil" w:sz="6" w:space="0" w:color="auto"/>
              <w:right w:val="nil" w:sz="6" w:space="0" w:color="auto"/>
            </w:tcBorders>
          </w:tcPr>
          <w:p>
            <w:pPr>
              <w:pStyle w:val="TableParagraph"/>
              <w:spacing w:line="240" w:lineRule="auto" w:before="107"/>
              <w:ind w:left="4"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left="68" w:right="0"/>
              <w:jc w:val="center"/>
              <w:rPr>
                <w:rFonts w:ascii="宋体" w:hAnsi="宋体" w:cs="宋体" w:eastAsia="宋体" w:hint="default"/>
                <w:sz w:val="21"/>
                <w:szCs w:val="21"/>
              </w:rPr>
            </w:pPr>
            <w:r>
              <w:rPr>
                <w:rFonts w:ascii="宋体"/>
                <w:sz w:val="21"/>
              </w:rPr>
              <w:t>36,309,513.05</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right="53"/>
              <w:jc w:val="right"/>
              <w:rPr>
                <w:rFonts w:ascii="宋体" w:hAnsi="宋体" w:cs="宋体" w:eastAsia="宋体" w:hint="default"/>
                <w:sz w:val="21"/>
                <w:szCs w:val="21"/>
              </w:rPr>
            </w:pPr>
            <w:r>
              <w:rPr>
                <w:rFonts w:ascii="宋体"/>
                <w:spacing w:val="-1"/>
                <w:sz w:val="21"/>
              </w:rPr>
              <w:t>5,828,373.57</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right="53"/>
              <w:jc w:val="right"/>
              <w:rPr>
                <w:rFonts w:ascii="宋体" w:hAnsi="宋体" w:cs="宋体" w:eastAsia="宋体" w:hint="default"/>
                <w:sz w:val="21"/>
                <w:szCs w:val="21"/>
              </w:rPr>
            </w:pPr>
            <w:r>
              <w:rPr>
                <w:rFonts w:ascii="宋体"/>
                <w:spacing w:val="-1"/>
                <w:sz w:val="21"/>
              </w:rPr>
              <w:t>42,137,886.62</w:t>
            </w:r>
          </w:p>
        </w:tc>
      </w:tr>
      <w:tr>
        <w:trPr>
          <w:trHeight w:val="346"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任意盈余公积</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68" w:right="0"/>
              <w:jc w:val="center"/>
              <w:rPr>
                <w:rFonts w:ascii="宋体" w:hAnsi="宋体" w:cs="宋体" w:eastAsia="宋体" w:hint="default"/>
                <w:sz w:val="21"/>
                <w:szCs w:val="21"/>
              </w:rPr>
            </w:pPr>
            <w:r>
              <w:rPr>
                <w:rFonts w:ascii="宋体"/>
                <w:sz w:val="21"/>
              </w:rPr>
              <w:t>18,154,756.51</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spacing w:val="-1"/>
                <w:sz w:val="21"/>
              </w:rPr>
              <w:t>2,914,186.79</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8" w:space="0" w:color="000000"/>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spacing w:val="-1"/>
                <w:sz w:val="21"/>
              </w:rPr>
              <w:t>21,068,943.30</w:t>
            </w:r>
          </w:p>
        </w:tc>
      </w:tr>
      <w:tr>
        <w:trPr>
          <w:trHeight w:val="43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left="68" w:right="0"/>
              <w:jc w:val="center"/>
              <w:rPr>
                <w:rFonts w:ascii="宋体" w:hAnsi="宋体" w:cs="宋体" w:eastAsia="宋体" w:hint="default"/>
                <w:sz w:val="21"/>
                <w:szCs w:val="21"/>
              </w:rPr>
            </w:pPr>
            <w:r>
              <w:rPr>
                <w:rFonts w:ascii="宋体"/>
                <w:sz w:val="21"/>
              </w:rPr>
              <w:t>54,464,269.56</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spacing w:val="-1"/>
                <w:sz w:val="21"/>
              </w:rPr>
              <w:t>8,742,560.36</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single" w:sz="17" w:space="0" w:color="000000"/>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spacing w:val="-1"/>
                <w:sz w:val="21"/>
              </w:rPr>
              <w:t>63,206,829.92</w:t>
            </w:r>
          </w:p>
        </w:tc>
      </w:tr>
    </w:tbl>
    <w:p>
      <w:pPr>
        <w:spacing w:line="240" w:lineRule="auto" w:before="3"/>
        <w:rPr>
          <w:rFonts w:ascii="Microsoft JhengHei" w:hAnsi="Microsoft JhengHei" w:cs="Microsoft JhengHei" w:eastAsia="Microsoft JhengHei" w:hint="default"/>
          <w:b/>
          <w:bCs/>
          <w:sz w:val="9"/>
          <w:szCs w:val="9"/>
        </w:rPr>
      </w:pPr>
    </w:p>
    <w:p>
      <w:pPr>
        <w:pStyle w:val="BodyText"/>
        <w:spacing w:line="304" w:lineRule="auto" w:before="26"/>
        <w:ind w:left="140" w:right="86" w:firstLine="479"/>
        <w:jc w:val="left"/>
      </w:pPr>
      <w:r>
        <w:rPr/>
        <w:t>注：根据公司法、公司章程的规定，本公司按净利润的</w:t>
      </w:r>
      <w:r>
        <w:rPr>
          <w:spacing w:val="-88"/>
        </w:rPr>
        <w:t> </w:t>
      </w:r>
      <w:r>
        <w:rPr>
          <w:rFonts w:ascii="宋体" w:hAnsi="宋体" w:cs="宋体" w:eastAsia="宋体" w:hint="default"/>
        </w:rPr>
        <w:t>10%</w:t>
      </w:r>
      <w:r>
        <w:rPr/>
        <w:t>、</w:t>
      </w:r>
      <w:r>
        <w:rPr>
          <w:rFonts w:ascii="宋体" w:hAnsi="宋体" w:cs="宋体" w:eastAsia="宋体" w:hint="default"/>
        </w:rPr>
        <w:t>5%</w:t>
      </w:r>
      <w:r>
        <w:rPr/>
        <w:t>提取法定盈余公积 金和任意盈余公积。法定盈余公积累计额为本公司注册资本</w:t>
      </w:r>
      <w:r>
        <w:rPr>
          <w:spacing w:val="-60"/>
        </w:rPr>
        <w:t> </w:t>
      </w:r>
      <w:r>
        <w:rPr>
          <w:rFonts w:ascii="宋体" w:hAnsi="宋体" w:cs="宋体" w:eastAsia="宋体" w:hint="default"/>
        </w:rPr>
        <w:t>50%</w:t>
      </w:r>
      <w:r>
        <w:rPr/>
        <w:t>以上的，可不再提取。</w:t>
      </w:r>
    </w:p>
    <w:p>
      <w:pPr>
        <w:pStyle w:val="Heading2"/>
        <w:tabs>
          <w:tab w:pos="1400" w:val="left" w:leader="none"/>
        </w:tabs>
        <w:spacing w:line="240" w:lineRule="auto" w:before="123"/>
        <w:ind w:right="86"/>
        <w:jc w:val="left"/>
        <w:rPr>
          <w:b w:val="0"/>
          <w:bCs w:val="0"/>
        </w:rPr>
      </w:pPr>
      <w:r>
        <w:rPr>
          <w:rFonts w:ascii="Times New Roman" w:hAnsi="Times New Roman" w:cs="Times New Roman" w:eastAsia="Times New Roman" w:hint="default"/>
        </w:rPr>
        <w:t>28</w:t>
      </w:r>
      <w:r>
        <w:rPr/>
        <w:t>、</w:t>
        <w:tab/>
        <w:t>未分配利润</w:t>
      </w:r>
      <w:r>
        <w:rPr>
          <w:b w:val="0"/>
          <w:bCs w:val="0"/>
        </w:rPr>
      </w:r>
    </w:p>
    <w:p>
      <w:pPr>
        <w:pStyle w:val="BodyText"/>
        <w:tabs>
          <w:tab w:pos="1100" w:val="left" w:leader="none"/>
        </w:tabs>
        <w:spacing w:line="240" w:lineRule="auto" w:before="213"/>
        <w:ind w:left="620" w:right="86"/>
        <w:jc w:val="left"/>
      </w:pPr>
      <w:r>
        <w:rPr/>
        <w:t>⑴</w:t>
        <w:tab/>
        <w:t>未分配利润变动情况</w:t>
      </w:r>
    </w:p>
    <w:p>
      <w:pPr>
        <w:spacing w:line="240" w:lineRule="auto" w:before="9"/>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4313"/>
        <w:gridCol w:w="233"/>
        <w:gridCol w:w="1976"/>
        <w:gridCol w:w="216"/>
        <w:gridCol w:w="2069"/>
      </w:tblGrid>
      <w:tr>
        <w:trPr>
          <w:trHeight w:val="254" w:hRule="exact"/>
        </w:trPr>
        <w:tc>
          <w:tcPr>
            <w:tcW w:w="4313" w:type="dxa"/>
            <w:tcBorders>
              <w:top w:val="nil" w:sz="6" w:space="0" w:color="auto"/>
              <w:left w:val="nil" w:sz="6" w:space="0" w:color="auto"/>
              <w:bottom w:val="single" w:sz="8" w:space="0" w:color="000000"/>
              <w:right w:val="nil" w:sz="6" w:space="0" w:color="auto"/>
            </w:tcBorders>
          </w:tcPr>
          <w:p>
            <w:pPr>
              <w:pStyle w:val="TableParagraph"/>
              <w:tabs>
                <w:tab w:pos="631"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8" w:space="0" w:color="000000"/>
              <w:right w:val="nil" w:sz="6" w:space="0" w:color="auto"/>
            </w:tcBorders>
          </w:tcPr>
          <w:p>
            <w:pPr>
              <w:pStyle w:val="TableParagraph"/>
              <w:spacing w:line="211" w:lineRule="exact"/>
              <w:ind w:left="10" w:right="0"/>
              <w:jc w:val="center"/>
              <w:rPr>
                <w:rFonts w:ascii="宋体" w:hAnsi="宋体" w:cs="宋体" w:eastAsia="宋体" w:hint="default"/>
                <w:sz w:val="21"/>
                <w:szCs w:val="21"/>
              </w:rPr>
            </w:pPr>
            <w:r>
              <w:rPr>
                <w:rFonts w:ascii="宋体" w:hAnsi="宋体" w:cs="宋体" w:eastAsia="宋体" w:hint="default"/>
                <w:sz w:val="21"/>
                <w:szCs w:val="21"/>
              </w:rPr>
              <w:t>上期数</w:t>
            </w:r>
          </w:p>
        </w:tc>
      </w:tr>
      <w:tr>
        <w:trPr>
          <w:trHeight w:val="339" w:hRule="exact"/>
        </w:trPr>
        <w:tc>
          <w:tcPr>
            <w:tcW w:w="4313"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21"/>
                <w:szCs w:val="21"/>
              </w:rPr>
            </w:pPr>
            <w:r>
              <w:rPr>
                <w:rFonts w:ascii="宋体" w:hAnsi="宋体" w:cs="宋体" w:eastAsia="宋体" w:hint="default"/>
                <w:sz w:val="21"/>
                <w:szCs w:val="21"/>
              </w:rPr>
              <w:t>调整前上期未分配利润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159,985,330.98</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127,083,274.30</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期初未分配利润调整合计数</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159,985,330.98</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127,083,274.30</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79,194,442.06</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74,026,819.95</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盈余公积弥补亏损</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5,828,373.57</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7,616,508.85</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2,914,186.79</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3,808,254.42</w:t>
            </w:r>
          </w:p>
        </w:tc>
      </w:tr>
      <w:tr>
        <w:trPr>
          <w:trHeight w:val="304"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8"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33,000,000.00</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8"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29,700,000.00</w:t>
            </w:r>
          </w:p>
        </w:tc>
      </w:tr>
      <w:tr>
        <w:trPr>
          <w:trHeight w:val="346"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197,437,212.68</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159,985,330.98</w:t>
            </w:r>
          </w:p>
        </w:tc>
      </w:tr>
    </w:tbl>
    <w:p>
      <w:pPr>
        <w:spacing w:line="240" w:lineRule="auto" w:before="2"/>
        <w:rPr>
          <w:rFonts w:ascii="宋体" w:hAnsi="宋体" w:cs="宋体" w:eastAsia="宋体" w:hint="default"/>
          <w:sz w:val="12"/>
          <w:szCs w:val="12"/>
        </w:rPr>
      </w:pPr>
    </w:p>
    <w:p>
      <w:pPr>
        <w:pStyle w:val="BodyText"/>
        <w:tabs>
          <w:tab w:pos="1100" w:val="left" w:leader="none"/>
        </w:tabs>
        <w:spacing w:line="240" w:lineRule="auto" w:before="26"/>
        <w:ind w:left="620" w:right="86"/>
        <w:jc w:val="left"/>
      </w:pPr>
      <w:r>
        <w:rPr/>
        <w:t>⑵</w:t>
        <w:tab/>
        <w:t>利润分配情况的说明</w:t>
      </w:r>
    </w:p>
    <w:p>
      <w:pPr>
        <w:pStyle w:val="BodyText"/>
        <w:spacing w:line="240" w:lineRule="auto" w:before="84"/>
        <w:ind w:left="620" w:right="86"/>
        <w:jc w:val="left"/>
      </w:pPr>
      <w:r>
        <w:rPr/>
        <w:t>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8"/>
        </w:rPr>
        <w:t>日，本公司召开第</w:t>
      </w:r>
      <w:r>
        <w:rPr>
          <w:spacing w:val="-60"/>
        </w:rPr>
        <w:t> </w:t>
      </w:r>
      <w:r>
        <w:rPr>
          <w:rFonts w:ascii="宋体" w:hAnsi="宋体" w:cs="宋体" w:eastAsia="宋体" w:hint="default"/>
        </w:rPr>
        <w:t>3</w:t>
      </w:r>
      <w:r>
        <w:rPr>
          <w:rFonts w:ascii="宋体" w:hAnsi="宋体" w:cs="宋体" w:eastAsia="宋体" w:hint="default"/>
          <w:spacing w:val="-60"/>
        </w:rPr>
        <w:t> </w:t>
      </w:r>
      <w:r>
        <w:rPr/>
        <w:t>届董事会第</w:t>
      </w:r>
      <w:r>
        <w:rPr>
          <w:spacing w:val="-60"/>
        </w:rPr>
        <w:t> </w:t>
      </w:r>
      <w:r>
        <w:rPr>
          <w:rFonts w:ascii="宋体" w:hAnsi="宋体" w:cs="宋体" w:eastAsia="宋体" w:hint="default"/>
        </w:rPr>
        <w:t>16</w:t>
      </w:r>
      <w:r>
        <w:rPr>
          <w:rFonts w:ascii="宋体" w:hAnsi="宋体" w:cs="宋体" w:eastAsia="宋体" w:hint="default"/>
          <w:spacing w:val="-60"/>
        </w:rPr>
        <w:t> </w:t>
      </w:r>
      <w:r>
        <w:rPr>
          <w:spacing w:val="-10"/>
        </w:rPr>
        <w:t>次会议，批准</w:t>
      </w:r>
      <w:r>
        <w:rPr>
          <w:spacing w:val="-60"/>
        </w:rPr>
        <w:t> </w:t>
      </w:r>
      <w:r>
        <w:rPr>
          <w:rFonts w:ascii="宋体" w:hAnsi="宋体" w:cs="宋体" w:eastAsia="宋体" w:hint="default"/>
        </w:rPr>
        <w:t>2010</w:t>
      </w:r>
      <w:r>
        <w:rPr>
          <w:rFonts w:ascii="宋体" w:hAnsi="宋体" w:cs="宋体" w:eastAsia="宋体" w:hint="default"/>
          <w:spacing w:val="-60"/>
        </w:rPr>
        <w:t> </w:t>
      </w:r>
      <w:r>
        <w:rPr/>
        <w:t>年度利润</w:t>
      </w:r>
    </w:p>
    <w:p>
      <w:pPr>
        <w:pStyle w:val="BodyText"/>
        <w:spacing w:line="304" w:lineRule="auto" w:before="86"/>
        <w:ind w:left="140" w:right="146"/>
        <w:jc w:val="left"/>
      </w:pPr>
      <w:r>
        <w:rPr/>
        <w:t>分配预案，分配现金股利人民币</w:t>
      </w:r>
      <w:r>
        <w:rPr>
          <w:spacing w:val="-60"/>
        </w:rPr>
        <w:t> </w:t>
      </w:r>
      <w:r>
        <w:rPr>
          <w:rFonts w:ascii="宋体" w:hAnsi="宋体" w:cs="宋体" w:eastAsia="宋体" w:hint="default"/>
        </w:rPr>
        <w:t>24,824,834.40</w:t>
      </w:r>
      <w:r>
        <w:rPr>
          <w:rFonts w:ascii="宋体" w:hAnsi="宋体" w:cs="宋体" w:eastAsia="宋体" w:hint="default"/>
          <w:spacing w:val="-60"/>
        </w:rPr>
        <w:t> </w:t>
      </w:r>
      <w:r>
        <w:rPr/>
        <w:t>元。本预案将提交</w:t>
      </w:r>
      <w:r>
        <w:rPr>
          <w:spacing w:val="-60"/>
        </w:rPr>
        <w:t> </w:t>
      </w:r>
      <w:r>
        <w:rPr>
          <w:rFonts w:ascii="宋体" w:hAnsi="宋体" w:cs="宋体" w:eastAsia="宋体" w:hint="default"/>
        </w:rPr>
        <w:t>2010</w:t>
      </w:r>
      <w:r>
        <w:rPr>
          <w:rFonts w:ascii="宋体" w:hAnsi="宋体" w:cs="宋体" w:eastAsia="宋体" w:hint="default"/>
          <w:spacing w:val="-60"/>
        </w:rPr>
        <w:t> </w:t>
      </w:r>
      <w:r>
        <w:rPr/>
        <w:t>年度股东大会 审议。</w:t>
      </w:r>
    </w:p>
    <w:p>
      <w:pPr>
        <w:spacing w:after="0" w:line="304" w:lineRule="auto"/>
        <w:jc w:val="left"/>
        <w:sectPr>
          <w:headerReference w:type="default" r:id="rId42"/>
          <w:footerReference w:type="default" r:id="rId43"/>
          <w:pgSz w:w="11910" w:h="16840"/>
          <w:pgMar w:header="915" w:footer="944" w:top="1100" w:bottom="1140" w:left="1480" w:right="1120"/>
          <w:pgNumType w:start="96"/>
        </w:sectPr>
      </w:pPr>
    </w:p>
    <w:p>
      <w:pPr>
        <w:spacing w:line="240" w:lineRule="auto" w:before="1"/>
        <w:rPr>
          <w:rFonts w:ascii="宋体" w:hAnsi="宋体" w:cs="宋体" w:eastAsia="宋体" w:hint="default"/>
          <w:sz w:val="22"/>
          <w:szCs w:val="22"/>
        </w:rPr>
      </w:pPr>
    </w:p>
    <w:p>
      <w:pPr>
        <w:pStyle w:val="BodyText"/>
        <w:spacing w:line="240" w:lineRule="auto" w:before="26"/>
        <w:ind w:left="622" w:right="145"/>
        <w:jc w:val="left"/>
      </w:pPr>
      <w:r>
        <w:rPr/>
        <w:t>⑶</w:t>
      </w:r>
      <w:r>
        <w:rPr>
          <w:spacing w:val="-3"/>
        </w:rPr>
        <w:t> </w:t>
      </w:r>
      <w:r>
        <w:rPr/>
        <w:t>子公司当年提取盈余公积的情况</w:t>
      </w:r>
    </w:p>
    <w:p>
      <w:pPr>
        <w:pStyle w:val="BodyText"/>
        <w:spacing w:line="240" w:lineRule="auto" w:before="118"/>
        <w:ind w:left="620" w:right="0"/>
        <w:jc w:val="left"/>
      </w:pPr>
      <w:r>
        <w:rPr/>
        <w:t>北京东港安全印刷有限公司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1,999,129.97</w:t>
      </w:r>
      <w:r>
        <w:rPr>
          <w:rFonts w:ascii="宋体" w:hAnsi="宋体" w:cs="宋体" w:eastAsia="宋体" w:hint="default"/>
          <w:spacing w:val="-60"/>
        </w:rPr>
        <w:t> </w:t>
      </w:r>
      <w:r>
        <w:rPr/>
        <w:t>元</w:t>
      </w:r>
      <w:r>
        <w:rPr>
          <w:spacing w:val="-120"/>
        </w:rPr>
        <w:t>，</w:t>
      </w:r>
      <w:r>
        <w:rPr/>
        <w:t>其中归属于</w:t>
      </w:r>
    </w:p>
    <w:p>
      <w:pPr>
        <w:pStyle w:val="BodyText"/>
        <w:spacing w:line="240" w:lineRule="auto" w:before="125"/>
        <w:ind w:left="140" w:right="145"/>
        <w:jc w:val="left"/>
      </w:pPr>
      <w:r>
        <w:rPr/>
        <w:t>母公司的金额为</w:t>
      </w:r>
      <w:r>
        <w:rPr>
          <w:spacing w:val="-61"/>
        </w:rPr>
        <w:t> </w:t>
      </w:r>
      <w:r>
        <w:rPr>
          <w:rFonts w:ascii="宋体" w:hAnsi="宋体" w:cs="宋体" w:eastAsia="宋体" w:hint="default"/>
        </w:rPr>
        <w:t>1,499,347.48</w:t>
      </w:r>
      <w:r>
        <w:rPr>
          <w:rFonts w:ascii="宋体" w:hAnsi="宋体" w:cs="宋体" w:eastAsia="宋体" w:hint="default"/>
          <w:spacing w:val="-60"/>
        </w:rPr>
        <w:t> </w:t>
      </w:r>
      <w:r>
        <w:rPr/>
        <w:t>元。</w:t>
      </w:r>
    </w:p>
    <w:p>
      <w:pPr>
        <w:pStyle w:val="BodyText"/>
        <w:spacing w:line="240" w:lineRule="auto" w:before="125"/>
        <w:ind w:left="620" w:right="0"/>
        <w:jc w:val="left"/>
      </w:pPr>
      <w:r>
        <w:rPr/>
        <w:t>郑州东港安全印刷有限公司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781,203.50</w:t>
      </w:r>
      <w:r>
        <w:rPr>
          <w:rFonts w:ascii="宋体" w:hAnsi="宋体" w:cs="宋体" w:eastAsia="宋体" w:hint="default"/>
          <w:spacing w:val="-60"/>
        </w:rPr>
        <w:t> </w:t>
      </w:r>
      <w:r>
        <w:rPr/>
        <w:t>元</w:t>
      </w:r>
      <w:r>
        <w:rPr>
          <w:spacing w:val="-120"/>
        </w:rPr>
        <w:t>，</w:t>
      </w:r>
      <w:r>
        <w:rPr/>
        <w:t>其中归属于母</w:t>
      </w:r>
    </w:p>
    <w:p>
      <w:pPr>
        <w:pStyle w:val="BodyText"/>
        <w:spacing w:line="240" w:lineRule="auto" w:before="127"/>
        <w:ind w:left="140" w:right="145"/>
        <w:jc w:val="left"/>
      </w:pPr>
      <w:r>
        <w:rPr/>
        <w:t>公司的金额为</w:t>
      </w:r>
      <w:r>
        <w:rPr>
          <w:spacing w:val="-61"/>
        </w:rPr>
        <w:t> </w:t>
      </w:r>
      <w:r>
        <w:rPr>
          <w:rFonts w:ascii="宋体" w:hAnsi="宋体" w:cs="宋体" w:eastAsia="宋体" w:hint="default"/>
        </w:rPr>
        <w:t>732,378.28</w:t>
      </w:r>
      <w:r>
        <w:rPr>
          <w:rFonts w:ascii="宋体" w:hAnsi="宋体" w:cs="宋体" w:eastAsia="宋体" w:hint="default"/>
          <w:spacing w:val="-60"/>
        </w:rPr>
        <w:t> </w:t>
      </w:r>
      <w:r>
        <w:rPr/>
        <w:t>元。</w:t>
      </w:r>
    </w:p>
    <w:p>
      <w:pPr>
        <w:pStyle w:val="BodyText"/>
        <w:spacing w:line="240" w:lineRule="auto" w:before="125"/>
        <w:ind w:left="620" w:right="0"/>
        <w:jc w:val="left"/>
      </w:pPr>
      <w:r>
        <w:rPr/>
        <w:t>新疆东港安全印刷有限公司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65,744.48</w:t>
      </w:r>
      <w:r>
        <w:rPr>
          <w:rFonts w:ascii="宋体" w:hAnsi="宋体" w:cs="宋体" w:eastAsia="宋体" w:hint="default"/>
          <w:spacing w:val="-60"/>
        </w:rPr>
        <w:t> </w:t>
      </w:r>
      <w:r>
        <w:rPr/>
        <w:t>元，其中归属于母</w:t>
      </w:r>
    </w:p>
    <w:p>
      <w:pPr>
        <w:pStyle w:val="BodyText"/>
        <w:spacing w:line="240" w:lineRule="auto" w:before="125"/>
        <w:ind w:left="140" w:right="145"/>
        <w:jc w:val="left"/>
      </w:pPr>
      <w:r>
        <w:rPr/>
        <w:t>公司的金额为</w:t>
      </w:r>
      <w:r>
        <w:rPr>
          <w:spacing w:val="-61"/>
        </w:rPr>
        <w:t> </w:t>
      </w:r>
      <w:r>
        <w:rPr>
          <w:rFonts w:ascii="宋体" w:hAnsi="宋体" w:cs="宋体" w:eastAsia="宋体" w:hint="default"/>
        </w:rPr>
        <w:t>61,635.45</w:t>
      </w:r>
      <w:r>
        <w:rPr>
          <w:rFonts w:ascii="宋体" w:hAnsi="宋体" w:cs="宋体" w:eastAsia="宋体" w:hint="default"/>
          <w:spacing w:val="-60"/>
        </w:rPr>
        <w:t> </w:t>
      </w:r>
      <w:r>
        <w:rPr/>
        <w:t>元。</w:t>
      </w:r>
    </w:p>
    <w:p>
      <w:pPr>
        <w:pStyle w:val="BodyText"/>
        <w:spacing w:line="240" w:lineRule="auto" w:before="127"/>
        <w:ind w:left="620" w:right="0"/>
        <w:jc w:val="left"/>
      </w:pPr>
      <w:r>
        <w:rPr/>
        <w:t>北京东港嘉华安全信息技术有限公司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801,519.70</w:t>
      </w:r>
      <w:r>
        <w:rPr>
          <w:rFonts w:ascii="宋体" w:hAnsi="宋体" w:cs="宋体" w:eastAsia="宋体" w:hint="default"/>
          <w:spacing w:val="-60"/>
        </w:rPr>
        <w:t> </w:t>
      </w:r>
      <w:r>
        <w:rPr/>
        <w:t>元</w:t>
      </w:r>
      <w:r>
        <w:rPr>
          <w:spacing w:val="-120"/>
        </w:rPr>
        <w:t>，</w:t>
      </w:r>
      <w:r>
        <w:rPr/>
        <w:t>其中</w:t>
      </w:r>
    </w:p>
    <w:p>
      <w:pPr>
        <w:pStyle w:val="BodyText"/>
        <w:spacing w:line="240" w:lineRule="auto" w:before="125"/>
        <w:ind w:left="140" w:right="145"/>
        <w:jc w:val="left"/>
      </w:pPr>
      <w:r>
        <w:rPr/>
        <w:t>归属于母公司的金额为</w:t>
      </w:r>
      <w:r>
        <w:rPr>
          <w:spacing w:val="-60"/>
        </w:rPr>
        <w:t> </w:t>
      </w:r>
      <w:r>
        <w:rPr>
          <w:rFonts w:ascii="宋体" w:hAnsi="宋体" w:cs="宋体" w:eastAsia="宋体" w:hint="default"/>
        </w:rPr>
        <w:t>601,139.78</w:t>
      </w:r>
      <w:r>
        <w:rPr>
          <w:rFonts w:ascii="宋体" w:hAnsi="宋体" w:cs="宋体" w:eastAsia="宋体" w:hint="default"/>
          <w:spacing w:val="-60"/>
        </w:rPr>
        <w:t> </w:t>
      </w:r>
      <w:r>
        <w:rPr/>
        <w:t>元。</w:t>
      </w:r>
    </w:p>
    <w:p>
      <w:pPr>
        <w:pStyle w:val="BodyText"/>
        <w:spacing w:line="240" w:lineRule="auto" w:before="125"/>
        <w:ind w:left="620" w:right="0"/>
        <w:jc w:val="left"/>
      </w:pPr>
      <w:r>
        <w:rPr/>
        <w:t>广州东港安全印刷有限公司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350,223.00</w:t>
      </w:r>
      <w:r>
        <w:rPr>
          <w:rFonts w:ascii="宋体" w:hAnsi="宋体" w:cs="宋体" w:eastAsia="宋体" w:hint="default"/>
          <w:spacing w:val="-60"/>
        </w:rPr>
        <w:t> </w:t>
      </w:r>
      <w:r>
        <w:rPr/>
        <w:t>元</w:t>
      </w:r>
      <w:r>
        <w:rPr>
          <w:spacing w:val="-120"/>
        </w:rPr>
        <w:t>，</w:t>
      </w:r>
      <w:r>
        <w:rPr/>
        <w:t>其中归属于母</w:t>
      </w:r>
    </w:p>
    <w:p>
      <w:pPr>
        <w:pStyle w:val="BodyText"/>
        <w:spacing w:line="240" w:lineRule="auto" w:before="127"/>
        <w:ind w:left="140" w:right="145"/>
        <w:jc w:val="left"/>
      </w:pPr>
      <w:r>
        <w:rPr/>
        <w:t>公司的金额为</w:t>
      </w:r>
      <w:r>
        <w:rPr>
          <w:spacing w:val="-61"/>
        </w:rPr>
        <w:t> </w:t>
      </w:r>
      <w:r>
        <w:rPr>
          <w:rFonts w:ascii="宋体" w:hAnsi="宋体" w:cs="宋体" w:eastAsia="宋体" w:hint="default"/>
        </w:rPr>
        <w:t>262,667.25</w:t>
      </w:r>
      <w:r>
        <w:rPr>
          <w:rFonts w:ascii="宋体" w:hAnsi="宋体" w:cs="宋体" w:eastAsia="宋体" w:hint="default"/>
          <w:spacing w:val="-60"/>
        </w:rPr>
        <w:t> </w:t>
      </w:r>
      <w:r>
        <w:rPr/>
        <w:t>元。</w:t>
      </w:r>
    </w:p>
    <w:p>
      <w:pPr>
        <w:pStyle w:val="BodyText"/>
        <w:spacing w:line="240" w:lineRule="auto" w:before="125"/>
        <w:ind w:left="620" w:right="0"/>
        <w:jc w:val="left"/>
      </w:pPr>
      <w:r>
        <w:rPr/>
        <w:t>成都东港安全印刷有限公司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368,540.63</w:t>
      </w:r>
      <w:r>
        <w:rPr>
          <w:rFonts w:ascii="宋体" w:hAnsi="宋体" w:cs="宋体" w:eastAsia="宋体" w:hint="default"/>
          <w:spacing w:val="-60"/>
        </w:rPr>
        <w:t> </w:t>
      </w:r>
      <w:r>
        <w:rPr/>
        <w:t>元</w:t>
      </w:r>
      <w:r>
        <w:rPr>
          <w:spacing w:val="-120"/>
        </w:rPr>
        <w:t>，</w:t>
      </w:r>
      <w:r>
        <w:rPr/>
        <w:t>其中归属于母</w:t>
      </w:r>
    </w:p>
    <w:p>
      <w:pPr>
        <w:pStyle w:val="BodyText"/>
        <w:spacing w:line="240" w:lineRule="auto" w:before="125"/>
        <w:ind w:left="140" w:right="145"/>
        <w:jc w:val="left"/>
      </w:pPr>
      <w:r>
        <w:rPr/>
        <w:t>公司的金额为</w:t>
      </w:r>
      <w:r>
        <w:rPr>
          <w:spacing w:val="-61"/>
        </w:rPr>
        <w:t> </w:t>
      </w:r>
      <w:r>
        <w:rPr>
          <w:rFonts w:ascii="宋体" w:hAnsi="宋体" w:cs="宋体" w:eastAsia="宋体" w:hint="default"/>
        </w:rPr>
        <w:t>368,540.63</w:t>
      </w:r>
      <w:r>
        <w:rPr>
          <w:rFonts w:ascii="宋体" w:hAnsi="宋体" w:cs="宋体" w:eastAsia="宋体" w:hint="default"/>
          <w:spacing w:val="-60"/>
        </w:rPr>
        <w:t> </w:t>
      </w:r>
      <w:r>
        <w:rPr/>
        <w:t>元。</w:t>
      </w:r>
    </w:p>
    <w:p>
      <w:pPr>
        <w:pStyle w:val="BodyText"/>
        <w:spacing w:line="240" w:lineRule="auto" w:before="127"/>
        <w:ind w:left="620" w:right="0"/>
        <w:jc w:val="left"/>
      </w:pPr>
      <w:r>
        <w:rPr/>
        <w:t>上海东港安全印刷有限公司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年度提取盈余公积</w:t>
      </w:r>
      <w:r>
        <w:rPr>
          <w:spacing w:val="-60"/>
        </w:rPr>
        <w:t> </w:t>
      </w:r>
      <w:r>
        <w:rPr>
          <w:rFonts w:ascii="宋体" w:hAnsi="宋体" w:cs="宋体" w:eastAsia="宋体" w:hint="default"/>
        </w:rPr>
        <w:t>542,467.88</w:t>
      </w:r>
      <w:r>
        <w:rPr>
          <w:rFonts w:ascii="宋体" w:hAnsi="宋体" w:cs="宋体" w:eastAsia="宋体" w:hint="default"/>
          <w:spacing w:val="-60"/>
        </w:rPr>
        <w:t> </w:t>
      </w:r>
      <w:r>
        <w:rPr/>
        <w:t>元</w:t>
      </w:r>
      <w:r>
        <w:rPr>
          <w:spacing w:val="-120"/>
        </w:rPr>
        <w:t>，</w:t>
      </w:r>
      <w:r>
        <w:rPr/>
        <w:t>其中归属于母</w:t>
      </w:r>
    </w:p>
    <w:p>
      <w:pPr>
        <w:pStyle w:val="BodyText"/>
        <w:spacing w:line="240" w:lineRule="auto" w:before="125"/>
        <w:ind w:left="140" w:right="145"/>
        <w:jc w:val="left"/>
      </w:pPr>
      <w:r>
        <w:rPr/>
        <w:t>公司的金额为</w:t>
      </w:r>
      <w:r>
        <w:rPr>
          <w:spacing w:val="-61"/>
        </w:rPr>
        <w:t> </w:t>
      </w:r>
      <w:r>
        <w:rPr>
          <w:rFonts w:ascii="宋体" w:hAnsi="宋体" w:cs="宋体" w:eastAsia="宋体" w:hint="default"/>
        </w:rPr>
        <w:t>508,563.64</w:t>
      </w:r>
      <w:r>
        <w:rPr>
          <w:rFonts w:ascii="宋体" w:hAnsi="宋体" w:cs="宋体" w:eastAsia="宋体" w:hint="default"/>
          <w:spacing w:val="-60"/>
        </w:rPr>
        <w:t> </w:t>
      </w:r>
      <w:r>
        <w:rPr/>
        <w:t>元。</w:t>
      </w:r>
    </w:p>
    <w:p>
      <w:pPr>
        <w:spacing w:line="240" w:lineRule="auto" w:before="12"/>
        <w:rPr>
          <w:rFonts w:ascii="宋体" w:hAnsi="宋体" w:cs="宋体" w:eastAsia="宋体" w:hint="default"/>
          <w:sz w:val="25"/>
          <w:szCs w:val="25"/>
        </w:rPr>
      </w:pPr>
    </w:p>
    <w:p>
      <w:pPr>
        <w:pStyle w:val="Heading2"/>
        <w:tabs>
          <w:tab w:pos="1400" w:val="left" w:leader="none"/>
        </w:tabs>
        <w:spacing w:line="240" w:lineRule="auto"/>
        <w:ind w:right="145"/>
        <w:jc w:val="left"/>
        <w:rPr>
          <w:b w:val="0"/>
          <w:bCs w:val="0"/>
        </w:rPr>
      </w:pPr>
      <w:r>
        <w:rPr>
          <w:rFonts w:ascii="Times New Roman" w:hAnsi="Times New Roman" w:cs="Times New Roman" w:eastAsia="Times New Roman" w:hint="default"/>
        </w:rPr>
        <w:t>29</w:t>
      </w:r>
      <w:r>
        <w:rPr/>
        <w:t>、</w:t>
        <w:tab/>
        <w:t>营业收入和营业成本</w:t>
      </w:r>
      <w:r>
        <w:rPr>
          <w:b w:val="0"/>
          <w:bCs w:val="0"/>
        </w:rPr>
      </w:r>
    </w:p>
    <w:p>
      <w:pPr>
        <w:pStyle w:val="BodyText"/>
        <w:tabs>
          <w:tab w:pos="1100" w:val="left" w:leader="none"/>
        </w:tabs>
        <w:spacing w:line="240" w:lineRule="auto" w:before="213"/>
        <w:ind w:left="620" w:right="145"/>
        <w:jc w:val="left"/>
      </w:pPr>
      <w:r>
        <w:rPr/>
        <w:t>⑴</w:t>
        <w:tab/>
        <w:t>营业收入及营业成本</w:t>
      </w:r>
    </w:p>
    <w:p>
      <w:pPr>
        <w:spacing w:line="240" w:lineRule="auto" w:before="11"/>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2143"/>
        <w:gridCol w:w="1491"/>
        <w:gridCol w:w="2218"/>
        <w:gridCol w:w="749"/>
        <w:gridCol w:w="2415"/>
      </w:tblGrid>
      <w:tr>
        <w:trPr>
          <w:trHeight w:val="251" w:hRule="exact"/>
        </w:trPr>
        <w:tc>
          <w:tcPr>
            <w:tcW w:w="2143"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8" w:space="0" w:color="000000"/>
              <w:right w:val="nil" w:sz="6" w:space="0" w:color="auto"/>
            </w:tcBorders>
          </w:tcPr>
          <w:p>
            <w:pPr>
              <w:pStyle w:val="TableParagraph"/>
              <w:spacing w:line="211" w:lineRule="exact"/>
              <w:ind w:left="585"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8" w:space="0" w:color="000000"/>
              <w:right w:val="nil" w:sz="6" w:space="0" w:color="auto"/>
            </w:tcBorders>
          </w:tcPr>
          <w:p>
            <w:pPr>
              <w:pStyle w:val="TableParagraph"/>
              <w:spacing w:line="211" w:lineRule="exact"/>
              <w:ind w:left="684"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84" w:hRule="exact"/>
        </w:trPr>
        <w:tc>
          <w:tcPr>
            <w:tcW w:w="2143"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691,457,924.70</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537,445,730.53</w:t>
            </w:r>
          </w:p>
        </w:tc>
      </w:tr>
      <w:tr>
        <w:trPr>
          <w:trHeight w:val="317"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20,775,170.22</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13,428,627.22</w:t>
            </w:r>
          </w:p>
        </w:tc>
      </w:tr>
      <w:tr>
        <w:trPr>
          <w:trHeight w:val="372"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90"/>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712,233,094.92</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550,874,357.75</w:t>
            </w:r>
          </w:p>
        </w:tc>
      </w:tr>
      <w:tr>
        <w:trPr>
          <w:trHeight w:val="397"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single" w:sz="17"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439,939,827.70</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single" w:sz="17"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337,110,561.20</w:t>
            </w:r>
          </w:p>
        </w:tc>
      </w:tr>
      <w:tr>
        <w:trPr>
          <w:trHeight w:val="316"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18,261,163.63</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6,579,646.45</w:t>
            </w:r>
          </w:p>
        </w:tc>
      </w:tr>
      <w:tr>
        <w:trPr>
          <w:trHeight w:val="374"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9"/>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1491" w:type="dxa"/>
            <w:tcBorders>
              <w:top w:val="nil" w:sz="6" w:space="0" w:color="auto"/>
              <w:left w:val="nil" w:sz="6" w:space="0" w:color="auto"/>
              <w:bottom w:val="nil" w:sz="6" w:space="0" w:color="auto"/>
              <w:right w:val="nil" w:sz="6" w:space="0" w:color="auto"/>
            </w:tcBorders>
          </w:tcPr>
          <w:p>
            <w:pPr/>
          </w:p>
        </w:tc>
        <w:tc>
          <w:tcPr>
            <w:tcW w:w="221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458,200,991.33</w:t>
            </w:r>
          </w:p>
        </w:tc>
        <w:tc>
          <w:tcPr>
            <w:tcW w:w="749" w:type="dxa"/>
            <w:tcBorders>
              <w:top w:val="nil" w:sz="6" w:space="0" w:color="auto"/>
              <w:left w:val="nil" w:sz="6" w:space="0" w:color="auto"/>
              <w:bottom w:val="nil" w:sz="6" w:space="0" w:color="auto"/>
              <w:right w:val="nil" w:sz="6" w:space="0" w:color="auto"/>
            </w:tcBorders>
          </w:tcPr>
          <w:p>
            <w:pPr/>
          </w:p>
        </w:tc>
        <w:tc>
          <w:tcPr>
            <w:tcW w:w="241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343,690,207.65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tabs>
          <w:tab w:pos="1100" w:val="left" w:leader="none"/>
        </w:tabs>
        <w:spacing w:line="240" w:lineRule="auto" w:before="26"/>
        <w:ind w:left="620" w:right="145"/>
        <w:jc w:val="left"/>
      </w:pPr>
      <w:r>
        <w:rPr/>
        <w:t>⑵</w:t>
        <w:tab/>
        <w:t>主营业务（分行业）</w:t>
      </w:r>
    </w:p>
    <w:p>
      <w:pPr>
        <w:spacing w:line="240" w:lineRule="auto" w:before="1"/>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541"/>
        <w:gridCol w:w="221"/>
        <w:gridCol w:w="1688"/>
        <w:gridCol w:w="214"/>
        <w:gridCol w:w="1704"/>
        <w:gridCol w:w="228"/>
        <w:gridCol w:w="1577"/>
        <w:gridCol w:w="229"/>
        <w:gridCol w:w="1634"/>
      </w:tblGrid>
      <w:tr>
        <w:trPr>
          <w:trHeight w:val="251" w:hRule="exact"/>
        </w:trPr>
        <w:tc>
          <w:tcPr>
            <w:tcW w:w="5367"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3038"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668"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18"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0" w:hRule="exact"/>
        </w:trPr>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35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221"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 w:type="dxa"/>
            <w:tcBorders>
              <w:top w:val="single" w:sz="8" w:space="0" w:color="000000"/>
              <w:left w:val="nil" w:sz="6" w:space="0" w:color="auto"/>
              <w:bottom w:val="nil" w:sz="6" w:space="0" w:color="auto"/>
              <w:right w:val="nil" w:sz="6" w:space="0" w:color="auto"/>
            </w:tcBorders>
          </w:tcPr>
          <w:p>
            <w:pPr/>
          </w:p>
        </w:tc>
        <w:tc>
          <w:tcPr>
            <w:tcW w:w="170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3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28" w:type="dxa"/>
            <w:tcBorders>
              <w:top w:val="nil" w:sz="6" w:space="0" w:color="auto"/>
              <w:left w:val="nil" w:sz="6" w:space="0" w:color="auto"/>
              <w:bottom w:val="nil" w:sz="6" w:space="0" w:color="auto"/>
              <w:right w:val="nil" w:sz="6" w:space="0" w:color="auto"/>
            </w:tcBorders>
          </w:tcPr>
          <w:p>
            <w:pPr/>
          </w:p>
        </w:tc>
        <w:tc>
          <w:tcPr>
            <w:tcW w:w="157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29" w:type="dxa"/>
            <w:tcBorders>
              <w:top w:val="single" w:sz="8" w:space="0" w:color="000000"/>
              <w:left w:val="nil" w:sz="6" w:space="0" w:color="auto"/>
              <w:bottom w:val="nil" w:sz="6" w:space="0" w:color="auto"/>
              <w:right w:val="nil" w:sz="6" w:space="0" w:color="auto"/>
            </w:tcBorders>
          </w:tcPr>
          <w:p>
            <w:pPr/>
          </w:p>
        </w:tc>
        <w:tc>
          <w:tcPr>
            <w:tcW w:w="163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0" w:hRule="exact"/>
        </w:trPr>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1"/>
                <w:szCs w:val="21"/>
              </w:rPr>
            </w:pPr>
            <w:r>
              <w:rPr>
                <w:rFonts w:ascii="宋体" w:hAnsi="宋体" w:cs="宋体" w:eastAsia="宋体" w:hint="default"/>
                <w:sz w:val="21"/>
                <w:szCs w:val="21"/>
              </w:rPr>
              <w:t>票证印刷业</w:t>
            </w:r>
          </w:p>
        </w:tc>
        <w:tc>
          <w:tcPr>
            <w:tcW w:w="221"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691,457,924.70</w:t>
            </w:r>
          </w:p>
        </w:tc>
        <w:tc>
          <w:tcPr>
            <w:tcW w:w="214" w:type="dxa"/>
            <w:tcBorders>
              <w:top w:val="nil" w:sz="6" w:space="0" w:color="auto"/>
              <w:left w:val="nil" w:sz="6" w:space="0" w:color="auto"/>
              <w:bottom w:val="nil" w:sz="6" w:space="0" w:color="auto"/>
              <w:right w:val="nil" w:sz="6" w:space="0" w:color="auto"/>
            </w:tcBorders>
          </w:tcPr>
          <w:p>
            <w:pPr/>
          </w:p>
        </w:tc>
        <w:tc>
          <w:tcPr>
            <w:tcW w:w="170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439,939,827.70</w:t>
            </w:r>
          </w:p>
        </w:tc>
        <w:tc>
          <w:tcPr>
            <w:tcW w:w="228" w:type="dxa"/>
            <w:tcBorders>
              <w:top w:val="nil" w:sz="6" w:space="0" w:color="auto"/>
              <w:left w:val="nil" w:sz="6" w:space="0" w:color="auto"/>
              <w:bottom w:val="nil" w:sz="6" w:space="0" w:color="auto"/>
              <w:right w:val="nil" w:sz="6" w:space="0" w:color="auto"/>
            </w:tcBorders>
          </w:tcPr>
          <w:p>
            <w:pPr/>
          </w:p>
        </w:tc>
        <w:tc>
          <w:tcPr>
            <w:tcW w:w="157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98" w:right="0"/>
              <w:jc w:val="center"/>
              <w:rPr>
                <w:rFonts w:ascii="宋体" w:hAnsi="宋体" w:cs="宋体" w:eastAsia="宋体" w:hint="default"/>
                <w:sz w:val="21"/>
                <w:szCs w:val="21"/>
              </w:rPr>
            </w:pPr>
            <w:r>
              <w:rPr>
                <w:rFonts w:ascii="宋体"/>
                <w:spacing w:val="-1"/>
                <w:sz w:val="21"/>
              </w:rPr>
              <w:t>537,445,730.53</w:t>
            </w:r>
          </w:p>
        </w:tc>
        <w:tc>
          <w:tcPr>
            <w:tcW w:w="229" w:type="dxa"/>
            <w:tcBorders>
              <w:top w:val="nil" w:sz="6" w:space="0" w:color="auto"/>
              <w:left w:val="nil" w:sz="6" w:space="0" w:color="auto"/>
              <w:bottom w:val="nil" w:sz="6" w:space="0" w:color="auto"/>
              <w:right w:val="nil" w:sz="6" w:space="0" w:color="auto"/>
            </w:tcBorders>
          </w:tcPr>
          <w:p>
            <w:pPr/>
          </w:p>
        </w:tc>
        <w:tc>
          <w:tcPr>
            <w:tcW w:w="163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337,110,561.20</w:t>
            </w:r>
          </w:p>
        </w:tc>
      </w:tr>
      <w:tr>
        <w:trPr>
          <w:trHeight w:val="374"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3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1"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691,457,924.70</w:t>
            </w:r>
          </w:p>
        </w:tc>
        <w:tc>
          <w:tcPr>
            <w:tcW w:w="214" w:type="dxa"/>
            <w:tcBorders>
              <w:top w:val="nil" w:sz="6" w:space="0" w:color="auto"/>
              <w:left w:val="nil" w:sz="6" w:space="0" w:color="auto"/>
              <w:bottom w:val="nil" w:sz="6" w:space="0" w:color="auto"/>
              <w:right w:val="nil" w:sz="6" w:space="0" w:color="auto"/>
            </w:tcBorders>
          </w:tcPr>
          <w:p>
            <w:pPr/>
          </w:p>
        </w:tc>
        <w:tc>
          <w:tcPr>
            <w:tcW w:w="170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439,939,827.70</w:t>
            </w:r>
          </w:p>
        </w:tc>
        <w:tc>
          <w:tcPr>
            <w:tcW w:w="228" w:type="dxa"/>
            <w:tcBorders>
              <w:top w:val="nil" w:sz="6" w:space="0" w:color="auto"/>
              <w:left w:val="nil" w:sz="6" w:space="0" w:color="auto"/>
              <w:bottom w:val="nil" w:sz="6" w:space="0" w:color="auto"/>
              <w:right w:val="nil" w:sz="6" w:space="0" w:color="auto"/>
            </w:tcBorders>
          </w:tcPr>
          <w:p>
            <w:pPr/>
          </w:p>
        </w:tc>
        <w:tc>
          <w:tcPr>
            <w:tcW w:w="1577"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98" w:right="0"/>
              <w:jc w:val="center"/>
              <w:rPr>
                <w:rFonts w:ascii="宋体" w:hAnsi="宋体" w:cs="宋体" w:eastAsia="宋体" w:hint="default"/>
                <w:sz w:val="21"/>
                <w:szCs w:val="21"/>
              </w:rPr>
            </w:pPr>
            <w:r>
              <w:rPr>
                <w:rFonts w:ascii="宋体"/>
                <w:spacing w:val="-1"/>
                <w:sz w:val="21"/>
              </w:rPr>
              <w:t>537,445,730.53</w:t>
            </w:r>
          </w:p>
        </w:tc>
        <w:tc>
          <w:tcPr>
            <w:tcW w:w="229" w:type="dxa"/>
            <w:tcBorders>
              <w:top w:val="nil" w:sz="6" w:space="0" w:color="auto"/>
              <w:left w:val="nil" w:sz="6" w:space="0" w:color="auto"/>
              <w:bottom w:val="nil" w:sz="6" w:space="0" w:color="auto"/>
              <w:right w:val="nil" w:sz="6" w:space="0" w:color="auto"/>
            </w:tcBorders>
          </w:tcPr>
          <w:p>
            <w:pPr/>
          </w:p>
        </w:tc>
        <w:tc>
          <w:tcPr>
            <w:tcW w:w="163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337,110,561.20</w:t>
            </w:r>
          </w:p>
        </w:tc>
      </w:tr>
    </w:tbl>
    <w:p>
      <w:pPr>
        <w:spacing w:after="0" w:line="240" w:lineRule="auto"/>
        <w:jc w:val="right"/>
        <w:rPr>
          <w:rFonts w:ascii="宋体" w:hAnsi="宋体" w:cs="宋体" w:eastAsia="宋体" w:hint="default"/>
          <w:sz w:val="21"/>
          <w:szCs w:val="21"/>
        </w:rPr>
        <w:sectPr>
          <w:headerReference w:type="default" r:id="rId44"/>
          <w:pgSz w:w="11910" w:h="16840"/>
          <w:pgMar w:header="840" w:footer="944" w:top="1160" w:bottom="1140" w:left="1480" w:right="1140"/>
        </w:sectPr>
      </w:pPr>
    </w:p>
    <w:p>
      <w:pPr>
        <w:spacing w:line="240" w:lineRule="auto" w:before="1"/>
        <w:rPr>
          <w:rFonts w:ascii="宋体" w:hAnsi="宋体" w:cs="宋体" w:eastAsia="宋体" w:hint="default"/>
          <w:sz w:val="22"/>
          <w:szCs w:val="22"/>
        </w:rPr>
      </w:pPr>
    </w:p>
    <w:p>
      <w:pPr>
        <w:pStyle w:val="BodyText"/>
        <w:tabs>
          <w:tab w:pos="1100" w:val="left" w:leader="none"/>
        </w:tabs>
        <w:spacing w:line="240" w:lineRule="auto" w:before="26"/>
        <w:ind w:left="620" w:right="145"/>
        <w:jc w:val="left"/>
      </w:pPr>
      <w:r>
        <w:rPr/>
        <w:t>⑶</w:t>
        <w:tab/>
        <w:t>主营业务（分产品）</w:t>
      </w:r>
    </w:p>
    <w:p>
      <w:pPr>
        <w:spacing w:line="240" w:lineRule="auto" w:before="1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526"/>
        <w:gridCol w:w="223"/>
        <w:gridCol w:w="1695"/>
        <w:gridCol w:w="231"/>
        <w:gridCol w:w="1678"/>
        <w:gridCol w:w="230"/>
        <w:gridCol w:w="1534"/>
        <w:gridCol w:w="231"/>
        <w:gridCol w:w="1697"/>
      </w:tblGrid>
      <w:tr>
        <w:trPr>
          <w:trHeight w:val="251" w:hRule="exact"/>
        </w:trPr>
        <w:tc>
          <w:tcPr>
            <w:tcW w:w="5353"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302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692"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37"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0" w:hRule="exact"/>
        </w:trPr>
        <w:tc>
          <w:tcPr>
            <w:tcW w:w="1526"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34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8" w:space="0" w:color="000000"/>
              <w:left w:val="nil" w:sz="6" w:space="0" w:color="auto"/>
              <w:bottom w:val="nil" w:sz="6" w:space="0" w:color="auto"/>
              <w:right w:val="nil" w:sz="6" w:space="0" w:color="auto"/>
            </w:tcBorders>
          </w:tcPr>
          <w:p>
            <w:pPr/>
          </w:p>
        </w:tc>
        <w:tc>
          <w:tcPr>
            <w:tcW w:w="167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 w:type="dxa"/>
            <w:tcBorders>
              <w:top w:val="single" w:sz="8" w:space="0" w:color="000000"/>
              <w:left w:val="nil" w:sz="6" w:space="0" w:color="auto"/>
              <w:bottom w:val="nil" w:sz="6" w:space="0" w:color="auto"/>
              <w:right w:val="nil" w:sz="6" w:space="0" w:color="auto"/>
            </w:tcBorders>
          </w:tcPr>
          <w:p>
            <w:pPr/>
          </w:p>
        </w:tc>
        <w:tc>
          <w:tcPr>
            <w:tcW w:w="169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5" w:hRule="exact"/>
        </w:trPr>
        <w:tc>
          <w:tcPr>
            <w:tcW w:w="152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票证产品</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573,122,538.68</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78"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344,750,012.19</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441,707,258.91</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97"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262,437,901.38</w:t>
            </w:r>
            <w:r>
              <w:rPr>
                <w:rFonts w:ascii="宋体"/>
                <w:sz w:val="20"/>
              </w:rPr>
            </w:r>
          </w:p>
        </w:tc>
      </w:tr>
      <w:tr>
        <w:trPr>
          <w:trHeight w:val="340" w:hRule="exact"/>
        </w:trPr>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纸制品</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right"/>
              <w:rPr>
                <w:rFonts w:ascii="宋体" w:hAnsi="宋体" w:cs="宋体" w:eastAsia="宋体" w:hint="default"/>
                <w:sz w:val="20"/>
                <w:szCs w:val="20"/>
              </w:rPr>
            </w:pPr>
            <w:r>
              <w:rPr>
                <w:rFonts w:ascii="宋体"/>
                <w:w w:val="95"/>
                <w:sz w:val="20"/>
              </w:rPr>
              <w:t>47,757,577.56</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20"/>
                <w:szCs w:val="20"/>
              </w:rPr>
            </w:pPr>
            <w:r>
              <w:rPr>
                <w:rFonts w:ascii="宋体"/>
                <w:sz w:val="20"/>
              </w:rPr>
              <w:t>45,959,402.88</w:t>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right"/>
              <w:rPr>
                <w:rFonts w:ascii="宋体" w:hAnsi="宋体" w:cs="宋体" w:eastAsia="宋体" w:hint="default"/>
                <w:sz w:val="20"/>
                <w:szCs w:val="20"/>
              </w:rPr>
            </w:pPr>
            <w:r>
              <w:rPr>
                <w:rFonts w:ascii="宋体"/>
                <w:w w:val="95"/>
                <w:sz w:val="20"/>
              </w:rPr>
              <w:t>54,160,341.15</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right"/>
              <w:rPr>
                <w:rFonts w:ascii="宋体" w:hAnsi="宋体" w:cs="宋体" w:eastAsia="宋体" w:hint="default"/>
                <w:sz w:val="20"/>
                <w:szCs w:val="20"/>
              </w:rPr>
            </w:pPr>
            <w:r>
              <w:rPr>
                <w:rFonts w:ascii="宋体"/>
                <w:w w:val="95"/>
                <w:sz w:val="20"/>
              </w:rPr>
              <w:t>49,212,550.15</w:t>
            </w:r>
            <w:r>
              <w:rPr>
                <w:rFonts w:ascii="宋体"/>
                <w:sz w:val="20"/>
              </w:rPr>
            </w:r>
          </w:p>
        </w:tc>
      </w:tr>
      <w:tr>
        <w:trPr>
          <w:trHeight w:val="341" w:hRule="exact"/>
        </w:trPr>
        <w:tc>
          <w:tcPr>
            <w:tcW w:w="1526"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标签</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right"/>
              <w:rPr>
                <w:rFonts w:ascii="宋体" w:hAnsi="宋体" w:cs="宋体" w:eastAsia="宋体" w:hint="default"/>
                <w:sz w:val="20"/>
                <w:szCs w:val="20"/>
              </w:rPr>
            </w:pPr>
            <w:r>
              <w:rPr>
                <w:rFonts w:ascii="宋体"/>
                <w:w w:val="95"/>
                <w:sz w:val="20"/>
              </w:rPr>
              <w:t>30,436,987.58</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right"/>
              <w:rPr>
                <w:rFonts w:ascii="宋体" w:hAnsi="宋体" w:cs="宋体" w:eastAsia="宋体" w:hint="default"/>
                <w:sz w:val="20"/>
                <w:szCs w:val="20"/>
              </w:rPr>
            </w:pPr>
            <w:r>
              <w:rPr>
                <w:rFonts w:ascii="宋体"/>
                <w:w w:val="95"/>
                <w:sz w:val="20"/>
              </w:rPr>
              <w:t>20,350,674.51</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right"/>
              <w:rPr>
                <w:rFonts w:ascii="宋体" w:hAnsi="宋体" w:cs="宋体" w:eastAsia="宋体" w:hint="default"/>
                <w:sz w:val="20"/>
                <w:szCs w:val="20"/>
              </w:rPr>
            </w:pPr>
            <w:r>
              <w:rPr>
                <w:rFonts w:ascii="宋体"/>
                <w:w w:val="95"/>
                <w:sz w:val="20"/>
              </w:rPr>
              <w:t>15,584,421.47</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right"/>
              <w:rPr>
                <w:rFonts w:ascii="宋体" w:hAnsi="宋体" w:cs="宋体" w:eastAsia="宋体" w:hint="default"/>
                <w:sz w:val="20"/>
                <w:szCs w:val="20"/>
              </w:rPr>
            </w:pPr>
            <w:r>
              <w:rPr>
                <w:rFonts w:ascii="宋体"/>
                <w:w w:val="95"/>
                <w:sz w:val="20"/>
              </w:rPr>
              <w:t>8,516,245.78</w:t>
            </w:r>
            <w:r>
              <w:rPr>
                <w:rFonts w:ascii="宋体"/>
                <w:sz w:val="20"/>
              </w:rPr>
            </w:r>
          </w:p>
        </w:tc>
      </w:tr>
      <w:tr>
        <w:trPr>
          <w:trHeight w:val="340" w:hRule="exact"/>
        </w:trPr>
        <w:tc>
          <w:tcPr>
            <w:tcW w:w="1526"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数据产品</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right"/>
              <w:rPr>
                <w:rFonts w:ascii="宋体" w:hAnsi="宋体" w:cs="宋体" w:eastAsia="宋体" w:hint="default"/>
                <w:sz w:val="20"/>
                <w:szCs w:val="20"/>
              </w:rPr>
            </w:pPr>
            <w:r>
              <w:rPr>
                <w:rFonts w:ascii="宋体"/>
                <w:w w:val="95"/>
                <w:sz w:val="20"/>
              </w:rPr>
              <w:t>33,975,338.67</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right"/>
              <w:rPr>
                <w:rFonts w:ascii="宋体" w:hAnsi="宋体" w:cs="宋体" w:eastAsia="宋体" w:hint="default"/>
                <w:sz w:val="20"/>
                <w:szCs w:val="20"/>
              </w:rPr>
            </w:pPr>
            <w:r>
              <w:rPr>
                <w:rFonts w:ascii="宋体"/>
                <w:w w:val="95"/>
                <w:sz w:val="20"/>
              </w:rPr>
              <w:t>23,421,546.76</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right"/>
              <w:rPr>
                <w:rFonts w:ascii="宋体" w:hAnsi="宋体" w:cs="宋体" w:eastAsia="宋体" w:hint="default"/>
                <w:sz w:val="20"/>
                <w:szCs w:val="20"/>
              </w:rPr>
            </w:pPr>
            <w:r>
              <w:rPr>
                <w:rFonts w:ascii="宋体"/>
                <w:w w:val="95"/>
                <w:sz w:val="20"/>
              </w:rPr>
              <w:t>25,993,709.00</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right"/>
              <w:rPr>
                <w:rFonts w:ascii="宋体" w:hAnsi="宋体" w:cs="宋体" w:eastAsia="宋体" w:hint="default"/>
                <w:sz w:val="20"/>
                <w:szCs w:val="20"/>
              </w:rPr>
            </w:pPr>
            <w:r>
              <w:rPr>
                <w:rFonts w:ascii="宋体"/>
                <w:w w:val="95"/>
                <w:sz w:val="20"/>
              </w:rPr>
              <w:t>16,943,863.89</w:t>
            </w:r>
            <w:r>
              <w:rPr>
                <w:rFonts w:ascii="宋体"/>
                <w:sz w:val="20"/>
              </w:rPr>
            </w:r>
          </w:p>
        </w:tc>
      </w:tr>
      <w:tr>
        <w:trPr>
          <w:trHeight w:val="316" w:hRule="exact"/>
        </w:trPr>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彩印</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3"/>
              <w:jc w:val="right"/>
              <w:rPr>
                <w:rFonts w:ascii="宋体" w:hAnsi="宋体" w:cs="宋体" w:eastAsia="宋体" w:hint="default"/>
                <w:sz w:val="20"/>
                <w:szCs w:val="20"/>
              </w:rPr>
            </w:pPr>
            <w:r>
              <w:rPr>
                <w:rFonts w:ascii="宋体"/>
                <w:w w:val="95"/>
                <w:sz w:val="20"/>
              </w:rPr>
              <w:t>6,165,482.21</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3"/>
              <w:jc w:val="right"/>
              <w:rPr>
                <w:rFonts w:ascii="宋体" w:hAnsi="宋体" w:cs="宋体" w:eastAsia="宋体" w:hint="default"/>
                <w:sz w:val="20"/>
                <w:szCs w:val="20"/>
              </w:rPr>
            </w:pPr>
            <w:r>
              <w:rPr>
                <w:rFonts w:ascii="宋体"/>
                <w:w w:val="95"/>
                <w:sz w:val="20"/>
              </w:rPr>
              <w:t>5,458,191.36</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8" w:space="0" w:color="000000"/>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8" w:space="0" w:color="000000"/>
              <w:right w:val="nil" w:sz="6" w:space="0" w:color="auto"/>
            </w:tcBorders>
          </w:tcPr>
          <w:p>
            <w:pPr/>
          </w:p>
        </w:tc>
      </w:tr>
      <w:tr>
        <w:trPr>
          <w:trHeight w:val="374" w:hRule="exact"/>
        </w:trPr>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99"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3"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691,457,924.70</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7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439,939,827.70</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534"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537,445,730.53</w:t>
            </w:r>
            <w:r>
              <w:rPr>
                <w:rFonts w:ascii="宋体"/>
                <w:sz w:val="20"/>
              </w:rPr>
            </w:r>
          </w:p>
        </w:tc>
        <w:tc>
          <w:tcPr>
            <w:tcW w:w="231" w:type="dxa"/>
            <w:tcBorders>
              <w:top w:val="nil" w:sz="6" w:space="0" w:color="auto"/>
              <w:left w:val="nil" w:sz="6" w:space="0" w:color="auto"/>
              <w:bottom w:val="nil" w:sz="6" w:space="0" w:color="auto"/>
              <w:right w:val="nil" w:sz="6" w:space="0" w:color="auto"/>
            </w:tcBorders>
          </w:tcPr>
          <w:p>
            <w:pPr/>
          </w:p>
        </w:tc>
        <w:tc>
          <w:tcPr>
            <w:tcW w:w="1697"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2"/>
              <w:jc w:val="right"/>
              <w:rPr>
                <w:rFonts w:ascii="宋体" w:hAnsi="宋体" w:cs="宋体" w:eastAsia="宋体" w:hint="default"/>
                <w:sz w:val="20"/>
                <w:szCs w:val="20"/>
              </w:rPr>
            </w:pPr>
            <w:r>
              <w:rPr>
                <w:rFonts w:ascii="宋体"/>
                <w:w w:val="95"/>
                <w:sz w:val="20"/>
              </w:rPr>
              <w:t>337,110,561.20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tabs>
          <w:tab w:pos="1100" w:val="left" w:leader="none"/>
        </w:tabs>
        <w:spacing w:line="240" w:lineRule="auto" w:before="26"/>
        <w:ind w:left="620" w:right="145"/>
        <w:jc w:val="left"/>
      </w:pPr>
      <w:r>
        <w:rPr/>
        <w:t>⑷</w:t>
        <w:tab/>
        <w:t>主营业务（分地区）</w:t>
      </w:r>
    </w:p>
    <w:p>
      <w:pPr>
        <w:spacing w:line="240" w:lineRule="auto" w:before="1"/>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498"/>
        <w:gridCol w:w="223"/>
        <w:gridCol w:w="1685"/>
        <w:gridCol w:w="216"/>
        <w:gridCol w:w="1692"/>
        <w:gridCol w:w="283"/>
        <w:gridCol w:w="1536"/>
        <w:gridCol w:w="214"/>
        <w:gridCol w:w="1675"/>
      </w:tblGrid>
      <w:tr>
        <w:trPr>
          <w:trHeight w:val="251" w:hRule="exact"/>
        </w:trPr>
        <w:tc>
          <w:tcPr>
            <w:tcW w:w="5315"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990"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709"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7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0" w:hRule="exact"/>
        </w:trPr>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328"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 w:type="dxa"/>
            <w:tcBorders>
              <w:top w:val="single" w:sz="8" w:space="0" w:color="000000"/>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3"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 w:type="dxa"/>
            <w:tcBorders>
              <w:top w:val="single" w:sz="8" w:space="0" w:color="000000"/>
              <w:left w:val="nil" w:sz="6" w:space="0" w:color="auto"/>
              <w:bottom w:val="nil" w:sz="6" w:space="0" w:color="auto"/>
              <w:right w:val="nil" w:sz="6" w:space="0" w:color="auto"/>
            </w:tcBorders>
          </w:tcPr>
          <w:p>
            <w:pP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4" w:hRule="exact"/>
        </w:trPr>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690,124,119.09</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438,979,195.81</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536,190,895.31</w:t>
            </w:r>
          </w:p>
        </w:tc>
        <w:tc>
          <w:tcPr>
            <w:tcW w:w="214" w:type="dxa"/>
            <w:tcBorders>
              <w:top w:val="nil" w:sz="6" w:space="0" w:color="auto"/>
              <w:left w:val="nil" w:sz="6" w:space="0" w:color="auto"/>
              <w:bottom w:val="nil" w:sz="6" w:space="0" w:color="auto"/>
              <w:right w:val="nil" w:sz="6" w:space="0" w:color="auto"/>
            </w:tcBorders>
          </w:tcPr>
          <w:p>
            <w:pPr/>
          </w:p>
        </w:tc>
        <w:tc>
          <w:tcPr>
            <w:tcW w:w="167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336,203,208.63</w:t>
            </w:r>
          </w:p>
        </w:tc>
      </w:tr>
      <w:tr>
        <w:trPr>
          <w:trHeight w:val="317"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8"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1,333,805.61</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1"/>
              <w:jc w:val="right"/>
              <w:rPr>
                <w:rFonts w:ascii="宋体" w:hAnsi="宋体" w:cs="宋体" w:eastAsia="宋体" w:hint="default"/>
                <w:sz w:val="20"/>
                <w:szCs w:val="20"/>
              </w:rPr>
            </w:pPr>
            <w:r>
              <w:rPr>
                <w:rFonts w:ascii="宋体"/>
                <w:w w:val="95"/>
                <w:sz w:val="20"/>
              </w:rPr>
              <w:t>960,631.89</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8"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1,254,835.22</w:t>
            </w:r>
          </w:p>
        </w:tc>
        <w:tc>
          <w:tcPr>
            <w:tcW w:w="21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8"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907,352.57</w:t>
            </w:r>
          </w:p>
        </w:tc>
      </w:tr>
      <w:tr>
        <w:trPr>
          <w:trHeight w:val="374"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8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691,457,924.70</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439,939,827.70</w:t>
            </w:r>
            <w:r>
              <w:rPr>
                <w:rFonts w:ascii="宋体"/>
                <w:sz w:val="20"/>
              </w:rPr>
            </w:r>
          </w:p>
        </w:tc>
        <w:tc>
          <w:tcPr>
            <w:tcW w:w="283" w:type="dxa"/>
            <w:tcBorders>
              <w:top w:val="nil" w:sz="6" w:space="0" w:color="auto"/>
              <w:left w:val="nil" w:sz="6" w:space="0" w:color="auto"/>
              <w:bottom w:val="nil" w:sz="6" w:space="0" w:color="auto"/>
              <w:right w:val="nil" w:sz="6" w:space="0" w:color="auto"/>
            </w:tcBorders>
          </w:tcPr>
          <w:p>
            <w:pPr/>
          </w:p>
        </w:tc>
        <w:tc>
          <w:tcPr>
            <w:tcW w:w="1536"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537,445,730.53</w:t>
            </w:r>
          </w:p>
        </w:tc>
        <w:tc>
          <w:tcPr>
            <w:tcW w:w="214" w:type="dxa"/>
            <w:tcBorders>
              <w:top w:val="nil" w:sz="6" w:space="0" w:color="auto"/>
              <w:left w:val="nil" w:sz="6" w:space="0" w:color="auto"/>
              <w:bottom w:val="nil" w:sz="6" w:space="0" w:color="auto"/>
              <w:right w:val="nil" w:sz="6" w:space="0" w:color="auto"/>
            </w:tcBorders>
          </w:tcPr>
          <w:p>
            <w:pPr/>
          </w:p>
        </w:tc>
        <w:tc>
          <w:tcPr>
            <w:tcW w:w="1675"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337,110,561.20</w:t>
            </w:r>
          </w:p>
        </w:tc>
      </w:tr>
    </w:tbl>
    <w:p>
      <w:pPr>
        <w:spacing w:line="240" w:lineRule="auto" w:before="2"/>
        <w:rPr>
          <w:rFonts w:ascii="宋体" w:hAnsi="宋体" w:cs="宋体" w:eastAsia="宋体" w:hint="default"/>
          <w:sz w:val="12"/>
          <w:szCs w:val="12"/>
        </w:rPr>
      </w:pPr>
    </w:p>
    <w:p>
      <w:pPr>
        <w:pStyle w:val="BodyText"/>
        <w:tabs>
          <w:tab w:pos="1100" w:val="left" w:leader="none"/>
        </w:tabs>
        <w:spacing w:line="240" w:lineRule="auto" w:before="26"/>
        <w:ind w:left="620" w:right="145"/>
        <w:jc w:val="left"/>
      </w:pPr>
      <w:r>
        <w:rPr/>
        <w:t>⑸</w:t>
        <w:tab/>
        <w:t>前五名客户的主营业务收入情况</w:t>
      </w:r>
    </w:p>
    <w:p>
      <w:pPr>
        <w:spacing w:line="240" w:lineRule="auto" w:before="4"/>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83"/>
        <w:gridCol w:w="785"/>
        <w:gridCol w:w="3051"/>
        <w:gridCol w:w="410"/>
        <w:gridCol w:w="2501"/>
      </w:tblGrid>
      <w:tr>
        <w:trPr>
          <w:trHeight w:val="285" w:hRule="exact"/>
        </w:trPr>
        <w:tc>
          <w:tcPr>
            <w:tcW w:w="2283"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2"/>
                <w:sz w:val="21"/>
                <w:szCs w:val="21"/>
              </w:rPr>
              <w:t> </w:t>
            </w:r>
            <w:r>
              <w:rPr>
                <w:rFonts w:ascii="宋体" w:hAnsi="宋体" w:cs="宋体" w:eastAsia="宋体" w:hint="default"/>
                <w:sz w:val="21"/>
                <w:szCs w:val="21"/>
              </w:rPr>
              <w:t>间</w:t>
            </w:r>
          </w:p>
        </w:tc>
        <w:tc>
          <w:tcPr>
            <w:tcW w:w="785" w:type="dxa"/>
            <w:tcBorders>
              <w:top w:val="nil" w:sz="6" w:space="0" w:color="auto"/>
              <w:left w:val="nil" w:sz="6" w:space="0" w:color="auto"/>
              <w:bottom w:val="nil" w:sz="6" w:space="0" w:color="auto"/>
              <w:right w:val="nil" w:sz="6" w:space="0" w:color="auto"/>
            </w:tcBorders>
          </w:tcPr>
          <w:p>
            <w:pPr/>
          </w:p>
        </w:tc>
        <w:tc>
          <w:tcPr>
            <w:tcW w:w="3051" w:type="dxa"/>
            <w:tcBorders>
              <w:top w:val="nil" w:sz="6" w:space="0" w:color="auto"/>
              <w:left w:val="nil" w:sz="6" w:space="0" w:color="auto"/>
              <w:bottom w:val="single" w:sz="8" w:space="0" w:color="000000"/>
              <w:right w:val="nil" w:sz="6" w:space="0" w:color="auto"/>
            </w:tcBorders>
          </w:tcPr>
          <w:p>
            <w:pPr>
              <w:pStyle w:val="TableParagraph"/>
              <w:spacing w:line="211" w:lineRule="exact"/>
              <w:ind w:left="158" w:right="0"/>
              <w:jc w:val="left"/>
              <w:rPr>
                <w:rFonts w:ascii="宋体" w:hAnsi="宋体" w:cs="宋体" w:eastAsia="宋体" w:hint="default"/>
                <w:sz w:val="21"/>
                <w:szCs w:val="21"/>
              </w:rPr>
            </w:pPr>
            <w:r>
              <w:rPr>
                <w:rFonts w:ascii="宋体" w:hAnsi="宋体" w:cs="宋体" w:eastAsia="宋体" w:hint="default"/>
                <w:sz w:val="21"/>
                <w:szCs w:val="21"/>
              </w:rPr>
              <w:t>前五名客户主营业务收入合计</w:t>
            </w:r>
          </w:p>
        </w:tc>
        <w:tc>
          <w:tcPr>
            <w:tcW w:w="41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8"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占主营业务收入的比例</w:t>
            </w:r>
          </w:p>
        </w:tc>
      </w:tr>
      <w:tr>
        <w:trPr>
          <w:trHeight w:val="350" w:hRule="exact"/>
        </w:trPr>
        <w:tc>
          <w:tcPr>
            <w:tcW w:w="228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85" w:type="dxa"/>
            <w:tcBorders>
              <w:top w:val="nil" w:sz="6" w:space="0" w:color="auto"/>
              <w:left w:val="nil" w:sz="6" w:space="0" w:color="auto"/>
              <w:bottom w:val="nil" w:sz="6" w:space="0" w:color="auto"/>
              <w:right w:val="nil" w:sz="6" w:space="0" w:color="auto"/>
            </w:tcBorders>
          </w:tcPr>
          <w:p>
            <w:pPr/>
          </w:p>
        </w:tc>
        <w:tc>
          <w:tcPr>
            <w:tcW w:w="305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spacing w:val="-1"/>
                <w:sz w:val="21"/>
              </w:rPr>
              <w:t>93,166,888.40</w:t>
            </w:r>
          </w:p>
        </w:tc>
        <w:tc>
          <w:tcPr>
            <w:tcW w:w="410" w:type="dxa"/>
            <w:tcBorders>
              <w:top w:val="nil" w:sz="6" w:space="0" w:color="auto"/>
              <w:left w:val="nil" w:sz="6" w:space="0" w:color="auto"/>
              <w:bottom w:val="nil" w:sz="6" w:space="0" w:color="auto"/>
              <w:right w:val="nil" w:sz="6" w:space="0" w:color="auto"/>
            </w:tcBorders>
          </w:tcPr>
          <w:p>
            <w:pPr/>
          </w:p>
        </w:tc>
        <w:tc>
          <w:tcPr>
            <w:tcW w:w="250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5" w:right="0"/>
              <w:jc w:val="center"/>
              <w:rPr>
                <w:rFonts w:ascii="宋体" w:hAnsi="宋体" w:cs="宋体" w:eastAsia="宋体" w:hint="default"/>
                <w:sz w:val="21"/>
                <w:szCs w:val="21"/>
              </w:rPr>
            </w:pPr>
            <w:r>
              <w:rPr>
                <w:rFonts w:ascii="宋体"/>
                <w:sz w:val="21"/>
              </w:rPr>
              <w:t>13.47%</w:t>
            </w:r>
          </w:p>
        </w:tc>
      </w:tr>
      <w:tr>
        <w:trPr>
          <w:trHeight w:val="275"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85" w:type="dxa"/>
            <w:tcBorders>
              <w:top w:val="nil" w:sz="6" w:space="0" w:color="auto"/>
              <w:left w:val="nil" w:sz="6" w:space="0" w:color="auto"/>
              <w:bottom w:val="nil" w:sz="6" w:space="0" w:color="auto"/>
              <w:right w:val="nil" w:sz="6" w:space="0" w:color="auto"/>
            </w:tcBorders>
          </w:tcPr>
          <w:p>
            <w:pP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104,170,936.49</w:t>
            </w:r>
          </w:p>
        </w:tc>
        <w:tc>
          <w:tcPr>
            <w:tcW w:w="41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ind w:left="5" w:right="0"/>
              <w:jc w:val="center"/>
              <w:rPr>
                <w:rFonts w:ascii="宋体" w:hAnsi="宋体" w:cs="宋体" w:eastAsia="宋体" w:hint="default"/>
                <w:sz w:val="21"/>
                <w:szCs w:val="21"/>
              </w:rPr>
            </w:pPr>
            <w:r>
              <w:rPr>
                <w:rFonts w:ascii="宋体"/>
                <w:sz w:val="21"/>
              </w:rPr>
              <w:t>19.38%</w:t>
            </w:r>
          </w:p>
        </w:tc>
      </w:tr>
    </w:tbl>
    <w:p>
      <w:pPr>
        <w:spacing w:line="240" w:lineRule="auto" w:before="0"/>
        <w:rPr>
          <w:rFonts w:ascii="宋体" w:hAnsi="宋体" w:cs="宋体" w:eastAsia="宋体" w:hint="default"/>
          <w:sz w:val="20"/>
          <w:szCs w:val="20"/>
        </w:rPr>
      </w:pPr>
    </w:p>
    <w:p>
      <w:pPr>
        <w:pStyle w:val="Heading2"/>
        <w:tabs>
          <w:tab w:pos="1400" w:val="left" w:leader="none"/>
        </w:tabs>
        <w:spacing w:line="240" w:lineRule="auto" w:before="91"/>
        <w:ind w:right="145"/>
        <w:jc w:val="left"/>
        <w:rPr>
          <w:b w:val="0"/>
          <w:bCs w:val="0"/>
        </w:rPr>
      </w:pPr>
      <w:r>
        <w:rPr>
          <w:rFonts w:ascii="Times New Roman" w:hAnsi="Times New Roman" w:cs="Times New Roman" w:eastAsia="Times New Roman" w:hint="default"/>
        </w:rPr>
        <w:t>30</w:t>
      </w:r>
      <w:r>
        <w:rPr/>
        <w:t>、</w:t>
        <w:tab/>
        <w:t>营业税金及附加</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2566"/>
        <w:gridCol w:w="987"/>
        <w:gridCol w:w="2276"/>
        <w:gridCol w:w="1133"/>
        <w:gridCol w:w="2069"/>
      </w:tblGrid>
      <w:tr>
        <w:trPr>
          <w:trHeight w:val="254" w:hRule="exact"/>
        </w:trPr>
        <w:tc>
          <w:tcPr>
            <w:tcW w:w="2566" w:type="dxa"/>
            <w:tcBorders>
              <w:top w:val="nil" w:sz="6" w:space="0" w:color="auto"/>
              <w:left w:val="nil" w:sz="6" w:space="0" w:color="auto"/>
              <w:bottom w:val="single" w:sz="8" w:space="0" w:color="000000"/>
              <w:right w:val="nil" w:sz="6" w:space="0" w:color="auto"/>
            </w:tcBorders>
          </w:tcPr>
          <w:p>
            <w:pPr>
              <w:pStyle w:val="TableParagraph"/>
              <w:tabs>
                <w:tab w:pos="525" w:val="left" w:leader="none"/>
              </w:tabs>
              <w:spacing w:line="211" w:lineRule="exact"/>
              <w:ind w:right="91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987"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8" w:space="0" w:color="000000"/>
              <w:right w:val="nil" w:sz="6" w:space="0" w:color="auto"/>
            </w:tcBorders>
          </w:tcPr>
          <w:p>
            <w:pPr>
              <w:pStyle w:val="TableParagraph"/>
              <w:spacing w:line="211"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13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8" w:space="0" w:color="000000"/>
              <w:right w:val="nil" w:sz="6" w:space="0" w:color="auto"/>
            </w:tcBorders>
          </w:tcPr>
          <w:p>
            <w:pPr>
              <w:pStyle w:val="TableParagraph"/>
              <w:spacing w:line="211" w:lineRule="exact"/>
              <w:ind w:left="50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82" w:hRule="exact"/>
        </w:trPr>
        <w:tc>
          <w:tcPr>
            <w:tcW w:w="2566"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987" w:type="dxa"/>
            <w:tcBorders>
              <w:top w:val="nil" w:sz="6" w:space="0" w:color="auto"/>
              <w:left w:val="nil" w:sz="6" w:space="0" w:color="auto"/>
              <w:bottom w:val="nil" w:sz="6" w:space="0" w:color="auto"/>
              <w:right w:val="nil" w:sz="6" w:space="0" w:color="auto"/>
            </w:tcBorders>
          </w:tcPr>
          <w:p>
            <w:pPr/>
          </w:p>
        </w:tc>
        <w:tc>
          <w:tcPr>
            <w:tcW w:w="2276"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568,354.93</w:t>
            </w:r>
          </w:p>
        </w:tc>
        <w:tc>
          <w:tcPr>
            <w:tcW w:w="1133" w:type="dxa"/>
            <w:tcBorders>
              <w:top w:val="nil" w:sz="6" w:space="0" w:color="auto"/>
              <w:left w:val="nil" w:sz="6" w:space="0" w:color="auto"/>
              <w:bottom w:val="nil" w:sz="6" w:space="0" w:color="auto"/>
              <w:right w:val="nil" w:sz="6" w:space="0" w:color="auto"/>
            </w:tcBorders>
          </w:tcPr>
          <w:p>
            <w:pPr/>
          </w:p>
        </w:tc>
        <w:tc>
          <w:tcPr>
            <w:tcW w:w="2069"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447,463.42</w:t>
            </w:r>
          </w:p>
        </w:tc>
      </w:tr>
      <w:tr>
        <w:trPr>
          <w:trHeight w:val="341"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987"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112,586.36</w:t>
            </w:r>
          </w:p>
        </w:tc>
        <w:tc>
          <w:tcPr>
            <w:tcW w:w="113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183,773.63</w:t>
            </w:r>
          </w:p>
        </w:tc>
      </w:tr>
      <w:tr>
        <w:trPr>
          <w:trHeight w:val="340"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987"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65,651.43</w:t>
            </w:r>
          </w:p>
        </w:tc>
        <w:tc>
          <w:tcPr>
            <w:tcW w:w="113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115,219.08</w:t>
            </w:r>
          </w:p>
        </w:tc>
      </w:tr>
      <w:tr>
        <w:trPr>
          <w:trHeight w:val="317"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987"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114,240.00</w:t>
            </w:r>
          </w:p>
        </w:tc>
        <w:tc>
          <w:tcPr>
            <w:tcW w:w="1133"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8" w:space="0" w:color="000000"/>
              <w:right w:val="nil" w:sz="6" w:space="0" w:color="auto"/>
            </w:tcBorders>
          </w:tcPr>
          <w:p>
            <w:pPr/>
          </w:p>
        </w:tc>
      </w:tr>
      <w:tr>
        <w:trPr>
          <w:trHeight w:val="374" w:hRule="exact"/>
        </w:trPr>
        <w:tc>
          <w:tcPr>
            <w:tcW w:w="256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
              <w:ind w:right="9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987" w:type="dxa"/>
            <w:tcBorders>
              <w:top w:val="nil" w:sz="6" w:space="0" w:color="auto"/>
              <w:left w:val="nil" w:sz="6" w:space="0" w:color="auto"/>
              <w:bottom w:val="nil" w:sz="6" w:space="0" w:color="auto"/>
              <w:right w:val="nil" w:sz="6" w:space="0" w:color="auto"/>
            </w:tcBorders>
          </w:tcPr>
          <w:p>
            <w:pPr/>
          </w:p>
        </w:tc>
        <w:tc>
          <w:tcPr>
            <w:tcW w:w="2276"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860,832.72</w:t>
            </w:r>
          </w:p>
        </w:tc>
        <w:tc>
          <w:tcPr>
            <w:tcW w:w="1133" w:type="dxa"/>
            <w:tcBorders>
              <w:top w:val="nil" w:sz="6" w:space="0" w:color="auto"/>
              <w:left w:val="nil" w:sz="6" w:space="0" w:color="auto"/>
              <w:bottom w:val="nil" w:sz="6" w:space="0" w:color="auto"/>
              <w:right w:val="nil" w:sz="6" w:space="0" w:color="auto"/>
            </w:tcBorders>
          </w:tcPr>
          <w:p>
            <w:pPr/>
          </w:p>
        </w:tc>
        <w:tc>
          <w:tcPr>
            <w:tcW w:w="2069"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746,456.13</w:t>
            </w:r>
          </w:p>
        </w:tc>
      </w:tr>
    </w:tbl>
    <w:p>
      <w:pPr>
        <w:tabs>
          <w:tab w:pos="1400" w:val="left" w:leader="none"/>
        </w:tabs>
        <w:spacing w:line="381" w:lineRule="auto" w:before="39"/>
        <w:ind w:left="620" w:right="2665" w:firstLine="0"/>
        <w:jc w:val="left"/>
        <w:rPr>
          <w:rFonts w:ascii="Microsoft JhengHei" w:hAnsi="Microsoft JhengHei" w:cs="Microsoft JhengHei" w:eastAsia="Microsoft JhengHei" w:hint="default"/>
          <w:sz w:val="24"/>
          <w:szCs w:val="24"/>
        </w:rPr>
      </w:pPr>
      <w:r>
        <w:rPr/>
        <w:pict>
          <v:shape style="position:absolute;margin-left:80.304001pt;margin-top:52.760632pt;width:451.55pt;height:119.8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0"/>
                    <w:gridCol w:w="953"/>
                    <w:gridCol w:w="2280"/>
                    <w:gridCol w:w="1106"/>
                    <w:gridCol w:w="2100"/>
                  </w:tblGrid>
                  <w:tr>
                    <w:trPr>
                      <w:trHeight w:val="251" w:hRule="exact"/>
                    </w:trPr>
                    <w:tc>
                      <w:tcPr>
                        <w:tcW w:w="2590" w:type="dxa"/>
                        <w:tcBorders>
                          <w:top w:val="nil" w:sz="6" w:space="0" w:color="auto"/>
                          <w:left w:val="nil" w:sz="6" w:space="0" w:color="auto"/>
                          <w:bottom w:val="single" w:sz="8" w:space="0" w:color="000000"/>
                          <w:right w:val="nil" w:sz="6" w:space="0" w:color="auto"/>
                        </w:tcBorders>
                      </w:tcPr>
                      <w:p>
                        <w:pPr>
                          <w:pStyle w:val="TableParagraph"/>
                          <w:tabs>
                            <w:tab w:pos="424" w:val="left" w:leader="none"/>
                          </w:tabs>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8" w:space="0" w:color="000000"/>
                          <w:right w:val="nil" w:sz="6" w:space="0" w:color="auto"/>
                        </w:tcBorders>
                      </w:tcPr>
                      <w:p>
                        <w:pPr>
                          <w:pStyle w:val="TableParagraph"/>
                          <w:spacing w:line="211"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8" w:space="0" w:color="000000"/>
                          <w:right w:val="nil" w:sz="6" w:space="0" w:color="auto"/>
                        </w:tcBorders>
                      </w:tcPr>
                      <w:p>
                        <w:pPr>
                          <w:pStyle w:val="TableParagraph"/>
                          <w:spacing w:line="21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22" w:hRule="exact"/>
                    </w:trPr>
                    <w:tc>
                      <w:tcPr>
                        <w:tcW w:w="2590" w:type="dxa"/>
                        <w:tcBorders>
                          <w:top w:val="single" w:sz="8" w:space="0" w:color="000000"/>
                          <w:left w:val="nil" w:sz="6" w:space="0" w:color="auto"/>
                          <w:bottom w:val="nil" w:sz="6" w:space="0" w:color="auto"/>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single" w:sz="8" w:space="0" w:color="000000"/>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18,994,341.72</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single" w:sz="8" w:space="0" w:color="000000"/>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16,231,738.97</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9,166,429.53</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13,227,662.40</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11,084,383.10</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10,024,138.28</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5,650,831.21</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1,909,649.00</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7,005,230.60</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4,720,886.26</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物耗</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1,700,351.54</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508,334.00</w:t>
                        </w:r>
                      </w:p>
                    </w:tc>
                  </w:tr>
                  <w:tr>
                    <w:trPr>
                      <w:trHeight w:val="26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95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1,365,936.36</w:t>
                        </w:r>
                      </w:p>
                    </w:tc>
                    <w:tc>
                      <w:tcPr>
                        <w:tcW w:w="110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933,482.22</w:t>
                        </w:r>
                      </w:p>
                    </w:tc>
                  </w:tr>
                </w:tbl>
                <w:p>
                  <w:pPr/>
                </w:p>
              </w:txbxContent>
            </v:textbox>
            <w10:wrap type="none"/>
          </v:shape>
        </w:pict>
      </w:r>
      <w:r>
        <w:rPr>
          <w:rFonts w:ascii="宋体" w:hAnsi="宋体" w:cs="宋体" w:eastAsia="宋体" w:hint="default"/>
          <w:sz w:val="24"/>
          <w:szCs w:val="24"/>
        </w:rPr>
        <w:t>注：各项营业税金及附加的计缴标准详见附注五、税项。 </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w:t>
        <w:tab/>
        <w:t>销售费用</w:t>
      </w:r>
      <w:r>
        <w:rPr>
          <w:rFonts w:ascii="Microsoft JhengHei" w:hAnsi="Microsoft JhengHei" w:cs="Microsoft JhengHei" w:eastAsia="Microsoft JhengHei" w:hint="default"/>
          <w:sz w:val="24"/>
          <w:szCs w:val="24"/>
        </w:rPr>
      </w:r>
    </w:p>
    <w:p>
      <w:pPr>
        <w:spacing w:after="0" w:line="381" w:lineRule="auto"/>
        <w:jc w:val="left"/>
        <w:rPr>
          <w:rFonts w:ascii="Microsoft JhengHei" w:hAnsi="Microsoft JhengHei" w:cs="Microsoft JhengHei" w:eastAsia="Microsoft JhengHei" w:hint="default"/>
          <w:sz w:val="24"/>
          <w:szCs w:val="24"/>
        </w:rPr>
        <w:sectPr>
          <w:pgSz w:w="11910" w:h="16840"/>
          <w:pgMar w:header="840" w:footer="944" w:top="1160" w:bottom="1140" w:left="1480" w:right="1140"/>
        </w:sectPr>
      </w:pPr>
    </w:p>
    <w:p>
      <w:pPr>
        <w:spacing w:line="240" w:lineRule="auto" w:before="2"/>
        <w:rPr>
          <w:rFonts w:ascii="Microsoft JhengHei" w:hAnsi="Microsoft JhengHei" w:cs="Microsoft JhengHei" w:eastAsia="Microsoft JhengHei" w:hint="default"/>
          <w:b/>
          <w:bCs/>
          <w:sz w:val="2"/>
          <w:szCs w:val="2"/>
        </w:rPr>
      </w:pPr>
      <w:r>
        <w:rPr/>
        <w:pict>
          <v:shape style="position:absolute;margin-left:81.300003pt;margin-top:41.999985pt;width:18pt;height:15.75pt;mso-position-horizontal-relative:page;mso-position-vertical-relative:page;z-index:-744808" type="#_x0000_t75" stroked="false">
            <v:imagedata r:id="rId7" o:title=""/>
          </v:shape>
        </w:pict>
      </w:r>
    </w:p>
    <w:tbl>
      <w:tblPr>
        <w:tblW w:w="0" w:type="auto"/>
        <w:jc w:val="left"/>
        <w:tblInd w:w="111" w:type="dxa"/>
        <w:tblLayout w:type="fixed"/>
        <w:tblCellMar>
          <w:top w:w="0" w:type="dxa"/>
          <w:left w:w="0" w:type="dxa"/>
          <w:bottom w:w="0" w:type="dxa"/>
          <w:right w:w="0" w:type="dxa"/>
        </w:tblCellMar>
        <w:tblLook w:val="01E0"/>
      </w:tblPr>
      <w:tblGrid>
        <w:gridCol w:w="3557"/>
        <w:gridCol w:w="2280"/>
        <w:gridCol w:w="1099"/>
        <w:gridCol w:w="2122"/>
      </w:tblGrid>
      <w:tr>
        <w:trPr>
          <w:trHeight w:val="592" w:hRule="exact"/>
        </w:trPr>
        <w:tc>
          <w:tcPr>
            <w:tcW w:w="3557"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电话邮政</w:t>
            </w:r>
          </w:p>
        </w:tc>
        <w:tc>
          <w:tcPr>
            <w:tcW w:w="2280"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1,117,004.88</w:t>
            </w:r>
          </w:p>
        </w:tc>
        <w:tc>
          <w:tcPr>
            <w:tcW w:w="1099" w:type="dxa"/>
            <w:tcBorders>
              <w:top w:val="single" w:sz="6" w:space="0" w:color="000000"/>
              <w:left w:val="nil" w:sz="6" w:space="0" w:color="auto"/>
              <w:bottom w:val="nil" w:sz="6" w:space="0" w:color="auto"/>
              <w:right w:val="nil" w:sz="6" w:space="0" w:color="auto"/>
            </w:tcBorders>
          </w:tcPr>
          <w:p>
            <w:pPr/>
          </w:p>
        </w:tc>
        <w:tc>
          <w:tcPr>
            <w:tcW w:w="2122"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17"/>
              <w:jc w:val="right"/>
              <w:rPr>
                <w:rFonts w:ascii="宋体" w:hAnsi="宋体" w:cs="宋体" w:eastAsia="宋体" w:hint="default"/>
                <w:sz w:val="21"/>
                <w:szCs w:val="21"/>
              </w:rPr>
            </w:pPr>
            <w:r>
              <w:rPr>
                <w:rFonts w:ascii="宋体"/>
                <w:spacing w:val="-1"/>
                <w:sz w:val="21"/>
              </w:rPr>
              <w:t>690,158.72</w:t>
            </w:r>
          </w:p>
        </w:tc>
      </w:tr>
      <w:tr>
        <w:trPr>
          <w:trHeight w:val="312"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住宿费</w:t>
            </w:r>
          </w:p>
        </w:tc>
        <w:tc>
          <w:tcPr>
            <w:tcW w:w="2280"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1,094,331.92</w:t>
            </w:r>
          </w:p>
        </w:tc>
        <w:tc>
          <w:tcPr>
            <w:tcW w:w="1099"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62" w:lineRule="exact"/>
              <w:ind w:right="117"/>
              <w:jc w:val="right"/>
              <w:rPr>
                <w:rFonts w:ascii="宋体" w:hAnsi="宋体" w:cs="宋体" w:eastAsia="宋体" w:hint="default"/>
                <w:sz w:val="21"/>
                <w:szCs w:val="21"/>
              </w:rPr>
            </w:pPr>
            <w:r>
              <w:rPr>
                <w:rFonts w:ascii="宋体"/>
                <w:spacing w:val="-1"/>
                <w:sz w:val="21"/>
              </w:rPr>
              <w:t>1,592,517.17</w:t>
            </w:r>
          </w:p>
        </w:tc>
      </w:tr>
      <w:tr>
        <w:trPr>
          <w:trHeight w:val="318"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61" w:lineRule="exact"/>
              <w:ind w:left="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80" w:type="dxa"/>
            <w:tcBorders>
              <w:top w:val="nil" w:sz="6" w:space="0" w:color="auto"/>
              <w:left w:val="nil" w:sz="6" w:space="0" w:color="auto"/>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4,653,314.34</w:t>
            </w:r>
          </w:p>
        </w:tc>
        <w:tc>
          <w:tcPr>
            <w:tcW w:w="1099"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4" w:space="0" w:color="000000"/>
              <w:right w:val="nil" w:sz="6" w:space="0" w:color="auto"/>
            </w:tcBorders>
          </w:tcPr>
          <w:p>
            <w:pPr>
              <w:pStyle w:val="TableParagraph"/>
              <w:spacing w:line="261" w:lineRule="exact"/>
              <w:ind w:right="117"/>
              <w:jc w:val="right"/>
              <w:rPr>
                <w:rFonts w:ascii="宋体" w:hAnsi="宋体" w:cs="宋体" w:eastAsia="宋体" w:hint="default"/>
                <w:sz w:val="21"/>
                <w:szCs w:val="21"/>
              </w:rPr>
            </w:pPr>
            <w:r>
              <w:rPr>
                <w:rFonts w:ascii="宋体"/>
                <w:spacing w:val="-1"/>
                <w:sz w:val="21"/>
              </w:rPr>
              <w:t>6,858,129.22</w:t>
            </w:r>
          </w:p>
        </w:tc>
      </w:tr>
      <w:tr>
        <w:trPr>
          <w:trHeight w:val="341" w:hRule="exact"/>
        </w:trPr>
        <w:tc>
          <w:tcPr>
            <w:tcW w:w="3557" w:type="dxa"/>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40" w:lineRule="auto" w:before="11"/>
              <w:ind w:left="9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0" w:type="dxa"/>
            <w:tcBorders>
              <w:top w:val="single" w:sz="4" w:space="0" w:color="000000"/>
              <w:left w:val="nil" w:sz="6" w:space="0" w:color="auto"/>
              <w:bottom w:val="single" w:sz="17" w:space="0" w:color="000000"/>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61,832,155.20</w:t>
            </w:r>
          </w:p>
        </w:tc>
        <w:tc>
          <w:tcPr>
            <w:tcW w:w="1099" w:type="dxa"/>
            <w:tcBorders>
              <w:top w:val="nil" w:sz="6" w:space="0" w:color="auto"/>
              <w:left w:val="nil" w:sz="6" w:space="0" w:color="auto"/>
              <w:bottom w:val="nil" w:sz="6" w:space="0" w:color="auto"/>
              <w:right w:val="nil" w:sz="6" w:space="0" w:color="auto"/>
            </w:tcBorders>
          </w:tcPr>
          <w:p>
            <w:pPr/>
          </w:p>
        </w:tc>
        <w:tc>
          <w:tcPr>
            <w:tcW w:w="2122" w:type="dxa"/>
            <w:tcBorders>
              <w:top w:val="single" w:sz="4" w:space="0" w:color="000000"/>
              <w:left w:val="nil" w:sz="6" w:space="0" w:color="auto"/>
              <w:bottom w:val="single" w:sz="17" w:space="0" w:color="000000"/>
              <w:right w:val="nil" w:sz="6" w:space="0" w:color="auto"/>
            </w:tcBorders>
          </w:tcPr>
          <w:p>
            <w:pPr>
              <w:pStyle w:val="TableParagraph"/>
              <w:spacing w:line="260" w:lineRule="exact"/>
              <w:ind w:right="117"/>
              <w:jc w:val="right"/>
              <w:rPr>
                <w:rFonts w:ascii="宋体" w:hAnsi="宋体" w:cs="宋体" w:eastAsia="宋体" w:hint="default"/>
                <w:sz w:val="21"/>
                <w:szCs w:val="21"/>
              </w:rPr>
            </w:pPr>
            <w:r>
              <w:rPr>
                <w:rFonts w:ascii="宋体"/>
                <w:spacing w:val="-1"/>
                <w:sz w:val="21"/>
              </w:rPr>
              <w:t>56,696,696.24</w:t>
            </w:r>
          </w:p>
        </w:tc>
      </w:tr>
    </w:tbl>
    <w:p>
      <w:pPr>
        <w:spacing w:line="240" w:lineRule="auto" w:before="16"/>
        <w:rPr>
          <w:rFonts w:ascii="Microsoft JhengHei" w:hAnsi="Microsoft JhengHei" w:cs="Microsoft JhengHei" w:eastAsia="Microsoft JhengHei" w:hint="default"/>
          <w:b/>
          <w:bCs/>
          <w:sz w:val="10"/>
          <w:szCs w:val="10"/>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32</w:t>
      </w:r>
      <w:r>
        <w:rPr/>
        <w:t>、</w:t>
        <w:tab/>
        <w:t>管理费用</w:t>
      </w:r>
      <w:r>
        <w:rPr>
          <w:b w:val="0"/>
          <w:bCs w:val="0"/>
        </w:rPr>
      </w:r>
    </w:p>
    <w:p>
      <w:pPr>
        <w:spacing w:line="240" w:lineRule="auto" w:before="9"/>
        <w:rPr>
          <w:rFonts w:ascii="Microsoft JhengHei" w:hAnsi="Microsoft JhengHei" w:cs="Microsoft JhengHei" w:eastAsia="Microsoft JhengHei"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2590"/>
        <w:gridCol w:w="946"/>
        <w:gridCol w:w="2276"/>
        <w:gridCol w:w="1085"/>
        <w:gridCol w:w="2093"/>
      </w:tblGrid>
      <w:tr>
        <w:trPr>
          <w:trHeight w:val="253" w:hRule="exact"/>
        </w:trPr>
        <w:tc>
          <w:tcPr>
            <w:tcW w:w="2590"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97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8" w:space="0" w:color="000000"/>
              <w:right w:val="nil" w:sz="6" w:space="0" w:color="auto"/>
            </w:tcBorders>
          </w:tcPr>
          <w:p>
            <w:pPr>
              <w:pStyle w:val="TableParagraph"/>
              <w:spacing w:line="211"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8" w:space="0" w:color="000000"/>
              <w:right w:val="nil" w:sz="6" w:space="0" w:color="auto"/>
            </w:tcBorders>
          </w:tcPr>
          <w:p>
            <w:pPr>
              <w:pStyle w:val="TableParagraph"/>
              <w:spacing w:line="21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42" w:hRule="exact"/>
        </w:trPr>
        <w:tc>
          <w:tcPr>
            <w:tcW w:w="2590"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38,137,691.10</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24,815,546.63</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7,788,114.75</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7,711,163.83</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5,051,635.73</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3,936,833.73</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5,827,320.14</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3,991,467.11</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3,097,784.50</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2,312,920.50</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1,912,001.91</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2,048,867.78</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2,816,648.32</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2,119,923.47</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1,421,756.02</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981,221.52</w:t>
            </w:r>
          </w:p>
        </w:tc>
      </w:tr>
      <w:tr>
        <w:trPr>
          <w:trHeight w:val="31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0"/>
                <w:szCs w:val="20"/>
              </w:rPr>
            </w:pPr>
            <w:r>
              <w:rPr>
                <w:rFonts w:ascii="宋体"/>
                <w:w w:val="95"/>
                <w:sz w:val="20"/>
              </w:rPr>
              <w:t>1,087,849.44</w:t>
            </w:r>
            <w:r>
              <w:rPr>
                <w:rFonts w:ascii="宋体"/>
                <w:sz w:val="20"/>
              </w:rPr>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1,612,463.74</w:t>
            </w:r>
          </w:p>
        </w:tc>
      </w:tr>
      <w:tr>
        <w:trPr>
          <w:trHeight w:val="296"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ind w:right="107"/>
              <w:jc w:val="right"/>
              <w:rPr>
                <w:rFonts w:ascii="宋体" w:hAnsi="宋体" w:cs="宋体" w:eastAsia="宋体" w:hint="default"/>
                <w:sz w:val="20"/>
                <w:szCs w:val="20"/>
              </w:rPr>
            </w:pPr>
            <w:r>
              <w:rPr>
                <w:rFonts w:ascii="宋体"/>
                <w:w w:val="95"/>
                <w:sz w:val="20"/>
              </w:rPr>
              <w:t>12,562,232.23</w:t>
            </w:r>
            <w:r>
              <w:rPr>
                <w:rFonts w:ascii="宋体"/>
                <w:sz w:val="20"/>
              </w:rPr>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13,086,840.19</w:t>
            </w:r>
          </w:p>
        </w:tc>
      </w:tr>
      <w:tr>
        <w:trPr>
          <w:trHeight w:val="341" w:hRule="exact"/>
        </w:trPr>
        <w:tc>
          <w:tcPr>
            <w:tcW w:w="259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1"/>
              <w:ind w:right="97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94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79,703,034.14</w:t>
            </w:r>
          </w:p>
        </w:tc>
        <w:tc>
          <w:tcPr>
            <w:tcW w:w="1085"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7"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62,617,248.50</w:t>
            </w:r>
          </w:p>
        </w:tc>
      </w:tr>
    </w:tbl>
    <w:p>
      <w:pPr>
        <w:spacing w:line="240" w:lineRule="auto" w:before="6"/>
        <w:rPr>
          <w:rFonts w:ascii="Microsoft JhengHei" w:hAnsi="Microsoft JhengHei" w:cs="Microsoft JhengHei" w:eastAsia="Microsoft JhengHei" w:hint="default"/>
          <w:b/>
          <w:bCs/>
          <w:sz w:val="19"/>
          <w:szCs w:val="19"/>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33</w:t>
      </w:r>
      <w:r>
        <w:rPr/>
        <w:t>、</w:t>
        <w:tab/>
        <w:t>财务费用</w:t>
      </w:r>
      <w:r>
        <w:rPr>
          <w:b w:val="0"/>
          <w:bCs w:val="0"/>
        </w:rPr>
      </w:r>
    </w:p>
    <w:p>
      <w:pPr>
        <w:spacing w:line="240" w:lineRule="auto" w:before="15"/>
        <w:rPr>
          <w:rFonts w:ascii="Microsoft JhengHei" w:hAnsi="Microsoft JhengHei" w:cs="Microsoft JhengHei" w:eastAsia="Microsoft JhengHei"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2885"/>
        <w:gridCol w:w="651"/>
        <w:gridCol w:w="2288"/>
        <w:gridCol w:w="1116"/>
        <w:gridCol w:w="2050"/>
      </w:tblGrid>
      <w:tr>
        <w:trPr>
          <w:trHeight w:val="251" w:hRule="exact"/>
        </w:trPr>
        <w:tc>
          <w:tcPr>
            <w:tcW w:w="2885"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11" w:lineRule="exact"/>
              <w:ind w:left="62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11" w:lineRule="exact"/>
              <w:ind w:left="502"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8" w:hRule="exact"/>
        </w:trPr>
        <w:tc>
          <w:tcPr>
            <w:tcW w:w="2885" w:type="dxa"/>
            <w:tcBorders>
              <w:top w:val="single" w:sz="8" w:space="0" w:color="000000"/>
              <w:left w:val="nil" w:sz="6" w:space="0" w:color="auto"/>
              <w:bottom w:val="nil" w:sz="6" w:space="0" w:color="auto"/>
              <w:right w:val="nil" w:sz="6" w:space="0" w:color="auto"/>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7,769,576.18</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nil" w:sz="6" w:space="0" w:color="auto"/>
              <w:right w:val="nil" w:sz="6" w:space="0" w:color="auto"/>
            </w:tcBorders>
          </w:tcPr>
          <w:p>
            <w:pPr>
              <w:pStyle w:val="TableParagraph"/>
              <w:spacing w:line="253" w:lineRule="exact"/>
              <w:ind w:right="108"/>
              <w:jc w:val="right"/>
              <w:rPr>
                <w:rFonts w:ascii="宋体" w:hAnsi="宋体" w:cs="宋体" w:eastAsia="宋体" w:hint="default"/>
                <w:sz w:val="21"/>
                <w:szCs w:val="21"/>
              </w:rPr>
            </w:pPr>
            <w:r>
              <w:rPr>
                <w:rFonts w:ascii="宋体"/>
                <w:spacing w:val="-1"/>
                <w:sz w:val="21"/>
              </w:rPr>
              <w:t>343,642.50</w:t>
            </w:r>
          </w:p>
        </w:tc>
      </w:tr>
      <w:tr>
        <w:trPr>
          <w:trHeight w:val="283"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1,172,712.22</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7" w:lineRule="exact"/>
              <w:ind w:right="108"/>
              <w:jc w:val="right"/>
              <w:rPr>
                <w:rFonts w:ascii="宋体" w:hAnsi="宋体" w:cs="宋体" w:eastAsia="宋体" w:hint="default"/>
                <w:sz w:val="21"/>
                <w:szCs w:val="21"/>
              </w:rPr>
            </w:pPr>
            <w:r>
              <w:rPr>
                <w:rFonts w:ascii="宋体"/>
                <w:spacing w:val="-1"/>
                <w:sz w:val="21"/>
              </w:rPr>
              <w:t>872,075.35</w:t>
            </w:r>
          </w:p>
        </w:tc>
      </w:tr>
      <w:tr>
        <w:trPr>
          <w:trHeight w:val="283"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282"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229,679.17</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7" w:lineRule="exact"/>
              <w:ind w:right="108"/>
              <w:jc w:val="right"/>
              <w:rPr>
                <w:rFonts w:ascii="宋体" w:hAnsi="宋体" w:cs="宋体" w:eastAsia="宋体" w:hint="default"/>
                <w:sz w:val="21"/>
                <w:szCs w:val="21"/>
              </w:rPr>
            </w:pPr>
            <w:r>
              <w:rPr>
                <w:rFonts w:ascii="宋体"/>
                <w:spacing w:val="-1"/>
                <w:sz w:val="21"/>
              </w:rPr>
              <w:t>297,673.53</w:t>
            </w:r>
          </w:p>
        </w:tc>
      </w:tr>
      <w:tr>
        <w:trPr>
          <w:trHeight w:val="288"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258,758.36</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spacing w:val="-1"/>
                <w:sz w:val="21"/>
              </w:rPr>
              <w:t>355,107.21</w:t>
            </w:r>
          </w:p>
        </w:tc>
      </w:tr>
      <w:tr>
        <w:trPr>
          <w:trHeight w:val="317" w:hRule="exact"/>
        </w:trPr>
        <w:tc>
          <w:tcPr>
            <w:tcW w:w="2885"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7,085,301.49</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8"/>
              <w:jc w:val="right"/>
              <w:rPr>
                <w:rFonts w:ascii="宋体" w:hAnsi="宋体" w:cs="宋体" w:eastAsia="宋体" w:hint="default"/>
                <w:sz w:val="21"/>
                <w:szCs w:val="21"/>
              </w:rPr>
            </w:pPr>
            <w:r>
              <w:rPr>
                <w:rFonts w:ascii="宋体"/>
                <w:spacing w:val="-1"/>
                <w:sz w:val="21"/>
              </w:rPr>
              <w:t>124,347.89</w:t>
            </w:r>
          </w:p>
        </w:tc>
      </w:tr>
    </w:tbl>
    <w:p>
      <w:pPr>
        <w:spacing w:line="240" w:lineRule="auto" w:before="16"/>
        <w:rPr>
          <w:rFonts w:ascii="Microsoft JhengHei" w:hAnsi="Microsoft JhengHei" w:cs="Microsoft JhengHei" w:eastAsia="Microsoft JhengHei" w:hint="default"/>
          <w:b/>
          <w:bCs/>
          <w:sz w:val="10"/>
          <w:szCs w:val="10"/>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34</w:t>
      </w:r>
      <w:r>
        <w:rPr/>
        <w:t>、</w:t>
        <w:tab/>
        <w:t>资产减值损失</w:t>
      </w:r>
      <w:r>
        <w:rPr>
          <w:b w:val="0"/>
          <w:bCs w:val="0"/>
        </w:rPr>
      </w:r>
    </w:p>
    <w:p>
      <w:pPr>
        <w:spacing w:line="240" w:lineRule="auto" w:before="15"/>
        <w:rPr>
          <w:rFonts w:ascii="Microsoft JhengHei" w:hAnsi="Microsoft JhengHei" w:cs="Microsoft JhengHei" w:eastAsia="Microsoft JhengHei"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2900"/>
        <w:gridCol w:w="651"/>
        <w:gridCol w:w="2218"/>
        <w:gridCol w:w="1183"/>
        <w:gridCol w:w="2052"/>
      </w:tblGrid>
      <w:tr>
        <w:trPr>
          <w:trHeight w:val="253" w:hRule="exact"/>
        </w:trPr>
        <w:tc>
          <w:tcPr>
            <w:tcW w:w="2900"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13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65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8" w:space="0" w:color="000000"/>
              <w:right w:val="nil" w:sz="6" w:space="0" w:color="auto"/>
            </w:tcBorders>
          </w:tcPr>
          <w:p>
            <w:pPr>
              <w:pStyle w:val="TableParagraph"/>
              <w:spacing w:line="211" w:lineRule="exact"/>
              <w:ind w:left="585"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1183"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11" w:lineRule="exact"/>
              <w:ind w:left="504"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6" w:hRule="exact"/>
        </w:trPr>
        <w:tc>
          <w:tcPr>
            <w:tcW w:w="2900" w:type="dxa"/>
            <w:tcBorders>
              <w:top w:val="single" w:sz="8" w:space="0" w:color="000000"/>
              <w:left w:val="nil" w:sz="6" w:space="0" w:color="auto"/>
              <w:bottom w:val="nil" w:sz="6" w:space="0" w:color="auto"/>
              <w:right w:val="nil" w:sz="6" w:space="0" w:color="auto"/>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651" w:type="dxa"/>
            <w:tcBorders>
              <w:top w:val="nil" w:sz="6" w:space="0" w:color="auto"/>
              <w:left w:val="nil" w:sz="6" w:space="0" w:color="auto"/>
              <w:bottom w:val="nil" w:sz="6" w:space="0" w:color="auto"/>
              <w:right w:val="nil" w:sz="6" w:space="0" w:color="auto"/>
            </w:tcBorders>
          </w:tcPr>
          <w:p>
            <w:pPr/>
          </w:p>
        </w:tc>
        <w:tc>
          <w:tcPr>
            <w:tcW w:w="2218" w:type="dxa"/>
            <w:tcBorders>
              <w:top w:val="single" w:sz="8" w:space="0" w:color="000000"/>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2,035,981.94</w:t>
            </w:r>
          </w:p>
        </w:tc>
        <w:tc>
          <w:tcPr>
            <w:tcW w:w="1183" w:type="dxa"/>
            <w:tcBorders>
              <w:top w:val="nil" w:sz="6" w:space="0" w:color="auto"/>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-114,682.09</w:t>
            </w:r>
          </w:p>
        </w:tc>
      </w:tr>
      <w:tr>
        <w:trPr>
          <w:trHeight w:val="290"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651"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8" w:space="0" w:color="000000"/>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-951,239.67</w:t>
            </w:r>
          </w:p>
        </w:tc>
      </w:tr>
      <w:tr>
        <w:trPr>
          <w:trHeight w:val="317" w:hRule="exact"/>
        </w:trPr>
        <w:tc>
          <w:tcPr>
            <w:tcW w:w="290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55" w:lineRule="exact"/>
              <w:ind w:right="113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651" w:type="dxa"/>
            <w:tcBorders>
              <w:top w:val="nil" w:sz="6" w:space="0" w:color="auto"/>
              <w:left w:val="nil" w:sz="6" w:space="0" w:color="auto"/>
              <w:bottom w:val="nil" w:sz="6" w:space="0" w:color="auto"/>
              <w:right w:val="nil" w:sz="6" w:space="0" w:color="auto"/>
            </w:tcBorders>
          </w:tcPr>
          <w:p>
            <w:pPr/>
          </w:p>
        </w:tc>
        <w:tc>
          <w:tcPr>
            <w:tcW w:w="2218"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2,035,981.94</w:t>
            </w:r>
          </w:p>
        </w:tc>
        <w:tc>
          <w:tcPr>
            <w:tcW w:w="1183" w:type="dxa"/>
            <w:tcBorders>
              <w:top w:val="nil" w:sz="6" w:space="0" w:color="auto"/>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-1,065,921.76</w:t>
            </w:r>
          </w:p>
        </w:tc>
      </w:tr>
    </w:tbl>
    <w:p>
      <w:pPr>
        <w:spacing w:line="240" w:lineRule="auto" w:before="16"/>
        <w:rPr>
          <w:rFonts w:ascii="Microsoft JhengHei" w:hAnsi="Microsoft JhengHei" w:cs="Microsoft JhengHei" w:eastAsia="Microsoft JhengHei" w:hint="default"/>
          <w:b/>
          <w:bCs/>
          <w:sz w:val="10"/>
          <w:szCs w:val="10"/>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35</w:t>
      </w:r>
      <w:r>
        <w:rPr/>
        <w:t>、</w:t>
        <w:tab/>
        <w:t>营业外收入</w:t>
      </w:r>
      <w:r>
        <w:rPr>
          <w:b w:val="0"/>
          <w:bCs w:val="0"/>
        </w:rPr>
      </w:r>
    </w:p>
    <w:p>
      <w:pPr>
        <w:spacing w:line="240" w:lineRule="auto" w:before="15"/>
        <w:rPr>
          <w:rFonts w:ascii="Microsoft JhengHei" w:hAnsi="Microsoft JhengHei" w:cs="Microsoft JhengHei" w:eastAsia="Microsoft JhengHei"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2914"/>
        <w:gridCol w:w="2050"/>
        <w:gridCol w:w="1827"/>
        <w:gridCol w:w="391"/>
        <w:gridCol w:w="1793"/>
      </w:tblGrid>
      <w:tr>
        <w:trPr>
          <w:trHeight w:val="251" w:hRule="exact"/>
        </w:trPr>
        <w:tc>
          <w:tcPr>
            <w:tcW w:w="2914"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single" w:sz="8" w:space="0" w:color="000000"/>
              <w:right w:val="nil" w:sz="6" w:space="0" w:color="auto"/>
            </w:tcBorders>
          </w:tcPr>
          <w:p>
            <w:pPr>
              <w:pStyle w:val="TableParagraph"/>
              <w:spacing w:line="21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8" w:space="0" w:color="000000"/>
              <w:right w:val="nil" w:sz="6" w:space="0" w:color="auto"/>
            </w:tcBorders>
          </w:tcPr>
          <w:p>
            <w:pPr>
              <w:pStyle w:val="TableParagraph"/>
              <w:spacing w:line="211" w:lineRule="exact"/>
              <w:ind w:left="370"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9" w:hRule="exact"/>
        </w:trPr>
        <w:tc>
          <w:tcPr>
            <w:tcW w:w="2914" w:type="dxa"/>
            <w:tcBorders>
              <w:top w:val="single" w:sz="8" w:space="0" w:color="000000"/>
              <w:left w:val="nil" w:sz="6" w:space="0" w:color="auto"/>
              <w:bottom w:val="nil" w:sz="6" w:space="0" w:color="auto"/>
              <w:right w:val="nil" w:sz="6" w:space="0" w:color="auto"/>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非流动资产处臵利得合计</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z w:val="21"/>
              </w:rPr>
              <w:t>12.65</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1,221.40</w:t>
            </w:r>
          </w:p>
        </w:tc>
      </w:tr>
      <w:tr>
        <w:trPr>
          <w:trHeight w:val="28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7" w:lineRule="exact"/>
              <w:ind w:left="422" w:right="0"/>
              <w:jc w:val="left"/>
              <w:rPr>
                <w:rFonts w:ascii="宋体" w:hAnsi="宋体" w:cs="宋体" w:eastAsia="宋体" w:hint="default"/>
                <w:sz w:val="21"/>
                <w:szCs w:val="21"/>
              </w:rPr>
            </w:pPr>
            <w:r>
              <w:rPr>
                <w:rFonts w:ascii="宋体" w:hAnsi="宋体" w:cs="宋体" w:eastAsia="宋体" w:hint="default"/>
                <w:sz w:val="21"/>
                <w:szCs w:val="21"/>
              </w:rPr>
              <w:t>其中：固定资产处臵利得</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z w:val="21"/>
              </w:rPr>
              <w:t>12.65</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1,221.40</w:t>
            </w:r>
          </w:p>
        </w:tc>
      </w:tr>
      <w:tr>
        <w:trPr>
          <w:trHeight w:val="28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罚款</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152,216.82</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121,482.25</w:t>
            </w:r>
          </w:p>
        </w:tc>
      </w:tr>
      <w:tr>
        <w:trPr>
          <w:trHeight w:val="28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政府补助（详见下表）</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1,356,370.00</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2,873,674.52</w:t>
            </w:r>
          </w:p>
        </w:tc>
      </w:tr>
      <w:tr>
        <w:trPr>
          <w:trHeight w:val="287"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520,771.87</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437,208.99</w:t>
            </w:r>
          </w:p>
        </w:tc>
      </w:tr>
      <w:tr>
        <w:trPr>
          <w:trHeight w:val="317" w:hRule="exact"/>
        </w:trPr>
        <w:tc>
          <w:tcPr>
            <w:tcW w:w="2914"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50" w:type="dxa"/>
            <w:tcBorders>
              <w:top w:val="nil" w:sz="6" w:space="0" w:color="auto"/>
              <w:left w:val="nil" w:sz="6" w:space="0" w:color="auto"/>
              <w:bottom w:val="nil" w:sz="6" w:space="0" w:color="auto"/>
              <w:right w:val="nil" w:sz="6" w:space="0" w:color="auto"/>
            </w:tcBorders>
          </w:tcPr>
          <w:p>
            <w:pPr/>
          </w:p>
        </w:tc>
        <w:tc>
          <w:tcPr>
            <w:tcW w:w="1827"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2,029,371.34</w:t>
            </w:r>
          </w:p>
        </w:tc>
        <w:tc>
          <w:tcPr>
            <w:tcW w:w="391" w:type="dxa"/>
            <w:tcBorders>
              <w:top w:val="nil" w:sz="6" w:space="0" w:color="auto"/>
              <w:left w:val="nil" w:sz="6" w:space="0" w:color="auto"/>
              <w:bottom w:val="nil" w:sz="6" w:space="0" w:color="auto"/>
              <w:right w:val="nil" w:sz="6" w:space="0" w:color="auto"/>
            </w:tcBorders>
          </w:tcPr>
          <w:p>
            <w:pPr/>
          </w:p>
        </w:tc>
        <w:tc>
          <w:tcPr>
            <w:tcW w:w="1793"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3,433,587.16</w:t>
            </w:r>
          </w:p>
        </w:tc>
      </w:tr>
    </w:tbl>
    <w:p>
      <w:pPr>
        <w:spacing w:after="0" w:line="253" w:lineRule="exact"/>
        <w:jc w:val="right"/>
        <w:rPr>
          <w:rFonts w:ascii="宋体" w:hAnsi="宋体" w:cs="宋体" w:eastAsia="宋体" w:hint="default"/>
          <w:sz w:val="21"/>
          <w:szCs w:val="21"/>
        </w:rPr>
        <w:sectPr>
          <w:headerReference w:type="default" r:id="rId45"/>
          <w:pgSz w:w="11910" w:h="16840"/>
          <w:pgMar w:header="915" w:footer="944" w:top="1100" w:bottom="1140" w:left="1480" w:right="1140"/>
        </w:sectPr>
      </w:pPr>
    </w:p>
    <w:p>
      <w:pPr>
        <w:spacing w:line="240" w:lineRule="auto" w:before="6"/>
        <w:rPr>
          <w:rFonts w:ascii="Microsoft JhengHei" w:hAnsi="Microsoft JhengHei" w:cs="Microsoft JhengHei" w:eastAsia="Microsoft JhengHei" w:hint="default"/>
          <w:b/>
          <w:bCs/>
          <w:sz w:val="21"/>
          <w:szCs w:val="21"/>
        </w:rPr>
      </w:pPr>
      <w:r>
        <w:rPr/>
        <w:pict>
          <v:group style="position:absolute;margin-left:79.223999pt;margin-top:41.999985pt;width:453.7pt;height:16.3500pt;mso-position-horizontal-relative:page;mso-position-vertical-relative:page;z-index:2968" coordorigin="1584,840" coordsize="9074,327">
            <v:group style="position:absolute;left:1592;top:1159;width:9059;height:2" coordorigin="1592,1159" coordsize="9059,2">
              <v:shape style="position:absolute;left:1592;top:1159;width:9059;height:2" coordorigin="1592,1159" coordsize="9059,0" path="m1592,1159l10651,1159e" filled="false" stroked="true" strokeweight=".72pt" strokecolor="#000000">
                <v:path arrowok="t"/>
              </v:shape>
              <v:shape style="position:absolute;left:1626;top:840;width:360;height:315" type="#_x0000_t75" stroked="false">
                <v:imagedata r:id="rId7" o:title=""/>
              </v:shape>
            </v:group>
            <w10:wrap type="none"/>
          </v:group>
        </w:pict>
      </w:r>
    </w:p>
    <w:p>
      <w:pPr>
        <w:pStyle w:val="BodyText"/>
        <w:spacing w:line="240" w:lineRule="auto" w:before="26"/>
        <w:ind w:left="620" w:right="145"/>
        <w:jc w:val="left"/>
      </w:pPr>
      <w:r>
        <w:rPr/>
        <w:t>其中，政府补助明细：</w:t>
      </w:r>
    </w:p>
    <w:p>
      <w:pPr>
        <w:spacing w:line="240" w:lineRule="auto" w:before="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4452"/>
        <w:gridCol w:w="483"/>
        <w:gridCol w:w="1841"/>
        <w:gridCol w:w="437"/>
        <w:gridCol w:w="1747"/>
      </w:tblGrid>
      <w:tr>
        <w:trPr>
          <w:trHeight w:val="251" w:hRule="exact"/>
        </w:trPr>
        <w:tc>
          <w:tcPr>
            <w:tcW w:w="4452" w:type="dxa"/>
            <w:tcBorders>
              <w:top w:val="nil" w:sz="6" w:space="0" w:color="auto"/>
              <w:left w:val="nil" w:sz="6" w:space="0" w:color="auto"/>
              <w:bottom w:val="single" w:sz="8" w:space="0" w:color="000000"/>
              <w:right w:val="nil" w:sz="6" w:space="0" w:color="auto"/>
            </w:tcBorders>
          </w:tcPr>
          <w:p>
            <w:pPr>
              <w:pStyle w:val="TableParagraph"/>
              <w:tabs>
                <w:tab w:pos="425"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8" w:space="0" w:color="000000"/>
              <w:right w:val="nil" w:sz="6" w:space="0" w:color="auto"/>
            </w:tcBorders>
          </w:tcPr>
          <w:p>
            <w:pPr>
              <w:pStyle w:val="TableParagraph"/>
              <w:spacing w:line="211"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single" w:sz="8" w:space="0" w:color="000000"/>
              <w:right w:val="nil" w:sz="6" w:space="0" w:color="auto"/>
            </w:tcBorders>
          </w:tcPr>
          <w:p>
            <w:pPr>
              <w:pStyle w:val="TableParagraph"/>
              <w:spacing w:line="211" w:lineRule="exact"/>
              <w:ind w:left="348"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9" w:hRule="exact"/>
        </w:trPr>
        <w:tc>
          <w:tcPr>
            <w:tcW w:w="4452" w:type="dxa"/>
            <w:tcBorders>
              <w:top w:val="single" w:sz="8" w:space="0" w:color="000000"/>
              <w:left w:val="nil" w:sz="6" w:space="0" w:color="auto"/>
              <w:bottom w:val="nil" w:sz="6" w:space="0" w:color="auto"/>
              <w:right w:val="nil" w:sz="6" w:space="0" w:color="auto"/>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西宁经济技术开发区纳税奖励款</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single" w:sz="8" w:space="0" w:color="000000"/>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single" w:sz="8" w:space="0" w:color="000000"/>
              <w:left w:val="nil" w:sz="6" w:space="0" w:color="auto"/>
              <w:bottom w:val="nil" w:sz="6" w:space="0" w:color="auto"/>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pacing w:val="-1"/>
                <w:sz w:val="21"/>
              </w:rPr>
              <w:t>334,468.52</w:t>
            </w: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679,000.00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904,400.00</w:t>
            </w: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山东省专利保护技术鉴定中心专利资助费</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500.00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济南市历城区科学技术局奖金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30,000.00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山东省知识产权局专利发展资金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2,500.00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专利奖励</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900.00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2"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济南市知识产权局经费</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50,000.00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2"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济南市人事局就业见习补贴</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20,970.00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济南市财政局省级信息技术推广应用专项资金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100,000.00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历城财政局</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年第三批市级环保专项资金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300,000.00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4"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历城区财政局日本美国市场考察费</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20,000.00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山东省知识产权局专利发展资金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2,500.00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银行卡单据制作系统专项资金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150,000.00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财政局奖励款</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1,000,000.00</w:t>
            </w: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财政局奖励款</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100,000.00</w:t>
            </w: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历城科学技术局研究开发资金</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8,000.00</w:t>
            </w: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历城区知识产权局</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年专利二等奖</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20,000.00</w:t>
            </w:r>
          </w:p>
        </w:tc>
      </w:tr>
      <w:tr>
        <w:trPr>
          <w:trHeight w:val="28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济南市历城区财政局款</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100,000.00</w:t>
            </w:r>
          </w:p>
        </w:tc>
      </w:tr>
      <w:tr>
        <w:trPr>
          <w:trHeight w:val="282"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济南市财政款</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306,806.00</w:t>
            </w:r>
          </w:p>
        </w:tc>
      </w:tr>
      <w:tr>
        <w:trPr>
          <w:trHeight w:val="288"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8" w:space="0" w:color="000000"/>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single" w:sz="8"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100,000.00</w:t>
            </w:r>
          </w:p>
        </w:tc>
      </w:tr>
      <w:tr>
        <w:trPr>
          <w:trHeight w:val="317" w:hRule="exact"/>
        </w:trPr>
        <w:tc>
          <w:tcPr>
            <w:tcW w:w="4452"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83" w:type="dxa"/>
            <w:tcBorders>
              <w:top w:val="nil" w:sz="6" w:space="0" w:color="auto"/>
              <w:left w:val="nil" w:sz="6" w:space="0" w:color="auto"/>
              <w:bottom w:val="nil" w:sz="6" w:space="0" w:color="auto"/>
              <w:right w:val="nil" w:sz="6" w:space="0" w:color="auto"/>
            </w:tcBorders>
          </w:tcPr>
          <w:p>
            <w:pPr/>
          </w:p>
        </w:tc>
        <w:tc>
          <w:tcPr>
            <w:tcW w:w="1841"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1,356,370.00</w:t>
            </w:r>
          </w:p>
        </w:tc>
        <w:tc>
          <w:tcPr>
            <w:tcW w:w="437" w:type="dxa"/>
            <w:tcBorders>
              <w:top w:val="nil" w:sz="6" w:space="0" w:color="auto"/>
              <w:left w:val="nil" w:sz="6" w:space="0" w:color="auto"/>
              <w:bottom w:val="nil" w:sz="6" w:space="0" w:color="auto"/>
              <w:right w:val="nil" w:sz="6" w:space="0" w:color="auto"/>
            </w:tcBorders>
          </w:tcPr>
          <w:p>
            <w:pPr/>
          </w:p>
        </w:tc>
        <w:tc>
          <w:tcPr>
            <w:tcW w:w="1747"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pacing w:val="-1"/>
                <w:sz w:val="21"/>
              </w:rPr>
              <w:t>2,873,674.52</w:t>
            </w:r>
          </w:p>
        </w:tc>
      </w:tr>
    </w:tbl>
    <w:p>
      <w:pPr>
        <w:spacing w:line="240" w:lineRule="auto" w:before="10"/>
        <w:rPr>
          <w:rFonts w:ascii="宋体" w:hAnsi="宋体" w:cs="宋体" w:eastAsia="宋体" w:hint="default"/>
          <w:sz w:val="25"/>
          <w:szCs w:val="25"/>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36</w:t>
      </w:r>
      <w:r>
        <w:rPr/>
        <w:t>、</w:t>
        <w:tab/>
        <w:t>营业外支出</w:t>
      </w:r>
      <w:r>
        <w:rPr>
          <w:b w:val="0"/>
          <w:bCs w:val="0"/>
        </w:rPr>
      </w:r>
    </w:p>
    <w:p>
      <w:pPr>
        <w:spacing w:line="240" w:lineRule="auto" w:before="15"/>
        <w:rPr>
          <w:rFonts w:ascii="Microsoft JhengHei" w:hAnsi="Microsoft JhengHei" w:cs="Microsoft JhengHei" w:eastAsia="Microsoft JhengHei"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4467"/>
        <w:gridCol w:w="483"/>
        <w:gridCol w:w="1826"/>
        <w:gridCol w:w="442"/>
        <w:gridCol w:w="1743"/>
      </w:tblGrid>
      <w:tr>
        <w:trPr>
          <w:trHeight w:val="251" w:hRule="exact"/>
        </w:trPr>
        <w:tc>
          <w:tcPr>
            <w:tcW w:w="4467" w:type="dxa"/>
            <w:tcBorders>
              <w:top w:val="nil" w:sz="6" w:space="0" w:color="auto"/>
              <w:left w:val="nil" w:sz="6" w:space="0" w:color="auto"/>
              <w:bottom w:val="single" w:sz="8" w:space="0" w:color="000000"/>
              <w:right w:val="nil" w:sz="6" w:space="0" w:color="auto"/>
            </w:tcBorders>
          </w:tcPr>
          <w:p>
            <w:pPr>
              <w:pStyle w:val="TableParagraph"/>
              <w:tabs>
                <w:tab w:pos="425"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3"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8" w:space="0" w:color="000000"/>
              <w:right w:val="nil" w:sz="6" w:space="0" w:color="auto"/>
            </w:tcBorders>
          </w:tcPr>
          <w:p>
            <w:pPr>
              <w:pStyle w:val="TableParagraph"/>
              <w:spacing w:line="21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442"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single" w:sz="8" w:space="0" w:color="000000"/>
              <w:right w:val="nil" w:sz="6" w:space="0" w:color="auto"/>
            </w:tcBorders>
          </w:tcPr>
          <w:p>
            <w:pPr>
              <w:pStyle w:val="TableParagraph"/>
              <w:spacing w:line="211" w:lineRule="exact"/>
              <w:ind w:left="348"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01" w:hRule="exact"/>
        </w:trPr>
        <w:tc>
          <w:tcPr>
            <w:tcW w:w="4467" w:type="dxa"/>
            <w:tcBorders>
              <w:top w:val="single" w:sz="8" w:space="0" w:color="000000"/>
              <w:left w:val="nil" w:sz="6" w:space="0" w:color="auto"/>
              <w:bottom w:val="nil" w:sz="6" w:space="0" w:color="auto"/>
              <w:right w:val="nil" w:sz="6" w:space="0" w:color="auto"/>
            </w:tcBorders>
          </w:tcPr>
          <w:p>
            <w:pPr>
              <w:pStyle w:val="TableParagraph"/>
              <w:spacing w:line="255"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非流动资产处臵损失合计</w:t>
            </w:r>
          </w:p>
        </w:tc>
        <w:tc>
          <w:tcPr>
            <w:tcW w:w="483" w:type="dxa"/>
            <w:tcBorders>
              <w:top w:val="nil" w:sz="6" w:space="0" w:color="auto"/>
              <w:left w:val="nil" w:sz="6" w:space="0" w:color="auto"/>
              <w:bottom w:val="nil" w:sz="6" w:space="0" w:color="auto"/>
              <w:right w:val="nil" w:sz="6" w:space="0" w:color="auto"/>
            </w:tcBorders>
          </w:tcPr>
          <w:p>
            <w:pPr/>
          </w:p>
        </w:tc>
        <w:tc>
          <w:tcPr>
            <w:tcW w:w="1826" w:type="dxa"/>
            <w:tcBorders>
              <w:top w:val="single" w:sz="8" w:space="0" w:color="000000"/>
              <w:left w:val="nil" w:sz="6" w:space="0" w:color="auto"/>
              <w:bottom w:val="nil" w:sz="6" w:space="0" w:color="auto"/>
              <w:right w:val="nil" w:sz="6" w:space="0" w:color="auto"/>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323,517.54</w:t>
            </w:r>
          </w:p>
        </w:tc>
        <w:tc>
          <w:tcPr>
            <w:tcW w:w="442" w:type="dxa"/>
            <w:tcBorders>
              <w:top w:val="nil" w:sz="6" w:space="0" w:color="auto"/>
              <w:left w:val="nil" w:sz="6" w:space="0" w:color="auto"/>
              <w:bottom w:val="nil" w:sz="6" w:space="0" w:color="auto"/>
              <w:right w:val="nil" w:sz="6" w:space="0" w:color="auto"/>
            </w:tcBorders>
          </w:tcPr>
          <w:p>
            <w:pPr/>
          </w:p>
        </w:tc>
        <w:tc>
          <w:tcPr>
            <w:tcW w:w="1743" w:type="dxa"/>
            <w:tcBorders>
              <w:top w:val="single" w:sz="8" w:space="0" w:color="000000"/>
              <w:left w:val="nil" w:sz="6" w:space="0" w:color="auto"/>
              <w:bottom w:val="nil" w:sz="6" w:space="0" w:color="auto"/>
              <w:right w:val="nil" w:sz="6" w:space="0" w:color="auto"/>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128,485.17</w:t>
            </w:r>
          </w:p>
        </w:tc>
      </w:tr>
      <w:tr>
        <w:trPr>
          <w:trHeight w:val="283"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422" w:right="0"/>
              <w:jc w:val="left"/>
              <w:rPr>
                <w:rFonts w:ascii="宋体" w:hAnsi="宋体" w:cs="宋体" w:eastAsia="宋体" w:hint="default"/>
                <w:sz w:val="21"/>
                <w:szCs w:val="21"/>
              </w:rPr>
            </w:pPr>
            <w:r>
              <w:rPr>
                <w:rFonts w:ascii="宋体" w:hAnsi="宋体" w:cs="宋体" w:eastAsia="宋体" w:hint="default"/>
                <w:sz w:val="21"/>
                <w:szCs w:val="21"/>
              </w:rPr>
              <w:t>其中：固定资产处臵损失</w:t>
            </w:r>
          </w:p>
        </w:tc>
        <w:tc>
          <w:tcPr>
            <w:tcW w:w="483"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323,517.54</w:t>
            </w:r>
          </w:p>
        </w:tc>
        <w:tc>
          <w:tcPr>
            <w:tcW w:w="442"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128,485.17</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483"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40,000.00</w:t>
            </w:r>
          </w:p>
        </w:tc>
        <w:tc>
          <w:tcPr>
            <w:tcW w:w="442"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288"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8"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3"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64,478.50</w:t>
            </w:r>
          </w:p>
        </w:tc>
        <w:tc>
          <w:tcPr>
            <w:tcW w:w="442"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513,505.72</w:t>
            </w:r>
          </w:p>
        </w:tc>
      </w:tr>
      <w:tr>
        <w:trPr>
          <w:trHeight w:val="317"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83" w:type="dxa"/>
            <w:tcBorders>
              <w:top w:val="nil" w:sz="6" w:space="0" w:color="auto"/>
              <w:left w:val="nil" w:sz="6" w:space="0" w:color="auto"/>
              <w:bottom w:val="nil" w:sz="6" w:space="0" w:color="auto"/>
              <w:right w:val="nil" w:sz="6" w:space="0" w:color="auto"/>
            </w:tcBorders>
          </w:tcPr>
          <w:p>
            <w:pPr/>
          </w:p>
        </w:tc>
        <w:tc>
          <w:tcPr>
            <w:tcW w:w="1826"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427,996.04</w:t>
            </w:r>
          </w:p>
        </w:tc>
        <w:tc>
          <w:tcPr>
            <w:tcW w:w="442" w:type="dxa"/>
            <w:tcBorders>
              <w:top w:val="nil" w:sz="6" w:space="0" w:color="auto"/>
              <w:left w:val="nil" w:sz="6" w:space="0" w:color="auto"/>
              <w:bottom w:val="nil" w:sz="6" w:space="0" w:color="auto"/>
              <w:right w:val="nil" w:sz="6" w:space="0" w:color="auto"/>
            </w:tcBorders>
          </w:tcPr>
          <w:p>
            <w:pPr/>
          </w:p>
        </w:tc>
        <w:tc>
          <w:tcPr>
            <w:tcW w:w="1743"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641,990.89</w:t>
            </w:r>
          </w:p>
        </w:tc>
      </w:tr>
    </w:tbl>
    <w:p>
      <w:pPr>
        <w:spacing w:line="240" w:lineRule="auto" w:before="6"/>
        <w:rPr>
          <w:rFonts w:ascii="Microsoft JhengHei" w:hAnsi="Microsoft JhengHei" w:cs="Microsoft JhengHei" w:eastAsia="Microsoft JhengHei" w:hint="default"/>
          <w:b/>
          <w:bCs/>
          <w:sz w:val="19"/>
          <w:szCs w:val="19"/>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37</w:t>
      </w:r>
      <w:r>
        <w:rPr/>
        <w:t>、</w:t>
        <w:tab/>
        <w:t>所得税费用</w:t>
      </w:r>
      <w:r>
        <w:rPr>
          <w:b w:val="0"/>
          <w:bCs w:val="0"/>
        </w:rPr>
      </w:r>
    </w:p>
    <w:p>
      <w:pPr>
        <w:spacing w:line="240" w:lineRule="auto" w:before="17"/>
        <w:rPr>
          <w:rFonts w:ascii="Microsoft JhengHei" w:hAnsi="Microsoft JhengHei" w:cs="Microsoft JhengHei" w:eastAsia="Microsoft JhengHei" w:hint="default"/>
          <w:b/>
          <w:bCs/>
          <w:sz w:val="3"/>
          <w:szCs w:val="3"/>
        </w:rPr>
      </w:pPr>
    </w:p>
    <w:tbl>
      <w:tblPr>
        <w:tblW w:w="0" w:type="auto"/>
        <w:jc w:val="left"/>
        <w:tblInd w:w="140" w:type="dxa"/>
        <w:tblLayout w:type="fixed"/>
        <w:tblCellMar>
          <w:top w:w="0" w:type="dxa"/>
          <w:left w:w="0" w:type="dxa"/>
          <w:bottom w:w="0" w:type="dxa"/>
          <w:right w:w="0" w:type="dxa"/>
        </w:tblCellMar>
        <w:tblLook w:val="01E0"/>
      </w:tblPr>
      <w:tblGrid>
        <w:gridCol w:w="4452"/>
        <w:gridCol w:w="457"/>
        <w:gridCol w:w="1812"/>
        <w:gridCol w:w="497"/>
        <w:gridCol w:w="1776"/>
      </w:tblGrid>
      <w:tr>
        <w:trPr>
          <w:trHeight w:val="251" w:hRule="exact"/>
        </w:trPr>
        <w:tc>
          <w:tcPr>
            <w:tcW w:w="4452" w:type="dxa"/>
            <w:tcBorders>
              <w:top w:val="nil" w:sz="6" w:space="0" w:color="auto"/>
              <w:left w:val="nil" w:sz="6" w:space="0" w:color="auto"/>
              <w:bottom w:val="single" w:sz="8" w:space="0" w:color="000000"/>
              <w:right w:val="nil" w:sz="6" w:space="0" w:color="auto"/>
            </w:tcBorders>
          </w:tcPr>
          <w:p>
            <w:pPr>
              <w:pStyle w:val="TableParagraph"/>
              <w:tabs>
                <w:tab w:pos="425"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5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8" w:space="0" w:color="000000"/>
              <w:right w:val="nil" w:sz="6" w:space="0" w:color="auto"/>
            </w:tcBorders>
          </w:tcPr>
          <w:p>
            <w:pPr>
              <w:pStyle w:val="TableParagraph"/>
              <w:spacing w:line="21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49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8" w:space="0" w:color="000000"/>
              <w:right w:val="nil" w:sz="6" w:space="0" w:color="auto"/>
            </w:tcBorders>
          </w:tcPr>
          <w:p>
            <w:pPr>
              <w:pStyle w:val="TableParagraph"/>
              <w:spacing w:line="211" w:lineRule="exact"/>
              <w:ind w:left="364"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00" w:hRule="exact"/>
        </w:trPr>
        <w:tc>
          <w:tcPr>
            <w:tcW w:w="4452" w:type="dxa"/>
            <w:tcBorders>
              <w:top w:val="single" w:sz="8" w:space="0" w:color="000000"/>
              <w:left w:val="nil" w:sz="6" w:space="0" w:color="auto"/>
              <w:bottom w:val="nil" w:sz="6" w:space="0" w:color="auto"/>
              <w:right w:val="nil" w:sz="6" w:space="0" w:color="auto"/>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457" w:type="dxa"/>
            <w:tcBorders>
              <w:top w:val="nil" w:sz="6" w:space="0" w:color="auto"/>
              <w:left w:val="nil" w:sz="6" w:space="0" w:color="auto"/>
              <w:bottom w:val="nil" w:sz="6" w:space="0" w:color="auto"/>
              <w:right w:val="nil" w:sz="6" w:space="0" w:color="auto"/>
            </w:tcBorders>
          </w:tcPr>
          <w:p>
            <w:pPr/>
          </w:p>
        </w:tc>
        <w:tc>
          <w:tcPr>
            <w:tcW w:w="1812"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16,712,565.14</w:t>
            </w:r>
          </w:p>
        </w:tc>
        <w:tc>
          <w:tcPr>
            <w:tcW w:w="497" w:type="dxa"/>
            <w:tcBorders>
              <w:top w:val="nil" w:sz="6" w:space="0" w:color="auto"/>
              <w:left w:val="nil" w:sz="6" w:space="0" w:color="auto"/>
              <w:bottom w:val="nil" w:sz="6" w:space="0" w:color="auto"/>
              <w:right w:val="nil" w:sz="6" w:space="0" w:color="auto"/>
            </w:tcBorders>
          </w:tcPr>
          <w:p>
            <w:pPr/>
          </w:p>
        </w:tc>
        <w:tc>
          <w:tcPr>
            <w:tcW w:w="1776"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11,507,557.66</w:t>
            </w:r>
          </w:p>
        </w:tc>
      </w:tr>
      <w:tr>
        <w:trPr>
          <w:trHeight w:val="288"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8" w:lineRule="exact"/>
              <w:ind w:left="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45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8" w:space="0" w:color="000000"/>
              <w:right w:val="nil" w:sz="6" w:space="0" w:color="auto"/>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331,949.47</w:t>
            </w:r>
          </w:p>
        </w:tc>
        <w:tc>
          <w:tcPr>
            <w:tcW w:w="497"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8" w:space="0" w:color="000000"/>
              <w:right w:val="nil" w:sz="6" w:space="0" w:color="auto"/>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-107,245.54</w:t>
            </w:r>
          </w:p>
        </w:tc>
      </w:tr>
      <w:tr>
        <w:trPr>
          <w:trHeight w:val="317" w:hRule="exact"/>
        </w:trPr>
        <w:tc>
          <w:tcPr>
            <w:tcW w:w="4452"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57" w:type="dxa"/>
            <w:tcBorders>
              <w:top w:val="nil" w:sz="6" w:space="0" w:color="auto"/>
              <w:left w:val="nil" w:sz="6" w:space="0" w:color="auto"/>
              <w:bottom w:val="nil" w:sz="6" w:space="0" w:color="auto"/>
              <w:right w:val="nil" w:sz="6" w:space="0" w:color="auto"/>
            </w:tcBorders>
          </w:tcPr>
          <w:p>
            <w:pPr/>
          </w:p>
        </w:tc>
        <w:tc>
          <w:tcPr>
            <w:tcW w:w="1812"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17,044,514.61</w:t>
            </w:r>
          </w:p>
        </w:tc>
        <w:tc>
          <w:tcPr>
            <w:tcW w:w="497" w:type="dxa"/>
            <w:tcBorders>
              <w:top w:val="nil" w:sz="6" w:space="0" w:color="auto"/>
              <w:left w:val="nil" w:sz="6" w:space="0" w:color="auto"/>
              <w:bottom w:val="nil" w:sz="6" w:space="0" w:color="auto"/>
              <w:right w:val="nil" w:sz="6" w:space="0" w:color="auto"/>
            </w:tcBorders>
          </w:tcPr>
          <w:p>
            <w:pPr/>
          </w:p>
        </w:tc>
        <w:tc>
          <w:tcPr>
            <w:tcW w:w="1776"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11,400,312.12</w:t>
            </w:r>
          </w:p>
        </w:tc>
      </w:tr>
    </w:tbl>
    <w:p>
      <w:pPr>
        <w:spacing w:line="240" w:lineRule="auto" w:before="6"/>
        <w:rPr>
          <w:rFonts w:ascii="Microsoft JhengHei" w:hAnsi="Microsoft JhengHei" w:cs="Microsoft JhengHei" w:eastAsia="Microsoft JhengHei" w:hint="default"/>
          <w:b/>
          <w:bCs/>
          <w:sz w:val="19"/>
          <w:szCs w:val="19"/>
        </w:rPr>
      </w:pPr>
    </w:p>
    <w:p>
      <w:pPr>
        <w:pStyle w:val="Heading2"/>
        <w:tabs>
          <w:tab w:pos="1400" w:val="left" w:leader="none"/>
        </w:tabs>
        <w:spacing w:line="367" w:lineRule="exact"/>
        <w:ind w:right="145"/>
        <w:jc w:val="left"/>
        <w:rPr>
          <w:b w:val="0"/>
          <w:bCs w:val="0"/>
        </w:rPr>
      </w:pPr>
      <w:r>
        <w:rPr>
          <w:rFonts w:ascii="Times New Roman" w:hAnsi="Times New Roman" w:cs="Times New Roman" w:eastAsia="Times New Roman" w:hint="default"/>
        </w:rPr>
        <w:t>38</w:t>
      </w:r>
      <w:r>
        <w:rPr/>
        <w:t>、</w:t>
        <w:tab/>
        <w:t>基本每股收益和稀释每股收益</w:t>
      </w:r>
      <w:r>
        <w:rPr>
          <w:b w:val="0"/>
          <w:bCs w:val="0"/>
        </w:rPr>
      </w:r>
    </w:p>
    <w:p>
      <w:pPr>
        <w:pStyle w:val="BodyText"/>
        <w:spacing w:line="304" w:lineRule="auto" w:before="126"/>
        <w:ind w:left="140" w:right="145" w:firstLine="479"/>
        <w:jc w:val="both"/>
      </w:pPr>
      <w:r>
        <w:rPr>
          <w:spacing w:val="-4"/>
        </w:rPr>
        <w:t>基本每股收益按照归属于本公司普通股股东的当期净利润，除以发行在外普通股的</w:t>
      </w:r>
      <w:r>
        <w:rPr/>
        <w:t> </w:t>
      </w:r>
      <w:r>
        <w:rPr>
          <w:spacing w:val="-4"/>
        </w:rPr>
        <w:t>加权平均数计算。新发行普通股股数，根据发行合同的具体条款，从应收对价之日（一</w:t>
      </w:r>
      <w:r>
        <w:rPr>
          <w:spacing w:val="-93"/>
        </w:rPr>
        <w:t> </w:t>
      </w:r>
      <w:r>
        <w:rPr>
          <w:spacing w:val="-93"/>
        </w:rPr>
      </w:r>
      <w:r>
        <w:rPr/>
        <w:t>般为股票发行日）起计算确定。</w:t>
      </w:r>
    </w:p>
    <w:p>
      <w:pPr>
        <w:pStyle w:val="BodyText"/>
        <w:spacing w:line="240" w:lineRule="auto" w:before="82"/>
        <w:ind w:left="980" w:right="0"/>
        <w:jc w:val="left"/>
      </w:pPr>
      <w:r>
        <w:rPr/>
        <w:t>稀释每股收益的分子以归属于本公司普通股股东的当期净利润，调整下述因素</w:t>
      </w:r>
    </w:p>
    <w:p>
      <w:pPr>
        <w:spacing w:after="0" w:line="240" w:lineRule="auto"/>
        <w:jc w:val="left"/>
        <w:sectPr>
          <w:footerReference w:type="default" r:id="rId46"/>
          <w:pgSz w:w="11910" w:h="16840"/>
          <w:pgMar w:footer="944" w:header="915" w:top="1100" w:bottom="1140" w:left="1480" w:right="1140"/>
        </w:sectPr>
      </w:pPr>
    </w:p>
    <w:p>
      <w:pPr>
        <w:spacing w:line="240" w:lineRule="auto" w:before="12"/>
        <w:rPr>
          <w:rFonts w:ascii="宋体" w:hAnsi="宋体" w:cs="宋体" w:eastAsia="宋体" w:hint="default"/>
          <w:sz w:val="21"/>
          <w:szCs w:val="21"/>
        </w:rPr>
      </w:pPr>
    </w:p>
    <w:p>
      <w:pPr>
        <w:pStyle w:val="BodyText"/>
        <w:spacing w:line="307" w:lineRule="auto" w:before="26"/>
        <w:ind w:left="140" w:right="50"/>
        <w:jc w:val="left"/>
      </w:pPr>
      <w:r>
        <w:rPr>
          <w:spacing w:val="-4"/>
        </w:rPr>
        <w:t>后确定：⑴当期已确认为费用的稀释性潜在普通股的利息；⑵稀释性潜在普通股转换时</w:t>
      </w:r>
      <w:r>
        <w:rPr>
          <w:spacing w:val="-88"/>
        </w:rPr>
        <w:t> </w:t>
      </w:r>
      <w:r>
        <w:rPr>
          <w:spacing w:val="-88"/>
        </w:rPr>
      </w:r>
      <w:r>
        <w:rPr/>
        <w:t>将产生的收益或费用；以及⑶上述调整相关的所得税影响。</w:t>
      </w:r>
    </w:p>
    <w:p>
      <w:pPr>
        <w:pStyle w:val="BodyText"/>
        <w:spacing w:line="307" w:lineRule="auto" w:before="77"/>
        <w:ind w:left="140" w:right="86" w:firstLine="479"/>
        <w:jc w:val="left"/>
      </w:pPr>
      <w:r>
        <w:rPr>
          <w:spacing w:val="-4"/>
        </w:rPr>
        <w:t>稀释每股收益的分母等于下列两项之和：⑴基本每股收益中母公司已发行普通股的</w:t>
      </w:r>
      <w:r>
        <w:rPr/>
        <w:t> 加权平均数；及⑵假定稀释性潜在普通股转换为普通股而增加的普通股的加权平均数。</w:t>
      </w:r>
    </w:p>
    <w:p>
      <w:pPr>
        <w:pStyle w:val="BodyText"/>
        <w:spacing w:line="304" w:lineRule="auto" w:before="79"/>
        <w:ind w:left="140" w:right="225" w:firstLine="839"/>
        <w:jc w:val="both"/>
      </w:pPr>
      <w:r>
        <w:rPr/>
        <w:t>在计算稀释性潜在普通股转换为已发行普通股而增加的普通股股数的加权平均 </w:t>
      </w:r>
      <w:r>
        <w:rPr>
          <w:spacing w:val="-4"/>
        </w:rPr>
        <w:t>数时，以前期间发行的稀释性潜在普通股，假设在当期期初转换；当期发行的稀释性潜</w:t>
      </w:r>
      <w:r>
        <w:rPr>
          <w:spacing w:val="-91"/>
        </w:rPr>
        <w:t> </w:t>
      </w:r>
      <w:r>
        <w:rPr>
          <w:spacing w:val="-91"/>
        </w:rPr>
      </w:r>
      <w:r>
        <w:rPr/>
        <w:t>在普通股，假设在发行日转换。</w:t>
      </w:r>
    </w:p>
    <w:p>
      <w:pPr>
        <w:pStyle w:val="BodyText"/>
        <w:tabs>
          <w:tab w:pos="1100" w:val="left" w:leader="none"/>
        </w:tabs>
        <w:spacing w:line="240" w:lineRule="auto"/>
        <w:ind w:left="622" w:right="3093"/>
        <w:jc w:val="left"/>
      </w:pPr>
      <w:r>
        <w:rPr/>
        <w:t>⑴</w:t>
        <w:tab/>
        <w:t>各期基本每股收益和稀释每股收益金额列示</w:t>
      </w:r>
    </w:p>
    <w:p>
      <w:pPr>
        <w:spacing w:line="240" w:lineRule="auto" w:before="4"/>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042"/>
        <w:gridCol w:w="229"/>
        <w:gridCol w:w="1356"/>
        <w:gridCol w:w="228"/>
        <w:gridCol w:w="1493"/>
        <w:gridCol w:w="228"/>
        <w:gridCol w:w="1495"/>
        <w:gridCol w:w="229"/>
        <w:gridCol w:w="1666"/>
      </w:tblGrid>
      <w:tr>
        <w:trPr>
          <w:trHeight w:val="254" w:hRule="exact"/>
        </w:trPr>
        <w:tc>
          <w:tcPr>
            <w:tcW w:w="2042" w:type="dxa"/>
            <w:vMerge w:val="restart"/>
            <w:tcBorders>
              <w:top w:val="nil" w:sz="6" w:space="0" w:color="auto"/>
              <w:left w:val="nil" w:sz="6" w:space="0" w:color="auto"/>
              <w:right w:val="nil" w:sz="6" w:space="0" w:color="auto"/>
            </w:tcBorders>
          </w:tcPr>
          <w:p>
            <w:pPr>
              <w:pStyle w:val="TableParagraph"/>
              <w:spacing w:line="240" w:lineRule="auto" w:before="82"/>
              <w:ind w:left="494"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29" w:type="dxa"/>
            <w:vMerge w:val="restart"/>
            <w:tcBorders>
              <w:top w:val="nil" w:sz="6" w:space="0" w:color="auto"/>
              <w:left w:val="nil" w:sz="6" w:space="0" w:color="auto"/>
              <w:right w:val="nil" w:sz="6" w:space="0" w:color="auto"/>
            </w:tcBorders>
          </w:tcPr>
          <w:p>
            <w:pPr/>
          </w:p>
        </w:tc>
        <w:tc>
          <w:tcPr>
            <w:tcW w:w="3077" w:type="dxa"/>
            <w:gridSpan w:val="3"/>
            <w:tcBorders>
              <w:top w:val="nil" w:sz="6" w:space="0" w:color="auto"/>
              <w:left w:val="nil" w:sz="6" w:space="0" w:color="auto"/>
              <w:bottom w:val="single" w:sz="4" w:space="0" w:color="000000"/>
              <w:right w:val="nil" w:sz="6" w:space="0" w:color="auto"/>
            </w:tcBorders>
          </w:tcPr>
          <w:p>
            <w:pPr>
              <w:pStyle w:val="TableParagraph"/>
              <w:spacing w:line="211" w:lineRule="exact"/>
              <w:ind w:left="1012"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617"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396"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3" w:hRule="exact"/>
        </w:trPr>
        <w:tc>
          <w:tcPr>
            <w:tcW w:w="2042" w:type="dxa"/>
            <w:vMerge/>
            <w:tcBorders>
              <w:left w:val="nil" w:sz="6" w:space="0" w:color="auto"/>
              <w:bottom w:val="single" w:sz="4" w:space="0" w:color="000000"/>
              <w:right w:val="nil" w:sz="6" w:space="0" w:color="auto"/>
            </w:tcBorders>
          </w:tcPr>
          <w:p>
            <w:pPr/>
          </w:p>
        </w:tc>
        <w:tc>
          <w:tcPr>
            <w:tcW w:w="229" w:type="dxa"/>
            <w:vMerge/>
            <w:tcBorders>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4" w:space="0" w:color="000000"/>
              <w:right w:val="nil" w:sz="6" w:space="0" w:color="auto"/>
            </w:tcBorders>
          </w:tcPr>
          <w:p>
            <w:pPr>
              <w:pStyle w:val="TableParagraph"/>
              <w:spacing w:line="246"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228" w:type="dxa"/>
            <w:tcBorders>
              <w:top w:val="single" w:sz="4" w:space="0" w:color="000000"/>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1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28"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1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9"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0" w:hRule="exact"/>
        </w:trPr>
        <w:tc>
          <w:tcPr>
            <w:tcW w:w="2042" w:type="dxa"/>
            <w:tcBorders>
              <w:top w:val="single" w:sz="4" w:space="0" w:color="000000"/>
              <w:left w:val="nil" w:sz="6" w:space="0" w:color="auto"/>
              <w:bottom w:val="nil" w:sz="6" w:space="0" w:color="auto"/>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归属于公司普通股股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29"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0.70</w:t>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0.70</w:t>
            </w:r>
          </w:p>
        </w:tc>
        <w:tc>
          <w:tcPr>
            <w:tcW w:w="228"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0.67</w:t>
            </w:r>
          </w:p>
        </w:tc>
        <w:tc>
          <w:tcPr>
            <w:tcW w:w="229"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0.67</w:t>
            </w:r>
          </w:p>
        </w:tc>
      </w:tr>
      <w:tr>
        <w:trPr>
          <w:trHeight w:val="786" w:hRule="exact"/>
        </w:trPr>
        <w:tc>
          <w:tcPr>
            <w:tcW w:w="204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7"/>
              <w:ind w:left="26" w:right="120"/>
              <w:jc w:val="left"/>
              <w:rPr>
                <w:rFonts w:ascii="宋体" w:hAnsi="宋体" w:cs="宋体" w:eastAsia="宋体" w:hint="default"/>
                <w:sz w:val="21"/>
                <w:szCs w:val="21"/>
              </w:rPr>
            </w:pPr>
            <w:r>
              <w:rPr>
                <w:rFonts w:ascii="宋体" w:hAnsi="宋体" w:cs="宋体" w:eastAsia="宋体" w:hint="default"/>
                <w:spacing w:val="-1"/>
                <w:sz w:val="21"/>
                <w:szCs w:val="21"/>
              </w:rPr>
              <w:t>归属于公司普通股股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东的净利润</w:t>
            </w:r>
          </w:p>
        </w:tc>
        <w:tc>
          <w:tcPr>
            <w:tcW w:w="22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0.69</w:t>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0.69</w:t>
            </w:r>
          </w:p>
        </w:tc>
        <w:tc>
          <w:tcPr>
            <w:tcW w:w="22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0.65</w:t>
            </w:r>
          </w:p>
        </w:tc>
        <w:tc>
          <w:tcPr>
            <w:tcW w:w="229"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0.65</w:t>
            </w:r>
          </w:p>
        </w:tc>
      </w:tr>
    </w:tbl>
    <w:p>
      <w:pPr>
        <w:pStyle w:val="BodyText"/>
        <w:tabs>
          <w:tab w:pos="1100" w:val="left" w:leader="none"/>
        </w:tabs>
        <w:spacing w:line="304" w:lineRule="auto" w:before="71"/>
        <w:ind w:left="620" w:right="223" w:firstLine="2"/>
        <w:jc w:val="left"/>
      </w:pPr>
      <w:r>
        <w:rPr/>
        <w:t>⑵</w:t>
        <w:tab/>
        <w:t>每股收益和稀释每股收益的计算过程 </w:t>
      </w:r>
      <w:r>
        <w:rPr>
          <w:spacing w:val="-4"/>
        </w:rPr>
        <w:t>于报告期内，本公司不存在具有稀释性的潜在普通股，因此，稀释每股收益等于基</w:t>
      </w:r>
    </w:p>
    <w:p>
      <w:pPr>
        <w:pStyle w:val="BodyText"/>
        <w:spacing w:line="240" w:lineRule="auto"/>
        <w:ind w:left="140" w:right="3093"/>
        <w:jc w:val="left"/>
      </w:pPr>
      <w:r>
        <w:rPr/>
        <w:t>本每股收益。</w:t>
      </w:r>
    </w:p>
    <w:p>
      <w:pPr>
        <w:pStyle w:val="BodyText"/>
        <w:spacing w:line="240" w:lineRule="auto" w:before="86"/>
        <w:ind w:left="620" w:right="50"/>
        <w:jc w:val="left"/>
      </w:pPr>
      <w:r>
        <w:rPr>
          <w:rFonts w:ascii="宋体" w:hAnsi="宋体" w:cs="宋体" w:eastAsia="宋体" w:hint="default"/>
        </w:rPr>
        <w:t>①</w:t>
      </w:r>
      <w:r>
        <w:rPr/>
        <w:t>计算基本每股收益时，归属于普通股股东的当期净利润为：</w:t>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130"/>
        <w:gridCol w:w="262"/>
        <w:gridCol w:w="1697"/>
        <w:gridCol w:w="224"/>
        <w:gridCol w:w="1694"/>
      </w:tblGrid>
      <w:tr>
        <w:trPr>
          <w:trHeight w:val="249" w:hRule="exact"/>
        </w:trPr>
        <w:tc>
          <w:tcPr>
            <w:tcW w:w="5130" w:type="dxa"/>
            <w:tcBorders>
              <w:top w:val="nil" w:sz="6" w:space="0" w:color="auto"/>
              <w:left w:val="nil" w:sz="6" w:space="0" w:color="auto"/>
              <w:bottom w:val="single" w:sz="6"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6" w:space="0" w:color="000000"/>
              <w:right w:val="nil" w:sz="6" w:space="0" w:color="auto"/>
            </w:tcBorders>
          </w:tcPr>
          <w:p>
            <w:pPr>
              <w:pStyle w:val="TableParagraph"/>
              <w:spacing w:line="211" w:lineRule="exact"/>
              <w:ind w:left="32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6"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406" w:hRule="exact"/>
        </w:trPr>
        <w:tc>
          <w:tcPr>
            <w:tcW w:w="5130"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left="31" w:right="0"/>
              <w:jc w:val="left"/>
              <w:rPr>
                <w:rFonts w:ascii="宋体" w:hAnsi="宋体" w:cs="宋体" w:eastAsia="宋体" w:hint="default"/>
                <w:sz w:val="21"/>
                <w:szCs w:val="21"/>
              </w:rPr>
            </w:pPr>
            <w:r>
              <w:rPr>
                <w:rFonts w:ascii="宋体" w:hAnsi="宋体" w:cs="宋体" w:eastAsia="宋体" w:hint="default"/>
                <w:spacing w:val="-25"/>
                <w:sz w:val="21"/>
                <w:szCs w:val="21"/>
              </w:rPr>
              <w:t>归属于普通股股东的当期净利润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302" w:right="0"/>
              <w:jc w:val="left"/>
              <w:rPr>
                <w:rFonts w:ascii="宋体" w:hAnsi="宋体" w:cs="宋体" w:eastAsia="宋体" w:hint="default"/>
                <w:sz w:val="21"/>
                <w:szCs w:val="21"/>
              </w:rPr>
            </w:pPr>
            <w:r>
              <w:rPr>
                <w:rFonts w:ascii="宋体"/>
                <w:sz w:val="21"/>
              </w:rPr>
              <w:t>79,194,442.06</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295" w:right="0"/>
              <w:jc w:val="left"/>
              <w:rPr>
                <w:rFonts w:ascii="宋体" w:hAnsi="宋体" w:cs="宋体" w:eastAsia="宋体" w:hint="default"/>
                <w:sz w:val="21"/>
                <w:szCs w:val="21"/>
              </w:rPr>
            </w:pPr>
            <w:r>
              <w:rPr>
                <w:rFonts w:ascii="宋体"/>
                <w:sz w:val="21"/>
              </w:rPr>
              <w:t>74,026,819.95</w:t>
            </w:r>
          </w:p>
        </w:tc>
      </w:tr>
      <w:tr>
        <w:trPr>
          <w:trHeight w:val="360"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8" w:right="0"/>
              <w:jc w:val="left"/>
              <w:rPr>
                <w:rFonts w:ascii="宋体" w:hAnsi="宋体" w:cs="宋体" w:eastAsia="宋体" w:hint="default"/>
                <w:sz w:val="21"/>
                <w:szCs w:val="21"/>
              </w:rPr>
            </w:pPr>
            <w:r>
              <w:rPr>
                <w:rFonts w:ascii="宋体" w:hAnsi="宋体" w:cs="宋体" w:eastAsia="宋体" w:hint="default"/>
                <w:spacing w:val="-25"/>
                <w:sz w:val="21"/>
                <w:szCs w:val="21"/>
              </w:rPr>
              <w:t>其中：归属于持续经营的净利润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2" w:right="0"/>
              <w:jc w:val="left"/>
              <w:rPr>
                <w:rFonts w:ascii="宋体" w:hAnsi="宋体" w:cs="宋体" w:eastAsia="宋体" w:hint="default"/>
                <w:sz w:val="21"/>
                <w:szCs w:val="21"/>
              </w:rPr>
            </w:pPr>
            <w:r>
              <w:rPr>
                <w:rFonts w:ascii="宋体"/>
                <w:sz w:val="21"/>
              </w:rPr>
              <w:t>79,194,442.06</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5" w:right="0"/>
              <w:jc w:val="left"/>
              <w:rPr>
                <w:rFonts w:ascii="宋体" w:hAnsi="宋体" w:cs="宋体" w:eastAsia="宋体" w:hint="default"/>
                <w:sz w:val="21"/>
                <w:szCs w:val="21"/>
              </w:rPr>
            </w:pPr>
            <w:r>
              <w:rPr>
                <w:rFonts w:ascii="宋体"/>
                <w:sz w:val="21"/>
              </w:rPr>
              <w:t>74,026,819.95</w:t>
            </w:r>
          </w:p>
        </w:tc>
      </w:tr>
      <w:tr>
        <w:trPr>
          <w:trHeight w:val="354"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pacing w:val="-24"/>
                <w:sz w:val="21"/>
                <w:szCs w:val="21"/>
              </w:rPr>
              <w:t>归属于终止经营的净利润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r>
      <w:tr>
        <w:trPr>
          <w:trHeight w:val="366"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2" w:right="0"/>
              <w:jc w:val="left"/>
              <w:rPr>
                <w:rFonts w:ascii="宋体" w:hAnsi="宋体" w:cs="宋体" w:eastAsia="宋体" w:hint="default"/>
                <w:sz w:val="21"/>
                <w:szCs w:val="21"/>
              </w:rPr>
            </w:pPr>
            <w:r>
              <w:rPr>
                <w:rFonts w:ascii="宋体"/>
                <w:sz w:val="21"/>
              </w:rPr>
              <w:t>77,934,107.98</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5" w:right="0"/>
              <w:jc w:val="left"/>
              <w:rPr>
                <w:rFonts w:ascii="宋体" w:hAnsi="宋体" w:cs="宋体" w:eastAsia="宋体" w:hint="default"/>
                <w:sz w:val="21"/>
                <w:szCs w:val="21"/>
              </w:rPr>
            </w:pPr>
            <w:r>
              <w:rPr>
                <w:rFonts w:ascii="宋体"/>
                <w:sz w:val="21"/>
              </w:rPr>
              <w:t>71,699,861.85</w:t>
            </w:r>
          </w:p>
        </w:tc>
      </w:tr>
      <w:tr>
        <w:trPr>
          <w:trHeight w:val="338"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8" w:right="0"/>
              <w:jc w:val="left"/>
              <w:rPr>
                <w:rFonts w:ascii="宋体" w:hAnsi="宋体" w:cs="宋体" w:eastAsia="宋体" w:hint="default"/>
                <w:sz w:val="21"/>
                <w:szCs w:val="21"/>
              </w:rPr>
            </w:pPr>
            <w:r>
              <w:rPr>
                <w:rFonts w:ascii="宋体" w:hAnsi="宋体" w:cs="宋体" w:eastAsia="宋体" w:hint="default"/>
                <w:spacing w:val="-25"/>
                <w:sz w:val="21"/>
                <w:szCs w:val="21"/>
              </w:rPr>
              <w:t>其中：归属于持续经营的净利润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2" w:right="0"/>
              <w:jc w:val="left"/>
              <w:rPr>
                <w:rFonts w:ascii="宋体" w:hAnsi="宋体" w:cs="宋体" w:eastAsia="宋体" w:hint="default"/>
                <w:sz w:val="21"/>
                <w:szCs w:val="21"/>
              </w:rPr>
            </w:pPr>
            <w:r>
              <w:rPr>
                <w:rFonts w:ascii="宋体"/>
                <w:sz w:val="21"/>
              </w:rPr>
              <w:t>77,934,107.98</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5" w:right="0"/>
              <w:jc w:val="left"/>
              <w:rPr>
                <w:rFonts w:ascii="宋体" w:hAnsi="宋体" w:cs="宋体" w:eastAsia="宋体" w:hint="default"/>
                <w:sz w:val="21"/>
                <w:szCs w:val="21"/>
              </w:rPr>
            </w:pPr>
            <w:r>
              <w:rPr>
                <w:rFonts w:ascii="宋体"/>
                <w:sz w:val="21"/>
              </w:rPr>
              <w:t>71,699,861.85</w:t>
            </w:r>
          </w:p>
        </w:tc>
      </w:tr>
      <w:tr>
        <w:trPr>
          <w:trHeight w:val="258"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pacing w:val="-24"/>
                <w:sz w:val="21"/>
                <w:szCs w:val="21"/>
              </w:rPr>
              <w:t>归属于终止经营的净利润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6"/>
          <w:szCs w:val="6"/>
        </w:rPr>
      </w:pPr>
    </w:p>
    <w:p>
      <w:pPr>
        <w:pStyle w:val="BodyText"/>
        <w:spacing w:line="240" w:lineRule="auto" w:before="26"/>
        <w:ind w:left="620" w:right="50"/>
        <w:jc w:val="left"/>
      </w:pPr>
      <w:r>
        <w:rPr/>
        <w:t>②计算基本每股收益时，分母为发行在外普通股加权平均数，计算过程如下：</w:t>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5132"/>
        <w:gridCol w:w="266"/>
        <w:gridCol w:w="1706"/>
        <w:gridCol w:w="209"/>
        <w:gridCol w:w="1706"/>
      </w:tblGrid>
      <w:tr>
        <w:trPr>
          <w:trHeight w:val="249" w:hRule="exact"/>
        </w:trPr>
        <w:tc>
          <w:tcPr>
            <w:tcW w:w="5132" w:type="dxa"/>
            <w:tcBorders>
              <w:top w:val="nil" w:sz="6" w:space="0" w:color="auto"/>
              <w:left w:val="nil" w:sz="6" w:space="0" w:color="auto"/>
              <w:bottom w:val="single" w:sz="6"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Style w:val="TableParagraph"/>
              <w:spacing w:line="211" w:lineRule="exact"/>
              <w:ind w:left="326"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Style w:val="TableParagraph"/>
              <w:spacing w:line="211" w:lineRule="exact"/>
              <w:ind w:left="326"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406" w:hRule="exact"/>
        </w:trPr>
        <w:tc>
          <w:tcPr>
            <w:tcW w:w="5132"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left="31" w:right="0"/>
              <w:jc w:val="left"/>
              <w:rPr>
                <w:rFonts w:ascii="宋体" w:hAnsi="宋体" w:cs="宋体" w:eastAsia="宋体" w:hint="default"/>
                <w:sz w:val="21"/>
                <w:szCs w:val="21"/>
              </w:rPr>
            </w:pPr>
            <w:r>
              <w:rPr>
                <w:rFonts w:ascii="宋体" w:hAnsi="宋体" w:cs="宋体" w:eastAsia="宋体" w:hint="default"/>
                <w:sz w:val="21"/>
                <w:szCs w:val="21"/>
              </w:rPr>
              <w:t>期初发行在外的普通股股数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21"/>
                <w:szCs w:val="21"/>
              </w:rPr>
            </w:pPr>
            <w:r>
              <w:rPr>
                <w:rFonts w:ascii="宋体"/>
                <w:spacing w:val="-1"/>
                <w:sz w:val="21"/>
              </w:rPr>
              <w:t>110,000,000</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21"/>
                <w:szCs w:val="21"/>
              </w:rPr>
            </w:pPr>
            <w:r>
              <w:rPr>
                <w:rFonts w:ascii="宋体"/>
                <w:spacing w:val="-1"/>
                <w:sz w:val="21"/>
              </w:rPr>
              <w:t>110,000,000</w:t>
            </w:r>
          </w:p>
        </w:tc>
      </w:tr>
      <w:tr>
        <w:trPr>
          <w:trHeight w:val="339"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宋体" w:hAnsi="宋体" w:cs="宋体" w:eastAsia="宋体" w:hint="default"/>
                <w:sz w:val="21"/>
                <w:szCs w:val="21"/>
              </w:rPr>
            </w:pPr>
            <w:r>
              <w:rPr>
                <w:rFonts w:ascii="宋体"/>
                <w:spacing w:val="-1"/>
                <w:sz w:val="21"/>
              </w:rPr>
              <w:t>3,531,043</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323"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59" w:lineRule="exact"/>
              <w:ind w:left="31"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308"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期末发行在外的普通股加权数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宋体" w:hAnsi="宋体" w:cs="宋体" w:eastAsia="宋体" w:hint="default"/>
                <w:sz w:val="21"/>
                <w:szCs w:val="21"/>
              </w:rPr>
            </w:pPr>
            <w:r>
              <w:rPr>
                <w:rFonts w:ascii="宋体"/>
                <w:spacing w:val="-1"/>
                <w:sz w:val="21"/>
              </w:rPr>
              <w:t>113,531,043</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宋体" w:hAnsi="宋体" w:cs="宋体" w:eastAsia="宋体" w:hint="default"/>
                <w:sz w:val="21"/>
                <w:szCs w:val="21"/>
              </w:rPr>
            </w:pPr>
            <w:r>
              <w:rPr>
                <w:rFonts w:ascii="宋体"/>
                <w:spacing w:val="-1"/>
                <w:sz w:val="21"/>
              </w:rPr>
              <w:t>110,000,000</w:t>
            </w:r>
          </w:p>
        </w:tc>
      </w:tr>
    </w:tbl>
    <w:p>
      <w:pPr>
        <w:spacing w:line="240" w:lineRule="auto" w:before="3"/>
        <w:rPr>
          <w:rFonts w:ascii="宋体" w:hAnsi="宋体" w:cs="宋体" w:eastAsia="宋体" w:hint="default"/>
          <w:sz w:val="28"/>
          <w:szCs w:val="28"/>
        </w:rPr>
      </w:pPr>
    </w:p>
    <w:p>
      <w:pPr>
        <w:pStyle w:val="Heading2"/>
        <w:tabs>
          <w:tab w:pos="1400" w:val="left" w:leader="none"/>
        </w:tabs>
        <w:spacing w:line="367" w:lineRule="exact"/>
        <w:ind w:right="3093"/>
        <w:jc w:val="left"/>
        <w:rPr>
          <w:b w:val="0"/>
          <w:bCs w:val="0"/>
        </w:rPr>
      </w:pPr>
      <w:r>
        <w:rPr>
          <w:rFonts w:ascii="Times New Roman" w:hAnsi="Times New Roman" w:cs="Times New Roman" w:eastAsia="Times New Roman" w:hint="default"/>
        </w:rPr>
        <w:t>39</w:t>
      </w:r>
      <w:r>
        <w:rPr/>
        <w:t>、</w:t>
        <w:tab/>
        <w:t>现金流量表项目注释</w:t>
      </w:r>
      <w:r>
        <w:rPr>
          <w:b w:val="0"/>
          <w:bCs w:val="0"/>
        </w:rPr>
      </w:r>
    </w:p>
    <w:p>
      <w:pPr>
        <w:pStyle w:val="BodyText"/>
        <w:tabs>
          <w:tab w:pos="1100" w:val="left" w:leader="none"/>
        </w:tabs>
        <w:spacing w:line="240" w:lineRule="auto" w:before="210"/>
        <w:ind w:left="620" w:right="3093"/>
        <w:jc w:val="left"/>
      </w:pPr>
      <w:r>
        <w:rPr/>
        <w:t>⑴</w:t>
        <w:tab/>
        <w:t>收到其他与经营活动有关的现金</w:t>
      </w:r>
    </w:p>
    <w:p>
      <w:pPr>
        <w:spacing w:line="240" w:lineRule="auto" w:before="9"/>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3010"/>
        <w:gridCol w:w="1625"/>
        <w:gridCol w:w="1860"/>
        <w:gridCol w:w="322"/>
        <w:gridCol w:w="1793"/>
      </w:tblGrid>
      <w:tr>
        <w:trPr>
          <w:trHeight w:val="251" w:hRule="exact"/>
        </w:trPr>
        <w:tc>
          <w:tcPr>
            <w:tcW w:w="3010" w:type="dxa"/>
            <w:tcBorders>
              <w:top w:val="nil" w:sz="6" w:space="0" w:color="auto"/>
              <w:left w:val="nil" w:sz="6" w:space="0" w:color="auto"/>
              <w:bottom w:val="single" w:sz="4" w:space="0" w:color="000000"/>
              <w:right w:val="nil" w:sz="6" w:space="0" w:color="auto"/>
            </w:tcBorders>
          </w:tcPr>
          <w:p>
            <w:pPr>
              <w:pStyle w:val="TableParagraph"/>
              <w:tabs>
                <w:tab w:pos="527" w:val="left" w:leader="none"/>
              </w:tabs>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single" w:sz="8" w:space="0" w:color="000000"/>
              <w:right w:val="nil" w:sz="6" w:space="0" w:color="auto"/>
            </w:tcBorders>
          </w:tcPr>
          <w:p>
            <w:pPr>
              <w:pStyle w:val="TableParagraph"/>
              <w:spacing w:line="21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2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8" w:space="0" w:color="000000"/>
              <w:right w:val="nil" w:sz="6" w:space="0" w:color="auto"/>
            </w:tcBorders>
          </w:tcPr>
          <w:p>
            <w:pPr>
              <w:pStyle w:val="TableParagraph"/>
              <w:spacing w:line="211" w:lineRule="exact"/>
              <w:ind w:left="36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6" w:hRule="exact"/>
        </w:trPr>
        <w:tc>
          <w:tcPr>
            <w:tcW w:w="3010" w:type="dxa"/>
            <w:tcBorders>
              <w:top w:val="single" w:sz="4" w:space="0" w:color="000000"/>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1625" w:type="dxa"/>
            <w:tcBorders>
              <w:top w:val="nil" w:sz="6" w:space="0" w:color="auto"/>
              <w:left w:val="nil" w:sz="6" w:space="0" w:color="auto"/>
              <w:bottom w:val="nil" w:sz="6" w:space="0" w:color="auto"/>
              <w:right w:val="nil" w:sz="6" w:space="0" w:color="auto"/>
            </w:tcBorders>
          </w:tcPr>
          <w:p>
            <w:pPr/>
          </w:p>
        </w:tc>
        <w:tc>
          <w:tcPr>
            <w:tcW w:w="1860"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1,356,370.00</w:t>
            </w:r>
          </w:p>
        </w:tc>
        <w:tc>
          <w:tcPr>
            <w:tcW w:w="322" w:type="dxa"/>
            <w:tcBorders>
              <w:top w:val="nil" w:sz="6" w:space="0" w:color="auto"/>
              <w:left w:val="nil" w:sz="6" w:space="0" w:color="auto"/>
              <w:bottom w:val="nil" w:sz="6" w:space="0" w:color="auto"/>
              <w:right w:val="nil" w:sz="6" w:space="0" w:color="auto"/>
            </w:tcBorders>
          </w:tcPr>
          <w:p>
            <w:pPr/>
          </w:p>
        </w:tc>
        <w:tc>
          <w:tcPr>
            <w:tcW w:w="1793" w:type="dxa"/>
            <w:tcBorders>
              <w:top w:val="single" w:sz="8" w:space="0" w:color="000000"/>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2,873,674.52</w:t>
            </w:r>
          </w:p>
        </w:tc>
      </w:tr>
      <w:tr>
        <w:trPr>
          <w:trHeight w:val="282"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w:t>
            </w:r>
          </w:p>
        </w:tc>
        <w:tc>
          <w:tcPr>
            <w:tcW w:w="162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1,172,712.22</w:t>
            </w:r>
          </w:p>
        </w:tc>
        <w:tc>
          <w:tcPr>
            <w:tcW w:w="32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875,937.68</w:t>
            </w:r>
          </w:p>
        </w:tc>
      </w:tr>
      <w:tr>
        <w:trPr>
          <w:trHeight w:val="251"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1625"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宋体"/>
                <w:spacing w:val="-1"/>
                <w:sz w:val="21"/>
              </w:rPr>
              <w:t>952,000.00</w:t>
            </w:r>
          </w:p>
        </w:tc>
        <w:tc>
          <w:tcPr>
            <w:tcW w:w="322"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865,799.83</w:t>
            </w:r>
          </w:p>
        </w:tc>
      </w:tr>
    </w:tbl>
    <w:p>
      <w:pPr>
        <w:spacing w:after="0" w:line="243" w:lineRule="exact"/>
        <w:jc w:val="right"/>
        <w:rPr>
          <w:rFonts w:ascii="宋体" w:hAnsi="宋体" w:cs="宋体" w:eastAsia="宋体" w:hint="default"/>
          <w:sz w:val="21"/>
          <w:szCs w:val="21"/>
        </w:rPr>
        <w:sectPr>
          <w:headerReference w:type="default" r:id="rId47"/>
          <w:footerReference w:type="default" r:id="rId48"/>
          <w:pgSz w:w="11910" w:h="16840"/>
          <w:pgMar w:header="840" w:footer="944" w:top="1160" w:bottom="1140" w:left="1480" w:right="1060"/>
          <w:pgNumType w:start="101"/>
        </w:sectPr>
      </w:pPr>
    </w:p>
    <w:p>
      <w:pPr>
        <w:spacing w:line="240" w:lineRule="auto" w:before="5"/>
        <w:rPr>
          <w:rFonts w:ascii="宋体" w:hAnsi="宋体" w:cs="宋体" w:eastAsia="宋体" w:hint="default"/>
          <w:sz w:val="3"/>
          <w:szCs w:val="3"/>
        </w:rPr>
      </w:pPr>
      <w:r>
        <w:rPr/>
        <w:pict>
          <v:group style="position:absolute;margin-left:79.223999pt;margin-top:41.999985pt;width:453.7pt;height:16.3500pt;mso-position-horizontal-relative:page;mso-position-vertical-relative:page;z-index:-744760" coordorigin="1584,840" coordsize="9074,327">
            <v:group style="position:absolute;left:1592;top:1159;width:9059;height:2" coordorigin="1592,1159" coordsize="9059,2">
              <v:shape style="position:absolute;left:1592;top:1159;width:9059;height:2" coordorigin="1592,1159" coordsize="9059,0" path="m1592,1159l10651,1159e" filled="false" stroked="true" strokeweight=".72pt" strokecolor="#000000">
                <v:path arrowok="t"/>
              </v:shape>
              <v:shape style="position:absolute;left:1626;top:840;width:360;height:315" type="#_x0000_t75" stroked="false">
                <v:imagedata r:id="rId7" o:title=""/>
              </v:shape>
            </v:group>
            <w10:wrap type="none"/>
          </v:group>
        </w:pict>
      </w:r>
    </w:p>
    <w:tbl>
      <w:tblPr>
        <w:tblW w:w="0" w:type="auto"/>
        <w:jc w:val="left"/>
        <w:tblInd w:w="131" w:type="dxa"/>
        <w:tblLayout w:type="fixed"/>
        <w:tblCellMar>
          <w:top w:w="0" w:type="dxa"/>
          <w:left w:w="0" w:type="dxa"/>
          <w:bottom w:w="0" w:type="dxa"/>
          <w:right w:w="0" w:type="dxa"/>
        </w:tblCellMar>
        <w:tblLook w:val="01E0"/>
      </w:tblPr>
      <w:tblGrid>
        <w:gridCol w:w="4664"/>
        <w:gridCol w:w="1860"/>
        <w:gridCol w:w="314"/>
        <w:gridCol w:w="1800"/>
        <w:gridCol w:w="400"/>
      </w:tblGrid>
      <w:tr>
        <w:trPr>
          <w:trHeight w:val="565"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收取的罚款</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10,420.50</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505,539.25</w:t>
            </w:r>
          </w:p>
        </w:tc>
        <w:tc>
          <w:tcPr>
            <w:tcW w:w="400" w:type="dxa"/>
            <w:tcBorders>
              <w:top w:val="nil" w:sz="6" w:space="0" w:color="auto"/>
              <w:left w:val="nil" w:sz="6" w:space="0" w:color="auto"/>
              <w:bottom w:val="nil" w:sz="6" w:space="0" w:color="auto"/>
              <w:right w:val="nil" w:sz="6" w:space="0" w:color="auto"/>
            </w:tcBorders>
          </w:tcPr>
          <w:p>
            <w:pPr/>
          </w:p>
        </w:tc>
      </w:tr>
      <w:tr>
        <w:trPr>
          <w:trHeight w:val="283"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1"/>
                <w:szCs w:val="21"/>
              </w:rPr>
            </w:pPr>
            <w:r>
              <w:rPr>
                <w:rFonts w:ascii="宋体" w:hAnsi="宋体" w:cs="宋体" w:eastAsia="宋体" w:hint="default"/>
                <w:sz w:val="21"/>
                <w:szCs w:val="21"/>
              </w:rPr>
              <w:t>收保证金</w:t>
            </w:r>
          </w:p>
        </w:tc>
        <w:tc>
          <w:tcPr>
            <w:tcW w:w="1860" w:type="dxa"/>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358,100.00</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118,776.00</w:t>
            </w:r>
          </w:p>
        </w:tc>
        <w:tc>
          <w:tcPr>
            <w:tcW w:w="400" w:type="dxa"/>
            <w:tcBorders>
              <w:top w:val="nil" w:sz="6" w:space="0" w:color="auto"/>
              <w:left w:val="nil" w:sz="6" w:space="0" w:color="auto"/>
              <w:bottom w:val="nil" w:sz="6" w:space="0" w:color="auto"/>
              <w:right w:val="nil" w:sz="6" w:space="0" w:color="auto"/>
            </w:tcBorders>
          </w:tcPr>
          <w:p>
            <w:pPr/>
          </w:p>
        </w:tc>
      </w:tr>
      <w:tr>
        <w:trPr>
          <w:trHeight w:val="283"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186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893,942.58</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18,967.94</w:t>
            </w:r>
          </w:p>
        </w:tc>
        <w:tc>
          <w:tcPr>
            <w:tcW w:w="400" w:type="dxa"/>
            <w:tcBorders>
              <w:top w:val="nil" w:sz="6" w:space="0" w:color="auto"/>
              <w:left w:val="nil" w:sz="6" w:space="0" w:color="auto"/>
              <w:bottom w:val="nil" w:sz="6" w:space="0" w:color="auto"/>
              <w:right w:val="nil" w:sz="6" w:space="0" w:color="auto"/>
            </w:tcBorders>
          </w:tcPr>
          <w:p>
            <w:pPr/>
          </w:p>
        </w:tc>
      </w:tr>
      <w:tr>
        <w:trPr>
          <w:trHeight w:val="283"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1"/>
                <w:szCs w:val="21"/>
              </w:rPr>
            </w:pPr>
            <w:r>
              <w:rPr>
                <w:rFonts w:ascii="宋体" w:hAnsi="宋体" w:cs="宋体" w:eastAsia="宋体" w:hint="default"/>
                <w:sz w:val="21"/>
                <w:szCs w:val="21"/>
              </w:rPr>
              <w:t>收押金</w:t>
            </w:r>
          </w:p>
        </w:tc>
        <w:tc>
          <w:tcPr>
            <w:tcW w:w="186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328,051.00</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5" w:lineRule="exact"/>
              <w:ind w:right="103"/>
              <w:jc w:val="right"/>
              <w:rPr>
                <w:rFonts w:ascii="宋体" w:hAnsi="宋体" w:cs="宋体" w:eastAsia="宋体" w:hint="default"/>
                <w:sz w:val="21"/>
                <w:szCs w:val="21"/>
              </w:rPr>
            </w:pPr>
            <w:r>
              <w:rPr>
                <w:rFonts w:ascii="宋体"/>
                <w:sz w:val="21"/>
              </w:rPr>
              <w:t>900.00</w:t>
            </w:r>
          </w:p>
        </w:tc>
        <w:tc>
          <w:tcPr>
            <w:tcW w:w="400" w:type="dxa"/>
            <w:tcBorders>
              <w:top w:val="nil" w:sz="6" w:space="0" w:color="auto"/>
              <w:left w:val="nil" w:sz="6" w:space="0" w:color="auto"/>
              <w:bottom w:val="nil" w:sz="6" w:space="0" w:color="auto"/>
              <w:right w:val="nil" w:sz="6" w:space="0" w:color="auto"/>
            </w:tcBorders>
          </w:tcPr>
          <w:p>
            <w:pPr/>
          </w:p>
        </w:tc>
      </w:tr>
      <w:tr>
        <w:trPr>
          <w:trHeight w:val="283"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1"/>
                <w:szCs w:val="21"/>
              </w:rPr>
            </w:pPr>
            <w:r>
              <w:rPr>
                <w:rFonts w:ascii="宋体" w:hAnsi="宋体" w:cs="宋体" w:eastAsia="宋体" w:hint="default"/>
                <w:sz w:val="21"/>
                <w:szCs w:val="21"/>
              </w:rPr>
              <w:t>暂收款</w:t>
            </w:r>
          </w:p>
        </w:tc>
        <w:tc>
          <w:tcPr>
            <w:tcW w:w="186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4,147,458.60</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285"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nil" w:sz="6" w:space="0" w:color="auto"/>
              <w:left w:val="nil" w:sz="6" w:space="0" w:color="auto"/>
              <w:bottom w:val="single" w:sz="4" w:space="0" w:color="000000"/>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87,844.98</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5" w:lineRule="exact"/>
              <w:ind w:right="103"/>
              <w:jc w:val="right"/>
              <w:rPr>
                <w:rFonts w:ascii="宋体" w:hAnsi="宋体" w:cs="宋体" w:eastAsia="宋体" w:hint="default"/>
                <w:sz w:val="21"/>
                <w:szCs w:val="21"/>
              </w:rPr>
            </w:pPr>
            <w:r>
              <w:rPr>
                <w:rFonts w:ascii="宋体"/>
                <w:spacing w:val="-1"/>
                <w:sz w:val="21"/>
              </w:rPr>
              <w:t>295,486.02</w:t>
            </w:r>
          </w:p>
        </w:tc>
        <w:tc>
          <w:tcPr>
            <w:tcW w:w="400" w:type="dxa"/>
            <w:tcBorders>
              <w:top w:val="nil" w:sz="6" w:space="0" w:color="auto"/>
              <w:left w:val="nil" w:sz="6" w:space="0" w:color="auto"/>
              <w:bottom w:val="nil" w:sz="6" w:space="0" w:color="auto"/>
              <w:right w:val="nil" w:sz="6" w:space="0" w:color="auto"/>
            </w:tcBorders>
          </w:tcPr>
          <w:p>
            <w:pPr/>
          </w:p>
        </w:tc>
      </w:tr>
      <w:tr>
        <w:trPr>
          <w:trHeight w:val="312" w:hRule="exact"/>
        </w:trPr>
        <w:tc>
          <w:tcPr>
            <w:tcW w:w="4664"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53" w:lineRule="exact"/>
              <w:ind w:left="11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0" w:type="dxa"/>
            <w:tcBorders>
              <w:top w:val="single" w:sz="4"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9,306,899.88</w:t>
            </w:r>
          </w:p>
        </w:tc>
        <w:tc>
          <w:tcPr>
            <w:tcW w:w="314"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single" w:sz="17"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5,555,081.24</w:t>
            </w:r>
          </w:p>
        </w:tc>
        <w:tc>
          <w:tcPr>
            <w:tcW w:w="400"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2"/>
          <w:szCs w:val="12"/>
        </w:rPr>
      </w:pPr>
    </w:p>
    <w:p>
      <w:pPr>
        <w:pStyle w:val="BodyText"/>
        <w:tabs>
          <w:tab w:pos="1120" w:val="left" w:leader="none"/>
        </w:tabs>
        <w:spacing w:line="240" w:lineRule="auto" w:before="26"/>
        <w:ind w:left="640" w:right="86"/>
        <w:jc w:val="left"/>
      </w:pPr>
      <w:r>
        <w:rPr/>
        <w:t>⑵</w:t>
        <w:tab/>
        <w:t>支付其他与经营活动有关的现金</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010"/>
        <w:gridCol w:w="1603"/>
        <w:gridCol w:w="1882"/>
        <w:gridCol w:w="302"/>
        <w:gridCol w:w="1841"/>
      </w:tblGrid>
      <w:tr>
        <w:trPr>
          <w:trHeight w:val="251" w:hRule="exact"/>
        </w:trPr>
        <w:tc>
          <w:tcPr>
            <w:tcW w:w="3010"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11" w:lineRule="exact"/>
              <w:ind w:right="118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8" w:space="0" w:color="000000"/>
              <w:right w:val="nil" w:sz="6" w:space="0" w:color="auto"/>
            </w:tcBorders>
          </w:tcPr>
          <w:p>
            <w:pPr>
              <w:pStyle w:val="TableParagraph"/>
              <w:spacing w:line="21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8" w:space="0" w:color="000000"/>
              <w:right w:val="nil" w:sz="6" w:space="0" w:color="auto"/>
            </w:tcBorders>
          </w:tcPr>
          <w:p>
            <w:pPr>
              <w:pStyle w:val="TableParagraph"/>
              <w:spacing w:line="211" w:lineRule="exact"/>
              <w:ind w:left="398"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92" w:hRule="exact"/>
        </w:trPr>
        <w:tc>
          <w:tcPr>
            <w:tcW w:w="30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20"/>
                <w:szCs w:val="20"/>
              </w:rPr>
            </w:pPr>
            <w:r>
              <w:rPr>
                <w:rFonts w:ascii="宋体"/>
                <w:w w:val="95"/>
                <w:sz w:val="20"/>
              </w:rPr>
              <w:t>14,218,065.26</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w w:val="95"/>
                <w:sz w:val="20"/>
              </w:rPr>
              <w:t>16,986,312.76</w:t>
            </w:r>
            <w:r>
              <w:rPr>
                <w:rFonts w:ascii="宋体"/>
                <w:sz w:val="20"/>
              </w:rPr>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18,994,341.72</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w w:val="95"/>
                <w:sz w:val="20"/>
              </w:rPr>
              <w:t>14,240,288.20</w:t>
            </w:r>
            <w:r>
              <w:rPr>
                <w:rFonts w:ascii="宋体"/>
                <w:sz w:val="20"/>
              </w:rPr>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交际费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12,506,139.12</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w w:val="95"/>
                <w:sz w:val="20"/>
              </w:rPr>
              <w:t>11,106,378.19</w:t>
            </w:r>
            <w:r>
              <w:rPr>
                <w:rFonts w:ascii="宋体"/>
                <w:sz w:val="20"/>
              </w:rPr>
            </w:r>
          </w:p>
        </w:tc>
      </w:tr>
      <w:tr>
        <w:trPr>
          <w:trHeight w:val="341"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837,967.50</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7,247,723.42</w:t>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7,915,926.78</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4,950,812.56</w:t>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810,002.02</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1,788,845.82</w:t>
            </w:r>
          </w:p>
        </w:tc>
      </w:tr>
      <w:tr>
        <w:trPr>
          <w:trHeight w:val="341"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95"/>
                <w:sz w:val="20"/>
              </w:rPr>
              <w:t>1,212,593.10</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1,575,796.03</w:t>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董事会费用</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597,809.98</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1,461,576.43</w:t>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支付的备用金</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9,463,940.96</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1,277,881.32</w:t>
            </w:r>
          </w:p>
        </w:tc>
      </w:tr>
      <w:tr>
        <w:trPr>
          <w:trHeight w:val="341"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租金</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1,090,280.14</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1,270,840.97</w:t>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416,000.00</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w w:val="95"/>
                <w:sz w:val="20"/>
              </w:rPr>
              <w:t>493,415.04</w:t>
            </w:r>
            <w:r>
              <w:rPr>
                <w:rFonts w:ascii="宋体"/>
                <w:sz w:val="20"/>
              </w:rPr>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三包费用</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w w:val="95"/>
                <w:sz w:val="20"/>
              </w:rPr>
              <w:t>483,054.56</w:t>
            </w:r>
            <w:r>
              <w:rPr>
                <w:rFonts w:ascii="宋体"/>
                <w:sz w:val="20"/>
              </w:rPr>
            </w:r>
          </w:p>
        </w:tc>
      </w:tr>
      <w:tr>
        <w:trPr>
          <w:trHeight w:val="341"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手续费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1,051,678.10</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w w:val="95"/>
                <w:sz w:val="20"/>
              </w:rPr>
              <w:t>319,500.53</w:t>
            </w:r>
            <w:r>
              <w:rPr>
                <w:rFonts w:ascii="宋体"/>
                <w:sz w:val="20"/>
              </w:rPr>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业务宣传费</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w w:val="95"/>
                <w:sz w:val="20"/>
              </w:rPr>
              <w:t>243,178.43</w:t>
            </w:r>
            <w:r>
              <w:rPr>
                <w:rFonts w:ascii="宋体"/>
                <w:sz w:val="20"/>
              </w:rPr>
            </w:r>
          </w:p>
        </w:tc>
      </w:tr>
      <w:tr>
        <w:trPr>
          <w:trHeight w:val="3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2,437,806.70</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r>
      <w:tr>
        <w:trPr>
          <w:trHeight w:val="304"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6,971,497.28</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20"/>
                <w:szCs w:val="20"/>
              </w:rPr>
            </w:pPr>
            <w:r>
              <w:rPr>
                <w:rFonts w:ascii="宋体"/>
                <w:spacing w:val="-1"/>
                <w:sz w:val="20"/>
              </w:rPr>
              <w:t>7,166,864.54</w:t>
            </w:r>
          </w:p>
        </w:tc>
      </w:tr>
      <w:tr>
        <w:trPr>
          <w:trHeight w:val="370" w:hRule="exact"/>
        </w:trPr>
        <w:tc>
          <w:tcPr>
            <w:tcW w:w="3010"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115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603"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78,524,048.66</w:t>
            </w:r>
            <w:r>
              <w:rPr>
                <w:rFonts w:ascii="宋体"/>
                <w:sz w:val="20"/>
              </w:rPr>
            </w:r>
          </w:p>
        </w:tc>
        <w:tc>
          <w:tcPr>
            <w:tcW w:w="302"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8"/>
              <w:jc w:val="right"/>
              <w:rPr>
                <w:rFonts w:ascii="宋体" w:hAnsi="宋体" w:cs="宋体" w:eastAsia="宋体" w:hint="default"/>
                <w:sz w:val="20"/>
                <w:szCs w:val="20"/>
              </w:rPr>
            </w:pPr>
            <w:r>
              <w:rPr>
                <w:rFonts w:ascii="宋体"/>
                <w:w w:val="95"/>
                <w:sz w:val="20"/>
              </w:rPr>
              <w:t>70,612,468.80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120" w:val="left" w:leader="none"/>
        </w:tabs>
        <w:spacing w:line="240" w:lineRule="auto" w:before="26"/>
        <w:ind w:left="640" w:right="86"/>
        <w:jc w:val="left"/>
      </w:pPr>
      <w:r>
        <w:rPr/>
        <w:t>⑶</w:t>
        <w:tab/>
        <w:t>支付其他与筹资活动有关的现金</w:t>
      </w: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63"/>
        <w:gridCol w:w="1589"/>
        <w:gridCol w:w="1911"/>
        <w:gridCol w:w="329"/>
        <w:gridCol w:w="1800"/>
      </w:tblGrid>
      <w:tr>
        <w:trPr>
          <w:trHeight w:val="246" w:hRule="exact"/>
        </w:trPr>
        <w:tc>
          <w:tcPr>
            <w:tcW w:w="3063"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11" w:lineRule="exact"/>
              <w:ind w:right="119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589"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4" w:space="0" w:color="000000"/>
              <w:right w:val="nil" w:sz="6" w:space="0" w:color="auto"/>
            </w:tcBorders>
          </w:tcPr>
          <w:p>
            <w:pPr>
              <w:pStyle w:val="TableParagraph"/>
              <w:spacing w:line="211"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29"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11" w:lineRule="exact"/>
              <w:ind w:left="377"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55" w:hRule="exact"/>
        </w:trPr>
        <w:tc>
          <w:tcPr>
            <w:tcW w:w="306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中介机构费用等</w:t>
            </w:r>
          </w:p>
        </w:tc>
        <w:tc>
          <w:tcPr>
            <w:tcW w:w="1589" w:type="dxa"/>
            <w:tcBorders>
              <w:top w:val="nil" w:sz="6" w:space="0" w:color="auto"/>
              <w:left w:val="nil" w:sz="6" w:space="0" w:color="auto"/>
              <w:bottom w:val="nil" w:sz="6" w:space="0" w:color="auto"/>
              <w:right w:val="nil" w:sz="6" w:space="0" w:color="auto"/>
            </w:tcBorders>
          </w:tcPr>
          <w:p>
            <w:pPr/>
          </w:p>
        </w:tc>
        <w:tc>
          <w:tcPr>
            <w:tcW w:w="1911"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right="21"/>
              <w:jc w:val="right"/>
              <w:rPr>
                <w:rFonts w:ascii="宋体" w:hAnsi="宋体" w:cs="宋体" w:eastAsia="宋体" w:hint="default"/>
                <w:sz w:val="21"/>
                <w:szCs w:val="21"/>
              </w:rPr>
            </w:pPr>
            <w:r>
              <w:rPr>
                <w:rFonts w:ascii="宋体"/>
                <w:spacing w:val="-1"/>
                <w:sz w:val="21"/>
              </w:rPr>
              <w:t>2,079,424.17</w:t>
            </w:r>
          </w:p>
        </w:tc>
        <w:tc>
          <w:tcPr>
            <w:tcW w:w="329"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single" w:sz="4" w:space="0" w:color="000000"/>
              <w:right w:val="nil" w:sz="6" w:space="0" w:color="auto"/>
            </w:tcBorders>
          </w:tcPr>
          <w:p>
            <w:pPr/>
          </w:p>
        </w:tc>
      </w:tr>
      <w:tr>
        <w:trPr>
          <w:trHeight w:val="374" w:hRule="exact"/>
        </w:trPr>
        <w:tc>
          <w:tcPr>
            <w:tcW w:w="3063"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6"/>
              <w:ind w:right="119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89" w:type="dxa"/>
            <w:tcBorders>
              <w:top w:val="nil" w:sz="6" w:space="0" w:color="auto"/>
              <w:left w:val="nil" w:sz="6" w:space="0" w:color="auto"/>
              <w:bottom w:val="nil" w:sz="6" w:space="0" w:color="auto"/>
              <w:right w:val="nil" w:sz="6" w:space="0" w:color="auto"/>
            </w:tcBorders>
          </w:tcPr>
          <w:p>
            <w:pPr/>
          </w:p>
        </w:tc>
        <w:tc>
          <w:tcPr>
            <w:tcW w:w="1911"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21"/>
              <w:jc w:val="right"/>
              <w:rPr>
                <w:rFonts w:ascii="宋体" w:hAnsi="宋体" w:cs="宋体" w:eastAsia="宋体" w:hint="default"/>
                <w:sz w:val="21"/>
                <w:szCs w:val="21"/>
              </w:rPr>
            </w:pPr>
            <w:r>
              <w:rPr>
                <w:rFonts w:ascii="宋体"/>
                <w:spacing w:val="-1"/>
                <w:sz w:val="21"/>
              </w:rPr>
              <w:t>2,079,424.17</w:t>
            </w:r>
          </w:p>
        </w:tc>
        <w:tc>
          <w:tcPr>
            <w:tcW w:w="329"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single" w:sz="17" w:space="0" w:color="000000"/>
              <w:right w:val="nil" w:sz="6" w:space="0" w:color="auto"/>
            </w:tcBorders>
          </w:tcPr>
          <w:p>
            <w:pPr/>
          </w:p>
        </w:tc>
      </w:tr>
    </w:tbl>
    <w:p>
      <w:pPr>
        <w:spacing w:line="240" w:lineRule="auto" w:before="10"/>
        <w:rPr>
          <w:rFonts w:ascii="宋体" w:hAnsi="宋体" w:cs="宋体" w:eastAsia="宋体" w:hint="default"/>
          <w:sz w:val="25"/>
          <w:szCs w:val="25"/>
        </w:rPr>
      </w:pPr>
    </w:p>
    <w:p>
      <w:pPr>
        <w:pStyle w:val="Heading2"/>
        <w:tabs>
          <w:tab w:pos="1420" w:val="left" w:leader="none"/>
        </w:tabs>
        <w:spacing w:line="367" w:lineRule="exact"/>
        <w:ind w:left="640" w:right="86"/>
        <w:jc w:val="left"/>
        <w:rPr>
          <w:b w:val="0"/>
          <w:bCs w:val="0"/>
        </w:rPr>
      </w:pPr>
      <w:r>
        <w:rPr>
          <w:rFonts w:ascii="Times New Roman" w:hAnsi="Times New Roman" w:cs="Times New Roman" w:eastAsia="Times New Roman" w:hint="default"/>
        </w:rPr>
        <w:t>40</w:t>
      </w:r>
      <w:r>
        <w:rPr/>
        <w:t>、</w:t>
        <w:tab/>
        <w:t>现金流量表补充资料</w:t>
      </w:r>
      <w:r>
        <w:rPr>
          <w:b w:val="0"/>
          <w:bCs w:val="0"/>
        </w:rPr>
      </w:r>
    </w:p>
    <w:p>
      <w:pPr>
        <w:pStyle w:val="BodyText"/>
        <w:tabs>
          <w:tab w:pos="1074" w:val="left" w:leader="none"/>
        </w:tabs>
        <w:spacing w:line="240" w:lineRule="auto" w:before="64"/>
        <w:ind w:left="594" w:right="86"/>
        <w:jc w:val="left"/>
      </w:pPr>
      <w:r>
        <w:rPr/>
        <w:t>⑴</w:t>
        <w:tab/>
        <w:t>将净利润调节为经营活动现金流量的信息</w:t>
      </w:r>
    </w:p>
    <w:p>
      <w:pPr>
        <w:spacing w:line="240" w:lineRule="auto" w:before="3"/>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5233"/>
        <w:gridCol w:w="341"/>
        <w:gridCol w:w="1622"/>
        <w:gridCol w:w="296"/>
        <w:gridCol w:w="1553"/>
      </w:tblGrid>
      <w:tr>
        <w:trPr>
          <w:trHeight w:val="212" w:hRule="exact"/>
        </w:trPr>
        <w:tc>
          <w:tcPr>
            <w:tcW w:w="5233"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4"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5233" w:type="dxa"/>
            <w:tcBorders>
              <w:top w:val="single" w:sz="4" w:space="0" w:color="000000"/>
              <w:left w:val="nil" w:sz="6" w:space="0" w:color="auto"/>
              <w:bottom w:val="nil" w:sz="6" w:space="0" w:color="auto"/>
              <w:right w:val="nil" w:sz="6" w:space="0" w:color="auto"/>
            </w:tcBorders>
          </w:tcPr>
          <w:p>
            <w:pPr>
              <w:pStyle w:val="TableParagraph"/>
              <w:spacing w:line="252" w:lineRule="exact"/>
              <w:ind w:left="2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single" w:sz="4" w:space="0" w:color="000000"/>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
        </w:tc>
      </w:tr>
      <w:tr>
        <w:trPr>
          <w:trHeight w:val="295"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64"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87,071,658.79</w:t>
            </w: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79,456,607.25</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2,035,981.94</w:t>
            </w: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-1,065,921.76</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51,091,388.63</w:t>
            </w: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40,743,387.99</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2,180,440.79</w:t>
            </w: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2,372,630.33</w:t>
            </w:r>
          </w:p>
        </w:tc>
      </w:tr>
      <w:tr>
        <w:trPr>
          <w:trHeight w:val="23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41"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291,502.68</w:t>
            </w:r>
          </w:p>
        </w:tc>
        <w:tc>
          <w:tcPr>
            <w:tcW w:w="296"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431,952.92</w:t>
            </w:r>
          </w:p>
        </w:tc>
      </w:tr>
    </w:tbl>
    <w:p>
      <w:pPr>
        <w:spacing w:after="0" w:line="232" w:lineRule="exact"/>
        <w:jc w:val="right"/>
        <w:rPr>
          <w:rFonts w:ascii="宋体" w:hAnsi="宋体" w:cs="宋体" w:eastAsia="宋体" w:hint="default"/>
          <w:sz w:val="18"/>
          <w:szCs w:val="18"/>
        </w:rPr>
        <w:sectPr>
          <w:headerReference w:type="default" r:id="rId49"/>
          <w:pgSz w:w="11910" w:h="16840"/>
          <w:pgMar w:header="915" w:footer="944" w:top="1100" w:bottom="1140" w:left="1460" w:right="1140"/>
        </w:sectPr>
      </w:pPr>
    </w:p>
    <w:p>
      <w:pPr>
        <w:spacing w:line="240" w:lineRule="auto" w:before="11"/>
        <w:rPr>
          <w:rFonts w:ascii="宋体" w:hAnsi="宋体" w:cs="宋体" w:eastAsia="宋体" w:hint="default"/>
          <w:sz w:val="2"/>
          <w:szCs w:val="2"/>
        </w:rPr>
      </w:pPr>
      <w:r>
        <w:rPr/>
        <w:pict>
          <v:shape style="position:absolute;margin-left:81.300003pt;margin-top:41.999985pt;width:18pt;height:15.75pt;mso-position-horizontal-relative:page;mso-position-vertical-relative:page;z-index:-744736" type="#_x0000_t75" stroked="false">
            <v:imagedata r:id="rId7" o:title=""/>
          </v:shape>
        </w:pict>
      </w:r>
    </w:p>
    <w:tbl>
      <w:tblPr>
        <w:tblW w:w="0" w:type="auto"/>
        <w:jc w:val="left"/>
        <w:tblInd w:w="111" w:type="dxa"/>
        <w:tblLayout w:type="fixed"/>
        <w:tblCellMar>
          <w:top w:w="0" w:type="dxa"/>
          <w:left w:w="0" w:type="dxa"/>
          <w:bottom w:w="0" w:type="dxa"/>
          <w:right w:w="0" w:type="dxa"/>
        </w:tblCellMar>
        <w:tblLook w:val="01E0"/>
      </w:tblPr>
      <w:tblGrid>
        <w:gridCol w:w="5233"/>
        <w:gridCol w:w="334"/>
        <w:gridCol w:w="1630"/>
        <w:gridCol w:w="289"/>
        <w:gridCol w:w="1574"/>
      </w:tblGrid>
      <w:tr>
        <w:trPr>
          <w:trHeight w:val="569" w:hRule="exact"/>
        </w:trPr>
        <w:tc>
          <w:tcPr>
            <w:tcW w:w="5233"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53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34" w:type="dxa"/>
            <w:tcBorders>
              <w:top w:val="single" w:sz="6" w:space="0" w:color="000000"/>
              <w:left w:val="nil" w:sz="6" w:space="0" w:color="auto"/>
              <w:bottom w:val="nil" w:sz="6" w:space="0" w:color="auto"/>
              <w:right w:val="nil" w:sz="6" w:space="0" w:color="auto"/>
            </w:tcBorders>
          </w:tcPr>
          <w:p>
            <w:pPr/>
          </w:p>
        </w:tc>
        <w:tc>
          <w:tcPr>
            <w:tcW w:w="1630"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9" w:type="dxa"/>
            <w:tcBorders>
              <w:top w:val="single" w:sz="6" w:space="0" w:color="000000"/>
              <w:left w:val="nil" w:sz="6" w:space="0" w:color="auto"/>
              <w:bottom w:val="nil" w:sz="6" w:space="0" w:color="auto"/>
              <w:right w:val="nil" w:sz="6" w:space="0" w:color="auto"/>
            </w:tcBorders>
          </w:tcPr>
          <w:p>
            <w:pPr/>
          </w:p>
        </w:tc>
        <w:tc>
          <w:tcPr>
            <w:tcW w:w="157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3" w:hRule="exact"/>
        </w:trPr>
        <w:tc>
          <w:tcPr>
            <w:tcW w:w="523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062"/>
              <w:jc w:val="right"/>
              <w:rPr>
                <w:rFonts w:ascii="宋体" w:hAnsi="宋体" w:cs="宋体" w:eastAsia="宋体" w:hint="default"/>
                <w:sz w:val="18"/>
                <w:szCs w:val="18"/>
              </w:rPr>
            </w:pPr>
            <w:r>
              <w:rPr>
                <w:rFonts w:ascii="宋体" w:hAnsi="宋体" w:cs="宋体" w:eastAsia="宋体" w:hint="default"/>
                <w:spacing w:val="-1"/>
                <w:sz w:val="18"/>
                <w:szCs w:val="18"/>
              </w:rPr>
              <w:t>处臵固定资产、无形资产和其他长期资产的损失</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323,504.89</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40"/>
              <w:jc w:val="right"/>
              <w:rPr>
                <w:rFonts w:ascii="宋体" w:hAnsi="宋体" w:cs="宋体" w:eastAsia="宋体" w:hint="default"/>
                <w:sz w:val="18"/>
                <w:szCs w:val="18"/>
              </w:rPr>
            </w:pPr>
            <w:r>
              <w:rPr>
                <w:rFonts w:ascii="宋体"/>
                <w:spacing w:val="-1"/>
                <w:sz w:val="18"/>
              </w:rPr>
              <w:t>127,263.77</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0" w:lineRule="exact"/>
              <w:ind w:left="38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0" w:lineRule="exact"/>
              <w:ind w:right="24"/>
              <w:jc w:val="right"/>
              <w:rPr>
                <w:rFonts w:ascii="宋体" w:hAnsi="宋体" w:cs="宋体" w:eastAsia="宋体" w:hint="default"/>
                <w:sz w:val="18"/>
                <w:szCs w:val="18"/>
              </w:rPr>
            </w:pPr>
            <w:r>
              <w:rPr>
                <w:rFonts w:ascii="宋体"/>
                <w:spacing w:val="-1"/>
                <w:sz w:val="18"/>
              </w:rPr>
              <w:t>7,999,255.35</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30" w:lineRule="exact"/>
              <w:ind w:right="40"/>
              <w:jc w:val="right"/>
              <w:rPr>
                <w:rFonts w:ascii="宋体" w:hAnsi="宋体" w:cs="宋体" w:eastAsia="宋体" w:hint="default"/>
                <w:sz w:val="18"/>
                <w:szCs w:val="18"/>
              </w:rPr>
            </w:pPr>
            <w:r>
              <w:rPr>
                <w:rFonts w:ascii="宋体"/>
                <w:spacing w:val="-1"/>
                <w:sz w:val="18"/>
              </w:rPr>
              <w:t>641,316.03</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331,949.47</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32" w:lineRule="exact"/>
              <w:ind w:right="40"/>
              <w:jc w:val="right"/>
              <w:rPr>
                <w:rFonts w:ascii="宋体" w:hAnsi="宋体" w:cs="宋体" w:eastAsia="宋体" w:hint="default"/>
                <w:sz w:val="18"/>
                <w:szCs w:val="18"/>
              </w:rPr>
            </w:pPr>
            <w:r>
              <w:rPr>
                <w:rFonts w:ascii="宋体"/>
                <w:spacing w:val="-1"/>
                <w:sz w:val="18"/>
              </w:rPr>
              <w:t>-107,245.54</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42,330.92</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32" w:lineRule="exact"/>
              <w:ind w:right="40"/>
              <w:jc w:val="right"/>
              <w:rPr>
                <w:rFonts w:ascii="宋体" w:hAnsi="宋体" w:cs="宋体" w:eastAsia="宋体" w:hint="default"/>
                <w:sz w:val="18"/>
                <w:szCs w:val="18"/>
              </w:rPr>
            </w:pPr>
            <w:r>
              <w:rPr>
                <w:rFonts w:ascii="宋体"/>
                <w:spacing w:val="-1"/>
                <w:sz w:val="18"/>
              </w:rPr>
              <w:t>-28,875,017.12</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right="1062"/>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-5,380,622.49</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32" w:lineRule="exact"/>
              <w:ind w:right="40"/>
              <w:jc w:val="right"/>
              <w:rPr>
                <w:rFonts w:ascii="宋体" w:hAnsi="宋体" w:cs="宋体" w:eastAsia="宋体" w:hint="default"/>
                <w:sz w:val="18"/>
                <w:szCs w:val="18"/>
              </w:rPr>
            </w:pPr>
            <w:r>
              <w:rPr>
                <w:rFonts w:ascii="宋体"/>
                <w:spacing w:val="-1"/>
                <w:sz w:val="18"/>
              </w:rPr>
              <w:t>-22,797,833.99</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right="1062"/>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33,548,287.43</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32" w:lineRule="exact"/>
              <w:ind w:right="41"/>
              <w:jc w:val="right"/>
              <w:rPr>
                <w:rFonts w:ascii="宋体" w:hAnsi="宋体" w:cs="宋体" w:eastAsia="宋体" w:hint="default"/>
                <w:sz w:val="18"/>
                <w:szCs w:val="18"/>
              </w:rPr>
            </w:pPr>
            <w:r>
              <w:rPr>
                <w:rFonts w:ascii="宋体"/>
                <w:spacing w:val="-1"/>
                <w:sz w:val="18"/>
              </w:rPr>
              <w:t>40,689,868.95</w:t>
            </w:r>
          </w:p>
        </w:tc>
      </w:tr>
      <w:tr>
        <w:trPr>
          <w:trHeight w:val="266"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6" w:space="0" w:color="000000"/>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6" w:space="0" w:color="000000"/>
              <w:right w:val="nil" w:sz="6" w:space="0" w:color="auto"/>
            </w:tcBorders>
          </w:tcPr>
          <w:p>
            <w:pPr/>
          </w:p>
        </w:tc>
      </w:tr>
      <w:tr>
        <w:trPr>
          <w:trHeight w:val="31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179,535,678.40</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41"/>
              <w:jc w:val="right"/>
              <w:rPr>
                <w:rFonts w:ascii="宋体" w:hAnsi="宋体" w:cs="宋体" w:eastAsia="宋体" w:hint="default"/>
                <w:sz w:val="18"/>
                <w:szCs w:val="18"/>
              </w:rPr>
            </w:pPr>
            <w:r>
              <w:rPr>
                <w:rFonts w:ascii="宋体"/>
                <w:spacing w:val="-1"/>
                <w:sz w:val="18"/>
              </w:rPr>
              <w:t>111,617,008.83</w:t>
            </w:r>
          </w:p>
        </w:tc>
      </w:tr>
      <w:tr>
        <w:trPr>
          <w:trHeight w:val="306"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17"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single" w:sz="17" w:space="0" w:color="000000"/>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95"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409,824,815.84</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
              <w:jc w:val="right"/>
              <w:rPr>
                <w:rFonts w:ascii="宋体" w:hAnsi="宋体" w:cs="宋体" w:eastAsia="宋体" w:hint="default"/>
                <w:sz w:val="18"/>
                <w:szCs w:val="18"/>
              </w:rPr>
            </w:pPr>
            <w:r>
              <w:rPr>
                <w:rFonts w:ascii="宋体"/>
                <w:spacing w:val="-1"/>
                <w:sz w:val="18"/>
              </w:rPr>
              <w:t>199,616,086.89</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20" w:lineRule="exact"/>
              <w:ind w:left="3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199,616,086.89</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宋体" w:hAnsi="宋体" w:cs="宋体" w:eastAsia="宋体" w:hint="default"/>
                <w:sz w:val="18"/>
                <w:szCs w:val="18"/>
              </w:rPr>
            </w:pPr>
            <w:r>
              <w:rPr>
                <w:rFonts w:ascii="宋体"/>
                <w:spacing w:val="-1"/>
                <w:sz w:val="18"/>
              </w:rPr>
              <w:t>133,276,994.51</w:t>
            </w:r>
          </w:p>
        </w:tc>
      </w:tr>
      <w:tr>
        <w:trPr>
          <w:trHeight w:val="271"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20" w:lineRule="exact"/>
              <w:ind w:left="3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290"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6" w:space="0" w:color="000000"/>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6" w:space="0" w:color="000000"/>
              <w:right w:val="nil" w:sz="6" w:space="0" w:color="auto"/>
            </w:tcBorders>
          </w:tcPr>
          <w:p>
            <w:pPr/>
          </w:p>
        </w:tc>
      </w:tr>
      <w:tr>
        <w:trPr>
          <w:trHeight w:val="314"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210,208,728.95</w:t>
            </w:r>
          </w:p>
        </w:tc>
        <w:tc>
          <w:tcPr>
            <w:tcW w:w="289" w:type="dxa"/>
            <w:tcBorders>
              <w:top w:val="nil" w:sz="6" w:space="0" w:color="auto"/>
              <w:left w:val="nil" w:sz="6" w:space="0" w:color="auto"/>
              <w:bottom w:val="nil" w:sz="6" w:space="0" w:color="auto"/>
              <w:right w:val="nil" w:sz="6" w:space="0" w:color="auto"/>
            </w:tcBorders>
          </w:tcPr>
          <w:p>
            <w:pPr/>
          </w:p>
        </w:tc>
        <w:tc>
          <w:tcPr>
            <w:tcW w:w="1574"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41"/>
              <w:jc w:val="right"/>
              <w:rPr>
                <w:rFonts w:ascii="宋体" w:hAnsi="宋体" w:cs="宋体" w:eastAsia="宋体" w:hint="default"/>
                <w:sz w:val="18"/>
                <w:szCs w:val="18"/>
              </w:rPr>
            </w:pPr>
            <w:r>
              <w:rPr>
                <w:rFonts w:ascii="宋体"/>
                <w:spacing w:val="-1"/>
                <w:sz w:val="18"/>
              </w:rPr>
              <w:t>66,339,092.38</w:t>
            </w:r>
          </w:p>
        </w:tc>
      </w:tr>
    </w:tbl>
    <w:p>
      <w:pPr>
        <w:spacing w:line="240" w:lineRule="auto" w:before="2"/>
        <w:rPr>
          <w:rFonts w:ascii="宋体" w:hAnsi="宋体" w:cs="宋体" w:eastAsia="宋体" w:hint="default"/>
          <w:sz w:val="12"/>
          <w:szCs w:val="12"/>
        </w:rPr>
      </w:pPr>
    </w:p>
    <w:p>
      <w:pPr>
        <w:pStyle w:val="BodyText"/>
        <w:spacing w:line="240" w:lineRule="auto" w:before="26"/>
        <w:ind w:left="620" w:right="145"/>
        <w:jc w:val="left"/>
      </w:pPr>
      <w:r>
        <w:rPr/>
        <w:t>⑵ 现金及现金等价物的构成</w:t>
      </w:r>
    </w:p>
    <w:p>
      <w:pPr>
        <w:spacing w:line="240" w:lineRule="auto" w:before="6"/>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5238"/>
        <w:gridCol w:w="314"/>
        <w:gridCol w:w="1630"/>
        <w:gridCol w:w="303"/>
        <w:gridCol w:w="1546"/>
      </w:tblGrid>
      <w:tr>
        <w:trPr>
          <w:trHeight w:val="285" w:hRule="exact"/>
        </w:trPr>
        <w:tc>
          <w:tcPr>
            <w:tcW w:w="5238"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11" w:lineRule="exact"/>
              <w:ind w:left="50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11" w:lineRule="exact"/>
              <w:ind w:left="45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5238" w:type="dxa"/>
            <w:tcBorders>
              <w:top w:val="single" w:sz="4" w:space="0" w:color="000000"/>
              <w:left w:val="nil" w:sz="6" w:space="0" w:color="auto"/>
              <w:bottom w:val="nil" w:sz="6" w:space="0" w:color="auto"/>
              <w:right w:val="nil" w:sz="6" w:space="0" w:color="auto"/>
            </w:tcBorders>
          </w:tcPr>
          <w:p>
            <w:pPr>
              <w:pStyle w:val="TableParagraph"/>
              <w:spacing w:line="301"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一、现金</w:t>
            </w:r>
            <w:r>
              <w:rPr>
                <w:rFonts w:ascii="Microsoft JhengHei" w:hAnsi="Microsoft JhengHei" w:cs="Microsoft JhengHei" w:eastAsia="Microsoft JhengHei" w:hint="default"/>
                <w:sz w:val="21"/>
                <w:szCs w:val="21"/>
              </w:rPr>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409,824,815.84</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199,616,086.89</w:t>
            </w: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宋体" w:hAnsi="宋体" w:cs="宋体" w:eastAsia="宋体" w:hint="default"/>
                <w:sz w:val="21"/>
                <w:szCs w:val="21"/>
              </w:rPr>
            </w:pPr>
            <w:r>
              <w:rPr>
                <w:rFonts w:ascii="宋体"/>
                <w:spacing w:val="-1"/>
                <w:sz w:val="21"/>
              </w:rPr>
              <w:t>212,580.57</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295,038.50</w:t>
            </w: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宋体" w:hAnsi="宋体" w:cs="宋体" w:eastAsia="宋体" w:hint="default"/>
                <w:sz w:val="21"/>
                <w:szCs w:val="21"/>
              </w:rPr>
            </w:pPr>
            <w:r>
              <w:rPr>
                <w:rFonts w:ascii="宋体"/>
                <w:spacing w:val="-1"/>
                <w:sz w:val="21"/>
              </w:rPr>
              <w:t>387,327,159.85</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167,248,419.33</w:t>
            </w:r>
          </w:p>
        </w:tc>
      </w:tr>
      <w:tr>
        <w:trPr>
          <w:trHeight w:val="34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30"/>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宋体" w:hAnsi="宋体" w:cs="宋体" w:eastAsia="宋体" w:hint="default"/>
                <w:sz w:val="21"/>
                <w:szCs w:val="21"/>
              </w:rPr>
            </w:pPr>
            <w:r>
              <w:rPr>
                <w:rFonts w:ascii="宋体"/>
                <w:spacing w:val="-1"/>
                <w:sz w:val="21"/>
              </w:rPr>
              <w:t>22,285,075.42</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32,072,629.06</w:t>
            </w:r>
          </w:p>
        </w:tc>
      </w:tr>
      <w:tr>
        <w:trPr>
          <w:trHeight w:val="34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30"/>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9"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9"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302"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二、现金等价物</w:t>
            </w:r>
            <w:r>
              <w:rPr>
                <w:rFonts w:ascii="Microsoft JhengHei" w:hAnsi="Microsoft JhengHei" w:cs="Microsoft JhengHei" w:eastAsia="Microsoft JhengHei" w:hint="default"/>
                <w:sz w:val="21"/>
                <w:szCs w:val="21"/>
              </w:rPr>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51"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30"/>
              <w:jc w:val="right"/>
              <w:rPr>
                <w:rFonts w:ascii="宋体" w:hAnsi="宋体" w:cs="宋体" w:eastAsia="宋体" w:hint="default"/>
                <w:sz w:val="21"/>
                <w:szCs w:val="21"/>
              </w:rPr>
            </w:pPr>
            <w:r>
              <w:rPr>
                <w:rFonts w:ascii="宋体" w:hAnsi="宋体" w:cs="宋体" w:eastAsia="宋体" w:hint="default"/>
                <w:spacing w:val="-2"/>
                <w:sz w:val="21"/>
                <w:szCs w:val="21"/>
              </w:rPr>
              <w:t>其中：三个月内到期的债券投资</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
        </w:tc>
      </w:tr>
      <w:tr>
        <w:trPr>
          <w:trHeight w:val="375"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305"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三、期末现金及现金等价物余额</w:t>
            </w:r>
            <w:r>
              <w:rPr>
                <w:rFonts w:ascii="Microsoft JhengHei" w:hAnsi="Microsoft JhengHei" w:cs="Microsoft JhengHei" w:eastAsia="Microsoft JhengHei" w:hint="default"/>
                <w:sz w:val="21"/>
                <w:szCs w:val="21"/>
              </w:rPr>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single" w:sz="18" w:space="0" w:color="000000"/>
              <w:right w:val="nil" w:sz="6" w:space="0" w:color="auto"/>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409,824,815.84</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single" w:sz="18" w:space="0" w:color="000000"/>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199,616,086.89</w:t>
            </w:r>
          </w:p>
        </w:tc>
      </w:tr>
    </w:tbl>
    <w:p>
      <w:pPr>
        <w:spacing w:line="240" w:lineRule="auto" w:before="4"/>
        <w:rPr>
          <w:rFonts w:ascii="宋体" w:hAnsi="宋体" w:cs="宋体" w:eastAsia="宋体" w:hint="default"/>
          <w:sz w:val="24"/>
          <w:szCs w:val="24"/>
        </w:rPr>
      </w:pPr>
    </w:p>
    <w:p>
      <w:pPr>
        <w:pStyle w:val="Heading2"/>
        <w:spacing w:line="367" w:lineRule="exact"/>
        <w:ind w:right="145"/>
        <w:jc w:val="left"/>
        <w:rPr>
          <w:b w:val="0"/>
          <w:bCs w:val="0"/>
        </w:rPr>
      </w:pPr>
      <w:r>
        <w:rPr/>
        <w:t>八、</w:t>
      </w:r>
      <w:r>
        <w:rPr>
          <w:spacing w:val="-25"/>
        </w:rPr>
        <w:t> </w:t>
      </w:r>
      <w:r>
        <w:rPr/>
        <w:t>关联方及关联交易</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tabs>
          <w:tab w:pos="1400" w:val="left" w:leader="none"/>
        </w:tabs>
        <w:spacing w:line="240" w:lineRule="auto" w:before="0"/>
        <w:ind w:left="622" w:right="145"/>
        <w:jc w:val="left"/>
      </w:pPr>
      <w:r>
        <w:rPr>
          <w:rFonts w:ascii="宋体" w:hAnsi="宋体" w:cs="宋体" w:eastAsia="宋体" w:hint="default"/>
        </w:rPr>
        <w:t>1</w:t>
      </w:r>
      <w:r>
        <w:rPr/>
        <w:t>、</w:t>
        <w:tab/>
        <w:t>本公司的母公司情况</w:t>
      </w:r>
    </w:p>
    <w:p>
      <w:pPr>
        <w:spacing w:line="240" w:lineRule="auto" w:before="11"/>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2446"/>
        <w:gridCol w:w="113"/>
        <w:gridCol w:w="1034"/>
        <w:gridCol w:w="113"/>
        <w:gridCol w:w="1076"/>
        <w:gridCol w:w="113"/>
        <w:gridCol w:w="1454"/>
        <w:gridCol w:w="113"/>
        <w:gridCol w:w="1061"/>
        <w:gridCol w:w="171"/>
        <w:gridCol w:w="1034"/>
      </w:tblGrid>
      <w:tr>
        <w:trPr>
          <w:trHeight w:val="249" w:hRule="exact"/>
        </w:trPr>
        <w:tc>
          <w:tcPr>
            <w:tcW w:w="2446" w:type="dxa"/>
            <w:tcBorders>
              <w:top w:val="nil" w:sz="6" w:space="0" w:color="auto"/>
              <w:left w:val="nil" w:sz="6" w:space="0" w:color="auto"/>
              <w:bottom w:val="single" w:sz="4" w:space="0" w:color="000000"/>
              <w:right w:val="nil" w:sz="6" w:space="0" w:color="auto"/>
            </w:tcBorders>
          </w:tcPr>
          <w:p>
            <w:pPr>
              <w:pStyle w:val="TableParagraph"/>
              <w:spacing w:line="211" w:lineRule="exact"/>
              <w:ind w:left="695"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13"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1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3"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pacing w:val="-1"/>
                <w:sz w:val="21"/>
                <w:szCs w:val="21"/>
              </w:rPr>
              <w:t>法定代表人</w:t>
            </w:r>
          </w:p>
        </w:tc>
        <w:tc>
          <w:tcPr>
            <w:tcW w:w="171"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279" w:hRule="exact"/>
        </w:trPr>
        <w:tc>
          <w:tcPr>
            <w:tcW w:w="2446"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香港喜多来集团有限公司</w:t>
            </w:r>
          </w:p>
        </w:tc>
        <w:tc>
          <w:tcPr>
            <w:tcW w:w="113"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13"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3"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中国香港</w:t>
            </w:r>
          </w:p>
        </w:tc>
        <w:tc>
          <w:tcPr>
            <w:tcW w:w="113"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谷望江</w:t>
            </w:r>
          </w:p>
        </w:tc>
        <w:tc>
          <w:tcPr>
            <w:tcW w:w="171"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r>
    </w:tbl>
    <w:p>
      <w:pPr>
        <w:spacing w:after="0" w:line="274" w:lineRule="exact"/>
        <w:jc w:val="center"/>
        <w:rPr>
          <w:rFonts w:ascii="宋体" w:hAnsi="宋体" w:cs="宋体" w:eastAsia="宋体" w:hint="default"/>
          <w:sz w:val="21"/>
          <w:szCs w:val="21"/>
        </w:rPr>
        <w:sectPr>
          <w:pgSz w:w="11910" w:h="16840"/>
          <w:pgMar w:header="915" w:footer="944" w:top="1100" w:bottom="1140" w:left="1480" w:right="1140"/>
        </w:sectPr>
      </w:pPr>
    </w:p>
    <w:tbl>
      <w:tblPr>
        <w:tblW w:w="0" w:type="auto"/>
        <w:jc w:val="left"/>
        <w:tblInd w:w="111" w:type="dxa"/>
        <w:tblLayout w:type="fixed"/>
        <w:tblCellMar>
          <w:top w:w="0" w:type="dxa"/>
          <w:left w:w="0" w:type="dxa"/>
          <w:bottom w:w="0" w:type="dxa"/>
          <w:right w:w="0" w:type="dxa"/>
        </w:tblCellMar>
        <w:tblLook w:val="01E0"/>
      </w:tblPr>
      <w:tblGrid>
        <w:gridCol w:w="2518"/>
        <w:gridCol w:w="144"/>
        <w:gridCol w:w="1320"/>
        <w:gridCol w:w="134"/>
        <w:gridCol w:w="1428"/>
        <w:gridCol w:w="134"/>
        <w:gridCol w:w="1685"/>
        <w:gridCol w:w="197"/>
        <w:gridCol w:w="1176"/>
        <w:gridCol w:w="321"/>
      </w:tblGrid>
      <w:tr>
        <w:trPr>
          <w:trHeight w:val="831" w:hRule="exact"/>
        </w:trPr>
        <w:tc>
          <w:tcPr>
            <w:tcW w:w="251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44" w:type="dxa"/>
            <w:tcBorders>
              <w:top w:val="single" w:sz="6" w:space="0" w:color="000000"/>
              <w:left w:val="nil" w:sz="6" w:space="0" w:color="auto"/>
              <w:bottom w:val="nil" w:sz="6" w:space="0" w:color="auto"/>
              <w:right w:val="nil" w:sz="6" w:space="0" w:color="auto"/>
            </w:tcBorders>
          </w:tcPr>
          <w:p>
            <w:pPr/>
          </w:p>
        </w:tc>
        <w:tc>
          <w:tcPr>
            <w:tcW w:w="132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34" w:type="dxa"/>
            <w:tcBorders>
              <w:top w:val="single" w:sz="6" w:space="0" w:color="000000"/>
              <w:left w:val="nil" w:sz="6" w:space="0" w:color="auto"/>
              <w:bottom w:val="nil" w:sz="6" w:space="0" w:color="auto"/>
              <w:right w:val="nil" w:sz="6" w:space="0" w:color="auto"/>
            </w:tcBorders>
          </w:tcPr>
          <w:p>
            <w:pPr/>
          </w:p>
        </w:tc>
        <w:tc>
          <w:tcPr>
            <w:tcW w:w="1428" w:type="dxa"/>
            <w:tcBorders>
              <w:top w:val="single" w:sz="6"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98" w:right="79" w:hanging="315"/>
              <w:jc w:val="left"/>
              <w:rPr>
                <w:rFonts w:ascii="宋体" w:hAnsi="宋体" w:cs="宋体" w:eastAsia="宋体" w:hint="default"/>
                <w:sz w:val="21"/>
                <w:szCs w:val="21"/>
              </w:rPr>
            </w:pPr>
            <w:r>
              <w:rPr>
                <w:rFonts w:ascii="宋体" w:hAnsi="宋体" w:cs="宋体" w:eastAsia="宋体" w:hint="default"/>
                <w:spacing w:val="-1"/>
                <w:sz w:val="21"/>
                <w:szCs w:val="21"/>
              </w:rPr>
              <w:t>对本企业的持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股比例</w:t>
            </w:r>
          </w:p>
        </w:tc>
        <w:tc>
          <w:tcPr>
            <w:tcW w:w="134" w:type="dxa"/>
            <w:tcBorders>
              <w:top w:val="single" w:sz="6" w:space="0" w:color="000000"/>
              <w:left w:val="nil" w:sz="6" w:space="0" w:color="auto"/>
              <w:bottom w:val="nil" w:sz="6" w:space="0" w:color="auto"/>
              <w:right w:val="nil" w:sz="6" w:space="0" w:color="auto"/>
            </w:tcBorders>
          </w:tcPr>
          <w:p>
            <w:pPr/>
          </w:p>
        </w:tc>
        <w:tc>
          <w:tcPr>
            <w:tcW w:w="1685" w:type="dxa"/>
            <w:tcBorders>
              <w:top w:val="single" w:sz="6"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527" w:right="101" w:hanging="420"/>
              <w:jc w:val="left"/>
              <w:rPr>
                <w:rFonts w:ascii="宋体" w:hAnsi="宋体" w:cs="宋体" w:eastAsia="宋体" w:hint="default"/>
                <w:sz w:val="21"/>
                <w:szCs w:val="21"/>
              </w:rPr>
            </w:pPr>
            <w:r>
              <w:rPr>
                <w:rFonts w:ascii="宋体" w:hAnsi="宋体" w:cs="宋体" w:eastAsia="宋体" w:hint="default"/>
                <w:spacing w:val="-1"/>
                <w:sz w:val="21"/>
                <w:szCs w:val="21"/>
              </w:rPr>
              <w:t>对本企业的表决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权比例</w:t>
            </w:r>
          </w:p>
        </w:tc>
        <w:tc>
          <w:tcPr>
            <w:tcW w:w="197" w:type="dxa"/>
            <w:tcBorders>
              <w:top w:val="single" w:sz="6" w:space="0" w:color="000000"/>
              <w:left w:val="nil" w:sz="6" w:space="0" w:color="auto"/>
              <w:bottom w:val="nil" w:sz="6" w:space="0" w:color="auto"/>
              <w:right w:val="nil" w:sz="6" w:space="0" w:color="auto"/>
            </w:tcBorders>
          </w:tcPr>
          <w:p>
            <w:pPr/>
          </w:p>
        </w:tc>
        <w:tc>
          <w:tcPr>
            <w:tcW w:w="1176" w:type="dxa"/>
            <w:tcBorders>
              <w:top w:val="single" w:sz="6"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273" w:right="57" w:hanging="212"/>
              <w:jc w:val="left"/>
              <w:rPr>
                <w:rFonts w:ascii="宋体" w:hAnsi="宋体" w:cs="宋体" w:eastAsia="宋体" w:hint="default"/>
                <w:sz w:val="21"/>
                <w:szCs w:val="21"/>
              </w:rPr>
            </w:pPr>
            <w:r>
              <w:rPr>
                <w:rFonts w:ascii="宋体" w:hAnsi="宋体" w:cs="宋体" w:eastAsia="宋体" w:hint="default"/>
                <w:sz w:val="21"/>
                <w:szCs w:val="21"/>
              </w:rPr>
              <w:t>本企业最终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控制方</w:t>
            </w:r>
          </w:p>
        </w:tc>
        <w:tc>
          <w:tcPr>
            <w:tcW w:w="321" w:type="dxa"/>
            <w:tcBorders>
              <w:top w:val="single" w:sz="6" w:space="0" w:color="000000"/>
              <w:left w:val="nil" w:sz="6" w:space="0" w:color="auto"/>
              <w:bottom w:val="nil" w:sz="6" w:space="0" w:color="auto"/>
              <w:right w:val="nil" w:sz="6" w:space="0" w:color="auto"/>
            </w:tcBorders>
          </w:tcPr>
          <w:p>
            <w:pPr/>
          </w:p>
        </w:tc>
      </w:tr>
      <w:tr>
        <w:trPr>
          <w:trHeight w:val="337" w:hRule="exact"/>
        </w:trPr>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98" w:right="0"/>
              <w:jc w:val="center"/>
              <w:rPr>
                <w:rFonts w:ascii="宋体" w:hAnsi="宋体" w:cs="宋体" w:eastAsia="宋体" w:hint="default"/>
                <w:sz w:val="21"/>
                <w:szCs w:val="21"/>
              </w:rPr>
            </w:pPr>
            <w:r>
              <w:rPr>
                <w:rFonts w:ascii="宋体" w:hAnsi="宋体" w:cs="宋体" w:eastAsia="宋体" w:hint="default"/>
                <w:sz w:val="21"/>
                <w:szCs w:val="21"/>
              </w:rPr>
              <w:t>香港喜多来集团有限公司</w:t>
            </w:r>
          </w:p>
        </w:tc>
        <w:tc>
          <w:tcPr>
            <w:tcW w:w="144"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1"/>
                <w:sz w:val="21"/>
                <w:szCs w:val="21"/>
              </w:rPr>
              <w:t> </w:t>
            </w:r>
            <w:r>
              <w:rPr>
                <w:rFonts w:ascii="宋体" w:hAnsi="宋体" w:cs="宋体" w:eastAsia="宋体" w:hint="default"/>
                <w:sz w:val="21"/>
                <w:szCs w:val="21"/>
              </w:rPr>
              <w:t>万港币</w:t>
            </w:r>
          </w:p>
        </w:tc>
        <w:tc>
          <w:tcPr>
            <w:tcW w:w="134"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451" w:right="0"/>
              <w:jc w:val="left"/>
              <w:rPr>
                <w:rFonts w:ascii="宋体" w:hAnsi="宋体" w:cs="宋体" w:eastAsia="宋体" w:hint="default"/>
                <w:sz w:val="21"/>
                <w:szCs w:val="21"/>
              </w:rPr>
            </w:pPr>
            <w:r>
              <w:rPr>
                <w:rFonts w:ascii="宋体"/>
                <w:sz w:val="21"/>
              </w:rPr>
              <w:t>30.48</w:t>
            </w:r>
          </w:p>
        </w:tc>
        <w:tc>
          <w:tcPr>
            <w:tcW w:w="134"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21"/>
                <w:szCs w:val="21"/>
              </w:rPr>
            </w:pPr>
            <w:r>
              <w:rPr>
                <w:rFonts w:ascii="宋体"/>
                <w:sz w:val="21"/>
              </w:rPr>
              <w:t>30.48</w:t>
            </w:r>
          </w:p>
        </w:tc>
        <w:tc>
          <w:tcPr>
            <w:tcW w:w="197"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73"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321"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1"/>
          <w:szCs w:val="21"/>
        </w:rPr>
      </w:pPr>
    </w:p>
    <w:p>
      <w:pPr>
        <w:pStyle w:val="BodyText"/>
        <w:tabs>
          <w:tab w:pos="1400" w:val="left" w:leader="none"/>
        </w:tabs>
        <w:spacing w:line="405" w:lineRule="auto" w:before="26"/>
        <w:ind w:left="622" w:right="5363"/>
        <w:jc w:val="left"/>
      </w:pPr>
      <w:r>
        <w:rPr>
          <w:rFonts w:ascii="宋体" w:hAnsi="宋体" w:cs="宋体" w:eastAsia="宋体" w:hint="default"/>
        </w:rPr>
        <w:t>2</w:t>
      </w:r>
      <w:r>
        <w:rPr/>
        <w:t>、</w:t>
        <w:tab/>
        <w:t>本公司的子公司 详见附注六、</w:t>
      </w:r>
      <w:r>
        <w:rPr>
          <w:rFonts w:ascii="Times New Roman" w:hAnsi="Times New Roman" w:cs="Times New Roman" w:eastAsia="Times New Roman" w:hint="default"/>
        </w:rPr>
        <w:t>1</w:t>
      </w:r>
      <w:r>
        <w:rPr/>
        <w:t>、子公司情况。 </w:t>
      </w:r>
      <w:r>
        <w:rPr>
          <w:rFonts w:ascii="宋体" w:hAnsi="宋体" w:cs="宋体" w:eastAsia="宋体" w:hint="default"/>
        </w:rPr>
        <w:t>3</w:t>
      </w:r>
      <w:r>
        <w:rPr/>
        <w:t>、</w:t>
        <w:tab/>
        <w:t>本集团无合营和联营企业</w:t>
      </w:r>
    </w:p>
    <w:p>
      <w:pPr>
        <w:pStyle w:val="BodyText"/>
        <w:tabs>
          <w:tab w:pos="1400" w:val="left" w:leader="none"/>
        </w:tabs>
        <w:spacing w:line="240" w:lineRule="auto" w:before="67"/>
        <w:ind w:left="622" w:right="0"/>
        <w:jc w:val="left"/>
      </w:pPr>
      <w:r>
        <w:rPr>
          <w:rFonts w:ascii="宋体" w:hAnsi="宋体" w:cs="宋体" w:eastAsia="宋体" w:hint="default"/>
        </w:rPr>
        <w:t>4</w:t>
      </w:r>
      <w:r>
        <w:rPr/>
        <w:t>、</w:t>
        <w:tab/>
        <w:t>本集团的其他关联方情况</w:t>
      </w:r>
    </w:p>
    <w:p>
      <w:pPr>
        <w:spacing w:line="240" w:lineRule="auto" w:before="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641"/>
        <w:gridCol w:w="221"/>
        <w:gridCol w:w="2801"/>
        <w:gridCol w:w="240"/>
        <w:gridCol w:w="1776"/>
      </w:tblGrid>
      <w:tr>
        <w:trPr>
          <w:trHeight w:val="268" w:hRule="exact"/>
        </w:trPr>
        <w:tc>
          <w:tcPr>
            <w:tcW w:w="3641" w:type="dxa"/>
            <w:tcBorders>
              <w:top w:val="nil" w:sz="6" w:space="0" w:color="auto"/>
              <w:left w:val="nil" w:sz="6" w:space="0" w:color="auto"/>
              <w:bottom w:val="single" w:sz="4" w:space="0" w:color="000000"/>
              <w:right w:val="nil" w:sz="6" w:space="0" w:color="auto"/>
            </w:tcBorders>
          </w:tcPr>
          <w:p>
            <w:pPr>
              <w:pStyle w:val="TableParagraph"/>
              <w:spacing w:line="211" w:lineRule="exact"/>
              <w:ind w:left="108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21"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11" w:lineRule="exact"/>
              <w:ind w:left="77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11" w:lineRule="exact"/>
              <w:ind w:left="256"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16" w:hRule="exact"/>
        </w:trPr>
        <w:tc>
          <w:tcPr>
            <w:tcW w:w="3641" w:type="dxa"/>
            <w:tcBorders>
              <w:top w:val="single" w:sz="4" w:space="0" w:color="000000"/>
              <w:left w:val="nil" w:sz="6" w:space="0" w:color="auto"/>
              <w:bottom w:val="nil" w:sz="6" w:space="0" w:color="auto"/>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日照大地依索新建材有限公司</w:t>
            </w:r>
          </w:p>
        </w:tc>
        <w:tc>
          <w:tcPr>
            <w:tcW w:w="221"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同受母公司控制的公司</w:t>
            </w:r>
          </w:p>
        </w:tc>
        <w:tc>
          <w:tcPr>
            <w:tcW w:w="240"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sz w:val="21"/>
              </w:rPr>
              <w:t>74568885-8</w:t>
            </w:r>
          </w:p>
        </w:tc>
      </w:tr>
      <w:tr>
        <w:trPr>
          <w:trHeight w:val="262" w:hRule="exact"/>
        </w:trPr>
        <w:tc>
          <w:tcPr>
            <w:tcW w:w="3641"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英属维尔京群岛欣泉有限公司</w:t>
            </w:r>
          </w:p>
        </w:tc>
        <w:tc>
          <w:tcPr>
            <w:tcW w:w="221"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本公司子公司股东</w:t>
            </w:r>
          </w:p>
        </w:tc>
        <w:tc>
          <w:tcPr>
            <w:tcW w:w="24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6"/>
          <w:szCs w:val="16"/>
        </w:rPr>
      </w:pPr>
    </w:p>
    <w:p>
      <w:pPr>
        <w:pStyle w:val="BodyText"/>
        <w:tabs>
          <w:tab w:pos="1400" w:val="left" w:leader="none"/>
        </w:tabs>
        <w:spacing w:line="240" w:lineRule="auto" w:before="26"/>
        <w:ind w:left="622" w:right="5363"/>
        <w:jc w:val="left"/>
      </w:pPr>
      <w:r>
        <w:rPr>
          <w:rFonts w:ascii="宋体" w:hAnsi="宋体" w:cs="宋体" w:eastAsia="宋体" w:hint="default"/>
        </w:rPr>
        <w:t>5</w:t>
      </w:r>
      <w:r>
        <w:rPr/>
        <w:t>、</w:t>
        <w:tab/>
        <w:t>关联方交易情况</w:t>
      </w:r>
    </w:p>
    <w:p>
      <w:pPr>
        <w:pStyle w:val="BodyText"/>
        <w:spacing w:line="240" w:lineRule="auto" w:before="144"/>
        <w:ind w:left="620" w:right="0"/>
        <w:jc w:val="left"/>
      </w:pPr>
      <w:r>
        <w:rPr/>
        <w:t>⑴采购商品、接受劳务的关联交易</w:t>
      </w:r>
    </w:p>
    <w:p>
      <w:pPr>
        <w:spacing w:line="240" w:lineRule="auto" w:before="9"/>
        <w:rPr>
          <w:rFonts w:ascii="宋体" w:hAnsi="宋体" w:cs="宋体" w:eastAsia="宋体" w:hint="default"/>
          <w:sz w:val="13"/>
          <w:szCs w:val="13"/>
        </w:rPr>
      </w:pPr>
    </w:p>
    <w:tbl>
      <w:tblPr>
        <w:tblW w:w="0" w:type="auto"/>
        <w:jc w:val="left"/>
        <w:tblInd w:w="205" w:type="dxa"/>
        <w:tblLayout w:type="fixed"/>
        <w:tblCellMar>
          <w:top w:w="0" w:type="dxa"/>
          <w:left w:w="0" w:type="dxa"/>
          <w:bottom w:w="0" w:type="dxa"/>
          <w:right w:w="0" w:type="dxa"/>
        </w:tblCellMar>
        <w:tblLook w:val="01E0"/>
      </w:tblPr>
      <w:tblGrid>
        <w:gridCol w:w="2508"/>
        <w:gridCol w:w="994"/>
        <w:gridCol w:w="1063"/>
        <w:gridCol w:w="1156"/>
        <w:gridCol w:w="1067"/>
        <w:gridCol w:w="1282"/>
        <w:gridCol w:w="1013"/>
      </w:tblGrid>
      <w:tr>
        <w:trPr>
          <w:trHeight w:val="217" w:hRule="exact"/>
        </w:trPr>
        <w:tc>
          <w:tcPr>
            <w:tcW w:w="6789"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684"/>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gridSpan w:val="2"/>
            <w:tcBorders>
              <w:top w:val="nil" w:sz="6" w:space="0" w:color="auto"/>
              <w:left w:val="nil" w:sz="6" w:space="0" w:color="auto"/>
              <w:bottom w:val="single" w:sz="8" w:space="0" w:color="000000"/>
              <w:right w:val="nil" w:sz="6" w:space="0" w:color="auto"/>
            </w:tcBorders>
          </w:tcPr>
          <w:p>
            <w:pPr>
              <w:pStyle w:val="TableParagraph"/>
              <w:spacing w:line="180" w:lineRule="exact"/>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7" w:hRule="exact"/>
        </w:trPr>
        <w:tc>
          <w:tcPr>
            <w:tcW w:w="250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94" w:type="dxa"/>
            <w:tcBorders>
              <w:top w:val="nil" w:sz="6" w:space="0" w:color="auto"/>
              <w:left w:val="nil" w:sz="6" w:space="0" w:color="auto"/>
              <w:bottom w:val="single" w:sz="8" w:space="0" w:color="000000"/>
              <w:right w:val="nil" w:sz="6" w:space="0" w:color="auto"/>
            </w:tcBorders>
          </w:tcPr>
          <w:p>
            <w:pPr>
              <w:pStyle w:val="TableParagraph"/>
              <w:spacing w:line="232" w:lineRule="exact" w:before="6"/>
              <w:ind w:left="319" w:right="13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063"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定价原则</w:t>
            </w:r>
          </w:p>
        </w:tc>
        <w:tc>
          <w:tcPr>
            <w:tcW w:w="1156" w:type="dxa"/>
            <w:tcBorders>
              <w:top w:val="single" w:sz="8"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06" w:lineRule="exact"/>
              <w:ind w:left="116" w:right="0" w:hanging="46"/>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4" w:lineRule="exact"/>
              <w:ind w:left="11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82" w:type="dxa"/>
            <w:tcBorders>
              <w:top w:val="single" w:sz="8"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single" w:sz="8" w:space="0" w:color="000000"/>
              <w:left w:val="nil" w:sz="6" w:space="0" w:color="auto"/>
              <w:bottom w:val="single" w:sz="8" w:space="0" w:color="000000"/>
              <w:right w:val="nil" w:sz="6" w:space="0" w:color="auto"/>
            </w:tcBorders>
          </w:tcPr>
          <w:p>
            <w:pPr>
              <w:pStyle w:val="TableParagraph"/>
              <w:spacing w:line="206" w:lineRule="exact"/>
              <w:ind w:left="108" w:right="0" w:firstLine="45"/>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易比</w:t>
            </w:r>
            <w:r>
              <w:rPr>
                <w:rFonts w:ascii="宋体" w:hAnsi="宋体" w:cs="宋体" w:eastAsia="宋体" w:hint="default"/>
                <w:spacing w:val="-87"/>
                <w:sz w:val="18"/>
                <w:szCs w:val="18"/>
              </w:rPr>
              <w:t>例</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r>
      <w:tr>
        <w:trPr>
          <w:trHeight w:val="323" w:hRule="exact"/>
        </w:trPr>
        <w:tc>
          <w:tcPr>
            <w:tcW w:w="2508"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108"/>
              <w:jc w:val="center"/>
              <w:rPr>
                <w:rFonts w:ascii="宋体" w:hAnsi="宋体" w:cs="宋体" w:eastAsia="宋体" w:hint="default"/>
                <w:sz w:val="18"/>
                <w:szCs w:val="18"/>
              </w:rPr>
            </w:pPr>
            <w:r>
              <w:rPr>
                <w:rFonts w:ascii="宋体" w:hAnsi="宋体" w:cs="宋体" w:eastAsia="宋体" w:hint="default"/>
                <w:sz w:val="18"/>
                <w:szCs w:val="18"/>
              </w:rPr>
              <w:t>日照大地依索新建材有限公司</w:t>
            </w:r>
          </w:p>
        </w:tc>
        <w:tc>
          <w:tcPr>
            <w:tcW w:w="994"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139"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063"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5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85" w:right="0"/>
              <w:jc w:val="left"/>
              <w:rPr>
                <w:rFonts w:ascii="宋体" w:hAnsi="宋体" w:cs="宋体" w:eastAsia="宋体" w:hint="default"/>
                <w:sz w:val="18"/>
                <w:szCs w:val="18"/>
              </w:rPr>
            </w:pPr>
            <w:r>
              <w:rPr>
                <w:rFonts w:ascii="宋体"/>
                <w:sz w:val="18"/>
              </w:rPr>
              <w:t>173,190.00</w:t>
            </w:r>
          </w:p>
        </w:tc>
        <w:tc>
          <w:tcPr>
            <w:tcW w:w="1067"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625" w:right="0"/>
              <w:jc w:val="left"/>
              <w:rPr>
                <w:rFonts w:ascii="宋体" w:hAnsi="宋体" w:cs="宋体" w:eastAsia="宋体" w:hint="default"/>
                <w:sz w:val="18"/>
                <w:szCs w:val="18"/>
              </w:rPr>
            </w:pPr>
            <w:r>
              <w:rPr>
                <w:rFonts w:ascii="宋体"/>
                <w:sz w:val="18"/>
              </w:rPr>
              <w:t>0.1%</w:t>
            </w:r>
          </w:p>
        </w:tc>
        <w:tc>
          <w:tcPr>
            <w:tcW w:w="128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1" w:right="0"/>
              <w:jc w:val="center"/>
              <w:rPr>
                <w:rFonts w:ascii="宋体" w:hAnsi="宋体" w:cs="宋体" w:eastAsia="宋体" w:hint="default"/>
                <w:sz w:val="18"/>
                <w:szCs w:val="18"/>
              </w:rPr>
            </w:pPr>
            <w:r>
              <w:rPr>
                <w:rFonts w:ascii="宋体"/>
                <w:sz w:val="18"/>
              </w:rPr>
              <w:t>10,170,386.90</w:t>
            </w:r>
          </w:p>
        </w:tc>
        <w:tc>
          <w:tcPr>
            <w:tcW w:w="101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61" w:right="0"/>
              <w:jc w:val="left"/>
              <w:rPr>
                <w:rFonts w:ascii="宋体" w:hAnsi="宋体" w:cs="宋体" w:eastAsia="宋体" w:hint="default"/>
                <w:sz w:val="18"/>
                <w:szCs w:val="18"/>
              </w:rPr>
            </w:pPr>
            <w:r>
              <w:rPr>
                <w:rFonts w:ascii="宋体"/>
                <w:sz w:val="18"/>
              </w:rPr>
              <w:t>3.82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26"/>
        <w:ind w:left="620" w:right="5363"/>
        <w:jc w:val="left"/>
      </w:pPr>
      <w:r>
        <w:rPr/>
        <w:t>⑵关键管理人员报酬</w:t>
      </w:r>
    </w:p>
    <w:p>
      <w:pPr>
        <w:spacing w:line="240" w:lineRule="auto" w:before="12"/>
        <w:rPr>
          <w:rFonts w:ascii="宋体" w:hAnsi="宋体" w:cs="宋体" w:eastAsia="宋体" w:hint="default"/>
          <w:sz w:val="8"/>
          <w:szCs w:val="8"/>
        </w:rPr>
      </w:pPr>
    </w:p>
    <w:tbl>
      <w:tblPr>
        <w:tblW w:w="0" w:type="auto"/>
        <w:jc w:val="left"/>
        <w:tblInd w:w="195" w:type="dxa"/>
        <w:tblLayout w:type="fixed"/>
        <w:tblCellMar>
          <w:top w:w="0" w:type="dxa"/>
          <w:left w:w="0" w:type="dxa"/>
          <w:bottom w:w="0" w:type="dxa"/>
          <w:right w:w="0" w:type="dxa"/>
        </w:tblCellMar>
        <w:tblLook w:val="01E0"/>
      </w:tblPr>
      <w:tblGrid>
        <w:gridCol w:w="3334"/>
        <w:gridCol w:w="1008"/>
        <w:gridCol w:w="1721"/>
        <w:gridCol w:w="811"/>
        <w:gridCol w:w="1863"/>
      </w:tblGrid>
      <w:tr>
        <w:trPr>
          <w:trHeight w:val="251" w:hRule="exact"/>
        </w:trPr>
        <w:tc>
          <w:tcPr>
            <w:tcW w:w="3334" w:type="dxa"/>
            <w:tcBorders>
              <w:top w:val="nil" w:sz="6" w:space="0" w:color="auto"/>
              <w:left w:val="nil" w:sz="6" w:space="0" w:color="auto"/>
              <w:bottom w:val="single" w:sz="8" w:space="0" w:color="000000"/>
              <w:right w:val="nil" w:sz="6" w:space="0" w:color="auto"/>
            </w:tcBorders>
          </w:tcPr>
          <w:p>
            <w:pPr>
              <w:pStyle w:val="TableParagraph"/>
              <w:spacing w:line="211" w:lineRule="exact"/>
              <w:ind w:left="1034" w:right="0"/>
              <w:jc w:val="left"/>
              <w:rPr>
                <w:rFonts w:ascii="宋体" w:hAnsi="宋体" w:cs="宋体" w:eastAsia="宋体" w:hint="default"/>
                <w:sz w:val="21"/>
                <w:szCs w:val="21"/>
              </w:rPr>
            </w:pPr>
            <w:r>
              <w:rPr>
                <w:rFonts w:ascii="宋体" w:hAnsi="宋体" w:cs="宋体" w:eastAsia="宋体" w:hint="default"/>
                <w:sz w:val="21"/>
                <w:szCs w:val="21"/>
              </w:rPr>
              <w:t>年度报酬区间</w:t>
            </w:r>
          </w:p>
        </w:tc>
        <w:tc>
          <w:tcPr>
            <w:tcW w:w="100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8" w:space="0" w:color="000000"/>
              <w:right w:val="nil" w:sz="6" w:space="0" w:color="auto"/>
            </w:tcBorders>
          </w:tcPr>
          <w:p>
            <w:pPr>
              <w:pStyle w:val="TableParagraph"/>
              <w:spacing w:line="211" w:lineRule="exact"/>
              <w:ind w:left="54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811"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8" w:space="0" w:color="000000"/>
              <w:right w:val="nil" w:sz="6" w:space="0" w:color="auto"/>
            </w:tcBorders>
          </w:tcPr>
          <w:p>
            <w:pPr>
              <w:pStyle w:val="TableParagraph"/>
              <w:spacing w:line="211" w:lineRule="exact"/>
              <w:ind w:left="615"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42" w:hRule="exact"/>
        </w:trPr>
        <w:tc>
          <w:tcPr>
            <w:tcW w:w="3334"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总额：其中</w:t>
            </w:r>
          </w:p>
        </w:tc>
        <w:tc>
          <w:tcPr>
            <w:tcW w:w="1008" w:type="dxa"/>
            <w:tcBorders>
              <w:top w:val="nil" w:sz="6" w:space="0" w:color="auto"/>
              <w:left w:val="nil" w:sz="6" w:space="0" w:color="auto"/>
              <w:bottom w:val="nil" w:sz="6" w:space="0" w:color="auto"/>
              <w:right w:val="nil" w:sz="6" w:space="0" w:color="auto"/>
            </w:tcBorders>
          </w:tcPr>
          <w:p>
            <w:pPr/>
          </w:p>
        </w:tc>
        <w:tc>
          <w:tcPr>
            <w:tcW w:w="1721"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3,152,985.26</w:t>
            </w:r>
          </w:p>
        </w:tc>
        <w:tc>
          <w:tcPr>
            <w:tcW w:w="811" w:type="dxa"/>
            <w:tcBorders>
              <w:top w:val="nil" w:sz="6" w:space="0" w:color="auto"/>
              <w:left w:val="nil" w:sz="6" w:space="0" w:color="auto"/>
              <w:bottom w:val="nil" w:sz="6" w:space="0" w:color="auto"/>
              <w:right w:val="nil" w:sz="6" w:space="0" w:color="auto"/>
            </w:tcBorders>
          </w:tcPr>
          <w:p>
            <w:pPr/>
          </w:p>
        </w:tc>
        <w:tc>
          <w:tcPr>
            <w:tcW w:w="1863"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2,957,923.51</w:t>
            </w:r>
          </w:p>
        </w:tc>
      </w:tr>
      <w:tr>
        <w:trPr>
          <w:trHeight w:val="312"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万元以上</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人</w:t>
            </w:r>
          </w:p>
        </w:tc>
        <w:tc>
          <w:tcPr>
            <w:tcW w:w="100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2,796,428.53</w:t>
            </w:r>
          </w:p>
        </w:tc>
        <w:tc>
          <w:tcPr>
            <w:tcW w:w="811"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2,600,168.65</w:t>
            </w:r>
          </w:p>
        </w:tc>
      </w:tr>
      <w:tr>
        <w:trPr>
          <w:trHeight w:val="262"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万元以下</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人</w:t>
            </w:r>
          </w:p>
        </w:tc>
        <w:tc>
          <w:tcPr>
            <w:tcW w:w="100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356,556.73</w:t>
            </w:r>
          </w:p>
        </w:tc>
        <w:tc>
          <w:tcPr>
            <w:tcW w:w="811"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357,754.86</w:t>
            </w:r>
          </w:p>
        </w:tc>
      </w:tr>
    </w:tbl>
    <w:p>
      <w:pPr>
        <w:spacing w:line="240" w:lineRule="auto" w:before="6"/>
        <w:rPr>
          <w:rFonts w:ascii="宋体" w:hAnsi="宋体" w:cs="宋体" w:eastAsia="宋体" w:hint="default"/>
          <w:sz w:val="14"/>
          <w:szCs w:val="14"/>
        </w:rPr>
      </w:pPr>
    </w:p>
    <w:p>
      <w:pPr>
        <w:pStyle w:val="BodyText"/>
        <w:tabs>
          <w:tab w:pos="1400" w:val="left" w:leader="none"/>
        </w:tabs>
        <w:spacing w:line="240" w:lineRule="auto" w:before="26"/>
        <w:ind w:left="622" w:right="5363"/>
        <w:jc w:val="left"/>
      </w:pPr>
      <w:r>
        <w:rPr>
          <w:rFonts w:ascii="宋体" w:hAnsi="宋体" w:cs="宋体" w:eastAsia="宋体" w:hint="default"/>
        </w:rPr>
        <w:t>6</w:t>
      </w:r>
      <w:r>
        <w:rPr/>
        <w:t>、</w:t>
        <w:tab/>
        <w:t>关联方应收应付款项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3375"/>
        <w:gridCol w:w="1023"/>
        <w:gridCol w:w="1748"/>
        <w:gridCol w:w="814"/>
        <w:gridCol w:w="1863"/>
      </w:tblGrid>
      <w:tr>
        <w:trPr>
          <w:trHeight w:val="251" w:hRule="exact"/>
        </w:trPr>
        <w:tc>
          <w:tcPr>
            <w:tcW w:w="3375"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02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single" w:sz="8" w:space="0" w:color="000000"/>
              <w:right w:val="nil" w:sz="6" w:space="0" w:color="auto"/>
            </w:tcBorders>
          </w:tcPr>
          <w:p>
            <w:pPr>
              <w:pStyle w:val="TableParagraph"/>
              <w:spacing w:line="211" w:lineRule="exact"/>
              <w:ind w:left="4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8" w:space="0" w:color="000000"/>
              <w:right w:val="nil" w:sz="6" w:space="0" w:color="auto"/>
            </w:tcBorders>
          </w:tcPr>
          <w:p>
            <w:pPr>
              <w:pStyle w:val="TableParagraph"/>
              <w:spacing w:line="211" w:lineRule="exact"/>
              <w:ind w:left="51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3" w:hRule="exact"/>
        </w:trPr>
        <w:tc>
          <w:tcPr>
            <w:tcW w:w="3375" w:type="dxa"/>
            <w:tcBorders>
              <w:top w:val="single" w:sz="8"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23" w:type="dxa"/>
            <w:tcBorders>
              <w:top w:val="nil" w:sz="6" w:space="0" w:color="auto"/>
              <w:left w:val="nil" w:sz="6" w:space="0" w:color="auto"/>
              <w:bottom w:val="nil" w:sz="6" w:space="0" w:color="auto"/>
              <w:right w:val="nil" w:sz="6" w:space="0" w:color="auto"/>
            </w:tcBorders>
          </w:tcPr>
          <w:p>
            <w:pPr/>
          </w:p>
        </w:tc>
        <w:tc>
          <w:tcPr>
            <w:tcW w:w="1748" w:type="dxa"/>
            <w:tcBorders>
              <w:top w:val="single" w:sz="8" w:space="0" w:color="000000"/>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863" w:type="dxa"/>
            <w:tcBorders>
              <w:top w:val="single" w:sz="8" w:space="0" w:color="000000"/>
              <w:left w:val="nil" w:sz="6" w:space="0" w:color="auto"/>
              <w:bottom w:val="nil" w:sz="6" w:space="0" w:color="auto"/>
              <w:right w:val="nil" w:sz="6" w:space="0" w:color="auto"/>
            </w:tcBorders>
          </w:tcPr>
          <w:p>
            <w:pPr/>
          </w:p>
        </w:tc>
      </w:tr>
      <w:tr>
        <w:trPr>
          <w:trHeight w:val="312"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6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英属维尔京群岛欣泉有限公司</w:t>
            </w:r>
          </w:p>
        </w:tc>
        <w:tc>
          <w:tcPr>
            <w:tcW w:w="102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61" w:lineRule="exact"/>
              <w:ind w:left="379" w:right="0"/>
              <w:jc w:val="left"/>
              <w:rPr>
                <w:rFonts w:ascii="宋体" w:hAnsi="宋体" w:cs="宋体" w:eastAsia="宋体" w:hint="default"/>
                <w:sz w:val="21"/>
                <w:szCs w:val="21"/>
              </w:rPr>
            </w:pPr>
            <w:r>
              <w:rPr>
                <w:rFonts w:ascii="宋体"/>
                <w:sz w:val="21"/>
              </w:rPr>
              <w:t>1,128,127.71</w:t>
            </w:r>
          </w:p>
        </w:tc>
        <w:tc>
          <w:tcPr>
            <w:tcW w:w="8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12"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2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262"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6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日照大地依索新建材有限公司</w:t>
            </w:r>
          </w:p>
        </w:tc>
        <w:tc>
          <w:tcPr>
            <w:tcW w:w="102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61" w:lineRule="exact"/>
              <w:ind w:left="495" w:right="0"/>
              <w:jc w:val="left"/>
              <w:rPr>
                <w:rFonts w:ascii="宋体" w:hAnsi="宋体" w:cs="宋体" w:eastAsia="宋体" w:hint="default"/>
                <w:sz w:val="21"/>
                <w:szCs w:val="21"/>
              </w:rPr>
            </w:pPr>
            <w:r>
              <w:rPr>
                <w:rFonts w:ascii="宋体"/>
                <w:sz w:val="21"/>
              </w:rPr>
              <w:t>1,344,645.18</w:t>
            </w:r>
          </w:p>
        </w:tc>
      </w:tr>
    </w:tbl>
    <w:p>
      <w:pPr>
        <w:spacing w:line="240" w:lineRule="auto" w:before="4"/>
        <w:rPr>
          <w:rFonts w:ascii="宋体" w:hAnsi="宋体" w:cs="宋体" w:eastAsia="宋体" w:hint="default"/>
          <w:sz w:val="28"/>
          <w:szCs w:val="28"/>
        </w:rPr>
      </w:pPr>
    </w:p>
    <w:p>
      <w:pPr>
        <w:pStyle w:val="Heading2"/>
        <w:spacing w:line="367" w:lineRule="exact"/>
        <w:ind w:right="5363"/>
        <w:jc w:val="left"/>
        <w:rPr>
          <w:b w:val="0"/>
          <w:bCs w:val="0"/>
        </w:rPr>
      </w:pPr>
      <w:r>
        <w:rPr/>
        <w:t>九、</w:t>
      </w:r>
      <w:r>
        <w:rPr>
          <w:spacing w:val="-26"/>
        </w:rPr>
        <w:t> </w:t>
      </w:r>
      <w:r>
        <w:rPr/>
        <w:t>或有事项</w:t>
      </w:r>
      <w:r>
        <w:rPr>
          <w:b w:val="0"/>
          <w:bCs w:val="0"/>
        </w:rPr>
      </w:r>
    </w:p>
    <w:p>
      <w:pPr>
        <w:pStyle w:val="BodyText"/>
        <w:spacing w:line="240" w:lineRule="auto" w:before="98"/>
        <w:ind w:left="620" w:right="0"/>
        <w:jc w:val="left"/>
      </w:pP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日，本集团无需要披露的重大或有事项。</w:t>
      </w:r>
    </w:p>
    <w:p>
      <w:pPr>
        <w:spacing w:line="240" w:lineRule="auto" w:before="1"/>
        <w:rPr>
          <w:rFonts w:ascii="宋体" w:hAnsi="宋体" w:cs="宋体" w:eastAsia="宋体" w:hint="default"/>
          <w:sz w:val="24"/>
          <w:szCs w:val="24"/>
        </w:rPr>
      </w:pPr>
    </w:p>
    <w:p>
      <w:pPr>
        <w:pStyle w:val="Heading2"/>
        <w:spacing w:line="240" w:lineRule="auto"/>
        <w:ind w:right="5363"/>
        <w:jc w:val="left"/>
        <w:rPr>
          <w:b w:val="0"/>
          <w:bCs w:val="0"/>
        </w:rPr>
      </w:pPr>
      <w:r>
        <w:rPr/>
        <w:t>十、</w:t>
      </w:r>
      <w:r>
        <w:rPr>
          <w:spacing w:val="-26"/>
        </w:rPr>
        <w:t> </w:t>
      </w:r>
      <w:r>
        <w:rPr/>
        <w:t>承诺事项</w:t>
      </w:r>
      <w:r>
        <w:rPr>
          <w:b w:val="0"/>
          <w:bCs w:val="0"/>
        </w:rPr>
      </w:r>
    </w:p>
    <w:p>
      <w:pPr>
        <w:pStyle w:val="BodyText"/>
        <w:spacing w:line="240" w:lineRule="auto" w:before="98"/>
        <w:ind w:left="620" w:right="0"/>
        <w:jc w:val="left"/>
      </w:pP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日，本集团无需要披露的重大承诺事项。</w:t>
      </w:r>
    </w:p>
    <w:p>
      <w:pPr>
        <w:spacing w:line="240" w:lineRule="auto" w:before="1"/>
        <w:rPr>
          <w:rFonts w:ascii="宋体" w:hAnsi="宋体" w:cs="宋体" w:eastAsia="宋体" w:hint="default"/>
          <w:sz w:val="24"/>
          <w:szCs w:val="24"/>
        </w:rPr>
      </w:pPr>
    </w:p>
    <w:p>
      <w:pPr>
        <w:pStyle w:val="Heading2"/>
        <w:spacing w:line="240" w:lineRule="auto"/>
        <w:ind w:right="5363"/>
        <w:jc w:val="left"/>
        <w:rPr>
          <w:b w:val="0"/>
          <w:bCs w:val="0"/>
        </w:rPr>
      </w:pPr>
      <w:r>
        <w:rPr/>
        <w:t>十一、</w:t>
      </w:r>
      <w:r>
        <w:rPr>
          <w:spacing w:val="6"/>
        </w:rPr>
        <w:t> </w:t>
      </w:r>
      <w:r>
        <w:rPr/>
        <w:t>资产负债表日后事项</w:t>
      </w:r>
      <w:r>
        <w:rPr>
          <w:b w:val="0"/>
          <w:bCs w:val="0"/>
        </w:rPr>
      </w:r>
    </w:p>
    <w:p>
      <w:pPr>
        <w:spacing w:after="0" w:line="240" w:lineRule="auto"/>
        <w:jc w:val="left"/>
        <w:sectPr>
          <w:headerReference w:type="default" r:id="rId50"/>
          <w:pgSz w:w="11910" w:h="16840"/>
          <w:pgMar w:header="840" w:footer="944" w:top="1140" w:bottom="1140" w:left="1480" w:right="1020"/>
        </w:sectPr>
      </w:pPr>
    </w:p>
    <w:p>
      <w:pPr>
        <w:spacing w:line="240" w:lineRule="auto" w:before="7"/>
        <w:rPr>
          <w:rFonts w:ascii="Microsoft JhengHei" w:hAnsi="Microsoft JhengHei" w:cs="Microsoft JhengHei" w:eastAsia="Microsoft JhengHei" w:hint="default"/>
          <w:b/>
          <w:bCs/>
          <w:sz w:val="19"/>
          <w:szCs w:val="19"/>
        </w:rPr>
      </w:pPr>
      <w:r>
        <w:rPr/>
        <w:pict>
          <v:group style="position:absolute;margin-left:79.223999pt;margin-top:41.999985pt;width:453.7pt;height:16.3500pt;mso-position-horizontal-relative:page;mso-position-vertical-relative:page;z-index:-744520" coordorigin="1584,840" coordsize="9074,327">
            <v:group style="position:absolute;left:1592;top:1159;width:9059;height:2" coordorigin="1592,1159" coordsize="9059,2">
              <v:shape style="position:absolute;left:1592;top:1159;width:9059;height:2" coordorigin="1592,1159" coordsize="9059,0" path="m1592,1159l10651,1159e" filled="false" stroked="true" strokeweight=".72pt" strokecolor="#000000">
                <v:path arrowok="t"/>
              </v:shape>
              <v:shape style="position:absolute;left:1626;top:840;width:360;height:315" type="#_x0000_t75" stroked="false">
                <v:imagedata r:id="rId7" o:title=""/>
              </v:shape>
            </v:group>
            <w10:wrap type="none"/>
          </v:group>
        </w:pict>
      </w:r>
      <w:r>
        <w:rPr/>
        <w:pict>
          <v:group style="position:absolute;margin-left:280.609985pt;margin-top:386.569977pt;width:70.75pt;height:.1pt;mso-position-horizontal-relative:page;mso-position-vertical-relative:page;z-index:-744496" coordorigin="5612,7731" coordsize="1415,2">
            <v:shape style="position:absolute;left:5612;top:7731;width:1415;height:2" coordorigin="5612,7731" coordsize="1415,0" path="m5612,7731l7026,7731e" filled="false" stroked="true" strokeweight=".95999pt" strokecolor="#000000">
              <v:path arrowok="t"/>
            </v:shape>
            <w10:wrap type="none"/>
          </v:group>
        </w:pict>
      </w:r>
      <w:r>
        <w:rPr/>
        <w:pict>
          <v:group style="position:absolute;margin-left:280.25pt;margin-top:404.089996pt;width:71.45pt;height:2.2pt;mso-position-horizontal-relative:page;mso-position-vertical-relative:page;z-index:-744472" coordorigin="5605,8082" coordsize="1429,44">
            <v:group style="position:absolute;left:5612;top:8089;width:1415;height:2" coordorigin="5612,8089" coordsize="1415,2">
              <v:shape style="position:absolute;left:5612;top:8089;width:1415;height:2" coordorigin="5612,8089" coordsize="1415,0" path="m5612,8089l7026,8089e" filled="false" stroked="true" strokeweight=".72pt" strokecolor="#000000">
                <v:path arrowok="t"/>
              </v:shape>
            </v:group>
            <v:group style="position:absolute;left:5612;top:8118;width:1415;height:2" coordorigin="5612,8118" coordsize="1415,2">
              <v:shape style="position:absolute;left:5612;top:8118;width:1415;height:2" coordorigin="5612,8118" coordsize="1415,0" path="m5612,8118l7026,8118e" filled="false" stroked="true" strokeweight=".72pt" strokecolor="#000000">
                <v:path arrowok="t"/>
              </v:shape>
            </v:group>
            <w10:wrap type="none"/>
          </v:group>
        </w:pict>
      </w:r>
    </w:p>
    <w:p>
      <w:pPr>
        <w:pStyle w:val="BodyText"/>
        <w:spacing w:line="240" w:lineRule="auto" w:before="26"/>
        <w:ind w:left="620" w:right="0"/>
        <w:jc w:val="left"/>
      </w:pPr>
      <w:r>
        <w:rPr>
          <w:spacing w:val="-4"/>
        </w:rPr>
        <w:t>资产负债表日后利润分配情况说明：于</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8"/>
        </w:rPr>
        <w:t>日，本公司召开第</w:t>
      </w:r>
      <w:r>
        <w:rPr>
          <w:spacing w:val="-59"/>
        </w:rPr>
        <w:t> </w:t>
      </w:r>
      <w:r>
        <w:rPr>
          <w:rFonts w:ascii="宋体" w:hAnsi="宋体" w:cs="宋体" w:eastAsia="宋体" w:hint="default"/>
        </w:rPr>
        <w:t>3</w:t>
      </w:r>
      <w:r>
        <w:rPr>
          <w:rFonts w:ascii="宋体" w:hAnsi="宋体" w:cs="宋体" w:eastAsia="宋体" w:hint="default"/>
          <w:spacing w:val="-59"/>
        </w:rPr>
        <w:t> </w:t>
      </w:r>
      <w:r>
        <w:rPr/>
        <w:t>届董事</w:t>
      </w:r>
    </w:p>
    <w:p>
      <w:pPr>
        <w:pStyle w:val="BodyText"/>
        <w:spacing w:line="240" w:lineRule="auto" w:before="87"/>
        <w:ind w:left="140" w:right="0"/>
        <w:jc w:val="left"/>
        <w:rPr>
          <w:rFonts w:ascii="宋体" w:hAnsi="宋体" w:cs="宋体" w:eastAsia="宋体" w:hint="default"/>
        </w:rPr>
      </w:pPr>
      <w:r>
        <w:rPr/>
        <w:t>会第</w:t>
      </w:r>
      <w:r>
        <w:rPr>
          <w:spacing w:val="-25"/>
        </w:rPr>
        <w:t> </w:t>
      </w:r>
      <w:r>
        <w:rPr>
          <w:rFonts w:ascii="宋体" w:hAnsi="宋体" w:cs="宋体" w:eastAsia="宋体" w:hint="default"/>
        </w:rPr>
        <w:t>16</w:t>
      </w:r>
      <w:r>
        <w:rPr>
          <w:rFonts w:ascii="宋体" w:hAnsi="宋体" w:cs="宋体" w:eastAsia="宋体" w:hint="default"/>
          <w:spacing w:val="-24"/>
        </w:rPr>
        <w:t> </w:t>
      </w:r>
      <w:r>
        <w:rPr/>
        <w:t>次会议，批准</w:t>
      </w:r>
      <w:r>
        <w:rPr>
          <w:spacing w:val="-24"/>
        </w:rPr>
        <w:t> </w:t>
      </w:r>
      <w:r>
        <w:rPr>
          <w:rFonts w:ascii="宋体" w:hAnsi="宋体" w:cs="宋体" w:eastAsia="宋体" w:hint="default"/>
        </w:rPr>
        <w:t>2010</w:t>
      </w:r>
      <w:r>
        <w:rPr>
          <w:rFonts w:ascii="宋体" w:hAnsi="宋体" w:cs="宋体" w:eastAsia="宋体" w:hint="default"/>
          <w:spacing w:val="-24"/>
        </w:rPr>
        <w:t> </w:t>
      </w:r>
      <w:r>
        <w:rPr/>
        <w:t>年度利润分配预案，分配现金股利人民币</w:t>
      </w:r>
      <w:r>
        <w:rPr>
          <w:spacing w:val="-23"/>
        </w:rPr>
        <w:t> </w:t>
      </w:r>
      <w:r>
        <w:rPr>
          <w:rFonts w:ascii="宋体" w:hAnsi="宋体" w:cs="宋体" w:eastAsia="宋体" w:hint="default"/>
        </w:rPr>
        <w:t>24,824,834.40</w:t>
      </w:r>
    </w:p>
    <w:p>
      <w:pPr>
        <w:pStyle w:val="BodyText"/>
        <w:spacing w:line="240" w:lineRule="auto" w:before="84"/>
        <w:ind w:left="140" w:right="145"/>
        <w:jc w:val="left"/>
      </w:pPr>
      <w:r>
        <w:rPr/>
        <w:t>元。本预案将提交</w:t>
      </w:r>
      <w:r>
        <w:rPr>
          <w:spacing w:val="-61"/>
        </w:rPr>
        <w:t> </w:t>
      </w:r>
      <w:r>
        <w:rPr>
          <w:rFonts w:ascii="宋体" w:hAnsi="宋体" w:cs="宋体" w:eastAsia="宋体" w:hint="default"/>
        </w:rPr>
        <w:t>2010</w:t>
      </w:r>
      <w:r>
        <w:rPr>
          <w:rFonts w:ascii="宋体" w:hAnsi="宋体" w:cs="宋体" w:eastAsia="宋体" w:hint="default"/>
          <w:spacing w:val="-61"/>
        </w:rPr>
        <w:t> </w:t>
      </w:r>
      <w:r>
        <w:rPr/>
        <w:t>年度股东大会审议。</w:t>
      </w:r>
    </w:p>
    <w:p>
      <w:pPr>
        <w:spacing w:line="240" w:lineRule="auto" w:before="1"/>
        <w:rPr>
          <w:rFonts w:ascii="宋体" w:hAnsi="宋体" w:cs="宋体" w:eastAsia="宋体" w:hint="default"/>
          <w:sz w:val="24"/>
          <w:szCs w:val="24"/>
        </w:rPr>
      </w:pPr>
    </w:p>
    <w:p>
      <w:pPr>
        <w:pStyle w:val="Heading2"/>
        <w:spacing w:line="240" w:lineRule="auto"/>
        <w:ind w:right="145"/>
        <w:jc w:val="left"/>
        <w:rPr>
          <w:b w:val="0"/>
          <w:bCs w:val="0"/>
        </w:rPr>
      </w:pPr>
      <w:r>
        <w:rPr/>
        <w:t>十二、</w:t>
      </w:r>
      <w:r>
        <w:rPr>
          <w:spacing w:val="5"/>
        </w:rPr>
        <w:t> </w:t>
      </w:r>
      <w:r>
        <w:rPr/>
        <w:t>其他重要事项说明</w:t>
      </w:r>
      <w:r>
        <w:rPr>
          <w:b w:val="0"/>
          <w:bCs w:val="0"/>
        </w:rPr>
      </w:r>
    </w:p>
    <w:p>
      <w:pPr>
        <w:pStyle w:val="BodyText"/>
        <w:spacing w:line="240" w:lineRule="auto" w:before="98"/>
        <w:ind w:left="620" w:right="145"/>
        <w:jc w:val="left"/>
      </w:pP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日，本集团无需要披露的重要事项。</w:t>
      </w:r>
    </w:p>
    <w:p>
      <w:pPr>
        <w:spacing w:line="240" w:lineRule="auto" w:before="1"/>
        <w:rPr>
          <w:rFonts w:ascii="宋体" w:hAnsi="宋体" w:cs="宋体" w:eastAsia="宋体" w:hint="default"/>
          <w:sz w:val="24"/>
          <w:szCs w:val="24"/>
        </w:rPr>
      </w:pPr>
    </w:p>
    <w:p>
      <w:pPr>
        <w:pStyle w:val="Heading2"/>
        <w:spacing w:line="240" w:lineRule="auto"/>
        <w:ind w:right="145"/>
        <w:jc w:val="left"/>
        <w:rPr>
          <w:b w:val="0"/>
          <w:bCs w:val="0"/>
        </w:rPr>
      </w:pPr>
      <w:r>
        <w:rPr/>
        <w:t>十三、</w:t>
      </w:r>
      <w:r>
        <w:rPr>
          <w:spacing w:val="8"/>
        </w:rPr>
        <w:t> </w:t>
      </w:r>
      <w:r>
        <w:rPr/>
        <w:t>公司财务报表主要项目注释</w:t>
      </w:r>
      <w:r>
        <w:rPr>
          <w:b w:val="0"/>
          <w:bCs w:val="0"/>
        </w:rPr>
      </w:r>
    </w:p>
    <w:p>
      <w:pPr>
        <w:pStyle w:val="Heading2"/>
        <w:spacing w:line="240" w:lineRule="auto" w:before="170"/>
        <w:ind w:left="622" w:right="145"/>
        <w:jc w:val="left"/>
        <w:rPr>
          <w:b w:val="0"/>
          <w:bCs w:val="0"/>
        </w:rPr>
      </w:pPr>
      <w:r>
        <w:rPr>
          <w:rFonts w:ascii="Times New Roman" w:hAnsi="Times New Roman" w:cs="Times New Roman" w:eastAsia="Times New Roman" w:hint="default"/>
        </w:rPr>
        <w:t>1</w:t>
      </w:r>
      <w:r>
        <w:rPr/>
        <w:t>、应收账款</w:t>
      </w:r>
      <w:r>
        <w:rPr>
          <w:b w:val="0"/>
          <w:bCs w:val="0"/>
        </w:rPr>
      </w:r>
    </w:p>
    <w:p>
      <w:pPr>
        <w:pStyle w:val="BodyText"/>
        <w:tabs>
          <w:tab w:pos="1100" w:val="left" w:leader="none"/>
        </w:tabs>
        <w:spacing w:line="240" w:lineRule="auto" w:before="204"/>
        <w:ind w:left="620" w:right="145"/>
        <w:jc w:val="left"/>
      </w:pPr>
      <w:r>
        <w:rPr/>
        <w:t>⑴</w:t>
        <w:tab/>
        <w:t>应收账款按种类列示</w:t>
      </w:r>
    </w:p>
    <w:p>
      <w:pPr>
        <w:spacing w:line="240" w:lineRule="auto" w:before="6"/>
        <w:rPr>
          <w:rFonts w:ascii="宋体" w:hAnsi="宋体" w:cs="宋体" w:eastAsia="宋体" w:hint="default"/>
          <w:sz w:val="13"/>
          <w:szCs w:val="13"/>
        </w:rPr>
      </w:pPr>
    </w:p>
    <w:tbl>
      <w:tblPr>
        <w:tblW w:w="0" w:type="auto"/>
        <w:jc w:val="left"/>
        <w:tblInd w:w="176" w:type="dxa"/>
        <w:tblLayout w:type="fixed"/>
        <w:tblCellMar>
          <w:top w:w="0" w:type="dxa"/>
          <w:left w:w="0" w:type="dxa"/>
          <w:bottom w:w="0" w:type="dxa"/>
          <w:right w:w="0" w:type="dxa"/>
        </w:tblCellMar>
        <w:tblLook w:val="01E0"/>
      </w:tblPr>
      <w:tblGrid>
        <w:gridCol w:w="3821"/>
        <w:gridCol w:w="135"/>
        <w:gridCol w:w="1589"/>
        <w:gridCol w:w="56"/>
        <w:gridCol w:w="815"/>
        <w:gridCol w:w="221"/>
        <w:gridCol w:w="1323"/>
        <w:gridCol w:w="154"/>
        <w:gridCol w:w="763"/>
      </w:tblGrid>
      <w:tr>
        <w:trPr>
          <w:trHeight w:val="217"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right="2189"/>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382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
        </w:tc>
        <w:tc>
          <w:tcPr>
            <w:tcW w:w="221" w:type="dxa"/>
            <w:tcBorders>
              <w:top w:val="single" w:sz="8" w:space="0" w:color="000000"/>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5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0" w:right="-8"/>
              <w:jc w:val="center"/>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60" w:hRule="exact"/>
        </w:trPr>
        <w:tc>
          <w:tcPr>
            <w:tcW w:w="3821" w:type="dxa"/>
            <w:tcBorders>
              <w:top w:val="nil" w:sz="6" w:space="0" w:color="auto"/>
              <w:left w:val="nil" w:sz="6" w:space="0" w:color="auto"/>
              <w:bottom w:val="single" w:sz="8" w:space="0" w:color="000000"/>
              <w:right w:val="nil" w:sz="6" w:space="0" w:color="auto"/>
            </w:tcBorders>
          </w:tcPr>
          <w:p>
            <w:pPr>
              <w:pStyle w:val="TableParagraph"/>
              <w:tabs>
                <w:tab w:pos="452" w:val="left" w:leader="none"/>
              </w:tabs>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93"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0" w:lineRule="exact"/>
              <w:ind w:left="3946" w:right="0"/>
              <w:jc w:val="left"/>
              <w:rPr>
                <w:rFonts w:ascii="宋体" w:hAnsi="宋体" w:cs="宋体" w:eastAsia="宋体" w:hint="default"/>
                <w:sz w:val="2"/>
                <w:szCs w:val="2"/>
              </w:rPr>
            </w:pPr>
            <w:r>
              <w:rPr>
                <w:rFonts w:ascii="宋体" w:hAnsi="宋体" w:cs="宋体" w:eastAsia="宋体" w:hint="default"/>
                <w:sz w:val="2"/>
                <w:szCs w:val="2"/>
              </w:rPr>
              <w:pict>
                <v:group style="width:71.7pt;height:1pt;mso-position-horizontal-relative:char;mso-position-vertical-relative:line" coordorigin="0,0" coordsize="1434,20">
                  <v:group style="position:absolute;left:10;top:10;width:1415;height:2" coordorigin="10,10" coordsize="1415,2">
                    <v:shape style="position:absolute;left:10;top:10;width:1415;height:2" coordorigin="10,10" coordsize="1415,0" path="m10,10l1424,10e" filled="false" stroked="true" strokeweight=".96002pt" strokecolor="#000000">
                      <v:path arrowok="t"/>
                    </v:shape>
                  </v:group>
                </v:group>
              </w:pict>
            </w:r>
            <w:r>
              <w:rPr>
                <w:rFonts w:ascii="宋体" w:hAnsi="宋体" w:cs="宋体" w:eastAsia="宋体" w:hint="default"/>
                <w:sz w:val="2"/>
                <w:szCs w:val="2"/>
              </w:rPr>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350" w:hRule="exact"/>
        </w:trPr>
        <w:tc>
          <w:tcPr>
            <w:tcW w:w="38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 w:right="0"/>
              <w:jc w:val="left"/>
              <w:rPr>
                <w:rFonts w:ascii="宋体" w:hAnsi="宋体" w:cs="宋体" w:eastAsia="宋体" w:hint="default"/>
                <w:sz w:val="20"/>
                <w:szCs w:val="20"/>
              </w:rPr>
            </w:pPr>
            <w:r>
              <w:rPr>
                <w:rFonts w:ascii="宋体"/>
                <w:sz w:val="20"/>
              </w:rPr>
              <w:t>26,286,405.59</w:t>
            </w:r>
          </w:p>
        </w:tc>
        <w:tc>
          <w:tcPr>
            <w:tcW w:w="56"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5"/>
              <w:jc w:val="right"/>
              <w:rPr>
                <w:rFonts w:ascii="宋体" w:hAnsi="宋体" w:cs="宋体" w:eastAsia="宋体" w:hint="default"/>
                <w:sz w:val="20"/>
                <w:szCs w:val="20"/>
              </w:rPr>
            </w:pPr>
            <w:r>
              <w:rPr>
                <w:rFonts w:ascii="宋体"/>
                <w:sz w:val="20"/>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宋体" w:hAnsi="宋体" w:cs="宋体" w:eastAsia="宋体" w:hint="default"/>
                <w:sz w:val="20"/>
                <w:szCs w:val="20"/>
              </w:rPr>
            </w:pPr>
            <w:r>
              <w:rPr>
                <w:rFonts w:ascii="宋体"/>
                <w:w w:val="95"/>
                <w:sz w:val="20"/>
              </w:rPr>
              <w:t>1,323,877.59</w:t>
            </w:r>
            <w:r>
              <w:rPr>
                <w:rFonts w:ascii="宋体"/>
                <w:sz w:val="20"/>
              </w:rPr>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6" w:right="0"/>
              <w:jc w:val="left"/>
              <w:rPr>
                <w:rFonts w:ascii="宋体" w:hAnsi="宋体" w:cs="宋体" w:eastAsia="宋体" w:hint="default"/>
                <w:sz w:val="20"/>
                <w:szCs w:val="20"/>
              </w:rPr>
            </w:pPr>
            <w:r>
              <w:rPr>
                <w:rFonts w:ascii="宋体"/>
                <w:sz w:val="20"/>
              </w:rPr>
              <w:t>5.04%</w:t>
            </w:r>
          </w:p>
        </w:tc>
      </w:tr>
      <w:tr>
        <w:trPr>
          <w:trHeight w:val="299"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72" w:hRule="exact"/>
        </w:trPr>
        <w:tc>
          <w:tcPr>
            <w:tcW w:w="3821" w:type="dxa"/>
            <w:tcBorders>
              <w:top w:val="nil" w:sz="6" w:space="0" w:color="auto"/>
              <w:left w:val="nil" w:sz="6" w:space="0" w:color="auto"/>
              <w:bottom w:val="nil" w:sz="6" w:space="0" w:color="auto"/>
              <w:right w:val="nil" w:sz="6" w:space="0" w:color="auto"/>
            </w:tcBorders>
          </w:tcPr>
          <w:p>
            <w:pPr>
              <w:pStyle w:val="TableParagraph"/>
              <w:tabs>
                <w:tab w:pos="553" w:val="left" w:leader="none"/>
              </w:tabs>
              <w:spacing w:line="240" w:lineRule="auto" w:before="32"/>
              <w:ind w:left="10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7" w:right="0"/>
              <w:jc w:val="left"/>
              <w:rPr>
                <w:rFonts w:ascii="宋体" w:hAnsi="宋体" w:cs="宋体" w:eastAsia="宋体" w:hint="default"/>
                <w:sz w:val="20"/>
                <w:szCs w:val="20"/>
              </w:rPr>
            </w:pPr>
            <w:r>
              <w:rPr>
                <w:rFonts w:ascii="宋体"/>
                <w:sz w:val="20"/>
              </w:rPr>
              <w:t>26,286,405.59</w:t>
            </w:r>
          </w:p>
        </w:tc>
        <w:tc>
          <w:tcPr>
            <w:tcW w:w="56" w:type="dxa"/>
            <w:tcBorders>
              <w:top w:val="single" w:sz="8" w:space="0" w:color="000000"/>
              <w:left w:val="nil" w:sz="6" w:space="0" w:color="auto"/>
              <w:bottom w:val="single" w:sz="17" w:space="0" w:color="000000"/>
              <w:right w:val="nil" w:sz="6" w:space="0" w:color="auto"/>
            </w:tcBorders>
          </w:tcPr>
          <w:p>
            <w:pPr/>
          </w:p>
        </w:tc>
        <w:tc>
          <w:tcPr>
            <w:tcW w:w="815"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55"/>
              <w:jc w:val="right"/>
              <w:rPr>
                <w:rFonts w:ascii="宋体" w:hAnsi="宋体" w:cs="宋体" w:eastAsia="宋体" w:hint="default"/>
                <w:sz w:val="20"/>
                <w:szCs w:val="20"/>
              </w:rPr>
            </w:pPr>
            <w:r>
              <w:rPr>
                <w:rFonts w:ascii="宋体"/>
                <w:sz w:val="20"/>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56"/>
              <w:jc w:val="right"/>
              <w:rPr>
                <w:rFonts w:ascii="宋体" w:hAnsi="宋体" w:cs="宋体" w:eastAsia="宋体" w:hint="default"/>
                <w:sz w:val="20"/>
                <w:szCs w:val="20"/>
              </w:rPr>
            </w:pPr>
            <w:r>
              <w:rPr>
                <w:rFonts w:ascii="宋体"/>
                <w:w w:val="95"/>
                <w:sz w:val="20"/>
              </w:rPr>
              <w:t>1,323,877.59</w:t>
            </w:r>
            <w:r>
              <w:rPr>
                <w:rFonts w:ascii="宋体"/>
                <w:sz w:val="20"/>
              </w:rPr>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left="206" w:right="0"/>
              <w:jc w:val="left"/>
              <w:rPr>
                <w:rFonts w:ascii="宋体" w:hAnsi="宋体" w:cs="宋体" w:eastAsia="宋体" w:hint="default"/>
                <w:sz w:val="20"/>
                <w:szCs w:val="20"/>
              </w:rPr>
            </w:pPr>
            <w:r>
              <w:rPr>
                <w:rFonts w:ascii="宋体"/>
                <w:sz w:val="20"/>
              </w:rPr>
              <w:t>5.04%</w:t>
            </w:r>
          </w:p>
        </w:tc>
      </w:tr>
      <w:tr>
        <w:trPr>
          <w:trHeight w:val="713"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89"/>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382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
        </w:tc>
        <w:tc>
          <w:tcPr>
            <w:tcW w:w="221" w:type="dxa"/>
            <w:tcBorders>
              <w:top w:val="single" w:sz="8" w:space="0" w:color="000000"/>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54"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20" w:right="-8"/>
              <w:jc w:val="center"/>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60" w:hRule="exact"/>
        </w:trPr>
        <w:tc>
          <w:tcPr>
            <w:tcW w:w="3821" w:type="dxa"/>
            <w:tcBorders>
              <w:top w:val="nil" w:sz="6" w:space="0" w:color="auto"/>
              <w:left w:val="nil" w:sz="6" w:space="0" w:color="auto"/>
              <w:bottom w:val="single" w:sz="8" w:space="0" w:color="000000"/>
              <w:right w:val="nil" w:sz="6" w:space="0" w:color="auto"/>
            </w:tcBorders>
          </w:tcPr>
          <w:p>
            <w:pPr>
              <w:pStyle w:val="TableParagraph"/>
              <w:tabs>
                <w:tab w:pos="553" w:val="left" w:leader="none"/>
              </w:tabs>
              <w:spacing w:line="240" w:lineRule="auto" w:before="85"/>
              <w:ind w:left="10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5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8"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0" w:lineRule="exact"/>
              <w:ind w:left="3946" w:right="0"/>
              <w:jc w:val="left"/>
              <w:rPr>
                <w:rFonts w:ascii="宋体" w:hAnsi="宋体" w:cs="宋体" w:eastAsia="宋体" w:hint="default"/>
                <w:sz w:val="2"/>
                <w:szCs w:val="2"/>
              </w:rPr>
            </w:pPr>
            <w:r>
              <w:rPr>
                <w:rFonts w:ascii="宋体" w:hAnsi="宋体" w:cs="宋体" w:eastAsia="宋体" w:hint="default"/>
                <w:sz w:val="2"/>
                <w:szCs w:val="2"/>
              </w:rPr>
              <w:pict>
                <v:group style="width:71.7pt;height:1pt;mso-position-horizontal-relative:char;mso-position-vertical-relative:line" coordorigin="0,0" coordsize="1434,20">
                  <v:group style="position:absolute;left:10;top:10;width:1415;height:2" coordorigin="10,10" coordsize="1415,2">
                    <v:shape style="position:absolute;left:10;top:10;width:1415;height:2" coordorigin="10,10" coordsize="1415,0" path="m10,10l1424,10e" filled="false" stroked="true" strokeweight=".96002pt" strokecolor="#000000">
                      <v:path arrowok="t"/>
                    </v:shape>
                  </v:group>
                </v:group>
              </w:pict>
            </w:r>
            <w:r>
              <w:rPr>
                <w:rFonts w:ascii="宋体" w:hAnsi="宋体" w:cs="宋体" w:eastAsia="宋体" w:hint="default"/>
                <w:sz w:val="2"/>
                <w:szCs w:val="2"/>
              </w:rPr>
            </w:r>
          </w:p>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341" w:hRule="exact"/>
        </w:trPr>
        <w:tc>
          <w:tcPr>
            <w:tcW w:w="38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7" w:right="0"/>
              <w:jc w:val="left"/>
              <w:rPr>
                <w:rFonts w:ascii="宋体" w:hAnsi="宋体" w:cs="宋体" w:eastAsia="宋体" w:hint="default"/>
                <w:sz w:val="18"/>
                <w:szCs w:val="18"/>
              </w:rPr>
            </w:pPr>
            <w:r>
              <w:rPr>
                <w:rFonts w:ascii="宋体"/>
                <w:sz w:val="18"/>
              </w:rPr>
              <w:t>23,533,108.00</w:t>
            </w:r>
          </w:p>
        </w:tc>
        <w:tc>
          <w:tcPr>
            <w:tcW w:w="56"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z w:val="18"/>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1,197,628.06</w:t>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4" w:right="0"/>
              <w:jc w:val="left"/>
              <w:rPr>
                <w:rFonts w:ascii="宋体" w:hAnsi="宋体" w:cs="宋体" w:eastAsia="宋体" w:hint="default"/>
                <w:sz w:val="18"/>
                <w:szCs w:val="18"/>
              </w:rPr>
            </w:pPr>
            <w:r>
              <w:rPr>
                <w:rFonts w:ascii="宋体"/>
                <w:sz w:val="18"/>
              </w:rPr>
              <w:t>5.09%</w:t>
            </w:r>
          </w:p>
        </w:tc>
      </w:tr>
      <w:tr>
        <w:trPr>
          <w:trHeight w:val="350"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74" w:hRule="exact"/>
        </w:trPr>
        <w:tc>
          <w:tcPr>
            <w:tcW w:w="3821"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40" w:lineRule="auto" w:before="34"/>
              <w:ind w:left="187" w:right="0"/>
              <w:jc w:val="left"/>
              <w:rPr>
                <w:rFonts w:ascii="宋体" w:hAnsi="宋体" w:cs="宋体" w:eastAsia="宋体" w:hint="default"/>
                <w:sz w:val="18"/>
                <w:szCs w:val="18"/>
              </w:rPr>
            </w:pPr>
            <w:r>
              <w:rPr>
                <w:rFonts w:ascii="宋体"/>
                <w:sz w:val="18"/>
              </w:rPr>
              <w:t>23,533,108.00</w:t>
            </w:r>
          </w:p>
        </w:tc>
        <w:tc>
          <w:tcPr>
            <w:tcW w:w="56" w:type="dxa"/>
            <w:tcBorders>
              <w:top w:val="single" w:sz="8" w:space="0" w:color="000000"/>
              <w:left w:val="nil" w:sz="6" w:space="0" w:color="auto"/>
              <w:bottom w:val="single" w:sz="17" w:space="0" w:color="000000"/>
              <w:right w:val="nil" w:sz="6" w:space="0" w:color="auto"/>
            </w:tcBorders>
          </w:tcPr>
          <w:p>
            <w:pPr/>
          </w:p>
        </w:tc>
        <w:tc>
          <w:tcPr>
            <w:tcW w:w="815"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z w:val="18"/>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1,197,628.06</w:t>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left="254" w:right="0"/>
              <w:jc w:val="left"/>
              <w:rPr>
                <w:rFonts w:ascii="宋体" w:hAnsi="宋体" w:cs="宋体" w:eastAsia="宋体" w:hint="default"/>
                <w:sz w:val="18"/>
                <w:szCs w:val="18"/>
              </w:rPr>
            </w:pPr>
            <w:r>
              <w:rPr>
                <w:rFonts w:ascii="宋体"/>
                <w:sz w:val="18"/>
              </w:rPr>
              <w:t>5.09%</w:t>
            </w:r>
          </w:p>
        </w:tc>
      </w:tr>
    </w:tbl>
    <w:p>
      <w:pPr>
        <w:spacing w:line="240" w:lineRule="auto" w:before="2"/>
        <w:rPr>
          <w:rFonts w:ascii="宋体" w:hAnsi="宋体" w:cs="宋体" w:eastAsia="宋体" w:hint="default"/>
          <w:sz w:val="12"/>
          <w:szCs w:val="12"/>
        </w:rPr>
      </w:pPr>
    </w:p>
    <w:p>
      <w:pPr>
        <w:pStyle w:val="BodyText"/>
        <w:tabs>
          <w:tab w:pos="1100" w:val="left" w:leader="none"/>
        </w:tabs>
        <w:spacing w:line="240" w:lineRule="auto" w:before="26"/>
        <w:ind w:left="620" w:right="145"/>
        <w:jc w:val="left"/>
      </w:pPr>
      <w:r>
        <w:rPr/>
        <w:pict>
          <v:group style="position:absolute;margin-left:280.609985pt;margin-top:-27.764397pt;width:70.75pt;height:.1pt;mso-position-horizontal-relative:page;mso-position-vertical-relative:paragraph;z-index:-744448" coordorigin="5612,-555" coordsize="1415,2">
            <v:shape style="position:absolute;left:5612;top:-555;width:1415;height:2" coordorigin="5612,-555" coordsize="1415,0" path="m5612,-555l7026,-555e" filled="false" stroked="true" strokeweight=".96002pt" strokecolor="#000000">
              <v:path arrowok="t"/>
            </v:shape>
            <w10:wrap type="none"/>
          </v:group>
        </w:pict>
      </w:r>
      <w:r>
        <w:rPr/>
        <w:t>⑵</w:t>
        <w:tab/>
        <w:t>应收账款按账龄列示</w:t>
      </w:r>
    </w:p>
    <w:p>
      <w:pPr>
        <w:spacing w:line="240" w:lineRule="auto" w:before="6"/>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114"/>
        <w:gridCol w:w="221"/>
        <w:gridCol w:w="1862"/>
        <w:gridCol w:w="1040"/>
        <w:gridCol w:w="238"/>
        <w:gridCol w:w="1820"/>
        <w:gridCol w:w="228"/>
        <w:gridCol w:w="1186"/>
      </w:tblGrid>
      <w:tr>
        <w:trPr>
          <w:trHeight w:val="253" w:hRule="exact"/>
        </w:trPr>
        <w:tc>
          <w:tcPr>
            <w:tcW w:w="2114"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8" w:space="0" w:color="000000"/>
              <w:right w:val="nil" w:sz="6" w:space="0" w:color="auto"/>
            </w:tcBorders>
          </w:tcPr>
          <w:p>
            <w:pPr>
              <w:pStyle w:val="TableParagraph"/>
              <w:spacing w:line="211" w:lineRule="exact"/>
              <w:ind w:right="91"/>
              <w:jc w:val="right"/>
              <w:rPr>
                <w:rFonts w:ascii="宋体" w:hAnsi="宋体" w:cs="宋体" w:eastAsia="宋体" w:hint="default"/>
                <w:sz w:val="21"/>
                <w:szCs w:val="21"/>
              </w:rPr>
            </w:pPr>
            <w:r>
              <w:rPr>
                <w:rFonts w:ascii="宋体" w:hAnsi="宋体" w:cs="宋体" w:eastAsia="宋体" w:hint="default"/>
                <w:sz w:val="21"/>
                <w:szCs w:val="21"/>
              </w:rPr>
              <w:t>期末数</w:t>
            </w:r>
          </w:p>
        </w:tc>
        <w:tc>
          <w:tcPr>
            <w:tcW w:w="1040"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8" w:space="0" w:color="000000"/>
              <w:right w:val="nil" w:sz="6" w:space="0" w:color="auto"/>
            </w:tcBorders>
          </w:tcPr>
          <w:p>
            <w:pPr>
              <w:pStyle w:val="TableParagraph"/>
              <w:spacing w:line="211" w:lineRule="exact"/>
              <w:ind w:right="94"/>
              <w:jc w:val="right"/>
              <w:rPr>
                <w:rFonts w:ascii="宋体" w:hAnsi="宋体" w:cs="宋体" w:eastAsia="宋体" w:hint="default"/>
                <w:sz w:val="21"/>
                <w:szCs w:val="21"/>
              </w:rPr>
            </w:pPr>
            <w:r>
              <w:rPr>
                <w:rFonts w:ascii="宋体" w:hAnsi="宋体" w:cs="宋体" w:eastAsia="宋体" w:hint="default"/>
                <w:sz w:val="21"/>
                <w:szCs w:val="21"/>
              </w:rPr>
              <w:t>期初</w:t>
            </w:r>
          </w:p>
        </w:tc>
        <w:tc>
          <w:tcPr>
            <w:tcW w:w="228" w:type="dxa"/>
            <w:tcBorders>
              <w:top w:val="nil" w:sz="6" w:space="0" w:color="auto"/>
              <w:left w:val="nil" w:sz="6" w:space="0" w:color="auto"/>
              <w:bottom w:val="single" w:sz="8" w:space="0" w:color="000000"/>
              <w:right w:val="nil" w:sz="6" w:space="0" w:color="auto"/>
            </w:tcBorders>
          </w:tcPr>
          <w:p>
            <w:pPr>
              <w:pStyle w:val="TableParagraph"/>
              <w:spacing w:line="211" w:lineRule="exact"/>
              <w:ind w:left="-97"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186" w:type="dxa"/>
            <w:tcBorders>
              <w:top w:val="nil" w:sz="6" w:space="0" w:color="auto"/>
              <w:left w:val="nil" w:sz="6" w:space="0" w:color="auto"/>
              <w:bottom w:val="single" w:sz="8" w:space="0" w:color="000000"/>
              <w:right w:val="nil" w:sz="6" w:space="0" w:color="auto"/>
            </w:tcBorders>
          </w:tcPr>
          <w:p>
            <w:pPr/>
          </w:p>
        </w:tc>
      </w:tr>
      <w:tr>
        <w:trPr>
          <w:trHeight w:val="302" w:hRule="exact"/>
        </w:trPr>
        <w:tc>
          <w:tcPr>
            <w:tcW w:w="2114" w:type="dxa"/>
            <w:tcBorders>
              <w:top w:val="nil" w:sz="6" w:space="0" w:color="auto"/>
              <w:left w:val="nil" w:sz="6" w:space="0" w:color="auto"/>
              <w:bottom w:val="single" w:sz="8" w:space="0" w:color="000000"/>
              <w:right w:val="nil" w:sz="6" w:space="0" w:color="auto"/>
            </w:tcBorders>
          </w:tcPr>
          <w:p>
            <w:pPr>
              <w:pStyle w:val="TableParagraph"/>
              <w:spacing w:line="262" w:lineRule="exact"/>
              <w:ind w:right="842"/>
              <w:jc w:val="right"/>
              <w:rPr>
                <w:rFonts w:ascii="宋体" w:hAnsi="宋体" w:cs="宋体" w:eastAsia="宋体" w:hint="default"/>
                <w:sz w:val="21"/>
                <w:szCs w:val="21"/>
              </w:rPr>
            </w:pPr>
            <w:r>
              <w:rPr>
                <w:rFonts w:ascii="宋体" w:hAnsi="宋体" w:cs="宋体" w:eastAsia="宋体" w:hint="default"/>
                <w:sz w:val="21"/>
                <w:szCs w:val="21"/>
              </w:rPr>
              <w:t>项目</w:t>
            </w:r>
          </w:p>
        </w:tc>
        <w:tc>
          <w:tcPr>
            <w:tcW w:w="221" w:type="dxa"/>
            <w:tcBorders>
              <w:top w:val="nil" w:sz="6" w:space="0" w:color="auto"/>
              <w:left w:val="nil" w:sz="6" w:space="0" w:color="auto"/>
              <w:bottom w:val="nil" w:sz="6" w:space="0" w:color="auto"/>
              <w:right w:val="nil" w:sz="6" w:space="0" w:color="auto"/>
            </w:tcBorders>
          </w:tcPr>
          <w:p>
            <w:pPr/>
          </w:p>
        </w:tc>
        <w:tc>
          <w:tcPr>
            <w:tcW w:w="1862"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6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38" w:type="dxa"/>
            <w:tcBorders>
              <w:top w:val="nil" w:sz="6" w:space="0" w:color="auto"/>
              <w:left w:val="nil" w:sz="6" w:space="0" w:color="auto"/>
              <w:bottom w:val="nil" w:sz="6" w:space="0" w:color="auto"/>
              <w:right w:val="nil" w:sz="6" w:space="0" w:color="auto"/>
            </w:tcBorders>
          </w:tcPr>
          <w:p>
            <w:pP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8" w:space="0" w:color="000000"/>
              <w:left w:val="nil" w:sz="6" w:space="0" w:color="auto"/>
              <w:bottom w:val="nil" w:sz="6" w:space="0" w:color="auto"/>
              <w:right w:val="nil" w:sz="6" w:space="0" w:color="auto"/>
            </w:tcBorders>
          </w:tcPr>
          <w:p>
            <w:pP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38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99" w:hRule="exact"/>
        </w:trPr>
        <w:tc>
          <w:tcPr>
            <w:tcW w:w="2114" w:type="dxa"/>
            <w:tcBorders>
              <w:top w:val="single" w:sz="8" w:space="0" w:color="000000"/>
              <w:left w:val="nil" w:sz="6" w:space="0" w:color="auto"/>
              <w:bottom w:val="nil" w:sz="6" w:space="0" w:color="auto"/>
              <w:right w:val="nil" w:sz="6" w:space="0" w:color="auto"/>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1" w:type="dxa"/>
            <w:tcBorders>
              <w:top w:val="nil" w:sz="6" w:space="0" w:color="auto"/>
              <w:left w:val="nil" w:sz="6" w:space="0" w:color="auto"/>
              <w:bottom w:val="nil" w:sz="6" w:space="0" w:color="auto"/>
              <w:right w:val="nil" w:sz="6" w:space="0" w:color="auto"/>
            </w:tcBorders>
          </w:tcPr>
          <w:p>
            <w:pPr/>
          </w:p>
        </w:tc>
        <w:tc>
          <w:tcPr>
            <w:tcW w:w="1862" w:type="dxa"/>
            <w:tcBorders>
              <w:top w:val="single" w:sz="8" w:space="0" w:color="000000"/>
              <w:left w:val="nil" w:sz="6" w:space="0" w:color="auto"/>
              <w:bottom w:val="nil" w:sz="6" w:space="0" w:color="auto"/>
              <w:right w:val="nil" w:sz="6" w:space="0" w:color="auto"/>
            </w:tcBorders>
          </w:tcPr>
          <w:p>
            <w:pPr>
              <w:pStyle w:val="TableParagraph"/>
              <w:spacing w:line="253" w:lineRule="exact"/>
              <w:ind w:left="273" w:right="0"/>
              <w:jc w:val="left"/>
              <w:rPr>
                <w:rFonts w:ascii="宋体" w:hAnsi="宋体" w:cs="宋体" w:eastAsia="宋体" w:hint="default"/>
                <w:sz w:val="21"/>
                <w:szCs w:val="21"/>
              </w:rPr>
            </w:pPr>
            <w:r>
              <w:rPr>
                <w:rFonts w:ascii="宋体"/>
                <w:sz w:val="21"/>
              </w:rPr>
              <w:t>26,095,259.41</w:t>
            </w:r>
          </w:p>
        </w:tc>
        <w:tc>
          <w:tcPr>
            <w:tcW w:w="1040"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z w:val="21"/>
              </w:rPr>
              <w:t>99.27%</w:t>
            </w:r>
          </w:p>
        </w:tc>
        <w:tc>
          <w:tcPr>
            <w:tcW w:w="238" w:type="dxa"/>
            <w:tcBorders>
              <w:top w:val="nil" w:sz="6" w:space="0" w:color="auto"/>
              <w:left w:val="nil" w:sz="6" w:space="0" w:color="auto"/>
              <w:bottom w:val="nil" w:sz="6" w:space="0" w:color="auto"/>
              <w:right w:val="nil" w:sz="6" w:space="0" w:color="auto"/>
            </w:tcBorders>
          </w:tcPr>
          <w:p>
            <w:pPr/>
          </w:p>
        </w:tc>
        <w:tc>
          <w:tcPr>
            <w:tcW w:w="1820"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23,118,406.81</w:t>
            </w:r>
          </w:p>
        </w:tc>
        <w:tc>
          <w:tcPr>
            <w:tcW w:w="228" w:type="dxa"/>
            <w:tcBorders>
              <w:top w:val="nil" w:sz="6" w:space="0" w:color="auto"/>
              <w:left w:val="nil" w:sz="6" w:space="0" w:color="auto"/>
              <w:bottom w:val="nil" w:sz="6" w:space="0" w:color="auto"/>
              <w:right w:val="nil" w:sz="6" w:space="0" w:color="auto"/>
            </w:tcBorders>
          </w:tcPr>
          <w:p>
            <w:pPr/>
          </w:p>
        </w:tc>
        <w:tc>
          <w:tcPr>
            <w:tcW w:w="1186" w:type="dxa"/>
            <w:tcBorders>
              <w:top w:val="single" w:sz="8"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z w:val="21"/>
              </w:rPr>
              <w:t>98.24%</w:t>
            </w:r>
          </w:p>
        </w:tc>
      </w:tr>
      <w:tr>
        <w:trPr>
          <w:trHeight w:val="284"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7" w:lineRule="exact"/>
              <w:ind w:right="218"/>
              <w:jc w:val="right"/>
              <w:rPr>
                <w:rFonts w:ascii="宋体" w:hAnsi="宋体" w:cs="宋体" w:eastAsia="宋体" w:hint="default"/>
                <w:sz w:val="21"/>
                <w:szCs w:val="21"/>
              </w:rPr>
            </w:pPr>
            <w:r>
              <w:rPr>
                <w:rFonts w:ascii="宋体"/>
                <w:spacing w:val="-1"/>
                <w:sz w:val="21"/>
              </w:rPr>
              <w:t>191,146.18</w:t>
            </w:r>
          </w:p>
        </w:tc>
        <w:tc>
          <w:tcPr>
            <w:tcW w:w="104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z w:val="21"/>
              </w:rPr>
              <w:t>0.73%</w:t>
            </w:r>
          </w:p>
        </w:tc>
        <w:tc>
          <w:tcPr>
            <w:tcW w:w="238"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412,325.19</w:t>
            </w:r>
          </w:p>
        </w:tc>
        <w:tc>
          <w:tcPr>
            <w:tcW w:w="228"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z w:val="21"/>
              </w:rPr>
              <w:t>1.75%</w:t>
            </w:r>
          </w:p>
        </w:tc>
      </w:tr>
      <w:tr>
        <w:trPr>
          <w:trHeight w:val="287"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8" w:space="0" w:color="000000"/>
              <w:right w:val="nil" w:sz="6" w:space="0" w:color="auto"/>
            </w:tcBorders>
          </w:tcPr>
          <w:p>
            <w:pPr/>
          </w:p>
        </w:tc>
        <w:tc>
          <w:tcPr>
            <w:tcW w:w="1040"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2,376.00</w:t>
            </w:r>
          </w:p>
        </w:tc>
        <w:tc>
          <w:tcPr>
            <w:tcW w:w="228"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z w:val="21"/>
              </w:rPr>
              <w:t>0.01%</w:t>
            </w:r>
          </w:p>
        </w:tc>
      </w:tr>
      <w:tr>
        <w:trPr>
          <w:trHeight w:val="305"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2" w:lineRule="exact"/>
              <w:ind w:right="842"/>
              <w:jc w:val="right"/>
              <w:rPr>
                <w:rFonts w:ascii="宋体" w:hAnsi="宋体" w:cs="宋体" w:eastAsia="宋体" w:hint="default"/>
                <w:sz w:val="21"/>
                <w:szCs w:val="21"/>
              </w:rPr>
            </w:pPr>
            <w:r>
              <w:rPr>
                <w:rFonts w:ascii="宋体" w:hAnsi="宋体" w:cs="宋体" w:eastAsia="宋体" w:hint="default"/>
                <w:sz w:val="21"/>
                <w:szCs w:val="21"/>
              </w:rPr>
              <w:t>合计</w:t>
            </w:r>
          </w:p>
        </w:tc>
        <w:tc>
          <w:tcPr>
            <w:tcW w:w="221" w:type="dxa"/>
            <w:tcBorders>
              <w:top w:val="nil" w:sz="6" w:space="0" w:color="auto"/>
              <w:left w:val="nil" w:sz="6" w:space="0" w:color="auto"/>
              <w:bottom w:val="nil" w:sz="6" w:space="0" w:color="auto"/>
              <w:right w:val="nil" w:sz="6" w:space="0" w:color="auto"/>
            </w:tcBorders>
          </w:tcPr>
          <w:p>
            <w:pPr/>
          </w:p>
        </w:tc>
        <w:tc>
          <w:tcPr>
            <w:tcW w:w="1862" w:type="dxa"/>
            <w:tcBorders>
              <w:top w:val="single" w:sz="8" w:space="0" w:color="000000"/>
              <w:left w:val="nil" w:sz="6" w:space="0" w:color="auto"/>
              <w:bottom w:val="nil" w:sz="6" w:space="0" w:color="auto"/>
              <w:right w:val="nil" w:sz="6" w:space="0" w:color="auto"/>
            </w:tcBorders>
          </w:tcPr>
          <w:p>
            <w:pPr>
              <w:pStyle w:val="TableParagraph"/>
              <w:spacing w:line="253" w:lineRule="exact"/>
              <w:ind w:left="273" w:right="0"/>
              <w:jc w:val="left"/>
              <w:rPr>
                <w:rFonts w:ascii="宋体" w:hAnsi="宋体" w:cs="宋体" w:eastAsia="宋体" w:hint="default"/>
                <w:sz w:val="21"/>
                <w:szCs w:val="21"/>
              </w:rPr>
            </w:pPr>
            <w:r>
              <w:rPr>
                <w:rFonts w:ascii="宋体"/>
                <w:sz w:val="21"/>
              </w:rPr>
              <w:t>26,286,405.59</w:t>
            </w: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100.00%</w:t>
            </w:r>
          </w:p>
        </w:tc>
        <w:tc>
          <w:tcPr>
            <w:tcW w:w="238" w:type="dxa"/>
            <w:tcBorders>
              <w:top w:val="nil" w:sz="6" w:space="0" w:color="auto"/>
              <w:left w:val="nil" w:sz="6" w:space="0" w:color="auto"/>
              <w:bottom w:val="nil" w:sz="6" w:space="0" w:color="auto"/>
              <w:right w:val="nil" w:sz="6" w:space="0" w:color="auto"/>
            </w:tcBorders>
          </w:tcPr>
          <w:p>
            <w:pP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23,533,108.00</w:t>
            </w:r>
          </w:p>
        </w:tc>
        <w:tc>
          <w:tcPr>
            <w:tcW w:w="228" w:type="dxa"/>
            <w:tcBorders>
              <w:top w:val="nil" w:sz="6" w:space="0" w:color="auto"/>
              <w:left w:val="nil" w:sz="6" w:space="0" w:color="auto"/>
              <w:bottom w:val="nil" w:sz="6" w:space="0" w:color="auto"/>
              <w:right w:val="nil" w:sz="6" w:space="0" w:color="auto"/>
            </w:tcBorders>
          </w:tcPr>
          <w:p>
            <w:pPr/>
          </w:p>
        </w:tc>
        <w:tc>
          <w:tcPr>
            <w:tcW w:w="1186" w:type="dxa"/>
            <w:tcBorders>
              <w:top w:val="single" w:sz="8" w:space="0" w:color="000000"/>
              <w:left w:val="nil" w:sz="6" w:space="0" w:color="auto"/>
              <w:bottom w:val="single" w:sz="8"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100.00%</w:t>
            </w:r>
          </w:p>
        </w:tc>
      </w:tr>
    </w:tbl>
    <w:p>
      <w:pPr>
        <w:spacing w:line="240" w:lineRule="auto" w:before="2"/>
        <w:rPr>
          <w:rFonts w:ascii="宋体" w:hAnsi="宋体" w:cs="宋体" w:eastAsia="宋体" w:hint="default"/>
          <w:sz w:val="12"/>
          <w:szCs w:val="12"/>
        </w:rPr>
      </w:pPr>
    </w:p>
    <w:p>
      <w:pPr>
        <w:pStyle w:val="BodyText"/>
        <w:tabs>
          <w:tab w:pos="1100" w:val="left" w:leader="none"/>
        </w:tabs>
        <w:spacing w:line="240" w:lineRule="auto" w:before="26"/>
        <w:ind w:left="620" w:right="145"/>
        <w:jc w:val="left"/>
      </w:pPr>
      <w:r>
        <w:rPr/>
        <w:t>⑶</w:t>
        <w:tab/>
        <w:t>坏账准备的计提情况</w:t>
      </w:r>
    </w:p>
    <w:p>
      <w:pPr>
        <w:spacing w:line="240" w:lineRule="auto" w:before="6"/>
        <w:rPr>
          <w:rFonts w:ascii="宋体" w:hAnsi="宋体" w:cs="宋体" w:eastAsia="宋体" w:hint="default"/>
          <w:sz w:val="21"/>
          <w:szCs w:val="21"/>
        </w:rPr>
      </w:pPr>
    </w:p>
    <w:p>
      <w:pPr>
        <w:pStyle w:val="BodyText"/>
        <w:spacing w:line="240" w:lineRule="auto" w:before="0"/>
        <w:ind w:left="620" w:right="145"/>
        <w:jc w:val="left"/>
      </w:pPr>
      <w:r>
        <w:rPr/>
        <w:t>按账龄分析法计提坏账准备的应收账款：</w:t>
      </w:r>
    </w:p>
    <w:p>
      <w:pPr>
        <w:tabs>
          <w:tab w:pos="6726" w:val="left" w:leader="none"/>
        </w:tabs>
        <w:spacing w:before="113"/>
        <w:ind w:left="2783" w:right="145"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1"/>
        <w:rPr>
          <w:rFonts w:ascii="宋体" w:hAnsi="宋体" w:cs="宋体" w:eastAsia="宋体" w:hint="default"/>
          <w:sz w:val="2"/>
          <w:szCs w:val="2"/>
        </w:rPr>
      </w:pPr>
    </w:p>
    <w:p>
      <w:pPr>
        <w:tabs>
          <w:tab w:pos="5083" w:val="left" w:leader="none"/>
        </w:tabs>
        <w:spacing w:line="20" w:lineRule="exact"/>
        <w:ind w:left="1242" w:right="0" w:firstLine="0"/>
        <w:rPr>
          <w:rFonts w:ascii="宋体" w:hAnsi="宋体" w:cs="宋体" w:eastAsia="宋体" w:hint="default"/>
          <w:sz w:val="2"/>
          <w:szCs w:val="2"/>
        </w:rPr>
      </w:pPr>
      <w:r>
        <w:rPr>
          <w:rFonts w:ascii="宋体"/>
          <w:sz w:val="2"/>
        </w:rPr>
        <w:pict>
          <v:group style="width:181.15pt;height:1pt;mso-position-horizontal-relative:char;mso-position-vertical-relative:line" coordorigin="0,0" coordsize="3623,20">
            <v:group style="position:absolute;left:10;top:10;width:2226;height:2" coordorigin="10,10" coordsize="2226,2">
              <v:shape style="position:absolute;left:10;top:10;width:2226;height:2" coordorigin="10,10" coordsize="2226,0" path="m10,10l2235,10e" filled="false" stroked="true" strokeweight=".96002pt" strokecolor="#000000">
                <v:path arrowok="t"/>
              </v:shape>
            </v:group>
            <v:group style="position:absolute;left:2235;top:10;width:20;height:2" coordorigin="2235,10" coordsize="20,2">
              <v:shape style="position:absolute;left:2235;top:10;width:20;height:2" coordorigin="2235,10" coordsize="20,0" path="m2235,10l2254,10e" filled="false" stroked="true" strokeweight=".96002pt" strokecolor="#000000">
                <v:path arrowok="t"/>
              </v:shape>
            </v:group>
            <v:group style="position:absolute;left:2254;top:10;width:123;height:2" coordorigin="2254,10" coordsize="123,2">
              <v:shape style="position:absolute;left:2254;top:10;width:123;height:2" coordorigin="2254,10" coordsize="123,0" path="m2254,10l2377,10e" filled="false" stroked="true" strokeweight=".96002pt" strokecolor="#000000">
                <v:path arrowok="t"/>
              </v:shape>
            </v:group>
            <v:group style="position:absolute;left:2377;top:10;width:20;height:2" coordorigin="2377,10" coordsize="20,2">
              <v:shape style="position:absolute;left:2377;top:10;width:20;height:2" coordorigin="2377,10" coordsize="20,0" path="m2377,10l2396,10e" filled="false" stroked="true" strokeweight=".96002pt" strokecolor="#000000">
                <v:path arrowok="t"/>
              </v:shape>
            </v:group>
            <v:group style="position:absolute;left:2396;top:10;width:1218;height:2" coordorigin="2396,10" coordsize="1218,2">
              <v:shape style="position:absolute;left:2396;top:10;width:1218;height:2" coordorigin="2396,10" coordsize="1218,0" path="m2396,10l3613,10e" filled="false" stroked="true" strokeweight=".96002pt" strokecolor="#000000">
                <v:path arrowok="t"/>
              </v:shape>
            </v:group>
          </v:group>
        </w:pict>
      </w:r>
      <w:r>
        <w:rPr>
          <w:rFonts w:ascii="宋体"/>
          <w:sz w:val="2"/>
        </w:rPr>
      </w:r>
      <w:r>
        <w:rPr>
          <w:rFonts w:ascii="宋体"/>
          <w:sz w:val="2"/>
        </w:rPr>
        <w:tab/>
      </w:r>
      <w:r>
        <w:rPr>
          <w:rFonts w:ascii="宋体"/>
          <w:sz w:val="2"/>
        </w:rPr>
        <w:pict>
          <v:group style="width:191.45pt;height:1pt;mso-position-horizontal-relative:char;mso-position-vertical-relative:line" coordorigin="0,0" coordsize="3829,20">
            <v:group style="position:absolute;left:10;top:10;width:2244;height:2" coordorigin="10,10" coordsize="2244,2">
              <v:shape style="position:absolute;left:10;top:10;width:2244;height:2" coordorigin="10,10" coordsize="2244,0" path="m10,10l2254,10e" filled="false" stroked="true" strokeweight=".96002pt" strokecolor="#000000">
                <v:path arrowok="t"/>
              </v:shape>
            </v:group>
            <v:group style="position:absolute;left:2254;top:10;width:20;height:2" coordorigin="2254,10" coordsize="20,2">
              <v:shape style="position:absolute;left:2254;top:10;width:20;height:2" coordorigin="2254,10" coordsize="20,0" path="m2254,10l2273,10e" filled="false" stroked="true" strokeweight=".96002pt" strokecolor="#000000">
                <v:path arrowok="t"/>
              </v:shape>
            </v:group>
            <v:group style="position:absolute;left:2273;top:10;width:116;height:2" coordorigin="2273,10" coordsize="116,2">
              <v:shape style="position:absolute;left:2273;top:10;width:116;height:2" coordorigin="2273,10" coordsize="116,0" path="m2273,10l2389,10e" filled="false" stroked="true" strokeweight=".96002pt" strokecolor="#000000">
                <v:path arrowok="t"/>
              </v:shape>
            </v:group>
            <v:group style="position:absolute;left:2389;top:10;width:20;height:2" coordorigin="2389,10" coordsize="20,2">
              <v:shape style="position:absolute;left:2389;top:10;width:20;height:2" coordorigin="2389,10" coordsize="20,0" path="m2389,10l2408,10e" filled="false" stroked="true" strokeweight=".96002pt" strokecolor="#000000">
                <v:path arrowok="t"/>
              </v:shape>
            </v:group>
            <v:group style="position:absolute;left:2408;top:10;width:1412;height:2" coordorigin="2408,10" coordsize="1412,2">
              <v:shape style="position:absolute;left:2408;top:10;width:1412;height:2" coordorigin="2408,10" coordsize="1412,0" path="m2408,10l3819,10e" filled="false" stroked="true" strokeweight=".96002pt" strokecolor="#000000">
                <v:path arrowok="t"/>
              </v:shape>
            </v:group>
          </v:group>
        </w:pict>
      </w:r>
      <w:r>
        <w:rPr>
          <w:rFonts w:ascii="宋体"/>
          <w:sz w:val="2"/>
        </w:rPr>
      </w:r>
    </w:p>
    <w:p>
      <w:pPr>
        <w:tabs>
          <w:tab w:pos="2002" w:val="left" w:leader="none"/>
          <w:tab w:pos="3875" w:val="left" w:leader="none"/>
          <w:tab w:pos="5853" w:val="left" w:leader="none"/>
        </w:tabs>
        <w:spacing w:before="77"/>
        <w:ind w:left="462" w:right="145" w:firstLine="0"/>
        <w:jc w:val="left"/>
        <w:rPr>
          <w:rFonts w:ascii="宋体" w:hAnsi="宋体" w:cs="宋体" w:eastAsia="宋体" w:hint="default"/>
          <w:sz w:val="18"/>
          <w:szCs w:val="18"/>
        </w:rPr>
      </w:pPr>
      <w:r>
        <w:rPr>
          <w:rFonts w:ascii="宋体" w:hAnsi="宋体" w:cs="宋体" w:eastAsia="宋体" w:hint="default"/>
          <w:sz w:val="18"/>
          <w:szCs w:val="18"/>
        </w:rPr>
        <w:t>账龄</w:t>
        <w:tab/>
        <w:t>账面余额</w:t>
        <w:tab/>
        <w:t>坏账准备</w:t>
        <w:tab/>
        <w:t>账面余额</w:t>
      </w:r>
    </w:p>
    <w:p>
      <w:pPr>
        <w:spacing w:line="240" w:lineRule="auto" w:before="4"/>
        <w:rPr>
          <w:rFonts w:ascii="宋体" w:hAnsi="宋体" w:cs="宋体" w:eastAsia="宋体" w:hint="default"/>
          <w:sz w:val="2"/>
          <w:szCs w:val="2"/>
        </w:rPr>
      </w:pPr>
    </w:p>
    <w:p>
      <w:pPr>
        <w:tabs>
          <w:tab w:pos="5083" w:val="left" w:leader="none"/>
        </w:tabs>
        <w:spacing w:line="20" w:lineRule="exact"/>
        <w:ind w:left="166" w:right="0" w:firstLine="0"/>
        <w:rPr>
          <w:rFonts w:ascii="宋体" w:hAnsi="宋体" w:cs="宋体" w:eastAsia="宋体" w:hint="default"/>
          <w:sz w:val="2"/>
          <w:szCs w:val="2"/>
        </w:rPr>
      </w:pPr>
      <w:r>
        <w:rPr>
          <w:rFonts w:ascii="宋体"/>
          <w:sz w:val="2"/>
        </w:rPr>
        <w:pict>
          <v:group style="width:47.55pt;height:1pt;mso-position-horizontal-relative:char;mso-position-vertical-relative:line" coordorigin="0,0" coordsize="951,20">
            <v:group style="position:absolute;left:10;top:10;width:932;height:2" coordorigin="10,10" coordsize="932,2">
              <v:shape style="position:absolute;left:10;top:10;width:932;height:2" coordorigin="10,10" coordsize="932,0" path="m10,10l941,10e" filled="false" stroked="true" strokeweight=".96002pt" strokecolor="#000000">
                <v:path arrowok="t"/>
              </v:shape>
            </v:group>
          </v:group>
        </w:pict>
      </w:r>
      <w:r>
        <w:rPr>
          <w:rFonts w:ascii="宋体"/>
          <w:sz w:val="2"/>
        </w:rPr>
      </w:r>
      <w:r>
        <w:rPr>
          <w:rFonts w:ascii="Times New Roman"/>
          <w:spacing w:val="121"/>
          <w:sz w:val="2"/>
        </w:rPr>
        <w:t> </w:t>
      </w:r>
      <w:r>
        <w:rPr>
          <w:rFonts w:ascii="宋体"/>
          <w:spacing w:val="121"/>
          <w:sz w:val="2"/>
        </w:rPr>
        <w:pict>
          <v:group style="width:112.25pt;height:1pt;mso-position-horizontal-relative:char;mso-position-vertical-relative:line" coordorigin="0,0" coordsize="2245,20">
            <v:group style="position:absolute;left:10;top:10;width:2226;height:2" coordorigin="10,10" coordsize="2226,2">
              <v:shape style="position:absolute;left:10;top:10;width:2226;height:2" coordorigin="10,10" coordsize="2226,0" path="m10,10l2235,10e" filled="false" stroked="true" strokeweight=".96002pt" strokecolor="#000000">
                <v:path arrowok="t"/>
              </v:shape>
            </v:group>
          </v:group>
        </w:pict>
      </w:r>
      <w:r>
        <w:rPr>
          <w:rFonts w:ascii="宋体"/>
          <w:spacing w:val="121"/>
          <w:sz w:val="2"/>
        </w:rPr>
      </w:r>
      <w:r>
        <w:rPr>
          <w:rFonts w:ascii="Times New Roman"/>
          <w:spacing w:val="119"/>
          <w:sz w:val="2"/>
        </w:rPr>
        <w:t> </w:t>
      </w:r>
      <w:r>
        <w:rPr>
          <w:rFonts w:ascii="宋体"/>
          <w:spacing w:val="119"/>
          <w:sz w:val="2"/>
        </w:rPr>
        <w:pict>
          <v:group style="width:62.8pt;height:1pt;mso-position-horizontal-relative:char;mso-position-vertical-relative:line" coordorigin="0,0" coordsize="1256,20">
            <v:group style="position:absolute;left:10;top:10;width:1237;height:2" coordorigin="10,10" coordsize="1237,2">
              <v:shape style="position:absolute;left:10;top:10;width:1237;height:2" coordorigin="10,10" coordsize="1237,0" path="m10,10l1246,10e" filled="false" stroked="true" strokeweight=".96002pt" strokecolor="#000000">
                <v:path arrowok="t"/>
              </v:shape>
            </v:group>
          </v:group>
        </w:pict>
      </w:r>
      <w:r>
        <w:rPr>
          <w:rFonts w:ascii="宋体"/>
          <w:spacing w:val="119"/>
          <w:sz w:val="2"/>
        </w:rPr>
      </w:r>
      <w:r>
        <w:rPr>
          <w:rFonts w:ascii="宋体"/>
          <w:spacing w:val="119"/>
          <w:sz w:val="2"/>
        </w:rPr>
        <w:tab/>
      </w:r>
      <w:r>
        <w:rPr>
          <w:rFonts w:ascii="宋体"/>
          <w:spacing w:val="119"/>
          <w:sz w:val="2"/>
        </w:rPr>
        <w:pict>
          <v:group style="width:113.2pt;height:1pt;mso-position-horizontal-relative:char;mso-position-vertical-relative:line" coordorigin="0,0" coordsize="2264,20">
            <v:group style="position:absolute;left:10;top:10;width:2244;height:2" coordorigin="10,10" coordsize="2244,2">
              <v:shape style="position:absolute;left:10;top:10;width:2244;height:2" coordorigin="10,10" coordsize="2244,0" path="m10,10l2254,10e" filled="false" stroked="true" strokeweight=".96002pt" strokecolor="#000000">
                <v:path arrowok="t"/>
              </v:shape>
            </v:group>
          </v:group>
        </w:pict>
      </w:r>
      <w:r>
        <w:rPr>
          <w:rFonts w:ascii="宋体"/>
          <w:spacing w:val="119"/>
          <w:sz w:val="2"/>
        </w:rPr>
      </w:r>
    </w:p>
    <w:p>
      <w:pPr>
        <w:spacing w:after="0" w:line="20" w:lineRule="exact"/>
        <w:rPr>
          <w:rFonts w:ascii="宋体" w:hAnsi="宋体" w:cs="宋体" w:eastAsia="宋体" w:hint="default"/>
          <w:sz w:val="2"/>
          <w:szCs w:val="2"/>
        </w:rPr>
        <w:sectPr>
          <w:headerReference w:type="default" r:id="rId51"/>
          <w:pgSz w:w="11910" w:h="16840"/>
          <w:pgMar w:header="915" w:footer="944" w:top="1100" w:bottom="1140" w:left="1480" w:right="1140"/>
        </w:sectPr>
      </w:pPr>
    </w:p>
    <w:p>
      <w:pPr>
        <w:spacing w:line="240" w:lineRule="auto" w:before="11"/>
        <w:rPr>
          <w:rFonts w:ascii="宋体" w:hAnsi="宋体" w:cs="宋体" w:eastAsia="宋体" w:hint="default"/>
          <w:sz w:val="2"/>
          <w:szCs w:val="2"/>
        </w:rPr>
      </w:pPr>
      <w:r>
        <w:rPr/>
        <w:pict>
          <v:shape style="position:absolute;margin-left:81.300003pt;margin-top:41.999985pt;width:18pt;height:15.75pt;mso-position-horizontal-relative:page;mso-position-vertical-relative:page;z-index:-744304" type="#_x0000_t75" stroked="false">
            <v:imagedata r:id="rId7" o:title=""/>
          </v:shape>
        </w:pict>
      </w:r>
    </w:p>
    <w:tbl>
      <w:tblPr>
        <w:tblW w:w="0" w:type="auto"/>
        <w:jc w:val="left"/>
        <w:tblInd w:w="111" w:type="dxa"/>
        <w:tblLayout w:type="fixed"/>
        <w:tblCellMar>
          <w:top w:w="0" w:type="dxa"/>
          <w:left w:w="0" w:type="dxa"/>
          <w:bottom w:w="0" w:type="dxa"/>
          <w:right w:w="0" w:type="dxa"/>
        </w:tblCellMar>
        <w:tblLook w:val="01E0"/>
      </w:tblPr>
      <w:tblGrid>
        <w:gridCol w:w="996"/>
        <w:gridCol w:w="137"/>
        <w:gridCol w:w="1299"/>
        <w:gridCol w:w="127"/>
        <w:gridCol w:w="806"/>
        <w:gridCol w:w="134"/>
        <w:gridCol w:w="1244"/>
        <w:gridCol w:w="230"/>
        <w:gridCol w:w="1284"/>
        <w:gridCol w:w="127"/>
        <w:gridCol w:w="840"/>
        <w:gridCol w:w="128"/>
        <w:gridCol w:w="1438"/>
        <w:gridCol w:w="269"/>
      </w:tblGrid>
      <w:tr>
        <w:trPr>
          <w:trHeight w:val="631" w:hRule="exact"/>
        </w:trPr>
        <w:tc>
          <w:tcPr>
            <w:tcW w:w="996" w:type="dxa"/>
            <w:tcBorders>
              <w:top w:val="single" w:sz="6" w:space="0" w:color="000000"/>
              <w:left w:val="nil" w:sz="6" w:space="0" w:color="auto"/>
              <w:bottom w:val="single" w:sz="8" w:space="0" w:color="000000"/>
              <w:right w:val="nil" w:sz="6" w:space="0" w:color="auto"/>
            </w:tcBorders>
          </w:tcPr>
          <w:p>
            <w:pPr/>
          </w:p>
        </w:tc>
        <w:tc>
          <w:tcPr>
            <w:tcW w:w="137" w:type="dxa"/>
            <w:tcBorders>
              <w:top w:val="single" w:sz="6" w:space="0" w:color="000000"/>
              <w:left w:val="nil" w:sz="6" w:space="0" w:color="auto"/>
              <w:bottom w:val="nil" w:sz="6" w:space="0" w:color="auto"/>
              <w:right w:val="nil" w:sz="6" w:space="0" w:color="auto"/>
            </w:tcBorders>
          </w:tcPr>
          <w:p>
            <w:pPr/>
          </w:p>
        </w:tc>
        <w:tc>
          <w:tcPr>
            <w:tcW w:w="1299"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 w:type="dxa"/>
            <w:tcBorders>
              <w:top w:val="single" w:sz="6" w:space="0" w:color="000000"/>
              <w:left w:val="nil" w:sz="6" w:space="0" w:color="auto"/>
              <w:bottom w:val="nil" w:sz="6" w:space="0" w:color="auto"/>
              <w:right w:val="nil" w:sz="6" w:space="0" w:color="auto"/>
            </w:tcBorders>
          </w:tcPr>
          <w:p>
            <w:pPr/>
          </w:p>
        </w:tc>
        <w:tc>
          <w:tcPr>
            <w:tcW w:w="806"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tcBorders>
              <w:top w:val="single" w:sz="6" w:space="0" w:color="000000"/>
              <w:left w:val="nil" w:sz="6" w:space="0" w:color="auto"/>
              <w:bottom w:val="nil" w:sz="6" w:space="0" w:color="auto"/>
              <w:right w:val="nil" w:sz="6" w:space="0" w:color="auto"/>
            </w:tcBorders>
          </w:tcPr>
          <w:p>
            <w:pPr/>
          </w:p>
        </w:tc>
        <w:tc>
          <w:tcPr>
            <w:tcW w:w="1244" w:type="dxa"/>
            <w:tcBorders>
              <w:top w:val="single" w:sz="6" w:space="0" w:color="000000"/>
              <w:left w:val="nil" w:sz="6" w:space="0" w:color="auto"/>
              <w:bottom w:val="single" w:sz="8" w:space="0" w:color="000000"/>
              <w:right w:val="nil" w:sz="6" w:space="0" w:color="auto"/>
            </w:tcBorders>
          </w:tcPr>
          <w:p>
            <w:pPr/>
          </w:p>
        </w:tc>
        <w:tc>
          <w:tcPr>
            <w:tcW w:w="230" w:type="dxa"/>
            <w:tcBorders>
              <w:top w:val="single" w:sz="6" w:space="0" w:color="000000"/>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 w:type="dxa"/>
            <w:tcBorders>
              <w:top w:val="single" w:sz="6" w:space="0" w:color="000000"/>
              <w:left w:val="nil" w:sz="6" w:space="0" w:color="auto"/>
              <w:bottom w:val="nil" w:sz="6" w:space="0" w:color="auto"/>
              <w:right w:val="nil" w:sz="6" w:space="0" w:color="auto"/>
            </w:tcBorders>
          </w:tcPr>
          <w:p>
            <w:pPr/>
          </w:p>
        </w:tc>
        <w:tc>
          <w:tcPr>
            <w:tcW w:w="840"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 w:type="dxa"/>
            <w:tcBorders>
              <w:top w:val="single" w:sz="6" w:space="0" w:color="000000"/>
              <w:left w:val="nil" w:sz="6" w:space="0" w:color="auto"/>
              <w:bottom w:val="nil" w:sz="6" w:space="0" w:color="auto"/>
              <w:right w:val="nil" w:sz="6" w:space="0" w:color="auto"/>
            </w:tcBorders>
          </w:tcPr>
          <w:p>
            <w:pPr/>
          </w:p>
        </w:tc>
        <w:tc>
          <w:tcPr>
            <w:tcW w:w="1438"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 w:type="dxa"/>
            <w:tcBorders>
              <w:top w:val="single" w:sz="6" w:space="0" w:color="000000"/>
              <w:left w:val="nil" w:sz="6" w:space="0" w:color="auto"/>
              <w:bottom w:val="nil" w:sz="6" w:space="0" w:color="auto"/>
              <w:right w:val="nil" w:sz="6" w:space="0" w:color="auto"/>
            </w:tcBorders>
          </w:tcPr>
          <w:p>
            <w:pPr/>
          </w:p>
        </w:tc>
      </w:tr>
      <w:tr>
        <w:trPr>
          <w:trHeight w:val="401" w:hRule="exact"/>
        </w:trPr>
        <w:tc>
          <w:tcPr>
            <w:tcW w:w="996"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 w:type="dxa"/>
            <w:tcBorders>
              <w:top w:val="nil" w:sz="6" w:space="0" w:color="auto"/>
              <w:left w:val="nil" w:sz="6" w:space="0" w:color="auto"/>
              <w:bottom w:val="nil" w:sz="6" w:space="0" w:color="auto"/>
              <w:right w:val="nil" w:sz="6" w:space="0" w:color="auto"/>
            </w:tcBorders>
          </w:tcPr>
          <w:p>
            <w:pPr/>
          </w:p>
        </w:tc>
        <w:tc>
          <w:tcPr>
            <w:tcW w:w="1299"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26,095,259.41</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99.27%</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3"/>
              <w:jc w:val="right"/>
              <w:rPr>
                <w:rFonts w:ascii="宋体" w:hAnsi="宋体" w:cs="宋体" w:eastAsia="宋体" w:hint="default"/>
                <w:sz w:val="18"/>
                <w:szCs w:val="18"/>
              </w:rPr>
            </w:pPr>
            <w:r>
              <w:rPr>
                <w:rFonts w:ascii="宋体"/>
                <w:spacing w:val="-1"/>
                <w:sz w:val="18"/>
              </w:rPr>
              <w:t>1,304,762.97</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23,118,406.81</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2"/>
              <w:jc w:val="right"/>
              <w:rPr>
                <w:rFonts w:ascii="宋体" w:hAnsi="宋体" w:cs="宋体" w:eastAsia="宋体" w:hint="default"/>
                <w:sz w:val="18"/>
                <w:szCs w:val="18"/>
              </w:rPr>
            </w:pPr>
            <w:r>
              <w:rPr>
                <w:rFonts w:ascii="宋体"/>
                <w:spacing w:val="-1"/>
                <w:sz w:val="18"/>
              </w:rPr>
              <w:t>98.24%</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1,155,920.34</w:t>
            </w:r>
          </w:p>
        </w:tc>
        <w:tc>
          <w:tcPr>
            <w:tcW w:w="269" w:type="dxa"/>
            <w:tcBorders>
              <w:top w:val="nil" w:sz="6" w:space="0" w:color="auto"/>
              <w:left w:val="nil" w:sz="6" w:space="0" w:color="auto"/>
              <w:bottom w:val="nil" w:sz="6" w:space="0" w:color="auto"/>
              <w:right w:val="nil" w:sz="6" w:space="0" w:color="auto"/>
            </w:tcBorders>
          </w:tcPr>
          <w:p>
            <w:pPr/>
          </w:p>
        </w:tc>
      </w:tr>
      <w:tr>
        <w:trPr>
          <w:trHeight w:val="341"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191,146.18</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0.73%</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pacing w:val="-1"/>
                <w:sz w:val="18"/>
              </w:rPr>
              <w:t>19,114.62</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412,325.19</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1.75%</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41,232.52</w:t>
            </w:r>
          </w:p>
        </w:tc>
        <w:tc>
          <w:tcPr>
            <w:tcW w:w="269" w:type="dxa"/>
            <w:tcBorders>
              <w:top w:val="nil" w:sz="6" w:space="0" w:color="auto"/>
              <w:left w:val="nil" w:sz="6" w:space="0" w:color="auto"/>
              <w:bottom w:val="nil" w:sz="6" w:space="0" w:color="auto"/>
              <w:right w:val="nil" w:sz="6" w:space="0" w:color="auto"/>
            </w:tcBorders>
          </w:tcPr>
          <w:p>
            <w:pPr/>
          </w:p>
        </w:tc>
      </w:tr>
      <w:tr>
        <w:trPr>
          <w:trHeight w:val="297"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single" w:sz="8"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8"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2,376.00</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0.01%</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475.20</w:t>
            </w:r>
          </w:p>
        </w:tc>
        <w:tc>
          <w:tcPr>
            <w:tcW w:w="269" w:type="dxa"/>
            <w:tcBorders>
              <w:top w:val="nil" w:sz="6" w:space="0" w:color="auto"/>
              <w:left w:val="nil" w:sz="6" w:space="0" w:color="auto"/>
              <w:bottom w:val="nil" w:sz="6" w:space="0" w:color="auto"/>
              <w:right w:val="nil" w:sz="6" w:space="0" w:color="auto"/>
            </w:tcBorders>
          </w:tcPr>
          <w:p>
            <w:pPr/>
          </w:p>
        </w:tc>
      </w:tr>
      <w:tr>
        <w:trPr>
          <w:trHeight w:val="37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 w:type="dxa"/>
            <w:tcBorders>
              <w:top w:val="nil" w:sz="6" w:space="0" w:color="auto"/>
              <w:left w:val="nil" w:sz="6" w:space="0" w:color="auto"/>
              <w:bottom w:val="nil" w:sz="6" w:space="0" w:color="auto"/>
              <w:right w:val="nil" w:sz="6" w:space="0" w:color="auto"/>
            </w:tcBorders>
          </w:tcPr>
          <w:p>
            <w:pPr/>
          </w:p>
        </w:tc>
        <w:tc>
          <w:tcPr>
            <w:tcW w:w="1299"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26,286,405.59</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3"/>
              <w:jc w:val="right"/>
              <w:rPr>
                <w:rFonts w:ascii="宋体" w:hAnsi="宋体" w:cs="宋体" w:eastAsia="宋体" w:hint="default"/>
                <w:sz w:val="18"/>
                <w:szCs w:val="18"/>
              </w:rPr>
            </w:pPr>
            <w:r>
              <w:rPr>
                <w:rFonts w:ascii="宋体"/>
                <w:spacing w:val="-1"/>
                <w:sz w:val="18"/>
              </w:rPr>
              <w:t>1,323,877.59</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23,533,108.00</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2"/>
              <w:jc w:val="right"/>
              <w:rPr>
                <w:rFonts w:ascii="宋体" w:hAnsi="宋体" w:cs="宋体" w:eastAsia="宋体" w:hint="default"/>
                <w:sz w:val="18"/>
                <w:szCs w:val="18"/>
              </w:rPr>
            </w:pPr>
            <w:r>
              <w:rPr>
                <w:rFonts w:ascii="宋体"/>
                <w:sz w:val="18"/>
              </w:rPr>
              <w:t>100.00%</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1,197,628.06</w:t>
            </w:r>
          </w:p>
        </w:tc>
        <w:tc>
          <w:tcPr>
            <w:tcW w:w="269"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2"/>
          <w:szCs w:val="12"/>
        </w:rPr>
      </w:pPr>
    </w:p>
    <w:p>
      <w:pPr>
        <w:pStyle w:val="BodyText"/>
        <w:spacing w:line="240" w:lineRule="auto" w:before="26"/>
        <w:ind w:left="620" w:right="50"/>
        <w:jc w:val="left"/>
      </w:pPr>
      <w:r>
        <w:rPr/>
        <w:t>⑷ 本报告期应收账款中无持有公司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）以上表决权股份的股东单位款项。</w:t>
      </w:r>
    </w:p>
    <w:p>
      <w:pPr>
        <w:spacing w:line="240" w:lineRule="auto" w:before="8"/>
        <w:rPr>
          <w:rFonts w:ascii="宋体" w:hAnsi="宋体" w:cs="宋体" w:eastAsia="宋体" w:hint="default"/>
          <w:sz w:val="17"/>
          <w:szCs w:val="17"/>
        </w:rPr>
      </w:pPr>
    </w:p>
    <w:p>
      <w:pPr>
        <w:pStyle w:val="BodyText"/>
        <w:tabs>
          <w:tab w:pos="1100" w:val="left" w:leader="none"/>
        </w:tabs>
        <w:spacing w:line="240" w:lineRule="auto" w:before="0"/>
        <w:ind w:left="620" w:right="3093"/>
        <w:jc w:val="left"/>
      </w:pPr>
      <w:r>
        <w:rPr/>
        <w:t>⑸</w:t>
        <w:tab/>
        <w:t>应收账款金额前五名单位情况</w:t>
      </w:r>
    </w:p>
    <w:p>
      <w:pPr>
        <w:spacing w:line="240" w:lineRule="auto" w:before="5"/>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780"/>
        <w:gridCol w:w="262"/>
        <w:gridCol w:w="785"/>
        <w:gridCol w:w="252"/>
        <w:gridCol w:w="1303"/>
        <w:gridCol w:w="223"/>
        <w:gridCol w:w="948"/>
        <w:gridCol w:w="216"/>
        <w:gridCol w:w="1058"/>
      </w:tblGrid>
      <w:tr>
        <w:trPr>
          <w:trHeight w:val="450" w:hRule="exact"/>
        </w:trPr>
        <w:tc>
          <w:tcPr>
            <w:tcW w:w="378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single" w:sz="8" w:space="0" w:color="000000"/>
              <w:right w:val="nil" w:sz="6" w:space="0" w:color="auto"/>
            </w:tcBorders>
          </w:tcPr>
          <w:p>
            <w:pPr>
              <w:pStyle w:val="TableParagraph"/>
              <w:spacing w:line="179" w:lineRule="exact"/>
              <w:ind w:right="5"/>
              <w:jc w:val="center"/>
              <w:rPr>
                <w:rFonts w:ascii="宋体" w:hAnsi="宋体" w:cs="宋体" w:eastAsia="宋体" w:hint="default"/>
                <w:sz w:val="18"/>
                <w:szCs w:val="18"/>
              </w:rPr>
            </w:pPr>
            <w:r>
              <w:rPr>
                <w:rFonts w:ascii="宋体" w:hAnsi="宋体" w:cs="宋体" w:eastAsia="宋体" w:hint="default"/>
                <w:sz w:val="18"/>
                <w:szCs w:val="18"/>
              </w:rPr>
              <w:t>与本集团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关系</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8" w:space="0" w:color="000000"/>
              <w:right w:val="nil" w:sz="6" w:space="0" w:color="auto"/>
            </w:tcBorders>
          </w:tcPr>
          <w:p>
            <w:pPr>
              <w:pStyle w:val="TableParagraph"/>
              <w:spacing w:line="179" w:lineRule="exact"/>
              <w:ind w:left="4" w:right="0"/>
              <w:jc w:val="center"/>
              <w:rPr>
                <w:rFonts w:ascii="宋体" w:hAnsi="宋体" w:cs="宋体" w:eastAsia="宋体" w:hint="default"/>
                <w:sz w:val="18"/>
                <w:szCs w:val="18"/>
              </w:rPr>
            </w:pPr>
            <w:r>
              <w:rPr>
                <w:rFonts w:ascii="宋体" w:hAnsi="宋体" w:cs="宋体" w:eastAsia="宋体" w:hint="default"/>
                <w:sz w:val="18"/>
                <w:szCs w:val="18"/>
              </w:rPr>
              <w:t>占总额的比</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404" w:hRule="exact"/>
        </w:trPr>
        <w:tc>
          <w:tcPr>
            <w:tcW w:w="378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中国建设银行股份有限公司山东省分行</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2,495,191.13</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9.49%</w:t>
            </w:r>
          </w:p>
        </w:tc>
      </w:tr>
      <w:tr>
        <w:trPr>
          <w:trHeight w:val="341"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中国农业银行河北省分行</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1,972,111.52</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7.50%</w:t>
            </w:r>
          </w:p>
        </w:tc>
      </w:tr>
      <w:tr>
        <w:trPr>
          <w:trHeight w:val="340"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河北省农村信用社联合社</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1,947,519.10</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7.41%</w:t>
            </w:r>
          </w:p>
        </w:tc>
      </w:tr>
      <w:tr>
        <w:trPr>
          <w:trHeight w:val="340"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河北省福利彩票发行中心</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1,482,368.20</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5.64%</w:t>
            </w:r>
          </w:p>
        </w:tc>
      </w:tr>
      <w:tr>
        <w:trPr>
          <w:trHeight w:val="297"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厦门安妮股份有限公司</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1,442,814.00</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5.49%</w:t>
            </w:r>
          </w:p>
        </w:tc>
      </w:tr>
      <w:tr>
        <w:trPr>
          <w:trHeight w:val="374" w:hRule="exact"/>
        </w:trPr>
        <w:tc>
          <w:tcPr>
            <w:tcW w:w="3780"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9,340,003.95</w:t>
            </w:r>
          </w:p>
        </w:tc>
        <w:tc>
          <w:tcPr>
            <w:tcW w:w="223"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05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pacing w:val="-1"/>
                <w:sz w:val="18"/>
              </w:rPr>
              <w:t>35.53%</w:t>
            </w:r>
          </w:p>
        </w:tc>
      </w:tr>
    </w:tbl>
    <w:p>
      <w:pPr>
        <w:spacing w:line="240" w:lineRule="auto" w:before="2"/>
        <w:rPr>
          <w:rFonts w:ascii="宋体" w:hAnsi="宋体" w:cs="宋体" w:eastAsia="宋体" w:hint="default"/>
          <w:sz w:val="23"/>
          <w:szCs w:val="23"/>
        </w:rPr>
      </w:pPr>
    </w:p>
    <w:p>
      <w:pPr>
        <w:pStyle w:val="Heading2"/>
        <w:spacing w:line="367" w:lineRule="exact"/>
        <w:ind w:left="622" w:right="3093"/>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tabs>
          <w:tab w:pos="1100" w:val="left" w:leader="none"/>
        </w:tabs>
        <w:spacing w:line="240" w:lineRule="auto" w:before="203"/>
        <w:ind w:left="620" w:right="3093"/>
        <w:jc w:val="left"/>
      </w:pPr>
      <w:r>
        <w:rPr/>
        <w:t>⑴</w:t>
        <w:tab/>
        <w:t>其他应收款按种类列示</w:t>
      </w:r>
    </w:p>
    <w:p>
      <w:pPr>
        <w:spacing w:line="240" w:lineRule="auto" w:before="1"/>
        <w:rPr>
          <w:rFonts w:ascii="宋体" w:hAnsi="宋体" w:cs="宋体" w:eastAsia="宋体" w:hint="default"/>
          <w:sz w:val="25"/>
          <w:szCs w:val="25"/>
        </w:rPr>
      </w:pPr>
    </w:p>
    <w:p>
      <w:pPr>
        <w:spacing w:before="44"/>
        <w:ind w:left="0" w:right="1196" w:firstLine="0"/>
        <w:jc w:val="right"/>
        <w:rPr>
          <w:rFonts w:ascii="宋体" w:hAnsi="宋体" w:cs="宋体" w:eastAsia="宋体" w:hint="default"/>
          <w:sz w:val="18"/>
          <w:szCs w:val="18"/>
        </w:rPr>
      </w:pPr>
      <w:r>
        <w:rPr/>
        <w:pict>
          <v:shape style="position:absolute;margin-left:80.304001pt;margin-top:-10.262644pt;width:451.65pt;height:249.9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4"/>
                    <w:gridCol w:w="235"/>
                    <w:gridCol w:w="1553"/>
                    <w:gridCol w:w="835"/>
                    <w:gridCol w:w="238"/>
                    <w:gridCol w:w="1304"/>
                    <w:gridCol w:w="281"/>
                    <w:gridCol w:w="763"/>
                  </w:tblGrid>
                  <w:tr>
                    <w:trPr>
                      <w:trHeight w:val="217" w:hRule="exact"/>
                    </w:trPr>
                    <w:tc>
                      <w:tcPr>
                        <w:tcW w:w="9033"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right="2216"/>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05" w:hRule="exact"/>
                    </w:trPr>
                    <w:tc>
                      <w:tcPr>
                        <w:tcW w:w="382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35" w:type="dxa"/>
                        <w:tcBorders>
                          <w:top w:val="single" w:sz="8" w:space="0" w:color="000000"/>
                          <w:left w:val="nil" w:sz="6" w:space="0" w:color="auto"/>
                          <w:bottom w:val="single" w:sz="8" w:space="0" w:color="000000"/>
                          <w:right w:val="nil" w:sz="6" w:space="0" w:color="auto"/>
                        </w:tcBorders>
                      </w:tcPr>
                      <w:p>
                        <w:pPr/>
                      </w:p>
                    </w:tc>
                    <w:tc>
                      <w:tcPr>
                        <w:tcW w:w="23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816"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8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47"/>
                          <w:jc w:val="right"/>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05" w:hRule="exact"/>
                    </w:trPr>
                    <w:tc>
                      <w:tcPr>
                        <w:tcW w:w="382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Style w:val="TableParagraph"/>
                          <w:spacing w:line="240" w:lineRule="auto" w:before="23"/>
                          <w:ind w:left="4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1"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1" w:hRule="exact"/>
                    </w:trPr>
                    <w:tc>
                      <w:tcPr>
                        <w:tcW w:w="382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3" w:right="0"/>
                          <w:jc w:val="left"/>
                          <w:rPr>
                            <w:rFonts w:ascii="宋体" w:hAnsi="宋体" w:cs="宋体" w:eastAsia="宋体" w:hint="default"/>
                            <w:sz w:val="18"/>
                            <w:szCs w:val="18"/>
                          </w:rPr>
                        </w:pPr>
                        <w:r>
                          <w:rPr>
                            <w:rFonts w:ascii="宋体"/>
                            <w:sz w:val="18"/>
                          </w:rPr>
                          <w:t>1,682,540.00</w:t>
                        </w:r>
                      </w:p>
                    </w:tc>
                    <w:tc>
                      <w:tcPr>
                        <w:tcW w:w="83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90" w:right="0"/>
                          <w:jc w:val="left"/>
                          <w:rPr>
                            <w:rFonts w:ascii="宋体" w:hAnsi="宋体" w:cs="宋体" w:eastAsia="宋体" w:hint="default"/>
                            <w:sz w:val="18"/>
                            <w:szCs w:val="18"/>
                          </w:rPr>
                        </w:pPr>
                        <w:r>
                          <w:rPr>
                            <w:rFonts w:ascii="宋体"/>
                            <w:sz w:val="18"/>
                          </w:rPr>
                          <w:t>17.29%</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841,270.00</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50.00%</w:t>
                        </w:r>
                      </w:p>
                    </w:tc>
                  </w:tr>
                  <w:tr>
                    <w:trPr>
                      <w:trHeight w:val="286"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3" w:lineRule="exact"/>
                          <w:ind w:left="213" w:right="0"/>
                          <w:jc w:val="left"/>
                          <w:rPr>
                            <w:rFonts w:ascii="宋体" w:hAnsi="宋体" w:cs="宋体" w:eastAsia="宋体" w:hint="default"/>
                            <w:sz w:val="18"/>
                            <w:szCs w:val="18"/>
                          </w:rPr>
                        </w:pPr>
                        <w:r>
                          <w:rPr>
                            <w:rFonts w:ascii="宋体"/>
                            <w:sz w:val="18"/>
                          </w:rPr>
                          <w:t>8,051,084.32</w:t>
                        </w:r>
                      </w:p>
                    </w:tc>
                    <w:tc>
                      <w:tcPr>
                        <w:tcW w:w="835" w:type="dxa"/>
                        <w:tcBorders>
                          <w:top w:val="nil" w:sz="6" w:space="0" w:color="auto"/>
                          <w:left w:val="nil" w:sz="6" w:space="0" w:color="auto"/>
                          <w:bottom w:val="nil" w:sz="6" w:space="0" w:color="auto"/>
                          <w:right w:val="nil" w:sz="6" w:space="0" w:color="auto"/>
                        </w:tcBorders>
                      </w:tcPr>
                      <w:p>
                        <w:pPr>
                          <w:pStyle w:val="TableParagraph"/>
                          <w:spacing w:line="233" w:lineRule="exact"/>
                          <w:ind w:left="290" w:right="0"/>
                          <w:jc w:val="left"/>
                          <w:rPr>
                            <w:rFonts w:ascii="宋体" w:hAnsi="宋体" w:cs="宋体" w:eastAsia="宋体" w:hint="default"/>
                            <w:sz w:val="18"/>
                            <w:szCs w:val="18"/>
                          </w:rPr>
                        </w:pPr>
                        <w:r>
                          <w:rPr>
                            <w:rFonts w:ascii="宋体"/>
                            <w:sz w:val="18"/>
                          </w:rPr>
                          <w:t>82.71%</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627,014.20</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33" w:lineRule="exact"/>
                          <w:ind w:right="1"/>
                          <w:jc w:val="right"/>
                          <w:rPr>
                            <w:rFonts w:ascii="宋体" w:hAnsi="宋体" w:cs="宋体" w:eastAsia="宋体" w:hint="default"/>
                            <w:sz w:val="18"/>
                            <w:szCs w:val="18"/>
                          </w:rPr>
                        </w:pPr>
                        <w:r>
                          <w:rPr>
                            <w:rFonts w:ascii="宋体"/>
                            <w:sz w:val="18"/>
                          </w:rPr>
                          <w:t>7.79%</w:t>
                        </w:r>
                      </w:p>
                    </w:tc>
                  </w:tr>
                  <w:tr>
                    <w:trPr>
                      <w:trHeight w:val="270"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8" w:space="0" w:color="000000"/>
                          <w:right w:val="nil" w:sz="6" w:space="0" w:color="auto"/>
                        </w:tcBorders>
                      </w:tcPr>
                      <w:p>
                        <w:pPr/>
                      </w:p>
                    </w:tc>
                  </w:tr>
                  <w:tr>
                    <w:trPr>
                      <w:trHeight w:val="317"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3" w:right="0"/>
                          <w:jc w:val="left"/>
                          <w:rPr>
                            <w:rFonts w:ascii="宋体" w:hAnsi="宋体" w:cs="宋体" w:eastAsia="宋体" w:hint="default"/>
                            <w:sz w:val="18"/>
                            <w:szCs w:val="18"/>
                          </w:rPr>
                        </w:pPr>
                        <w:r>
                          <w:rPr>
                            <w:rFonts w:ascii="宋体"/>
                            <w:sz w:val="18"/>
                          </w:rPr>
                          <w:t>9,733,624.32</w:t>
                        </w:r>
                      </w:p>
                    </w:tc>
                    <w:tc>
                      <w:tcPr>
                        <w:tcW w:w="83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99" w:right="0"/>
                          <w:jc w:val="lef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1,468,284.20</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15.08%</w:t>
                        </w:r>
                      </w:p>
                    </w:tc>
                  </w:tr>
                  <w:tr>
                    <w:trPr>
                      <w:trHeight w:val="1152" w:hRule="exact"/>
                    </w:trPr>
                    <w:tc>
                      <w:tcPr>
                        <w:tcW w:w="9033"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16"/>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07" w:hRule="exact"/>
                    </w:trPr>
                    <w:tc>
                      <w:tcPr>
                        <w:tcW w:w="382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35" w:type="dxa"/>
                        <w:tcBorders>
                          <w:top w:val="single" w:sz="8" w:space="0" w:color="000000"/>
                          <w:left w:val="nil" w:sz="6" w:space="0" w:color="auto"/>
                          <w:bottom w:val="single" w:sz="8" w:space="0" w:color="000000"/>
                          <w:right w:val="nil" w:sz="6" w:space="0" w:color="auto"/>
                        </w:tcBorders>
                      </w:tcPr>
                      <w:p>
                        <w:pPr/>
                      </w:p>
                    </w:tc>
                    <w:tc>
                      <w:tcPr>
                        <w:tcW w:w="23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816"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8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47"/>
                          <w:jc w:val="right"/>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05" w:hRule="exact"/>
                    </w:trPr>
                    <w:tc>
                      <w:tcPr>
                        <w:tcW w:w="3824"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4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1"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18" w:hRule="exact"/>
                    </w:trPr>
                    <w:tc>
                      <w:tcPr>
                        <w:tcW w:w="382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835"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nil" w:sz="6" w:space="0" w:color="auto"/>
                          <w:right w:val="nil" w:sz="6" w:space="0" w:color="auto"/>
                        </w:tcBorders>
                      </w:tcPr>
                      <w:p>
                        <w:pPr/>
                      </w:p>
                    </w:tc>
                  </w:tr>
                  <w:tr>
                    <w:trPr>
                      <w:trHeight w:val="286"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33" w:lineRule="exact"/>
                          <w:ind w:left="213" w:right="0"/>
                          <w:jc w:val="left"/>
                          <w:rPr>
                            <w:rFonts w:ascii="宋体" w:hAnsi="宋体" w:cs="宋体" w:eastAsia="宋体" w:hint="default"/>
                            <w:sz w:val="18"/>
                            <w:szCs w:val="18"/>
                          </w:rPr>
                        </w:pPr>
                        <w:r>
                          <w:rPr>
                            <w:rFonts w:ascii="宋体"/>
                            <w:sz w:val="18"/>
                          </w:rPr>
                          <w:t>8,519,160.37</w:t>
                        </w:r>
                      </w:p>
                    </w:tc>
                    <w:tc>
                      <w:tcPr>
                        <w:tcW w:w="835" w:type="dxa"/>
                        <w:tcBorders>
                          <w:top w:val="nil" w:sz="6" w:space="0" w:color="auto"/>
                          <w:left w:val="nil" w:sz="6" w:space="0" w:color="auto"/>
                          <w:bottom w:val="nil" w:sz="6" w:space="0" w:color="auto"/>
                          <w:right w:val="nil" w:sz="6" w:space="0" w:color="auto"/>
                        </w:tcBorders>
                      </w:tcPr>
                      <w:p>
                        <w:pPr>
                          <w:pStyle w:val="TableParagraph"/>
                          <w:spacing w:line="233" w:lineRule="exact"/>
                          <w:ind w:left="199" w:right="0"/>
                          <w:jc w:val="lef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629,840.32</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33" w:lineRule="exact"/>
                          <w:ind w:right="1"/>
                          <w:jc w:val="right"/>
                          <w:rPr>
                            <w:rFonts w:ascii="宋体" w:hAnsi="宋体" w:cs="宋体" w:eastAsia="宋体" w:hint="default"/>
                            <w:sz w:val="18"/>
                            <w:szCs w:val="18"/>
                          </w:rPr>
                        </w:pPr>
                        <w:r>
                          <w:rPr>
                            <w:rFonts w:ascii="宋体"/>
                            <w:sz w:val="18"/>
                          </w:rPr>
                          <w:t>7.39%</w:t>
                        </w:r>
                      </w:p>
                    </w:tc>
                  </w:tr>
                  <w:tr>
                    <w:trPr>
                      <w:trHeight w:val="270"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8" w:space="0" w:color="000000"/>
                          <w:right w:val="nil" w:sz="6" w:space="0" w:color="auto"/>
                        </w:tcBorders>
                      </w:tcPr>
                      <w:p>
                        <w:pPr/>
                      </w:p>
                    </w:tc>
                  </w:tr>
                  <w:tr>
                    <w:trPr>
                      <w:trHeight w:val="319"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3" w:right="0"/>
                          <w:jc w:val="left"/>
                          <w:rPr>
                            <w:rFonts w:ascii="宋体" w:hAnsi="宋体" w:cs="宋体" w:eastAsia="宋体" w:hint="default"/>
                            <w:sz w:val="18"/>
                            <w:szCs w:val="18"/>
                          </w:rPr>
                        </w:pPr>
                        <w:r>
                          <w:rPr>
                            <w:rFonts w:ascii="宋体"/>
                            <w:sz w:val="18"/>
                          </w:rPr>
                          <w:t>8,519,160.37</w:t>
                        </w:r>
                      </w:p>
                    </w:tc>
                    <w:tc>
                      <w:tcPr>
                        <w:tcW w:w="83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99" w:right="0"/>
                          <w:jc w:val="lef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629,840.32</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7.39%</w:t>
                        </w:r>
                      </w:p>
                    </w:tc>
                  </w:tr>
                </w:tbl>
                <w:p>
                  <w:pPr/>
                </w:p>
              </w:txbxContent>
            </v:textbox>
            <w10:wrap type="none"/>
          </v:shape>
        </w:pict>
      </w:r>
      <w:r>
        <w:rPr>
          <w:rFonts w:ascii="宋体" w:hAnsi="宋体" w:cs="宋体" w:eastAsia="宋体" w:hint="default"/>
          <w:sz w:val="18"/>
          <w:szCs w:val="18"/>
        </w:rPr>
        <w:t>准</w:t>
      </w:r>
    </w:p>
    <w:p>
      <w:pPr>
        <w:spacing w:line="240" w:lineRule="auto" w:before="6"/>
        <w:rPr>
          <w:rFonts w:ascii="宋体" w:hAnsi="宋体" w:cs="宋体" w:eastAsia="宋体" w:hint="default"/>
          <w:sz w:val="25"/>
          <w:szCs w:val="25"/>
        </w:rPr>
      </w:pPr>
    </w:p>
    <w:p>
      <w:pPr>
        <w:spacing w:line="20" w:lineRule="exact"/>
        <w:ind w:left="4175" w:right="0" w:firstLine="0"/>
        <w:rPr>
          <w:rFonts w:ascii="宋体" w:hAnsi="宋体" w:cs="宋体" w:eastAsia="宋体" w:hint="default"/>
          <w:sz w:val="2"/>
          <w:szCs w:val="2"/>
        </w:rPr>
      </w:pPr>
      <w:r>
        <w:rPr>
          <w:rFonts w:ascii="宋体" w:hAnsi="宋体" w:cs="宋体" w:eastAsia="宋体" w:hint="default"/>
          <w:sz w:val="2"/>
          <w:szCs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20" w:lineRule="exact"/>
        <w:ind w:left="4175" w:right="0" w:firstLine="0"/>
        <w:rPr>
          <w:rFonts w:ascii="宋体" w:hAnsi="宋体" w:cs="宋体" w:eastAsia="宋体" w:hint="default"/>
          <w:sz w:val="2"/>
          <w:szCs w:val="2"/>
        </w:rPr>
      </w:pPr>
      <w:r>
        <w:rPr>
          <w:rFonts w:ascii="宋体" w:hAnsi="宋体" w:cs="宋体" w:eastAsia="宋体" w:hint="default"/>
          <w:sz w:val="2"/>
          <w:szCs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600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1"/>
          <w:szCs w:val="21"/>
        </w:rPr>
      </w:pPr>
    </w:p>
    <w:p>
      <w:pPr>
        <w:spacing w:line="43" w:lineRule="exact"/>
        <w:ind w:left="4177" w:right="0" w:firstLine="0"/>
        <w:rPr>
          <w:rFonts w:ascii="宋体" w:hAnsi="宋体" w:cs="宋体" w:eastAsia="宋体" w:hint="default"/>
          <w:sz w:val="4"/>
          <w:szCs w:val="4"/>
        </w:rPr>
      </w:pPr>
      <w:r>
        <w:rPr>
          <w:rFonts w:ascii="宋体" w:hAnsi="宋体" w:cs="宋体" w:eastAsia="宋体" w:hint="default"/>
          <w:position w:val="0"/>
          <w:sz w:val="4"/>
          <w:szCs w:val="4"/>
        </w:rPr>
        <w:pict>
          <v:group style="width:65.55pt;height:2.2pt;mso-position-horizontal-relative:char;mso-position-vertical-relative:line" coordorigin="0,0" coordsize="1311,44">
            <v:group style="position:absolute;left:7;top:7;width:1297;height:2" coordorigin="7,7" coordsize="1297,2">
              <v:shape style="position:absolute;left:7;top:7;width:1297;height:2" coordorigin="7,7" coordsize="1297,0" path="m7,7l1304,7e" filled="false" stroked="true" strokeweight=".72pt" strokecolor="#000000">
                <v:path arrowok="t"/>
              </v:shape>
            </v:group>
            <v:group style="position:absolute;left:7;top:36;width:1297;height:2" coordorigin="7,36" coordsize="1297,2">
              <v:shape style="position:absolute;left:7;top:36;width:1297;height:2" coordorigin="7,36" coordsize="1297,0" path="m7,36l1304,36e" filled="false" stroked="true" strokeweight=".72003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0" w:right="1196" w:firstLine="0"/>
        <w:jc w:val="right"/>
        <w:rPr>
          <w:rFonts w:ascii="宋体" w:hAnsi="宋体" w:cs="宋体" w:eastAsia="宋体" w:hint="default"/>
          <w:sz w:val="18"/>
          <w:szCs w:val="18"/>
        </w:rPr>
      </w:pPr>
      <w:r>
        <w:rPr>
          <w:rFonts w:ascii="宋体" w:hAnsi="宋体" w:cs="宋体" w:eastAsia="宋体" w:hint="default"/>
          <w:sz w:val="18"/>
          <w:szCs w:val="18"/>
        </w:rPr>
        <w:t>准</w:t>
      </w:r>
    </w:p>
    <w:p>
      <w:pPr>
        <w:spacing w:line="240" w:lineRule="auto" w:before="8"/>
        <w:rPr>
          <w:rFonts w:ascii="宋体" w:hAnsi="宋体" w:cs="宋体" w:eastAsia="宋体" w:hint="default"/>
          <w:sz w:val="25"/>
          <w:szCs w:val="25"/>
        </w:rPr>
      </w:pPr>
    </w:p>
    <w:p>
      <w:pPr>
        <w:spacing w:line="20" w:lineRule="exact"/>
        <w:ind w:left="4175" w:right="0" w:firstLine="0"/>
        <w:rPr>
          <w:rFonts w:ascii="宋体" w:hAnsi="宋体" w:cs="宋体" w:eastAsia="宋体" w:hint="default"/>
          <w:sz w:val="2"/>
          <w:szCs w:val="2"/>
        </w:rPr>
      </w:pPr>
      <w:r>
        <w:rPr>
          <w:rFonts w:ascii="宋体" w:hAnsi="宋体" w:cs="宋体" w:eastAsia="宋体" w:hint="default"/>
          <w:sz w:val="2"/>
          <w:szCs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20" w:lineRule="exact"/>
        <w:ind w:left="4175" w:right="0" w:firstLine="0"/>
        <w:rPr>
          <w:rFonts w:ascii="宋体" w:hAnsi="宋体" w:cs="宋体" w:eastAsia="宋体" w:hint="default"/>
          <w:sz w:val="2"/>
          <w:szCs w:val="2"/>
        </w:rPr>
      </w:pPr>
      <w:r>
        <w:rPr>
          <w:rFonts w:ascii="宋体" w:hAnsi="宋体" w:cs="宋体" w:eastAsia="宋体" w:hint="default"/>
          <w:sz w:val="2"/>
          <w:szCs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59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tabs>
          <w:tab w:pos="1100" w:val="left" w:leader="none"/>
        </w:tabs>
        <w:spacing w:line="240" w:lineRule="auto" w:before="26"/>
        <w:ind w:left="620" w:right="3093"/>
        <w:jc w:val="left"/>
      </w:pPr>
      <w:r>
        <w:rPr/>
        <w:t>⑵</w:t>
        <w:tab/>
        <w:t>其他应收款按账龄列示</w:t>
      </w:r>
    </w:p>
    <w:p>
      <w:pPr>
        <w:spacing w:line="240" w:lineRule="auto" w:before="11"/>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975"/>
        <w:gridCol w:w="221"/>
        <w:gridCol w:w="1968"/>
        <w:gridCol w:w="158"/>
        <w:gridCol w:w="1174"/>
        <w:gridCol w:w="221"/>
        <w:gridCol w:w="1884"/>
        <w:gridCol w:w="221"/>
        <w:gridCol w:w="1092"/>
      </w:tblGrid>
      <w:tr>
        <w:trPr>
          <w:trHeight w:val="251" w:hRule="exact"/>
        </w:trPr>
        <w:tc>
          <w:tcPr>
            <w:tcW w:w="1975"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z w:val="21"/>
                <w:szCs w:val="21"/>
              </w:rPr>
              <w:t>期末数</w:t>
            </w:r>
          </w:p>
        </w:tc>
        <w:tc>
          <w:tcPr>
            <w:tcW w:w="158" w:type="dxa"/>
            <w:tcBorders>
              <w:top w:val="nil" w:sz="6" w:space="0" w:color="auto"/>
              <w:left w:val="nil" w:sz="6" w:space="0" w:color="auto"/>
              <w:bottom w:val="single" w:sz="8" w:space="0" w:color="000000"/>
              <w:right w:val="nil" w:sz="6" w:space="0" w:color="auto"/>
            </w:tcBorders>
          </w:tcPr>
          <w:p>
            <w:pPr/>
          </w:p>
        </w:tc>
        <w:tc>
          <w:tcPr>
            <w:tcW w:w="1174" w:type="dxa"/>
            <w:tcBorders>
              <w:top w:val="nil" w:sz="6" w:space="0" w:color="auto"/>
              <w:left w:val="nil" w:sz="6" w:space="0" w:color="auto"/>
              <w:bottom w:val="single" w:sz="8" w:space="0" w:color="000000"/>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8" w:space="0" w:color="000000"/>
              <w:right w:val="nil" w:sz="6" w:space="0" w:color="auto"/>
            </w:tcBorders>
          </w:tcPr>
          <w:p>
            <w:pPr>
              <w:pStyle w:val="TableParagraph"/>
              <w:spacing w:line="211" w:lineRule="exact"/>
              <w:ind w:right="-31"/>
              <w:jc w:val="right"/>
              <w:rPr>
                <w:rFonts w:ascii="宋体" w:hAnsi="宋体" w:cs="宋体" w:eastAsia="宋体" w:hint="default"/>
                <w:sz w:val="21"/>
                <w:szCs w:val="21"/>
              </w:rPr>
            </w:pPr>
            <w:r>
              <w:rPr>
                <w:rFonts w:ascii="宋体" w:hAnsi="宋体" w:cs="宋体" w:eastAsia="宋体" w:hint="default"/>
                <w:sz w:val="21"/>
                <w:szCs w:val="21"/>
              </w:rPr>
              <w:t>期初数</w:t>
            </w:r>
          </w:p>
        </w:tc>
        <w:tc>
          <w:tcPr>
            <w:tcW w:w="221" w:type="dxa"/>
            <w:tcBorders>
              <w:top w:val="nil" w:sz="6" w:space="0" w:color="auto"/>
              <w:left w:val="nil" w:sz="6" w:space="0" w:color="auto"/>
              <w:bottom w:val="single" w:sz="8" w:space="0" w:color="000000"/>
              <w:right w:val="nil" w:sz="6" w:space="0" w:color="auto"/>
            </w:tcBorders>
          </w:tcPr>
          <w:p>
            <w:pPr/>
          </w:p>
        </w:tc>
        <w:tc>
          <w:tcPr>
            <w:tcW w:w="1092" w:type="dxa"/>
            <w:tcBorders>
              <w:top w:val="nil" w:sz="6" w:space="0" w:color="auto"/>
              <w:left w:val="nil" w:sz="6" w:space="0" w:color="auto"/>
              <w:bottom w:val="single" w:sz="8" w:space="0" w:color="000000"/>
              <w:right w:val="nil" w:sz="6" w:space="0" w:color="auto"/>
            </w:tcBorders>
          </w:tcPr>
          <w:p>
            <w:pPr/>
          </w:p>
        </w:tc>
      </w:tr>
      <w:tr>
        <w:trPr>
          <w:trHeight w:val="360" w:hRule="exact"/>
        </w:trPr>
        <w:tc>
          <w:tcPr>
            <w:tcW w:w="1975"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6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 w:type="dxa"/>
            <w:tcBorders>
              <w:top w:val="single" w:sz="8" w:space="0" w:color="000000"/>
              <w:left w:val="nil" w:sz="6" w:space="0" w:color="auto"/>
              <w:bottom w:val="nil" w:sz="6" w:space="0" w:color="auto"/>
              <w:right w:val="nil" w:sz="6" w:space="0" w:color="auto"/>
            </w:tcBorders>
          </w:tcPr>
          <w:p>
            <w:pPr/>
          </w:p>
        </w:tc>
        <w:tc>
          <w:tcPr>
            <w:tcW w:w="117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7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21" w:type="dxa"/>
            <w:tcBorders>
              <w:top w:val="nil" w:sz="6" w:space="0" w:color="auto"/>
              <w:left w:val="nil" w:sz="6" w:space="0" w:color="auto"/>
              <w:bottom w:val="nil" w:sz="6" w:space="0" w:color="auto"/>
              <w:right w:val="nil" w:sz="6" w:space="0" w:color="auto"/>
            </w:tcBorders>
          </w:tcPr>
          <w:p>
            <w:pPr/>
          </w:p>
        </w:tc>
        <w:tc>
          <w:tcPr>
            <w:tcW w:w="188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1" w:type="dxa"/>
            <w:tcBorders>
              <w:top w:val="single" w:sz="8" w:space="0" w:color="000000"/>
              <w:left w:val="nil" w:sz="6" w:space="0" w:color="auto"/>
              <w:bottom w:val="nil" w:sz="6" w:space="0" w:color="auto"/>
              <w:right w:val="nil" w:sz="6" w:space="0" w:color="auto"/>
            </w:tcBorders>
          </w:tcPr>
          <w:p>
            <w:pPr/>
          </w:p>
        </w:tc>
        <w:tc>
          <w:tcPr>
            <w:tcW w:w="109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3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20" w:hRule="exact"/>
        </w:trPr>
        <w:tc>
          <w:tcPr>
            <w:tcW w:w="197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1"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62"/>
              <w:jc w:val="right"/>
              <w:rPr>
                <w:rFonts w:ascii="宋体" w:hAnsi="宋体" w:cs="宋体" w:eastAsia="宋体" w:hint="default"/>
                <w:sz w:val="21"/>
                <w:szCs w:val="21"/>
              </w:rPr>
            </w:pPr>
            <w:r>
              <w:rPr>
                <w:rFonts w:ascii="宋体"/>
                <w:spacing w:val="-1"/>
                <w:sz w:val="21"/>
              </w:rPr>
              <w:t>7,451,480.38</w:t>
            </w:r>
          </w:p>
        </w:tc>
        <w:tc>
          <w:tcPr>
            <w:tcW w:w="158" w:type="dxa"/>
            <w:tcBorders>
              <w:top w:val="nil" w:sz="6" w:space="0" w:color="auto"/>
              <w:left w:val="nil" w:sz="6" w:space="0" w:color="auto"/>
              <w:bottom w:val="nil" w:sz="6" w:space="0" w:color="auto"/>
              <w:right w:val="nil" w:sz="6" w:space="0" w:color="auto"/>
            </w:tcBorders>
          </w:tcPr>
          <w:p>
            <w:pPr/>
          </w:p>
        </w:tc>
        <w:tc>
          <w:tcPr>
            <w:tcW w:w="117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540" w:right="0"/>
              <w:jc w:val="left"/>
              <w:rPr>
                <w:rFonts w:ascii="宋体" w:hAnsi="宋体" w:cs="宋体" w:eastAsia="宋体" w:hint="default"/>
                <w:sz w:val="21"/>
                <w:szCs w:val="21"/>
              </w:rPr>
            </w:pPr>
            <w:r>
              <w:rPr>
                <w:rFonts w:ascii="宋体"/>
                <w:sz w:val="21"/>
              </w:rPr>
              <w:t>76.55%</w:t>
            </w:r>
          </w:p>
        </w:tc>
        <w:tc>
          <w:tcPr>
            <w:tcW w:w="221" w:type="dxa"/>
            <w:tcBorders>
              <w:top w:val="nil" w:sz="6" w:space="0" w:color="auto"/>
              <w:left w:val="nil" w:sz="6" w:space="0" w:color="auto"/>
              <w:bottom w:val="nil" w:sz="6" w:space="0" w:color="auto"/>
              <w:right w:val="nil" w:sz="6" w:space="0" w:color="auto"/>
            </w:tcBorders>
          </w:tcPr>
          <w:p>
            <w:pPr/>
          </w:p>
        </w:tc>
        <w:tc>
          <w:tcPr>
            <w:tcW w:w="188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5,987,707.85</w:t>
            </w:r>
          </w:p>
        </w:tc>
        <w:tc>
          <w:tcPr>
            <w:tcW w:w="221" w:type="dxa"/>
            <w:tcBorders>
              <w:top w:val="nil" w:sz="6" w:space="0" w:color="auto"/>
              <w:left w:val="nil" w:sz="6" w:space="0" w:color="auto"/>
              <w:bottom w:val="nil" w:sz="6" w:space="0" w:color="auto"/>
              <w:right w:val="nil" w:sz="6" w:space="0" w:color="auto"/>
            </w:tcBorders>
          </w:tcPr>
          <w:p>
            <w:pPr/>
          </w:p>
        </w:tc>
        <w:tc>
          <w:tcPr>
            <w:tcW w:w="109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458" w:right="0"/>
              <w:jc w:val="left"/>
              <w:rPr>
                <w:rFonts w:ascii="宋体" w:hAnsi="宋体" w:cs="宋体" w:eastAsia="宋体" w:hint="default"/>
                <w:sz w:val="21"/>
                <w:szCs w:val="21"/>
              </w:rPr>
            </w:pPr>
            <w:r>
              <w:rPr>
                <w:rFonts w:ascii="宋体"/>
                <w:sz w:val="21"/>
              </w:rPr>
              <w:t>70.29%</w:t>
            </w:r>
          </w:p>
        </w:tc>
      </w:tr>
    </w:tbl>
    <w:p>
      <w:pPr>
        <w:spacing w:after="0" w:line="240" w:lineRule="auto"/>
        <w:jc w:val="left"/>
        <w:rPr>
          <w:rFonts w:ascii="宋体" w:hAnsi="宋体" w:cs="宋体" w:eastAsia="宋体" w:hint="default"/>
          <w:sz w:val="21"/>
          <w:szCs w:val="21"/>
        </w:rPr>
        <w:sectPr>
          <w:pgSz w:w="11910" w:h="16840"/>
          <w:pgMar w:header="915" w:footer="944" w:top="1100" w:bottom="1140" w:left="1480" w:right="1060"/>
        </w:sectPr>
      </w:pPr>
    </w:p>
    <w:tbl>
      <w:tblPr>
        <w:tblW w:w="0" w:type="auto"/>
        <w:jc w:val="left"/>
        <w:tblInd w:w="111" w:type="dxa"/>
        <w:tblLayout w:type="fixed"/>
        <w:tblCellMar>
          <w:top w:w="0" w:type="dxa"/>
          <w:left w:w="0" w:type="dxa"/>
          <w:bottom w:w="0" w:type="dxa"/>
          <w:right w:w="0" w:type="dxa"/>
        </w:tblCellMar>
        <w:tblLook w:val="01E0"/>
      </w:tblPr>
      <w:tblGrid>
        <w:gridCol w:w="2211"/>
        <w:gridCol w:w="1906"/>
        <w:gridCol w:w="214"/>
        <w:gridCol w:w="1181"/>
        <w:gridCol w:w="221"/>
        <w:gridCol w:w="1884"/>
        <w:gridCol w:w="214"/>
        <w:gridCol w:w="1099"/>
        <w:gridCol w:w="129"/>
      </w:tblGrid>
      <w:tr>
        <w:trPr>
          <w:trHeight w:val="654" w:hRule="exact"/>
        </w:trPr>
        <w:tc>
          <w:tcPr>
            <w:tcW w:w="221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06"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1,907,412.00</w:t>
            </w:r>
          </w:p>
        </w:tc>
        <w:tc>
          <w:tcPr>
            <w:tcW w:w="214" w:type="dxa"/>
            <w:tcBorders>
              <w:top w:val="single" w:sz="6" w:space="0" w:color="000000"/>
              <w:left w:val="nil" w:sz="6" w:space="0" w:color="auto"/>
              <w:bottom w:val="nil" w:sz="6" w:space="0" w:color="auto"/>
              <w:right w:val="nil" w:sz="6" w:space="0" w:color="auto"/>
            </w:tcBorders>
          </w:tcPr>
          <w:p>
            <w:pPr/>
          </w:p>
        </w:tc>
        <w:tc>
          <w:tcPr>
            <w:tcW w:w="118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19.60%</w:t>
            </w:r>
          </w:p>
        </w:tc>
        <w:tc>
          <w:tcPr>
            <w:tcW w:w="221" w:type="dxa"/>
            <w:tcBorders>
              <w:top w:val="single" w:sz="6" w:space="0" w:color="000000"/>
              <w:left w:val="nil" w:sz="6" w:space="0" w:color="auto"/>
              <w:bottom w:val="nil" w:sz="6" w:space="0" w:color="auto"/>
              <w:right w:val="nil" w:sz="6" w:space="0" w:color="auto"/>
            </w:tcBorders>
          </w:tcPr>
          <w:p>
            <w:pPr/>
          </w:p>
        </w:tc>
        <w:tc>
          <w:tcPr>
            <w:tcW w:w="188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2,088,355.76</w:t>
            </w:r>
          </w:p>
        </w:tc>
        <w:tc>
          <w:tcPr>
            <w:tcW w:w="214" w:type="dxa"/>
            <w:tcBorders>
              <w:top w:val="single" w:sz="6" w:space="0" w:color="000000"/>
              <w:left w:val="nil" w:sz="6" w:space="0" w:color="auto"/>
              <w:bottom w:val="nil" w:sz="6" w:space="0" w:color="auto"/>
              <w:right w:val="nil" w:sz="6" w:space="0" w:color="auto"/>
            </w:tcBorders>
          </w:tcPr>
          <w:p>
            <w:pPr/>
          </w:p>
        </w:tc>
        <w:tc>
          <w:tcPr>
            <w:tcW w:w="109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24.51%</w:t>
            </w:r>
          </w:p>
        </w:tc>
        <w:tc>
          <w:tcPr>
            <w:tcW w:w="129" w:type="dxa"/>
            <w:tcBorders>
              <w:top w:val="single" w:sz="6" w:space="0" w:color="000000"/>
              <w:left w:val="nil" w:sz="6" w:space="0" w:color="auto"/>
              <w:bottom w:val="nil" w:sz="6" w:space="0" w:color="auto"/>
              <w:right w:val="nil" w:sz="6" w:space="0" w:color="auto"/>
            </w:tcBorders>
          </w:tcPr>
          <w:p>
            <w:pPr/>
          </w:p>
        </w:tc>
      </w:tr>
      <w:tr>
        <w:trPr>
          <w:trHeight w:val="341"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06"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131,800.00</w:t>
            </w:r>
          </w:p>
        </w:tc>
        <w:tc>
          <w:tcPr>
            <w:tcW w:w="21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z w:val="21"/>
              </w:rPr>
              <w:t>1.35%</w:t>
            </w:r>
          </w:p>
        </w:tc>
        <w:tc>
          <w:tcPr>
            <w:tcW w:w="22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333,096.76</w:t>
            </w:r>
          </w:p>
        </w:tc>
        <w:tc>
          <w:tcPr>
            <w:tcW w:w="21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z w:val="21"/>
              </w:rPr>
              <w:t>3.91%</w:t>
            </w:r>
          </w:p>
        </w:tc>
        <w:tc>
          <w:tcPr>
            <w:tcW w:w="129" w:type="dxa"/>
            <w:tcBorders>
              <w:top w:val="nil" w:sz="6" w:space="0" w:color="auto"/>
              <w:left w:val="nil" w:sz="6" w:space="0" w:color="auto"/>
              <w:bottom w:val="nil" w:sz="6" w:space="0" w:color="auto"/>
              <w:right w:val="nil" w:sz="6" w:space="0" w:color="auto"/>
            </w:tcBorders>
          </w:tcPr>
          <w:p>
            <w:pPr/>
          </w:p>
        </w:tc>
      </w:tr>
      <w:tr>
        <w:trPr>
          <w:trHeight w:val="316"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06" w:type="dxa"/>
            <w:tcBorders>
              <w:top w:val="nil" w:sz="6" w:space="0" w:color="auto"/>
              <w:left w:val="nil" w:sz="6" w:space="0" w:color="auto"/>
              <w:bottom w:val="single" w:sz="8"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242,931.94</w:t>
            </w:r>
          </w:p>
        </w:tc>
        <w:tc>
          <w:tcPr>
            <w:tcW w:w="21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8"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z w:val="21"/>
              </w:rPr>
              <w:t>2.50%</w:t>
            </w:r>
          </w:p>
        </w:tc>
        <w:tc>
          <w:tcPr>
            <w:tcW w:w="22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8"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pacing w:val="-1"/>
                <w:sz w:val="21"/>
              </w:rPr>
              <w:t>110,000.00</w:t>
            </w:r>
          </w:p>
        </w:tc>
        <w:tc>
          <w:tcPr>
            <w:tcW w:w="21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8"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宋体"/>
                <w:sz w:val="21"/>
              </w:rPr>
              <w:t>1.29%</w:t>
            </w:r>
          </w:p>
        </w:tc>
        <w:tc>
          <w:tcPr>
            <w:tcW w:w="129" w:type="dxa"/>
            <w:tcBorders>
              <w:top w:val="nil" w:sz="6" w:space="0" w:color="auto"/>
              <w:left w:val="nil" w:sz="6" w:space="0" w:color="auto"/>
              <w:bottom w:val="nil" w:sz="6" w:space="0" w:color="auto"/>
              <w:right w:val="nil" w:sz="6" w:space="0" w:color="auto"/>
            </w:tcBorders>
          </w:tcPr>
          <w:p>
            <w:pPr/>
          </w:p>
        </w:tc>
      </w:tr>
      <w:tr>
        <w:trPr>
          <w:trHeight w:val="374"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2"/>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0"/>
              <w:jc w:val="right"/>
              <w:rPr>
                <w:rFonts w:ascii="宋体" w:hAnsi="宋体" w:cs="宋体" w:eastAsia="宋体" w:hint="default"/>
                <w:sz w:val="21"/>
                <w:szCs w:val="21"/>
              </w:rPr>
            </w:pPr>
            <w:r>
              <w:rPr>
                <w:rFonts w:ascii="宋体"/>
                <w:spacing w:val="-1"/>
                <w:sz w:val="21"/>
              </w:rPr>
              <w:t>9,733,624.32</w:t>
            </w:r>
          </w:p>
        </w:tc>
        <w:tc>
          <w:tcPr>
            <w:tcW w:w="214" w:type="dxa"/>
            <w:tcBorders>
              <w:top w:val="nil" w:sz="6" w:space="0" w:color="auto"/>
              <w:left w:val="nil" w:sz="6" w:space="0" w:color="auto"/>
              <w:bottom w:val="nil" w:sz="6" w:space="0" w:color="auto"/>
              <w:right w:val="nil" w:sz="6" w:space="0" w:color="auto"/>
            </w:tcBorders>
          </w:tcPr>
          <w:p>
            <w:pPr/>
          </w:p>
        </w:tc>
        <w:tc>
          <w:tcPr>
            <w:tcW w:w="1181"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0"/>
              <w:jc w:val="right"/>
              <w:rPr>
                <w:rFonts w:ascii="宋体" w:hAnsi="宋体" w:cs="宋体" w:eastAsia="宋体" w:hint="default"/>
                <w:sz w:val="21"/>
                <w:szCs w:val="21"/>
              </w:rPr>
            </w:pPr>
            <w:r>
              <w:rPr>
                <w:rFonts w:ascii="宋体"/>
                <w:spacing w:val="-1"/>
                <w:sz w:val="21"/>
              </w:rPr>
              <w:t>100.00%</w:t>
            </w:r>
          </w:p>
        </w:tc>
        <w:tc>
          <w:tcPr>
            <w:tcW w:w="221" w:type="dxa"/>
            <w:tcBorders>
              <w:top w:val="nil" w:sz="6" w:space="0" w:color="auto"/>
              <w:left w:val="nil" w:sz="6" w:space="0" w:color="auto"/>
              <w:bottom w:val="nil" w:sz="6" w:space="0" w:color="auto"/>
              <w:right w:val="nil" w:sz="6" w:space="0" w:color="auto"/>
            </w:tcBorders>
          </w:tcPr>
          <w:p>
            <w:pPr/>
          </w:p>
        </w:tc>
        <w:tc>
          <w:tcPr>
            <w:tcW w:w="1884"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0"/>
              <w:jc w:val="right"/>
              <w:rPr>
                <w:rFonts w:ascii="宋体" w:hAnsi="宋体" w:cs="宋体" w:eastAsia="宋体" w:hint="default"/>
                <w:sz w:val="21"/>
                <w:szCs w:val="21"/>
              </w:rPr>
            </w:pPr>
            <w:r>
              <w:rPr>
                <w:rFonts w:ascii="宋体"/>
                <w:spacing w:val="-1"/>
                <w:sz w:val="21"/>
              </w:rPr>
              <w:t>8,519,160.37</w:t>
            </w:r>
          </w:p>
        </w:tc>
        <w:tc>
          <w:tcPr>
            <w:tcW w:w="214" w:type="dxa"/>
            <w:tcBorders>
              <w:top w:val="nil" w:sz="6" w:space="0" w:color="auto"/>
              <w:left w:val="nil" w:sz="6" w:space="0" w:color="auto"/>
              <w:bottom w:val="nil" w:sz="6" w:space="0" w:color="auto"/>
              <w:right w:val="nil" w:sz="6" w:space="0" w:color="auto"/>
            </w:tcBorders>
          </w:tcPr>
          <w:p>
            <w:pPr/>
          </w:p>
        </w:tc>
        <w:tc>
          <w:tcPr>
            <w:tcW w:w="1099"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0"/>
              <w:jc w:val="right"/>
              <w:rPr>
                <w:rFonts w:ascii="宋体" w:hAnsi="宋体" w:cs="宋体" w:eastAsia="宋体" w:hint="default"/>
                <w:sz w:val="21"/>
                <w:szCs w:val="21"/>
              </w:rPr>
            </w:pPr>
            <w:r>
              <w:rPr>
                <w:rFonts w:ascii="宋体"/>
                <w:spacing w:val="-1"/>
                <w:sz w:val="21"/>
              </w:rPr>
              <w:t>100.00%</w:t>
            </w:r>
          </w:p>
        </w:tc>
        <w:tc>
          <w:tcPr>
            <w:tcW w:w="129"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2"/>
          <w:szCs w:val="22"/>
        </w:rPr>
      </w:pPr>
    </w:p>
    <w:p>
      <w:pPr>
        <w:pStyle w:val="BodyText"/>
        <w:spacing w:line="240" w:lineRule="auto" w:before="26"/>
        <w:ind w:left="620" w:right="145"/>
        <w:jc w:val="left"/>
      </w:pPr>
      <w:r>
        <w:rPr/>
        <w:t>⑶ 坏账准备的计提情况</w:t>
      </w:r>
    </w:p>
    <w:p>
      <w:pPr>
        <w:spacing w:line="240" w:lineRule="auto" w:before="8"/>
        <w:rPr>
          <w:rFonts w:ascii="宋体" w:hAnsi="宋体" w:cs="宋体" w:eastAsia="宋体" w:hint="default"/>
          <w:sz w:val="28"/>
          <w:szCs w:val="28"/>
        </w:rPr>
      </w:pPr>
    </w:p>
    <w:p>
      <w:pPr>
        <w:pStyle w:val="BodyText"/>
        <w:spacing w:line="240" w:lineRule="auto" w:before="0"/>
        <w:ind w:left="620" w:right="145"/>
        <w:jc w:val="left"/>
      </w:pPr>
      <w:r>
        <w:rPr>
          <w:rFonts w:ascii="宋体" w:hAnsi="宋体" w:cs="宋体" w:eastAsia="宋体" w:hint="default"/>
        </w:rPr>
        <w:t>①</w:t>
      </w:r>
      <w:r>
        <w:rPr/>
        <w:t>单项金额重大并单项计提坏账准备的其他应收款坏账准备计提情况</w:t>
      </w:r>
    </w:p>
    <w:p>
      <w:pPr>
        <w:spacing w:line="240" w:lineRule="auto" w:before="6"/>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2126"/>
        <w:gridCol w:w="217"/>
        <w:gridCol w:w="1483"/>
        <w:gridCol w:w="221"/>
        <w:gridCol w:w="1560"/>
        <w:gridCol w:w="223"/>
        <w:gridCol w:w="972"/>
        <w:gridCol w:w="223"/>
        <w:gridCol w:w="1904"/>
      </w:tblGrid>
      <w:tr>
        <w:trPr>
          <w:trHeight w:val="251" w:hRule="exact"/>
        </w:trPr>
        <w:tc>
          <w:tcPr>
            <w:tcW w:w="2126"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21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8" w:space="0" w:color="000000"/>
              <w:right w:val="nil" w:sz="6" w:space="0" w:color="auto"/>
            </w:tcBorders>
          </w:tcPr>
          <w:p>
            <w:pPr>
              <w:pStyle w:val="TableParagraph"/>
              <w:spacing w:line="211" w:lineRule="exact"/>
              <w:ind w:left="32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8" w:space="0" w:color="000000"/>
              <w:right w:val="nil" w:sz="6" w:space="0" w:color="auto"/>
            </w:tcBorders>
          </w:tcPr>
          <w:p>
            <w:pPr>
              <w:pStyle w:val="TableParagraph"/>
              <w:spacing w:line="211" w:lineRule="exact"/>
              <w:ind w:left="3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8" w:space="0" w:color="000000"/>
              <w:right w:val="nil" w:sz="6" w:space="0" w:color="auto"/>
            </w:tcBorders>
          </w:tcPr>
          <w:p>
            <w:pPr>
              <w:pStyle w:val="TableParagraph"/>
              <w:spacing w:line="211" w:lineRule="exact"/>
              <w:ind w:right="62"/>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2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8" w:space="0" w:color="000000"/>
              <w:right w:val="nil" w:sz="6" w:space="0" w:color="auto"/>
            </w:tcBorders>
          </w:tcPr>
          <w:p>
            <w:pPr>
              <w:pStyle w:val="TableParagraph"/>
              <w:spacing w:line="211" w:lineRule="exact"/>
              <w:ind w:left="3"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13" w:hRule="exact"/>
        </w:trPr>
        <w:tc>
          <w:tcPr>
            <w:tcW w:w="2126"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9"/>
              <w:jc w:val="center"/>
              <w:rPr>
                <w:rFonts w:ascii="宋体" w:hAnsi="宋体" w:cs="宋体" w:eastAsia="宋体" w:hint="default"/>
                <w:sz w:val="21"/>
                <w:szCs w:val="21"/>
              </w:rPr>
            </w:pPr>
            <w:r>
              <w:rPr>
                <w:rFonts w:ascii="宋体" w:hAnsi="宋体" w:cs="宋体" w:eastAsia="宋体" w:hint="default"/>
                <w:sz w:val="21"/>
                <w:szCs w:val="21"/>
              </w:rPr>
              <w:t>大连跃达冷水机组款</w:t>
            </w:r>
          </w:p>
        </w:tc>
        <w:tc>
          <w:tcPr>
            <w:tcW w:w="217" w:type="dxa"/>
            <w:tcBorders>
              <w:top w:val="nil" w:sz="6" w:space="0" w:color="auto"/>
              <w:left w:val="nil" w:sz="6" w:space="0" w:color="auto"/>
              <w:bottom w:val="nil" w:sz="6" w:space="0" w:color="auto"/>
              <w:right w:val="nil" w:sz="6" w:space="0" w:color="auto"/>
            </w:tcBorders>
          </w:tcPr>
          <w:p>
            <w:pPr/>
          </w:p>
        </w:tc>
        <w:tc>
          <w:tcPr>
            <w:tcW w:w="1483"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pacing w:val="-1"/>
                <w:sz w:val="21"/>
              </w:rPr>
              <w:t>1,682,540.00</w:t>
            </w:r>
          </w:p>
        </w:tc>
        <w:tc>
          <w:tcPr>
            <w:tcW w:w="221" w:type="dxa"/>
            <w:tcBorders>
              <w:top w:val="nil" w:sz="6" w:space="0" w:color="auto"/>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pacing w:val="-1"/>
                <w:sz w:val="21"/>
              </w:rPr>
              <w:t>841,270.00</w:t>
            </w:r>
          </w:p>
        </w:tc>
        <w:tc>
          <w:tcPr>
            <w:tcW w:w="223" w:type="dxa"/>
            <w:tcBorders>
              <w:top w:val="nil" w:sz="6" w:space="0" w:color="auto"/>
              <w:left w:val="nil" w:sz="6" w:space="0" w:color="auto"/>
              <w:bottom w:val="nil" w:sz="6" w:space="0" w:color="auto"/>
              <w:right w:val="nil" w:sz="6" w:space="0" w:color="auto"/>
            </w:tcBorders>
          </w:tcPr>
          <w:p>
            <w:pPr/>
          </w:p>
        </w:tc>
        <w:tc>
          <w:tcPr>
            <w:tcW w:w="972"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50%</w:t>
            </w:r>
          </w:p>
        </w:tc>
        <w:tc>
          <w:tcPr>
            <w:tcW w:w="223" w:type="dxa"/>
            <w:tcBorders>
              <w:top w:val="nil" w:sz="6" w:space="0" w:color="auto"/>
              <w:left w:val="nil" w:sz="6" w:space="0" w:color="auto"/>
              <w:bottom w:val="nil" w:sz="6" w:space="0" w:color="auto"/>
              <w:right w:val="nil" w:sz="6" w:space="0" w:color="auto"/>
            </w:tcBorders>
          </w:tcPr>
          <w:p>
            <w:pPr/>
          </w:p>
        </w:tc>
        <w:tc>
          <w:tcPr>
            <w:tcW w:w="1904"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left="9" w:right="0"/>
              <w:jc w:val="center"/>
              <w:rPr>
                <w:rFonts w:ascii="宋体" w:hAnsi="宋体" w:cs="宋体" w:eastAsia="宋体" w:hint="default"/>
                <w:sz w:val="21"/>
                <w:szCs w:val="21"/>
              </w:rPr>
            </w:pPr>
            <w:r>
              <w:rPr>
                <w:rFonts w:ascii="宋体" w:hAnsi="宋体" w:cs="宋体" w:eastAsia="宋体" w:hint="default"/>
                <w:sz w:val="21"/>
                <w:szCs w:val="21"/>
              </w:rPr>
              <w:t>估计无法全额收回</w:t>
            </w:r>
          </w:p>
        </w:tc>
      </w:tr>
      <w:tr>
        <w:trPr>
          <w:trHeight w:val="425"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0"/>
              <w:jc w:val="right"/>
              <w:rPr>
                <w:rFonts w:ascii="宋体" w:hAnsi="宋体" w:cs="宋体" w:eastAsia="宋体" w:hint="default"/>
                <w:sz w:val="21"/>
                <w:szCs w:val="21"/>
              </w:rPr>
            </w:pPr>
            <w:r>
              <w:rPr>
                <w:rFonts w:ascii="宋体"/>
                <w:spacing w:val="-1"/>
                <w:sz w:val="21"/>
              </w:rPr>
              <w:t>1,682,540.00</w:t>
            </w:r>
          </w:p>
        </w:tc>
        <w:tc>
          <w:tcPr>
            <w:tcW w:w="221"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0"/>
              <w:jc w:val="right"/>
              <w:rPr>
                <w:rFonts w:ascii="宋体" w:hAnsi="宋体" w:cs="宋体" w:eastAsia="宋体" w:hint="default"/>
                <w:sz w:val="21"/>
                <w:szCs w:val="21"/>
              </w:rPr>
            </w:pPr>
            <w:r>
              <w:rPr>
                <w:rFonts w:ascii="宋体"/>
                <w:spacing w:val="-1"/>
                <w:sz w:val="21"/>
              </w:rPr>
              <w:t>841,270.00</w:t>
            </w:r>
          </w:p>
        </w:tc>
        <w:tc>
          <w:tcPr>
            <w:tcW w:w="22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240" w:lineRule="auto" w:before="26"/>
        <w:ind w:left="620" w:right="145"/>
        <w:jc w:val="left"/>
      </w:pPr>
      <w:r>
        <w:rPr>
          <w:rFonts w:ascii="宋体" w:hAnsi="宋体" w:cs="宋体" w:eastAsia="宋体" w:hint="default"/>
        </w:rPr>
        <w:t>②</w:t>
      </w:r>
      <w:r>
        <w:rPr/>
        <w:t>按账龄分析法计提坏账准备的其他应收款：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2507" w:firstLine="0"/>
        <w:jc w:val="right"/>
        <w:rPr>
          <w:rFonts w:ascii="宋体" w:hAnsi="宋体" w:cs="宋体" w:eastAsia="宋体" w:hint="default"/>
          <w:sz w:val="18"/>
          <w:szCs w:val="18"/>
        </w:rPr>
      </w:pPr>
      <w:r>
        <w:rPr/>
        <w:pict>
          <v:shape style="position:absolute;margin-left:80.304001pt;margin-top:-15.222662pt;width:448.4pt;height:152.6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235"/>
                    <w:gridCol w:w="1541"/>
                    <w:gridCol w:w="824"/>
                    <w:gridCol w:w="228"/>
                    <w:gridCol w:w="1124"/>
                    <w:gridCol w:w="274"/>
                    <w:gridCol w:w="1303"/>
                    <w:gridCol w:w="216"/>
                    <w:gridCol w:w="807"/>
                    <w:gridCol w:w="214"/>
                    <w:gridCol w:w="1123"/>
                  </w:tblGrid>
                  <w:tr>
                    <w:trPr>
                      <w:trHeight w:val="217" w:hRule="exact"/>
                    </w:trPr>
                    <w:tc>
                      <w:tcPr>
                        <w:tcW w:w="10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8" w:space="0" w:color="000000"/>
                          <w:right w:val="nil" w:sz="6" w:space="0" w:color="auto"/>
                        </w:tcBorders>
                      </w:tcPr>
                      <w:p>
                        <w:pPr/>
                      </w:p>
                    </w:tc>
                    <w:tc>
                      <w:tcPr>
                        <w:tcW w:w="824" w:type="dxa"/>
                        <w:tcBorders>
                          <w:top w:val="nil" w:sz="6" w:space="0" w:color="auto"/>
                          <w:left w:val="nil" w:sz="6" w:space="0" w:color="auto"/>
                          <w:bottom w:val="single" w:sz="8" w:space="0" w:color="000000"/>
                          <w:right w:val="nil" w:sz="6" w:space="0" w:color="auto"/>
                        </w:tcBorders>
                      </w:tcPr>
                      <w:p>
                        <w:pPr>
                          <w:pStyle w:val="TableParagraph"/>
                          <w:spacing w:line="180" w:lineRule="exact"/>
                          <w:ind w:left="4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8" w:type="dxa"/>
                        <w:tcBorders>
                          <w:top w:val="nil" w:sz="6" w:space="0" w:color="auto"/>
                          <w:left w:val="nil" w:sz="6" w:space="0" w:color="auto"/>
                          <w:bottom w:val="single" w:sz="8" w:space="0" w:color="000000"/>
                          <w:right w:val="nil" w:sz="6" w:space="0" w:color="auto"/>
                        </w:tcBorders>
                      </w:tcPr>
                      <w:p>
                        <w:pPr/>
                      </w:p>
                    </w:tc>
                    <w:tc>
                      <w:tcPr>
                        <w:tcW w:w="1124" w:type="dxa"/>
                        <w:tcBorders>
                          <w:top w:val="nil" w:sz="6" w:space="0" w:color="auto"/>
                          <w:left w:val="nil" w:sz="6" w:space="0" w:color="auto"/>
                          <w:bottom w:val="single" w:sz="8"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single" w:sz="8" w:space="0" w:color="000000"/>
                          <w:right w:val="nil" w:sz="6" w:space="0" w:color="auto"/>
                        </w:tcBorders>
                      </w:tcPr>
                      <w:p>
                        <w:pPr/>
                      </w:p>
                    </w:tc>
                    <w:tc>
                      <w:tcPr>
                        <w:tcW w:w="807" w:type="dxa"/>
                        <w:tcBorders>
                          <w:top w:val="nil" w:sz="6" w:space="0" w:color="auto"/>
                          <w:left w:val="nil" w:sz="6" w:space="0" w:color="auto"/>
                          <w:bottom w:val="single" w:sz="8" w:space="0" w:color="000000"/>
                          <w:right w:val="nil" w:sz="6" w:space="0" w:color="auto"/>
                        </w:tcBorders>
                      </w:tcPr>
                      <w:p>
                        <w:pPr>
                          <w:pStyle w:val="TableParagraph"/>
                          <w:spacing w:line="180" w:lineRule="exact"/>
                          <w:ind w:left="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4" w:type="dxa"/>
                        <w:tcBorders>
                          <w:top w:val="nil" w:sz="6" w:space="0" w:color="auto"/>
                          <w:left w:val="nil" w:sz="6" w:space="0" w:color="auto"/>
                          <w:bottom w:val="single" w:sz="8" w:space="0" w:color="000000"/>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
                    </w:tc>
                  </w:tr>
                  <w:tr>
                    <w:trPr>
                      <w:trHeight w:val="360" w:hRule="exact"/>
                    </w:trPr>
                    <w:tc>
                      <w:tcPr>
                        <w:tcW w:w="10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8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4" w:type="dxa"/>
                        <w:tcBorders>
                          <w:top w:val="single" w:sz="8" w:space="0" w:color="000000"/>
                          <w:left w:val="nil" w:sz="6" w:space="0" w:color="auto"/>
                          <w:bottom w:val="single" w:sz="8" w:space="0" w:color="000000"/>
                          <w:right w:val="nil" w:sz="6" w:space="0" w:color="auto"/>
                        </w:tcBorders>
                      </w:tcPr>
                      <w:p>
                        <w:pPr/>
                      </w:p>
                    </w:tc>
                    <w:tc>
                      <w:tcPr>
                        <w:tcW w:w="228" w:type="dxa"/>
                        <w:tcBorders>
                          <w:top w:val="single" w:sz="8" w:space="0" w:color="000000"/>
                          <w:left w:val="nil" w:sz="6" w:space="0" w:color="auto"/>
                          <w:bottom w:val="nil" w:sz="6" w:space="0" w:color="auto"/>
                          <w:right w:val="nil" w:sz="6" w:space="0" w:color="auto"/>
                        </w:tcBorders>
                      </w:tcPr>
                      <w:p>
                        <w:pPr/>
                      </w:p>
                    </w:tc>
                    <w:tc>
                      <w:tcPr>
                        <w:tcW w:w="1124" w:type="dxa"/>
                        <w:tcBorders>
                          <w:top w:val="single" w:sz="8" w:space="0" w:color="000000"/>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806" w:right="0"/>
                          <w:jc w:val="left"/>
                          <w:rPr>
                            <w:rFonts w:ascii="宋体" w:hAnsi="宋体" w:cs="宋体" w:eastAsia="宋体" w:hint="default"/>
                            <w:sz w:val="18"/>
                            <w:szCs w:val="18"/>
                          </w:rPr>
                        </w:pPr>
                        <w:r>
                          <w:rPr>
                            <w:rFonts w:ascii="宋体" w:hAnsi="宋体" w:cs="宋体" w:eastAsia="宋体" w:hint="default"/>
                            <w:sz w:val="18"/>
                            <w:szCs w:val="18"/>
                          </w:rPr>
                          <w:t>账面</w:t>
                        </w:r>
                      </w:p>
                    </w:tc>
                    <w:tc>
                      <w:tcPr>
                        <w:tcW w:w="21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43" w:right="-8"/>
                          <w:jc w:val="left"/>
                          <w:rPr>
                            <w:rFonts w:ascii="宋体" w:hAnsi="宋体" w:cs="宋体" w:eastAsia="宋体" w:hint="default"/>
                            <w:sz w:val="18"/>
                            <w:szCs w:val="18"/>
                          </w:rPr>
                        </w:pPr>
                        <w:r>
                          <w:rPr>
                            <w:rFonts w:ascii="宋体" w:hAnsi="宋体" w:cs="宋体" w:eastAsia="宋体" w:hint="default"/>
                            <w:sz w:val="18"/>
                            <w:szCs w:val="18"/>
                          </w:rPr>
                          <w:t>额</w:t>
                        </w:r>
                      </w:p>
                    </w:tc>
                    <w:tc>
                      <w:tcPr>
                        <w:tcW w:w="807" w:type="dxa"/>
                        <w:tcBorders>
                          <w:top w:val="single" w:sz="8" w:space="0" w:color="000000"/>
                          <w:left w:val="nil" w:sz="6" w:space="0" w:color="auto"/>
                          <w:bottom w:val="single" w:sz="8" w:space="0" w:color="000000"/>
                          <w:right w:val="nil" w:sz="6" w:space="0" w:color="auto"/>
                        </w:tcBorders>
                      </w:tcPr>
                      <w:p>
                        <w:pPr/>
                      </w:p>
                    </w:tc>
                    <w:tc>
                      <w:tcPr>
                        <w:tcW w:w="214" w:type="dxa"/>
                        <w:tcBorders>
                          <w:top w:val="single" w:sz="8" w:space="0" w:color="000000"/>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
                    </w:tc>
                  </w:tr>
                  <w:tr>
                    <w:trPr>
                      <w:trHeight w:val="360" w:hRule="exact"/>
                    </w:trPr>
                    <w:tc>
                      <w:tcPr>
                        <w:tcW w:w="1080"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账龄</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4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6" w:type="dxa"/>
                        <w:tcBorders>
                          <w:top w:val="single" w:sz="8" w:space="0" w:color="000000"/>
                          <w:left w:val="nil" w:sz="6" w:space="0" w:color="auto"/>
                          <w:bottom w:val="nil" w:sz="6" w:space="0" w:color="auto"/>
                          <w:right w:val="nil" w:sz="6" w:space="0" w:color="auto"/>
                        </w:tcBorders>
                      </w:tcPr>
                      <w:p>
                        <w:pPr/>
                      </w:p>
                    </w:tc>
                    <w:tc>
                      <w:tcPr>
                        <w:tcW w:w="807"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4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3" w:right="0"/>
                          <w:jc w:val="left"/>
                          <w:rPr>
                            <w:rFonts w:ascii="宋体" w:hAnsi="宋体" w:cs="宋体" w:eastAsia="宋体" w:hint="default"/>
                            <w:sz w:val="18"/>
                            <w:szCs w:val="18"/>
                          </w:rPr>
                        </w:pPr>
                        <w:r>
                          <w:rPr>
                            <w:rFonts w:ascii="宋体"/>
                            <w:sz w:val="18"/>
                          </w:rPr>
                          <w:t>5,768,940.38</w:t>
                        </w:r>
                      </w:p>
                    </w:tc>
                    <w:tc>
                      <w:tcPr>
                        <w:tcW w:w="82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pacing w:val="-1"/>
                            <w:sz w:val="18"/>
                          </w:rPr>
                          <w:t>71.65%</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288,447.03</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5,987,707.85</w:t>
                        </w:r>
                      </w:p>
                    </w:tc>
                    <w:tc>
                      <w:tcPr>
                        <w:tcW w:w="216" w:type="dxa"/>
                        <w:tcBorders>
                          <w:top w:val="nil" w:sz="6" w:space="0" w:color="auto"/>
                          <w:left w:val="nil" w:sz="6" w:space="0" w:color="auto"/>
                          <w:bottom w:val="nil" w:sz="6" w:space="0" w:color="auto"/>
                          <w:right w:val="nil" w:sz="6" w:space="0" w:color="auto"/>
                        </w:tcBorders>
                      </w:tcPr>
                      <w:p>
                        <w:pPr/>
                      </w:p>
                    </w:tc>
                    <w:tc>
                      <w:tcPr>
                        <w:tcW w:w="807"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70.29%</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299,385.39</w:t>
                        </w:r>
                      </w:p>
                    </w:tc>
                  </w:tr>
                  <w:tr>
                    <w:trPr>
                      <w:trHeight w:val="34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3" w:right="0"/>
                          <w:jc w:val="left"/>
                          <w:rPr>
                            <w:rFonts w:ascii="宋体" w:hAnsi="宋体" w:cs="宋体" w:eastAsia="宋体" w:hint="default"/>
                            <w:sz w:val="18"/>
                            <w:szCs w:val="18"/>
                          </w:rPr>
                        </w:pPr>
                        <w:r>
                          <w:rPr>
                            <w:rFonts w:ascii="宋体"/>
                            <w:sz w:val="18"/>
                          </w:rPr>
                          <w:t>1,907,412.00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23.69%</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190,741.20</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2,088,355.76</w:t>
                        </w:r>
                      </w:p>
                    </w:tc>
                    <w:tc>
                      <w:tcPr>
                        <w:tcW w:w="216"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24.51%</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208,835.58</w:t>
                        </w:r>
                      </w:p>
                    </w:tc>
                  </w:tr>
                  <w:tr>
                    <w:trPr>
                      <w:trHeight w:val="341"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sz w:val="18"/>
                          </w:rPr>
                          <w:t>131,800.00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1.64%</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26,360.00</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333,096.76</w:t>
                        </w:r>
                      </w:p>
                    </w:tc>
                    <w:tc>
                      <w:tcPr>
                        <w:tcW w:w="216"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3.91%</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66,619.35</w:t>
                        </w:r>
                      </w:p>
                    </w:tc>
                  </w:tr>
                  <w:tr>
                    <w:trPr>
                      <w:trHeight w:val="34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3" w:right="0"/>
                          <w:jc w:val="left"/>
                          <w:rPr>
                            <w:rFonts w:ascii="宋体" w:hAnsi="宋体" w:cs="宋体" w:eastAsia="宋体" w:hint="default"/>
                            <w:sz w:val="18"/>
                            <w:szCs w:val="18"/>
                          </w:rPr>
                        </w:pPr>
                        <w:r>
                          <w:rPr>
                            <w:rFonts w:ascii="宋体"/>
                            <w:sz w:val="18"/>
                          </w:rPr>
                          <w:t>142,931.94</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1.78%</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71,465.97</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10,000.00</w:t>
                        </w:r>
                      </w:p>
                    </w:tc>
                    <w:tc>
                      <w:tcPr>
                        <w:tcW w:w="216"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0.12%</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5,000.00</w:t>
                        </w:r>
                      </w:p>
                    </w:tc>
                  </w:tr>
                  <w:tr>
                    <w:trPr>
                      <w:trHeight w:val="299"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01"/>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3" w:right="0"/>
                          <w:jc w:val="left"/>
                          <w:rPr>
                            <w:rFonts w:ascii="宋体" w:hAnsi="宋体" w:cs="宋体" w:eastAsia="宋体" w:hint="default"/>
                            <w:sz w:val="18"/>
                            <w:szCs w:val="18"/>
                          </w:rPr>
                        </w:pPr>
                        <w:r>
                          <w:rPr>
                            <w:rFonts w:ascii="宋体"/>
                            <w:sz w:val="18"/>
                          </w:rPr>
                          <w:t>100,000.00</w:t>
                        </w:r>
                      </w:p>
                    </w:tc>
                    <w:tc>
                      <w:tcPr>
                        <w:tcW w:w="82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1.24%</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50,000.00</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100,000.00</w:t>
                        </w:r>
                      </w:p>
                    </w:tc>
                    <w:tc>
                      <w:tcPr>
                        <w:tcW w:w="216"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z w:val="18"/>
                          </w:rPr>
                          <w:t>1.17%</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50,000.00</w:t>
                        </w:r>
                      </w:p>
                    </w:tc>
                  </w:tr>
                  <w:tr>
                    <w:trPr>
                      <w:trHeight w:val="372"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9"/>
                          <w:jc w:val="right"/>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3" w:right="0"/>
                          <w:jc w:val="left"/>
                          <w:rPr>
                            <w:rFonts w:ascii="宋体" w:hAnsi="宋体" w:cs="宋体" w:eastAsia="宋体" w:hint="default"/>
                            <w:sz w:val="18"/>
                            <w:szCs w:val="18"/>
                          </w:rPr>
                        </w:pPr>
                        <w:r>
                          <w:rPr>
                            <w:rFonts w:ascii="宋体"/>
                            <w:sz w:val="18"/>
                          </w:rPr>
                          <w:t>8,051,084.32</w:t>
                        </w:r>
                      </w:p>
                    </w:tc>
                    <w:tc>
                      <w:tcPr>
                        <w:tcW w:w="824"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100.00%</w:t>
                        </w:r>
                      </w:p>
                    </w:tc>
                    <w:tc>
                      <w:tcPr>
                        <w:tcW w:w="228" w:type="dxa"/>
                        <w:tcBorders>
                          <w:top w:val="nil" w:sz="6" w:space="0" w:color="auto"/>
                          <w:left w:val="nil" w:sz="6" w:space="0" w:color="auto"/>
                          <w:bottom w:val="nil" w:sz="6" w:space="0" w:color="auto"/>
                          <w:right w:val="nil" w:sz="6" w:space="0" w:color="auto"/>
                        </w:tcBorders>
                      </w:tcPr>
                      <w:p>
                        <w:pPr/>
                      </w:p>
                    </w:tc>
                    <w:tc>
                      <w:tcPr>
                        <w:tcW w:w="1124"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627,014.20</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8,519,160.37</w:t>
                        </w:r>
                      </w:p>
                    </w:tc>
                    <w:tc>
                      <w:tcPr>
                        <w:tcW w:w="216" w:type="dxa"/>
                        <w:tcBorders>
                          <w:top w:val="nil" w:sz="6" w:space="0" w:color="auto"/>
                          <w:left w:val="nil" w:sz="6" w:space="0" w:color="auto"/>
                          <w:bottom w:val="nil" w:sz="6" w:space="0" w:color="auto"/>
                          <w:right w:val="nil" w:sz="6" w:space="0" w:color="auto"/>
                        </w:tcBorders>
                      </w:tcPr>
                      <w:p>
                        <w:pPr/>
                      </w:p>
                    </w:tc>
                    <w:tc>
                      <w:tcPr>
                        <w:tcW w:w="807"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100.00%</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629,840.32</w:t>
                        </w:r>
                      </w:p>
                    </w:tc>
                  </w:tr>
                </w:tbl>
                <w:p>
                  <w:pPr/>
                </w:p>
              </w:txbxContent>
            </v:textbox>
            <w10:wrap type="none"/>
          </v:shape>
        </w:pict>
      </w:r>
      <w:r>
        <w:rPr>
          <w:rFonts w:ascii="宋体" w:hAnsi="宋体" w:cs="宋体" w:eastAsia="宋体" w:hint="default"/>
          <w:sz w:val="18"/>
          <w:szCs w:val="18"/>
        </w:rPr>
        <w:t>余</w:t>
      </w:r>
    </w:p>
    <w:p>
      <w:pPr>
        <w:spacing w:line="240" w:lineRule="auto" w:before="8"/>
        <w:rPr>
          <w:rFonts w:ascii="宋体" w:hAnsi="宋体" w:cs="宋体" w:eastAsia="宋体" w:hint="default"/>
          <w:sz w:val="29"/>
          <w:szCs w:val="29"/>
        </w:rPr>
      </w:pPr>
    </w:p>
    <w:p>
      <w:pPr>
        <w:spacing w:line="20" w:lineRule="exact"/>
        <w:ind w:left="1431" w:right="0" w:firstLine="0"/>
        <w:rPr>
          <w:rFonts w:ascii="宋体" w:hAnsi="宋体" w:cs="宋体" w:eastAsia="宋体" w:hint="default"/>
          <w:sz w:val="2"/>
          <w:szCs w:val="2"/>
        </w:rPr>
      </w:pPr>
      <w:r>
        <w:rPr>
          <w:rFonts w:ascii="宋体" w:hAnsi="宋体" w:cs="宋体" w:eastAsia="宋体" w:hint="default"/>
          <w:sz w:val="2"/>
          <w:szCs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line="20" w:lineRule="exact"/>
        <w:ind w:left="1431" w:right="0" w:firstLine="0"/>
        <w:rPr>
          <w:rFonts w:ascii="宋体" w:hAnsi="宋体" w:cs="宋体" w:eastAsia="宋体" w:hint="default"/>
          <w:sz w:val="2"/>
          <w:szCs w:val="2"/>
        </w:rPr>
      </w:pPr>
      <w:r>
        <w:rPr>
          <w:rFonts w:ascii="宋体" w:hAnsi="宋体" w:cs="宋体" w:eastAsia="宋体" w:hint="default"/>
          <w:sz w:val="2"/>
          <w:szCs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100" w:val="left" w:leader="none"/>
        </w:tabs>
        <w:spacing w:line="307" w:lineRule="auto" w:before="26"/>
        <w:ind w:left="126" w:right="142" w:firstLine="477"/>
        <w:jc w:val="left"/>
      </w:pPr>
      <w:r>
        <w:rPr/>
        <w:t>⑷</w:t>
        <w:tab/>
        <w:t>本报告期其他应收款中无持有公司 </w:t>
      </w:r>
      <w:r>
        <w:rPr>
          <w:rFonts w:ascii="宋体" w:hAnsi="宋体" w:cs="宋体" w:eastAsia="宋体" w:hint="default"/>
        </w:rPr>
        <w:t>5%</w:t>
      </w:r>
      <w:r>
        <w:rPr/>
        <w:t>（含 </w:t>
      </w:r>
      <w:r>
        <w:rPr>
          <w:rFonts w:ascii="宋体" w:hAnsi="宋体" w:cs="宋体" w:eastAsia="宋体" w:hint="default"/>
        </w:rPr>
        <w:t>5%</w:t>
      </w:r>
      <w:r>
        <w:rPr/>
        <w:t>）以上表决权股份的股东单位</w:t>
      </w:r>
      <w:r>
        <w:rPr>
          <w:rFonts w:ascii="宋体" w:hAnsi="宋体" w:cs="宋体" w:eastAsia="宋体" w:hint="default"/>
        </w:rPr>
        <w:t>. </w:t>
      </w:r>
      <w:r>
        <w:rPr/>
        <w:t>款项。</w:t>
      </w:r>
    </w:p>
    <w:p>
      <w:pPr>
        <w:pStyle w:val="BodyText"/>
        <w:tabs>
          <w:tab w:pos="1100" w:val="left" w:leader="none"/>
        </w:tabs>
        <w:spacing w:line="240" w:lineRule="auto" w:before="163"/>
        <w:ind w:left="620" w:right="145"/>
        <w:jc w:val="left"/>
      </w:pPr>
      <w:r>
        <w:rPr/>
        <w:t>⑸</w:t>
        <w:tab/>
        <w:t>其他应收款金额前五名单位情况</w:t>
      </w:r>
    </w:p>
    <w:p>
      <w:pPr>
        <w:spacing w:line="240" w:lineRule="auto" w:before="10"/>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418"/>
        <w:gridCol w:w="279"/>
        <w:gridCol w:w="982"/>
        <w:gridCol w:w="233"/>
        <w:gridCol w:w="1601"/>
        <w:gridCol w:w="237"/>
        <w:gridCol w:w="1049"/>
        <w:gridCol w:w="233"/>
        <w:gridCol w:w="946"/>
      </w:tblGrid>
      <w:tr>
        <w:trPr>
          <w:trHeight w:val="525" w:hRule="exact"/>
        </w:trPr>
        <w:tc>
          <w:tcPr>
            <w:tcW w:w="3418"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single" w:sz="8" w:space="0" w:color="000000"/>
              <w:right w:val="nil" w:sz="6" w:space="0" w:color="auto"/>
            </w:tcBorders>
          </w:tcPr>
          <w:p>
            <w:pPr>
              <w:pStyle w:val="TableParagraph"/>
              <w:spacing w:line="210" w:lineRule="exact"/>
              <w:ind w:right="0"/>
              <w:jc w:val="center"/>
              <w:rPr>
                <w:rFonts w:ascii="宋体" w:hAnsi="宋体" w:cs="宋体" w:eastAsia="宋体" w:hint="default"/>
                <w:sz w:val="21"/>
                <w:szCs w:val="21"/>
              </w:rPr>
            </w:pPr>
            <w:r>
              <w:rPr>
                <w:rFonts w:ascii="宋体" w:hAnsi="宋体" w:cs="宋体" w:eastAsia="宋体" w:hint="default"/>
                <w:sz w:val="21"/>
                <w:szCs w:val="21"/>
              </w:rPr>
              <w:t>与本集团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50" w:hRule="exact"/>
        </w:trPr>
        <w:tc>
          <w:tcPr>
            <w:tcW w:w="341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大连跃达空调工程公司济南分公司</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1,682,540.00</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17.29%</w:t>
            </w:r>
          </w:p>
        </w:tc>
      </w:tr>
      <w:tr>
        <w:trPr>
          <w:trHeight w:val="562"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 w:right="0"/>
              <w:jc w:val="left"/>
              <w:rPr>
                <w:rFonts w:ascii="宋体" w:hAnsi="宋体" w:cs="宋体" w:eastAsia="宋体" w:hint="default"/>
                <w:sz w:val="21"/>
                <w:szCs w:val="21"/>
              </w:rPr>
            </w:pPr>
            <w:r>
              <w:rPr>
                <w:rFonts w:ascii="宋体" w:hAnsi="宋体" w:cs="宋体" w:eastAsia="宋体" w:hint="default"/>
                <w:sz w:val="21"/>
                <w:szCs w:val="21"/>
              </w:rPr>
              <w:t>济南市建设委员会</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管部门</w:t>
            </w: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855,000.00</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宋体" w:hAnsi="宋体" w:cs="宋体" w:eastAsia="宋体" w:hint="default"/>
                <w:sz w:val="21"/>
                <w:szCs w:val="21"/>
              </w:rPr>
            </w:pPr>
            <w:r>
              <w:rPr>
                <w:rFonts w:ascii="宋体"/>
                <w:sz w:val="21"/>
              </w:rPr>
              <w:t>8.78%</w:t>
            </w:r>
          </w:p>
        </w:tc>
      </w:tr>
      <w:tr>
        <w:trPr>
          <w:trHeight w:val="323"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李大森</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right"/>
              <w:rPr>
                <w:rFonts w:ascii="宋体" w:hAnsi="宋体" w:cs="宋体" w:eastAsia="宋体" w:hint="default"/>
                <w:sz w:val="21"/>
                <w:szCs w:val="21"/>
              </w:rPr>
            </w:pPr>
            <w:r>
              <w:rPr>
                <w:rFonts w:ascii="宋体"/>
                <w:spacing w:val="-1"/>
                <w:sz w:val="21"/>
              </w:rPr>
              <w:t>600,000.00</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right"/>
              <w:rPr>
                <w:rFonts w:ascii="宋体" w:hAnsi="宋体" w:cs="宋体" w:eastAsia="宋体" w:hint="default"/>
                <w:sz w:val="21"/>
                <w:szCs w:val="21"/>
              </w:rPr>
            </w:pPr>
            <w:r>
              <w:rPr>
                <w:rFonts w:ascii="宋体"/>
                <w:sz w:val="21"/>
              </w:rPr>
              <w:t>6.16%</w:t>
            </w:r>
          </w:p>
        </w:tc>
      </w:tr>
      <w:tr>
        <w:trPr>
          <w:trHeight w:val="324"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崔云峰</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430,000.00</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z w:val="21"/>
              </w:rPr>
              <w:t>4.42%</w:t>
            </w:r>
          </w:p>
        </w:tc>
      </w:tr>
      <w:tr>
        <w:trPr>
          <w:trHeight w:val="566"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 w:right="0"/>
              <w:jc w:val="left"/>
              <w:rPr>
                <w:rFonts w:ascii="宋体" w:hAnsi="宋体" w:cs="宋体" w:eastAsia="宋体" w:hint="default"/>
                <w:sz w:val="21"/>
                <w:szCs w:val="21"/>
              </w:rPr>
            </w:pPr>
            <w:r>
              <w:rPr>
                <w:rFonts w:ascii="宋体" w:hAnsi="宋体" w:cs="宋体" w:eastAsia="宋体" w:hint="default"/>
                <w:sz w:val="21"/>
                <w:szCs w:val="21"/>
              </w:rPr>
              <w:t>济南市建委新型墙材资金</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72" w:lineRule="exact" w:before="12"/>
              <w:ind w:left="107" w:right="239"/>
              <w:jc w:val="left"/>
              <w:rPr>
                <w:rFonts w:ascii="宋体" w:hAnsi="宋体" w:cs="宋体" w:eastAsia="宋体" w:hint="default"/>
                <w:sz w:val="21"/>
                <w:szCs w:val="21"/>
              </w:rPr>
            </w:pPr>
            <w:r>
              <w:rPr>
                <w:rFonts w:ascii="宋体" w:hAnsi="宋体" w:cs="宋体" w:eastAsia="宋体" w:hint="default"/>
                <w:sz w:val="21"/>
                <w:szCs w:val="21"/>
              </w:rPr>
              <w:t>政府监</w:t>
            </w:r>
            <w:r>
              <w:rPr>
                <w:rFonts w:ascii="宋体" w:hAnsi="宋体" w:cs="宋体" w:eastAsia="宋体" w:hint="default"/>
                <w:spacing w:val="-102"/>
                <w:sz w:val="21"/>
                <w:szCs w:val="21"/>
              </w:rPr>
              <w:t> </w:t>
            </w:r>
            <w:r>
              <w:rPr>
                <w:rFonts w:ascii="宋体" w:hAnsi="宋体" w:cs="宋体" w:eastAsia="宋体" w:hint="default"/>
                <w:sz w:val="21"/>
                <w:szCs w:val="21"/>
              </w:rPr>
              <w:t>管部门</w:t>
            </w: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0"/>
              <w:jc w:val="right"/>
              <w:rPr>
                <w:rFonts w:ascii="宋体" w:hAnsi="宋体" w:cs="宋体" w:eastAsia="宋体" w:hint="default"/>
                <w:sz w:val="21"/>
                <w:szCs w:val="21"/>
              </w:rPr>
            </w:pPr>
            <w:r>
              <w:rPr>
                <w:rFonts w:ascii="宋体"/>
                <w:spacing w:val="-1"/>
                <w:sz w:val="21"/>
              </w:rPr>
              <w:t>318,412.00</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0"/>
              <w:jc w:val="right"/>
              <w:rPr>
                <w:rFonts w:ascii="宋体" w:hAnsi="宋体" w:cs="宋体" w:eastAsia="宋体" w:hint="default"/>
                <w:sz w:val="21"/>
                <w:szCs w:val="21"/>
              </w:rPr>
            </w:pPr>
            <w:r>
              <w:rPr>
                <w:rFonts w:ascii="宋体"/>
                <w:sz w:val="21"/>
              </w:rPr>
              <w:t>3.27%</w:t>
            </w:r>
          </w:p>
        </w:tc>
      </w:tr>
      <w:tr>
        <w:trPr>
          <w:trHeight w:val="370"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3,885,952.00</w:t>
            </w:r>
          </w:p>
        </w:tc>
        <w:tc>
          <w:tcPr>
            <w:tcW w:w="237"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39.92%</w:t>
            </w:r>
          </w:p>
        </w:tc>
      </w:tr>
    </w:tbl>
    <w:p>
      <w:pPr>
        <w:spacing w:line="240" w:lineRule="auto" w:before="2"/>
        <w:rPr>
          <w:rFonts w:ascii="宋体" w:hAnsi="宋体" w:cs="宋体" w:eastAsia="宋体" w:hint="default"/>
          <w:sz w:val="23"/>
          <w:szCs w:val="23"/>
        </w:rPr>
      </w:pPr>
    </w:p>
    <w:p>
      <w:pPr>
        <w:pStyle w:val="Heading2"/>
        <w:spacing w:line="367" w:lineRule="exact"/>
        <w:ind w:left="622" w:right="145"/>
        <w:jc w:val="left"/>
        <w:rPr>
          <w:b w:val="0"/>
          <w:bCs w:val="0"/>
        </w:rPr>
      </w:pPr>
      <w:r>
        <w:rPr>
          <w:rFonts w:ascii="Times New Roman" w:hAnsi="Times New Roman" w:cs="Times New Roman" w:eastAsia="Times New Roman" w:hint="default"/>
        </w:rPr>
        <w:t>3</w:t>
      </w:r>
      <w:r>
        <w:rPr/>
        <w:t>、长期股权投资</w:t>
      </w:r>
      <w:r>
        <w:rPr>
          <w:b w:val="0"/>
          <w:bCs w:val="0"/>
        </w:rPr>
      </w:r>
    </w:p>
    <w:p>
      <w:pPr>
        <w:pStyle w:val="BodyText"/>
        <w:tabs>
          <w:tab w:pos="1100" w:val="left" w:leader="none"/>
        </w:tabs>
        <w:spacing w:line="240" w:lineRule="auto" w:before="205"/>
        <w:ind w:left="620" w:right="145"/>
        <w:jc w:val="left"/>
      </w:pPr>
      <w:r>
        <w:rPr/>
        <w:t>⑴</w:t>
        <w:tab/>
        <w:t>长期股权投资分类</w:t>
      </w:r>
    </w:p>
    <w:p>
      <w:pPr>
        <w:spacing w:line="240" w:lineRule="auto" w:before="11"/>
        <w:rPr>
          <w:rFonts w:ascii="宋体" w:hAnsi="宋体" w:cs="宋体" w:eastAsia="宋体" w:hint="default"/>
          <w:sz w:val="10"/>
          <w:szCs w:val="10"/>
        </w:rPr>
      </w:pPr>
    </w:p>
    <w:tbl>
      <w:tblPr>
        <w:tblW w:w="0" w:type="auto"/>
        <w:jc w:val="left"/>
        <w:tblInd w:w="162" w:type="dxa"/>
        <w:tblLayout w:type="fixed"/>
        <w:tblCellMar>
          <w:top w:w="0" w:type="dxa"/>
          <w:left w:w="0" w:type="dxa"/>
          <w:bottom w:w="0" w:type="dxa"/>
          <w:right w:w="0" w:type="dxa"/>
        </w:tblCellMar>
        <w:tblLook w:val="01E0"/>
      </w:tblPr>
      <w:tblGrid>
        <w:gridCol w:w="2326"/>
        <w:gridCol w:w="144"/>
        <w:gridCol w:w="1584"/>
        <w:gridCol w:w="139"/>
        <w:gridCol w:w="1498"/>
        <w:gridCol w:w="139"/>
        <w:gridCol w:w="1222"/>
        <w:gridCol w:w="164"/>
        <w:gridCol w:w="1709"/>
      </w:tblGrid>
      <w:tr>
        <w:trPr>
          <w:trHeight w:val="254" w:hRule="exact"/>
        </w:trPr>
        <w:tc>
          <w:tcPr>
            <w:tcW w:w="2326" w:type="dxa"/>
            <w:tcBorders>
              <w:top w:val="nil" w:sz="6" w:space="0" w:color="auto"/>
              <w:left w:val="nil" w:sz="6" w:space="0" w:color="auto"/>
              <w:bottom w:val="single" w:sz="8" w:space="0" w:color="000000"/>
              <w:right w:val="nil" w:sz="6" w:space="0" w:color="auto"/>
            </w:tcBorders>
          </w:tcPr>
          <w:p>
            <w:pPr>
              <w:pStyle w:val="TableParagraph"/>
              <w:tabs>
                <w:tab w:pos="1274" w:val="left" w:leader="none"/>
              </w:tabs>
              <w:spacing w:line="211" w:lineRule="exact"/>
              <w:ind w:left="74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4"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8" w:space="0" w:color="000000"/>
              <w:right w:val="nil" w:sz="6" w:space="0" w:color="auto"/>
            </w:tcBorders>
          </w:tcPr>
          <w:p>
            <w:pPr>
              <w:pStyle w:val="TableParagraph"/>
              <w:spacing w:line="211" w:lineRule="exact"/>
              <w:ind w:left="43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8" w:space="0" w:color="000000"/>
              <w:right w:val="nil" w:sz="6" w:space="0" w:color="auto"/>
            </w:tcBorders>
          </w:tcPr>
          <w:p>
            <w:pPr>
              <w:pStyle w:val="TableParagraph"/>
              <w:spacing w:line="211"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9"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8" w:space="0" w:color="000000"/>
              <w:right w:val="nil" w:sz="6" w:space="0" w:color="auto"/>
            </w:tcBorders>
          </w:tcPr>
          <w:p>
            <w:pPr>
              <w:pStyle w:val="TableParagraph"/>
              <w:spacing w:line="211"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8" w:space="0" w:color="000000"/>
              <w:right w:val="nil" w:sz="6" w:space="0" w:color="auto"/>
            </w:tcBorders>
          </w:tcPr>
          <w:p>
            <w:pPr>
              <w:pStyle w:val="TableParagraph"/>
              <w:spacing w:line="21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11" w:lineRule="exact"/>
        <w:jc w:val="left"/>
        <w:rPr>
          <w:rFonts w:ascii="宋体" w:hAnsi="宋体" w:cs="宋体" w:eastAsia="宋体" w:hint="default"/>
          <w:sz w:val="21"/>
          <w:szCs w:val="21"/>
        </w:rPr>
        <w:sectPr>
          <w:headerReference w:type="default" r:id="rId52"/>
          <w:pgSz w:w="11910" w:h="16840"/>
          <w:pgMar w:header="840" w:footer="944" w:top="1140" w:bottom="1140" w:left="1480" w:right="1140"/>
        </w:sectPr>
      </w:pPr>
    </w:p>
    <w:tbl>
      <w:tblPr>
        <w:tblW w:w="0" w:type="auto"/>
        <w:jc w:val="left"/>
        <w:tblInd w:w="111" w:type="dxa"/>
        <w:tblLayout w:type="fixed"/>
        <w:tblCellMar>
          <w:top w:w="0" w:type="dxa"/>
          <w:left w:w="0" w:type="dxa"/>
          <w:bottom w:w="0" w:type="dxa"/>
          <w:right w:w="0" w:type="dxa"/>
        </w:tblCellMar>
        <w:tblLook w:val="01E0"/>
      </w:tblPr>
      <w:tblGrid>
        <w:gridCol w:w="2535"/>
        <w:gridCol w:w="1570"/>
        <w:gridCol w:w="153"/>
        <w:gridCol w:w="1484"/>
        <w:gridCol w:w="146"/>
        <w:gridCol w:w="1214"/>
        <w:gridCol w:w="171"/>
      </w:tblGrid>
      <w:tr>
        <w:trPr>
          <w:trHeight w:val="654" w:hRule="exact"/>
        </w:trPr>
        <w:tc>
          <w:tcPr>
            <w:tcW w:w="253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7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169,282,767.50</w:t>
            </w:r>
          </w:p>
        </w:tc>
        <w:tc>
          <w:tcPr>
            <w:tcW w:w="153" w:type="dxa"/>
            <w:tcBorders>
              <w:top w:val="single" w:sz="6" w:space="0" w:color="000000"/>
              <w:left w:val="nil" w:sz="6" w:space="0" w:color="auto"/>
              <w:bottom w:val="nil" w:sz="6" w:space="0" w:color="auto"/>
              <w:right w:val="nil" w:sz="6" w:space="0" w:color="auto"/>
            </w:tcBorders>
          </w:tcPr>
          <w:p>
            <w:pPr/>
          </w:p>
        </w:tc>
        <w:tc>
          <w:tcPr>
            <w:tcW w:w="148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12,825,000.00</w:t>
            </w:r>
          </w:p>
        </w:tc>
        <w:tc>
          <w:tcPr>
            <w:tcW w:w="146" w:type="dxa"/>
            <w:tcBorders>
              <w:top w:val="single" w:sz="6" w:space="0" w:color="000000"/>
              <w:left w:val="nil" w:sz="6" w:space="0" w:color="auto"/>
              <w:bottom w:val="nil" w:sz="6" w:space="0" w:color="auto"/>
              <w:right w:val="nil" w:sz="6" w:space="0" w:color="auto"/>
            </w:tcBorders>
          </w:tcPr>
          <w:p>
            <w:pPr/>
          </w:p>
        </w:tc>
        <w:tc>
          <w:tcPr>
            <w:tcW w:w="1214" w:type="dxa"/>
            <w:tcBorders>
              <w:top w:val="single" w:sz="6" w:space="0" w:color="000000"/>
              <w:left w:val="nil" w:sz="6" w:space="0" w:color="auto"/>
              <w:bottom w:val="nil" w:sz="6" w:space="0" w:color="auto"/>
              <w:right w:val="nil" w:sz="6" w:space="0" w:color="auto"/>
            </w:tcBorders>
          </w:tcPr>
          <w:p>
            <w:pPr/>
          </w:p>
        </w:tc>
        <w:tc>
          <w:tcPr>
            <w:tcW w:w="17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00"/>
              <w:jc w:val="right"/>
              <w:rPr>
                <w:rFonts w:ascii="宋体" w:hAnsi="宋体" w:cs="宋体" w:eastAsia="宋体" w:hint="default"/>
                <w:sz w:val="21"/>
                <w:szCs w:val="21"/>
              </w:rPr>
            </w:pPr>
            <w:r>
              <w:rPr>
                <w:rFonts w:ascii="宋体"/>
                <w:spacing w:val="-1"/>
                <w:sz w:val="21"/>
              </w:rPr>
              <w:t>182,107,767.50</w:t>
            </w:r>
          </w:p>
        </w:tc>
      </w:tr>
      <w:tr>
        <w:trPr>
          <w:trHeight w:val="341"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57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r>
      <w:tr>
        <w:trPr>
          <w:trHeight w:val="340"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57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r>
      <w:tr>
        <w:trPr>
          <w:trHeight w:val="357"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157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r>
      <w:tr>
        <w:trPr>
          <w:trHeight w:val="299" w:hRule="exact"/>
        </w:trPr>
        <w:tc>
          <w:tcPr>
            <w:tcW w:w="727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r>
      <w:tr>
        <w:trPr>
          <w:trHeight w:val="374" w:hRule="exact"/>
        </w:trPr>
        <w:tc>
          <w:tcPr>
            <w:tcW w:w="2535"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8"/>
              <w:ind w:left="79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0"/>
              <w:jc w:val="right"/>
              <w:rPr>
                <w:rFonts w:ascii="宋体" w:hAnsi="宋体" w:cs="宋体" w:eastAsia="宋体" w:hint="default"/>
                <w:sz w:val="21"/>
                <w:szCs w:val="21"/>
              </w:rPr>
            </w:pPr>
            <w:r>
              <w:rPr>
                <w:rFonts w:ascii="宋体"/>
                <w:spacing w:val="-1"/>
                <w:sz w:val="21"/>
              </w:rPr>
              <w:t>169,282,767.50</w:t>
            </w:r>
          </w:p>
        </w:tc>
        <w:tc>
          <w:tcPr>
            <w:tcW w:w="153" w:type="dxa"/>
            <w:tcBorders>
              <w:top w:val="nil" w:sz="6" w:space="0" w:color="auto"/>
              <w:left w:val="nil" w:sz="6" w:space="0" w:color="auto"/>
              <w:bottom w:val="nil" w:sz="6" w:space="0" w:color="auto"/>
              <w:right w:val="nil" w:sz="6" w:space="0" w:color="auto"/>
            </w:tcBorders>
          </w:tcPr>
          <w:p>
            <w:pPr/>
          </w:p>
        </w:tc>
        <w:tc>
          <w:tcPr>
            <w:tcW w:w="1484"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0"/>
              <w:jc w:val="right"/>
              <w:rPr>
                <w:rFonts w:ascii="宋体" w:hAnsi="宋体" w:cs="宋体" w:eastAsia="宋体" w:hint="default"/>
                <w:sz w:val="21"/>
                <w:szCs w:val="21"/>
              </w:rPr>
            </w:pPr>
            <w:r>
              <w:rPr>
                <w:rFonts w:ascii="宋体"/>
                <w:spacing w:val="-1"/>
                <w:sz w:val="21"/>
              </w:rPr>
              <w:t>12,825,000.00</w:t>
            </w:r>
          </w:p>
        </w:tc>
        <w:tc>
          <w:tcPr>
            <w:tcW w:w="146" w:type="dxa"/>
            <w:tcBorders>
              <w:top w:val="nil" w:sz="6" w:space="0" w:color="auto"/>
              <w:left w:val="nil" w:sz="6" w:space="0" w:color="auto"/>
              <w:bottom w:val="nil" w:sz="6" w:space="0" w:color="auto"/>
              <w:right w:val="nil" w:sz="6" w:space="0" w:color="auto"/>
            </w:tcBorders>
          </w:tcPr>
          <w:p>
            <w:pPr/>
          </w:p>
        </w:tc>
        <w:tc>
          <w:tcPr>
            <w:tcW w:w="1214" w:type="dxa"/>
            <w:tcBorders>
              <w:top w:val="single" w:sz="8" w:space="0" w:color="000000"/>
              <w:left w:val="nil" w:sz="6" w:space="0" w:color="auto"/>
              <w:bottom w:val="single" w:sz="17" w:space="0" w:color="000000"/>
              <w:right w:val="nil" w:sz="6" w:space="0" w:color="auto"/>
            </w:tcBorders>
          </w:tcPr>
          <w:p>
            <w:pPr/>
          </w:p>
        </w:tc>
        <w:tc>
          <w:tcPr>
            <w:tcW w:w="171" w:type="dxa"/>
            <w:tcBorders>
              <w:top w:val="single" w:sz="8" w:space="0" w:color="000000"/>
              <w:left w:val="nil" w:sz="6" w:space="0" w:color="auto"/>
              <w:bottom w:val="single" w:sz="17" w:space="0" w:color="000000"/>
              <w:right w:val="nil" w:sz="6" w:space="0" w:color="auto"/>
            </w:tcBorders>
          </w:tcPr>
          <w:p>
            <w:pPr>
              <w:pStyle w:val="TableParagraph"/>
              <w:spacing w:line="240" w:lineRule="auto" w:before="32"/>
              <w:ind w:right="-1700"/>
              <w:jc w:val="right"/>
              <w:rPr>
                <w:rFonts w:ascii="宋体" w:hAnsi="宋体" w:cs="宋体" w:eastAsia="宋体" w:hint="default"/>
                <w:sz w:val="21"/>
                <w:szCs w:val="21"/>
              </w:rPr>
            </w:pPr>
            <w:r>
              <w:rPr>
                <w:rFonts w:ascii="宋体"/>
                <w:spacing w:val="-1"/>
                <w:sz w:val="21"/>
              </w:rPr>
              <w:t>182,107,767.50</w:t>
            </w:r>
          </w:p>
        </w:tc>
      </w:tr>
    </w:tbl>
    <w:p>
      <w:pPr>
        <w:spacing w:after="0" w:line="240" w:lineRule="auto"/>
        <w:jc w:val="right"/>
        <w:rPr>
          <w:rFonts w:ascii="宋体" w:hAnsi="宋体" w:cs="宋体" w:eastAsia="宋体" w:hint="default"/>
          <w:sz w:val="21"/>
          <w:szCs w:val="21"/>
        </w:rPr>
        <w:sectPr>
          <w:pgSz w:w="11910" w:h="16840"/>
          <w:pgMar w:header="840" w:footer="944" w:top="1140" w:bottom="1140" w:left="1480" w:right="1140"/>
        </w:sectPr>
      </w:pPr>
    </w:p>
    <w:p>
      <w:pPr>
        <w:spacing w:line="240" w:lineRule="auto" w:before="8"/>
        <w:rPr>
          <w:rFonts w:ascii="宋体" w:hAnsi="宋体" w:cs="宋体" w:eastAsia="宋体" w:hint="default"/>
          <w:sz w:val="5"/>
          <w:szCs w:val="5"/>
        </w:rPr>
      </w:pPr>
    </w:p>
    <w:p>
      <w:pPr>
        <w:spacing w:line="326" w:lineRule="exact"/>
        <w:ind w:left="1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01.65pt;height:16.3500pt;mso-position-horizontal-relative:char;mso-position-vertical-relative:line" coordorigin="0,0" coordsize="14033,327">
            <v:group style="position:absolute;left:7;top:319;width:14018;height:2" coordorigin="7,319" coordsize="14018,2">
              <v:shape style="position:absolute;left:7;top:319;width:14018;height:2" coordorigin="7,319" coordsize="14018,0" path="m7,319l14025,319e" filled="false" stroked="true" strokeweight=".72pt" strokecolor="#000000">
                <v:path arrowok="t"/>
              </v:shape>
              <v:shape style="position:absolute;left:42;top:0;width:360;height:315" type="#_x0000_t75" stroked="false">
                <v:imagedata r:id="rId7" o:title=""/>
              </v:shape>
              <v:shape style="position:absolute;left:0;top:0;width:14033;height:327" type="#_x0000_t202" filled="false" stroked="false">
                <v:textbox inset="0,0,0,0">
                  <w:txbxContent>
                    <w:p>
                      <w:pPr>
                        <w:spacing w:before="29"/>
                        <w:ind w:left="542" w:right="0" w:firstLine="0"/>
                        <w:jc w:val="center"/>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tabs>
          <w:tab w:pos="1100" w:val="left" w:leader="none"/>
        </w:tabs>
        <w:spacing w:line="240" w:lineRule="auto" w:before="26"/>
        <w:ind w:left="620" w:right="0"/>
        <w:jc w:val="left"/>
      </w:pPr>
      <w:r>
        <w:rPr/>
        <w:t>⑵</w:t>
        <w:tab/>
        <w:t>长期股权投资明细情况</w:t>
      </w:r>
    </w:p>
    <w:p>
      <w:pPr>
        <w:spacing w:line="240" w:lineRule="auto" w:before="6"/>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3303"/>
        <w:gridCol w:w="235"/>
        <w:gridCol w:w="1068"/>
        <w:gridCol w:w="238"/>
        <w:gridCol w:w="1442"/>
        <w:gridCol w:w="288"/>
        <w:gridCol w:w="1692"/>
        <w:gridCol w:w="230"/>
        <w:gridCol w:w="1586"/>
        <w:gridCol w:w="238"/>
        <w:gridCol w:w="1685"/>
      </w:tblGrid>
      <w:tr>
        <w:trPr>
          <w:trHeight w:val="219" w:hRule="exact"/>
        </w:trPr>
        <w:tc>
          <w:tcPr>
            <w:tcW w:w="3303" w:type="dxa"/>
            <w:tcBorders>
              <w:top w:val="nil" w:sz="6" w:space="0" w:color="auto"/>
              <w:left w:val="nil" w:sz="6" w:space="0" w:color="auto"/>
              <w:bottom w:val="single" w:sz="8"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8"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8" w:space="0" w:color="000000"/>
              <w:right w:val="nil" w:sz="6" w:space="0" w:color="auto"/>
            </w:tcBorders>
          </w:tcPr>
          <w:p>
            <w:pPr>
              <w:pStyle w:val="TableParagraph"/>
              <w:spacing w:line="180" w:lineRule="exact"/>
              <w:ind w:left="43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8"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75" w:hRule="exact"/>
        </w:trPr>
        <w:tc>
          <w:tcPr>
            <w:tcW w:w="3303"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17,336,055.00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17,336,055.00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17,336,055.00</w:t>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22,500,000.00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pacing w:val="-1"/>
                <w:sz w:val="18"/>
              </w:rPr>
              <w:t>22,500,000.00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34" w:lineRule="exact"/>
              <w:ind w:left="415" w:right="0"/>
              <w:jc w:val="left"/>
              <w:rPr>
                <w:rFonts w:ascii="宋体" w:hAnsi="宋体" w:cs="宋体" w:eastAsia="宋体" w:hint="default"/>
                <w:sz w:val="18"/>
                <w:szCs w:val="18"/>
              </w:rPr>
            </w:pPr>
            <w:r>
              <w:rPr>
                <w:rFonts w:ascii="宋体"/>
                <w:spacing w:val="-1"/>
                <w:sz w:val="18"/>
              </w:rPr>
              <w:t>12,825,000.00</w:t>
            </w: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pacing w:val="-1"/>
                <w:sz w:val="18"/>
              </w:rPr>
              <w:t>35,325,000.00</w:t>
            </w:r>
          </w:p>
        </w:tc>
      </w:tr>
      <w:tr>
        <w:trPr>
          <w:trHeight w:val="341"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3,750,000.00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3,750,000.00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3,750,000.00</w:t>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22,500,000.00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22,500,000.00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22,500,000.00</w:t>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15,000,000.00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pacing w:val="-1"/>
                <w:sz w:val="18"/>
              </w:rPr>
              <w:t>31,500,000.00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pacing w:val="-1"/>
                <w:sz w:val="18"/>
              </w:rPr>
              <w:t>31,500,000.00</w:t>
            </w:r>
          </w:p>
        </w:tc>
      </w:tr>
      <w:tr>
        <w:trPr>
          <w:trHeight w:val="341"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36,696,712.50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36,696,712.50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36,696,712.50</w:t>
            </w:r>
          </w:p>
        </w:tc>
      </w:tr>
      <w:tr>
        <w:trPr>
          <w:trHeight w:val="340"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30,000,000.00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30,000,000.00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30,000,000.00</w:t>
            </w:r>
          </w:p>
        </w:tc>
      </w:tr>
      <w:tr>
        <w:trPr>
          <w:trHeight w:val="324"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5,000,000.00</w:t>
            </w: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pacing w:val="-1"/>
                <w:sz w:val="18"/>
              </w:rPr>
              <w:t>5,000,000.00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8" w:space="0" w:color="000000"/>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pacing w:val="-1"/>
                <w:sz w:val="18"/>
              </w:rPr>
              <w:t>5,000,000.00</w:t>
            </w:r>
          </w:p>
        </w:tc>
      </w:tr>
      <w:tr>
        <w:trPr>
          <w:trHeight w:val="374"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169,282,767.50</w:t>
            </w:r>
          </w:p>
        </w:tc>
        <w:tc>
          <w:tcPr>
            <w:tcW w:w="230" w:type="dxa"/>
            <w:tcBorders>
              <w:top w:val="nil" w:sz="6" w:space="0" w:color="auto"/>
              <w:left w:val="nil" w:sz="6" w:space="0" w:color="auto"/>
              <w:bottom w:val="nil" w:sz="6" w:space="0" w:color="auto"/>
              <w:right w:val="nil" w:sz="6" w:space="0" w:color="auto"/>
            </w:tcBorders>
          </w:tcPr>
          <w:p>
            <w:pPr/>
          </w:p>
        </w:tc>
        <w:tc>
          <w:tcPr>
            <w:tcW w:w="1586"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left="415" w:right="0"/>
              <w:jc w:val="left"/>
              <w:rPr>
                <w:rFonts w:ascii="宋体" w:hAnsi="宋体" w:cs="宋体" w:eastAsia="宋体" w:hint="default"/>
                <w:sz w:val="18"/>
                <w:szCs w:val="18"/>
              </w:rPr>
            </w:pPr>
            <w:r>
              <w:rPr>
                <w:rFonts w:ascii="宋体"/>
                <w:spacing w:val="-1"/>
                <w:sz w:val="18"/>
              </w:rPr>
              <w:t>12,825,000.00</w:t>
            </w:r>
          </w:p>
        </w:tc>
        <w:tc>
          <w:tcPr>
            <w:tcW w:w="238"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single" w:sz="17"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182,107,767.50</w:t>
            </w:r>
          </w:p>
        </w:tc>
      </w:tr>
    </w:tbl>
    <w:p>
      <w:pPr>
        <w:pStyle w:val="BodyText"/>
        <w:spacing w:line="240" w:lineRule="auto" w:before="72"/>
        <w:ind w:left="620" w:right="0"/>
        <w:jc w:val="left"/>
      </w:pPr>
      <w:r>
        <w:rPr/>
        <w:t>（续）</w:t>
      </w:r>
    </w:p>
    <w:p>
      <w:pPr>
        <w:spacing w:line="240" w:lineRule="auto" w:before="13"/>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3334"/>
        <w:gridCol w:w="235"/>
        <w:gridCol w:w="1270"/>
        <w:gridCol w:w="235"/>
        <w:gridCol w:w="974"/>
        <w:gridCol w:w="274"/>
        <w:gridCol w:w="2669"/>
        <w:gridCol w:w="228"/>
        <w:gridCol w:w="1805"/>
        <w:gridCol w:w="229"/>
        <w:gridCol w:w="2155"/>
      </w:tblGrid>
      <w:tr>
        <w:trPr>
          <w:trHeight w:val="918" w:hRule="exact"/>
        </w:trPr>
        <w:tc>
          <w:tcPr>
            <w:tcW w:w="3334"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8" w:space="0" w:color="000000"/>
              <w:right w:val="nil" w:sz="6" w:space="0" w:color="auto"/>
            </w:tcBorders>
          </w:tcPr>
          <w:p>
            <w:pPr>
              <w:pStyle w:val="TableParagraph"/>
              <w:spacing w:line="232" w:lineRule="exact" w:before="87"/>
              <w:ind w:left="184" w:right="183"/>
              <w:jc w:val="center"/>
              <w:rPr>
                <w:rFonts w:ascii="宋体" w:hAnsi="宋体" w:cs="宋体" w:eastAsia="宋体" w:hint="default"/>
                <w:sz w:val="18"/>
                <w:szCs w:val="18"/>
              </w:rPr>
            </w:pPr>
            <w:r>
              <w:rPr>
                <w:rFonts w:ascii="宋体" w:hAnsi="宋体" w:cs="宋体" w:eastAsia="宋体" w:hint="default"/>
                <w:sz w:val="18"/>
                <w:szCs w:val="18"/>
              </w:rPr>
              <w:t>在被投资单 位持股比例</w:t>
            </w:r>
          </w:p>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8" w:space="0" w:color="000000"/>
              <w:right w:val="nil" w:sz="6" w:space="0" w:color="auto"/>
            </w:tcBorders>
          </w:tcPr>
          <w:p>
            <w:pPr>
              <w:pStyle w:val="TableParagraph"/>
              <w:spacing w:line="180" w:lineRule="exact"/>
              <w:ind w:left="127" w:right="0"/>
              <w:jc w:val="both"/>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32" w:lineRule="exact" w:before="24"/>
              <w:ind w:left="127" w:right="125"/>
              <w:jc w:val="both"/>
              <w:rPr>
                <w:rFonts w:ascii="宋体" w:hAnsi="宋体" w:cs="宋体" w:eastAsia="宋体" w:hint="default"/>
                <w:sz w:val="18"/>
                <w:szCs w:val="18"/>
              </w:rPr>
            </w:pPr>
            <w:r>
              <w:rPr>
                <w:rFonts w:ascii="宋体" w:hAnsi="宋体" w:cs="宋体" w:eastAsia="宋体" w:hint="default"/>
                <w:sz w:val="18"/>
                <w:szCs w:val="18"/>
              </w:rPr>
              <w:t>单位享有 表决权比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2" w:lineRule="exact"/>
              <w:ind w:left="523" w:right="165" w:hanging="360"/>
              <w:jc w:val="left"/>
              <w:rPr>
                <w:rFonts w:ascii="宋体" w:hAnsi="宋体" w:cs="宋体" w:eastAsia="宋体" w:hint="default"/>
                <w:sz w:val="18"/>
                <w:szCs w:val="18"/>
              </w:rPr>
            </w:pPr>
            <w:r>
              <w:rPr>
                <w:rFonts w:ascii="宋体" w:hAnsi="宋体" w:cs="宋体" w:eastAsia="宋体" w:hint="default"/>
                <w:sz w:val="18"/>
                <w:szCs w:val="18"/>
              </w:rPr>
              <w:t>在被投资单位持股比例与表决 权比例不一致的说明</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77" w:hRule="exact"/>
        </w:trPr>
        <w:tc>
          <w:tcPr>
            <w:tcW w:w="3334"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93.75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100.00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single" w:sz="8"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1,430,587.97</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z w:val="18"/>
              </w:rPr>
              <w:t>75.00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z w:val="18"/>
              </w:rPr>
              <w:t>75.00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2,927,386.44</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93.75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100.00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33" w:lineRule="exact"/>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641,743.95</w:t>
            </w:r>
          </w:p>
        </w:tc>
      </w:tr>
      <w:tr>
        <w:trPr>
          <w:trHeight w:val="341"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z w:val="18"/>
              </w:rPr>
              <w:t>93.75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100.00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5,584,726.12</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z w:val="18"/>
              </w:rPr>
              <w:t>75.00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z w:val="18"/>
              </w:rPr>
              <w:t>75.00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2,684,222.65</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75.00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75.00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9,048,816.63</w:t>
            </w:r>
          </w:p>
        </w:tc>
      </w:tr>
      <w:tr>
        <w:trPr>
          <w:trHeight w:val="314"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100.00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r>
      <w:tr>
        <w:trPr>
          <w:trHeight w:val="35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100.00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8"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8" w:space="0" w:color="000000"/>
              <w:right w:val="nil" w:sz="6" w:space="0" w:color="auto"/>
            </w:tcBorders>
          </w:tcPr>
          <w:p>
            <w:pPr/>
          </w:p>
        </w:tc>
      </w:tr>
      <w:tr>
        <w:trPr>
          <w:trHeight w:val="374"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single" w:sz="8" w:space="0" w:color="000000"/>
              <w:left w:val="nil" w:sz="6" w:space="0" w:color="auto"/>
              <w:bottom w:val="single" w:sz="17"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22,317,483.76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6"/>
        <w:ind w:left="6967" w:right="6961" w:firstLine="0"/>
        <w:jc w:val="center"/>
        <w:rPr>
          <w:rFonts w:ascii="Times New Roman" w:hAnsi="Times New Roman" w:cs="Times New Roman" w:eastAsia="Times New Roman" w:hint="default"/>
          <w:sz w:val="18"/>
          <w:szCs w:val="18"/>
        </w:rPr>
      </w:pPr>
      <w:r>
        <w:rPr>
          <w:rFonts w:ascii="Times New Roman"/>
          <w:sz w:val="18"/>
        </w:rPr>
        <w:t>109</w:t>
      </w:r>
    </w:p>
    <w:p>
      <w:pPr>
        <w:spacing w:after="0"/>
        <w:jc w:val="center"/>
        <w:rPr>
          <w:rFonts w:ascii="Times New Roman" w:hAnsi="Times New Roman" w:cs="Times New Roman" w:eastAsia="Times New Roman" w:hint="default"/>
          <w:sz w:val="18"/>
          <w:szCs w:val="18"/>
        </w:rPr>
        <w:sectPr>
          <w:headerReference w:type="default" r:id="rId53"/>
          <w:footerReference w:type="default" r:id="rId54"/>
          <w:pgSz w:w="16840" w:h="11910" w:orient="landscape"/>
          <w:pgMar w:header="0" w:footer="0" w:top="760" w:bottom="2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3616" type="#_x0000_t75" stroked="false">
            <v:imagedata r:id="rId57" o:title=""/>
          </v:shape>
        </w:pict>
      </w:r>
      <w:r>
        <w:rPr/>
        <w:pict>
          <v:group style="position:absolute;margin-left:88.103996pt;margin-top:41.999985pt;width:419.25pt;height:16.3500pt;mso-position-horizontal-relative:page;mso-position-vertical-relative:page;z-index:-74411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spacing w:line="240" w:lineRule="auto" w:before="7"/>
        <w:rPr>
          <w:rFonts w:ascii="Times New Roman" w:hAnsi="Times New Roman" w:cs="Times New Roman" w:eastAsia="Times New Roman" w:hint="default"/>
          <w:sz w:val="24"/>
          <w:szCs w:val="24"/>
        </w:rPr>
      </w:pPr>
    </w:p>
    <w:p>
      <w:pPr>
        <w:pStyle w:val="Heading2"/>
        <w:spacing w:line="367"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pStyle w:val="BodyText"/>
        <w:tabs>
          <w:tab w:pos="1097" w:val="left" w:leader="none"/>
        </w:tabs>
        <w:spacing w:line="240" w:lineRule="auto" w:before="177"/>
        <w:ind w:left="618" w:right="0"/>
        <w:jc w:val="left"/>
      </w:pPr>
      <w:r>
        <w:rPr/>
        <w:t>⑴</w:t>
        <w:tab/>
        <w:t>营业收入及营业成本</w:t>
      </w:r>
    </w:p>
    <w:p>
      <w:pPr>
        <w:spacing w:line="240" w:lineRule="auto" w:before="1"/>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722"/>
        <w:gridCol w:w="226"/>
        <w:gridCol w:w="2708"/>
        <w:gridCol w:w="317"/>
        <w:gridCol w:w="2931"/>
      </w:tblGrid>
      <w:tr>
        <w:trPr>
          <w:trHeight w:val="253" w:hRule="exact"/>
        </w:trPr>
        <w:tc>
          <w:tcPr>
            <w:tcW w:w="2722"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11" w:lineRule="exact"/>
              <w:ind w:left="830"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8" w:space="0" w:color="000000"/>
              <w:right w:val="nil" w:sz="6" w:space="0" w:color="auto"/>
            </w:tcBorders>
          </w:tcPr>
          <w:p>
            <w:pPr>
              <w:pStyle w:val="TableParagraph"/>
              <w:spacing w:line="211" w:lineRule="exact"/>
              <w:ind w:left="940"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84" w:hRule="exact"/>
        </w:trPr>
        <w:tc>
          <w:tcPr>
            <w:tcW w:w="272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460,107,001.24</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418,313,756.18</w:t>
            </w:r>
            <w:r>
              <w:rPr>
                <w:rFonts w:ascii="宋体"/>
                <w:sz w:val="20"/>
              </w:rPr>
            </w:r>
          </w:p>
        </w:tc>
      </w:tr>
      <w:tr>
        <w:trPr>
          <w:trHeight w:val="31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
              <w:jc w:val="right"/>
              <w:rPr>
                <w:rFonts w:ascii="宋体" w:hAnsi="宋体" w:cs="宋体" w:eastAsia="宋体" w:hint="default"/>
                <w:sz w:val="20"/>
                <w:szCs w:val="20"/>
              </w:rPr>
            </w:pPr>
            <w:r>
              <w:rPr>
                <w:rFonts w:ascii="宋体"/>
                <w:w w:val="95"/>
                <w:sz w:val="20"/>
              </w:rPr>
              <w:t>44,219,096.74</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3"/>
              <w:jc w:val="right"/>
              <w:rPr>
                <w:rFonts w:ascii="宋体" w:hAnsi="宋体" w:cs="宋体" w:eastAsia="宋体" w:hint="default"/>
                <w:sz w:val="20"/>
                <w:szCs w:val="20"/>
              </w:rPr>
            </w:pPr>
            <w:r>
              <w:rPr>
                <w:rFonts w:ascii="宋体"/>
                <w:w w:val="95"/>
                <w:sz w:val="20"/>
              </w:rPr>
              <w:t>15,105,118.32</w:t>
            </w:r>
            <w:r>
              <w:rPr>
                <w:rFonts w:ascii="宋体"/>
                <w:sz w:val="20"/>
              </w:rPr>
            </w:r>
          </w:p>
        </w:tc>
      </w:tr>
      <w:tr>
        <w:trPr>
          <w:trHeight w:val="372"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0"/>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504,326,097.98</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433,418,874.50</w:t>
            </w:r>
            <w:r>
              <w:rPr>
                <w:rFonts w:ascii="宋体"/>
                <w:sz w:val="20"/>
              </w:rPr>
            </w:r>
          </w:p>
        </w:tc>
      </w:tr>
      <w:tr>
        <w:trPr>
          <w:trHeight w:val="398"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17" w:space="0" w:color="000000"/>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20"/>
                <w:szCs w:val="20"/>
              </w:rPr>
            </w:pPr>
            <w:r>
              <w:rPr>
                <w:rFonts w:ascii="宋体"/>
                <w:w w:val="95"/>
                <w:sz w:val="20"/>
              </w:rPr>
              <w:t>335,415,792.57</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17" w:space="0" w:color="000000"/>
              <w:left w:val="nil" w:sz="6" w:space="0" w:color="auto"/>
              <w:bottom w:val="nil" w:sz="6" w:space="0" w:color="auto"/>
              <w:right w:val="nil" w:sz="6" w:space="0" w:color="auto"/>
            </w:tcBorders>
          </w:tcPr>
          <w:p>
            <w:pPr>
              <w:pStyle w:val="TableParagraph"/>
              <w:spacing w:line="240" w:lineRule="auto" w:before="52"/>
              <w:ind w:right="3"/>
              <w:jc w:val="right"/>
              <w:rPr>
                <w:rFonts w:ascii="宋体" w:hAnsi="宋体" w:cs="宋体" w:eastAsia="宋体" w:hint="default"/>
                <w:sz w:val="20"/>
                <w:szCs w:val="20"/>
              </w:rPr>
            </w:pPr>
            <w:r>
              <w:rPr>
                <w:rFonts w:ascii="宋体"/>
                <w:w w:val="95"/>
                <w:sz w:val="20"/>
              </w:rPr>
              <w:t>293,172,747.51</w:t>
            </w:r>
            <w:r>
              <w:rPr>
                <w:rFonts w:ascii="宋体"/>
                <w:sz w:val="20"/>
              </w:rPr>
            </w:r>
          </w:p>
        </w:tc>
      </w:tr>
      <w:tr>
        <w:trPr>
          <w:trHeight w:val="31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
              <w:jc w:val="right"/>
              <w:rPr>
                <w:rFonts w:ascii="宋体" w:hAnsi="宋体" w:cs="宋体" w:eastAsia="宋体" w:hint="default"/>
                <w:sz w:val="20"/>
                <w:szCs w:val="20"/>
              </w:rPr>
            </w:pPr>
            <w:r>
              <w:rPr>
                <w:rFonts w:ascii="宋体"/>
                <w:w w:val="95"/>
                <w:sz w:val="20"/>
              </w:rPr>
              <w:t>43,000,242.31</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3"/>
              <w:jc w:val="right"/>
              <w:rPr>
                <w:rFonts w:ascii="宋体" w:hAnsi="宋体" w:cs="宋体" w:eastAsia="宋体" w:hint="default"/>
                <w:sz w:val="20"/>
                <w:szCs w:val="20"/>
              </w:rPr>
            </w:pPr>
            <w:r>
              <w:rPr>
                <w:rFonts w:ascii="宋体"/>
                <w:w w:val="95"/>
                <w:sz w:val="20"/>
              </w:rPr>
              <w:t>11,424,223.47</w:t>
            </w:r>
            <w:r>
              <w:rPr>
                <w:rFonts w:ascii="宋体"/>
                <w:sz w:val="20"/>
              </w:rPr>
            </w:r>
          </w:p>
        </w:tc>
      </w:tr>
      <w:tr>
        <w:trPr>
          <w:trHeight w:val="37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0"/>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宋体" w:hAnsi="宋体" w:cs="宋体" w:eastAsia="宋体" w:hint="default"/>
                <w:sz w:val="20"/>
                <w:szCs w:val="20"/>
              </w:rPr>
            </w:pPr>
            <w:r>
              <w:rPr>
                <w:rFonts w:ascii="宋体"/>
                <w:w w:val="95"/>
                <w:sz w:val="20"/>
              </w:rPr>
              <w:t>378,416,034.88</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304,596,970.98</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1097" w:val="left" w:leader="none"/>
        </w:tabs>
        <w:spacing w:line="240" w:lineRule="auto" w:before="26"/>
        <w:ind w:left="618" w:right="0"/>
        <w:jc w:val="left"/>
      </w:pPr>
      <w:r>
        <w:rPr/>
        <w:t>⑵</w:t>
        <w:tab/>
        <w:t>主营业务（分行业）</w:t>
      </w:r>
    </w:p>
    <w:p>
      <w:pPr>
        <w:spacing w:line="240" w:lineRule="auto" w:before="1"/>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1332"/>
        <w:gridCol w:w="235"/>
        <w:gridCol w:w="1688"/>
        <w:gridCol w:w="274"/>
        <w:gridCol w:w="1623"/>
        <w:gridCol w:w="235"/>
        <w:gridCol w:w="1606"/>
        <w:gridCol w:w="235"/>
        <w:gridCol w:w="1627"/>
      </w:tblGrid>
      <w:tr>
        <w:trPr>
          <w:trHeight w:val="251" w:hRule="exact"/>
        </w:trPr>
        <w:tc>
          <w:tcPr>
            <w:tcW w:w="5151"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830"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704"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47"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0" w:hRule="exact"/>
        </w:trPr>
        <w:tc>
          <w:tcPr>
            <w:tcW w:w="1332"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242"/>
              <w:jc w:val="right"/>
              <w:rPr>
                <w:rFonts w:ascii="宋体" w:hAnsi="宋体" w:cs="宋体" w:eastAsia="宋体" w:hint="default"/>
                <w:sz w:val="21"/>
                <w:szCs w:val="21"/>
              </w:rPr>
            </w:pPr>
            <w:r>
              <w:rPr>
                <w:rFonts w:ascii="宋体" w:hAnsi="宋体" w:cs="宋体" w:eastAsia="宋体" w:hint="default"/>
                <w:spacing w:val="-1"/>
                <w:sz w:val="21"/>
                <w:szCs w:val="21"/>
              </w:rPr>
              <w:t>行业名称</w:t>
            </w:r>
          </w:p>
        </w:tc>
        <w:tc>
          <w:tcPr>
            <w:tcW w:w="235"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4" w:type="dxa"/>
            <w:tcBorders>
              <w:top w:val="single" w:sz="8" w:space="0" w:color="000000"/>
              <w:left w:val="nil" w:sz="6" w:space="0" w:color="auto"/>
              <w:bottom w:val="nil" w:sz="6" w:space="0" w:color="auto"/>
              <w:right w:val="nil" w:sz="6" w:space="0" w:color="auto"/>
            </w:tcBorders>
          </w:tcPr>
          <w:p>
            <w:pPr/>
          </w:p>
        </w:tc>
        <w:tc>
          <w:tcPr>
            <w:tcW w:w="162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5" w:type="dxa"/>
            <w:tcBorders>
              <w:top w:val="single" w:sz="8" w:space="0" w:color="000000"/>
              <w:left w:val="nil" w:sz="6" w:space="0" w:color="auto"/>
              <w:bottom w:val="nil" w:sz="6" w:space="0" w:color="auto"/>
              <w:right w:val="nil" w:sz="6" w:space="0" w:color="auto"/>
            </w:tcBorders>
          </w:tcPr>
          <w:p>
            <w:pP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9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0" w:hRule="exact"/>
        </w:trPr>
        <w:tc>
          <w:tcPr>
            <w:tcW w:w="1332"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218"/>
              <w:jc w:val="right"/>
              <w:rPr>
                <w:rFonts w:ascii="宋体" w:hAnsi="宋体" w:cs="宋体" w:eastAsia="宋体" w:hint="default"/>
                <w:sz w:val="21"/>
                <w:szCs w:val="21"/>
              </w:rPr>
            </w:pPr>
            <w:r>
              <w:rPr>
                <w:rFonts w:ascii="宋体" w:hAnsi="宋体" w:cs="宋体" w:eastAsia="宋体" w:hint="default"/>
                <w:spacing w:val="-1"/>
                <w:sz w:val="21"/>
                <w:szCs w:val="21"/>
              </w:rPr>
              <w:t>票证印刷业</w:t>
            </w:r>
          </w:p>
        </w:tc>
        <w:tc>
          <w:tcPr>
            <w:tcW w:w="235"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6"/>
              <w:jc w:val="right"/>
              <w:rPr>
                <w:rFonts w:ascii="宋体" w:hAnsi="宋体" w:cs="宋体" w:eastAsia="宋体" w:hint="default"/>
                <w:sz w:val="20"/>
                <w:szCs w:val="20"/>
              </w:rPr>
            </w:pPr>
            <w:r>
              <w:rPr>
                <w:rFonts w:ascii="宋体"/>
                <w:w w:val="95"/>
                <w:sz w:val="20"/>
              </w:rPr>
              <w:t>460,107,001.24</w:t>
            </w:r>
            <w:r>
              <w:rPr>
                <w:rFonts w:ascii="宋体"/>
                <w:sz w:val="20"/>
              </w:rPr>
            </w:r>
          </w:p>
        </w:tc>
        <w:tc>
          <w:tcPr>
            <w:tcW w:w="274" w:type="dxa"/>
            <w:tcBorders>
              <w:top w:val="nil" w:sz="6" w:space="0" w:color="auto"/>
              <w:left w:val="nil" w:sz="6" w:space="0" w:color="auto"/>
              <w:bottom w:val="nil" w:sz="6" w:space="0" w:color="auto"/>
              <w:right w:val="nil" w:sz="6" w:space="0" w:color="auto"/>
            </w:tcBorders>
          </w:tcPr>
          <w:p>
            <w:pPr/>
          </w:p>
        </w:tc>
        <w:tc>
          <w:tcPr>
            <w:tcW w:w="1623"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335,415,792.57</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418,313,756.18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293,172,747.51</w:t>
            </w:r>
            <w:r>
              <w:rPr>
                <w:rFonts w:ascii="宋体"/>
                <w:sz w:val="20"/>
              </w:rPr>
            </w:r>
          </w:p>
        </w:tc>
      </w:tr>
      <w:tr>
        <w:trPr>
          <w:trHeight w:val="374"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5"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4"/>
              <w:jc w:val="right"/>
              <w:rPr>
                <w:rFonts w:ascii="宋体" w:hAnsi="宋体" w:cs="宋体" w:eastAsia="宋体" w:hint="default"/>
                <w:sz w:val="20"/>
                <w:szCs w:val="20"/>
              </w:rPr>
            </w:pPr>
            <w:r>
              <w:rPr>
                <w:rFonts w:ascii="宋体"/>
                <w:w w:val="95"/>
                <w:sz w:val="20"/>
              </w:rPr>
              <w:t>460,107,001.24</w:t>
            </w:r>
            <w:r>
              <w:rPr>
                <w:rFonts w:ascii="宋体"/>
                <w:sz w:val="20"/>
              </w:rPr>
            </w:r>
          </w:p>
        </w:tc>
        <w:tc>
          <w:tcPr>
            <w:tcW w:w="274" w:type="dxa"/>
            <w:tcBorders>
              <w:top w:val="nil" w:sz="6" w:space="0" w:color="auto"/>
              <w:left w:val="nil" w:sz="6" w:space="0" w:color="auto"/>
              <w:bottom w:val="nil" w:sz="6" w:space="0" w:color="auto"/>
              <w:right w:val="nil" w:sz="6" w:space="0" w:color="auto"/>
            </w:tcBorders>
          </w:tcPr>
          <w:p>
            <w:pPr/>
          </w:p>
        </w:tc>
        <w:tc>
          <w:tcPr>
            <w:tcW w:w="1623"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335,415,792.57</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418,313,756.18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
              <w:jc w:val="right"/>
              <w:rPr>
                <w:rFonts w:ascii="宋体" w:hAnsi="宋体" w:cs="宋体" w:eastAsia="宋体" w:hint="default"/>
                <w:sz w:val="20"/>
                <w:szCs w:val="20"/>
              </w:rPr>
            </w:pPr>
            <w:r>
              <w:rPr>
                <w:rFonts w:ascii="宋体"/>
                <w:w w:val="95"/>
                <w:sz w:val="20"/>
              </w:rPr>
              <w:t>293,172,747.51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1097" w:val="left" w:leader="none"/>
        </w:tabs>
        <w:spacing w:line="240" w:lineRule="auto" w:before="26"/>
        <w:ind w:left="618" w:right="0"/>
        <w:jc w:val="left"/>
      </w:pPr>
      <w:r>
        <w:rPr/>
        <w:t>⑶</w:t>
        <w:tab/>
        <w:t>主营业务（分产品）</w:t>
      </w:r>
    </w:p>
    <w:p>
      <w:pPr>
        <w:spacing w:line="240" w:lineRule="auto" w:before="1"/>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1399"/>
        <w:gridCol w:w="221"/>
        <w:gridCol w:w="1620"/>
        <w:gridCol w:w="216"/>
        <w:gridCol w:w="1673"/>
        <w:gridCol w:w="259"/>
        <w:gridCol w:w="1591"/>
        <w:gridCol w:w="279"/>
        <w:gridCol w:w="1584"/>
      </w:tblGrid>
      <w:tr>
        <w:trPr>
          <w:trHeight w:val="251" w:hRule="exact"/>
        </w:trPr>
        <w:tc>
          <w:tcPr>
            <w:tcW w:w="5130"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849"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713"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63"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60" w:hRule="exact"/>
        </w:trPr>
        <w:tc>
          <w:tcPr>
            <w:tcW w:w="139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27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8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 w:type="dxa"/>
            <w:tcBorders>
              <w:top w:val="single" w:sz="8" w:space="0" w:color="000000"/>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9" w:type="dxa"/>
            <w:tcBorders>
              <w:top w:val="single" w:sz="8" w:space="0" w:color="000000"/>
              <w:left w:val="nil" w:sz="6" w:space="0" w:color="auto"/>
              <w:bottom w:val="nil" w:sz="6" w:space="0" w:color="auto"/>
              <w:right w:val="nil" w:sz="6" w:space="0" w:color="auto"/>
            </w:tcBorders>
          </w:tcPr>
          <w:p>
            <w:pPr/>
          </w:p>
        </w:tc>
        <w:tc>
          <w:tcPr>
            <w:tcW w:w="158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36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4" w:hRule="exact"/>
        </w:trPr>
        <w:tc>
          <w:tcPr>
            <w:tcW w:w="139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票证产品</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345,386,152.14</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237,712,765.70</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319,734,446.91</w:t>
            </w:r>
          </w:p>
        </w:tc>
        <w:tc>
          <w:tcPr>
            <w:tcW w:w="279" w:type="dxa"/>
            <w:tcBorders>
              <w:top w:val="nil" w:sz="6" w:space="0" w:color="auto"/>
              <w:left w:val="nil" w:sz="6" w:space="0" w:color="auto"/>
              <w:bottom w:val="nil" w:sz="6" w:space="0" w:color="auto"/>
              <w:right w:val="nil" w:sz="6" w:space="0" w:color="auto"/>
            </w:tcBorders>
          </w:tcPr>
          <w:p>
            <w:pPr/>
          </w:p>
        </w:tc>
        <w:tc>
          <w:tcPr>
            <w:tcW w:w="158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214,702,193.49</w:t>
            </w:r>
          </w:p>
        </w:tc>
      </w:tr>
      <w:tr>
        <w:trPr>
          <w:trHeight w:val="34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纸制品</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46,806,784.31</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45,123,800.89</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52,318,257.92</w:t>
            </w:r>
          </w:p>
        </w:tc>
        <w:tc>
          <w:tcPr>
            <w:tcW w:w="279"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47,457,906.32</w:t>
            </w:r>
          </w:p>
        </w:tc>
      </w:tr>
      <w:tr>
        <w:trPr>
          <w:trHeight w:val="341"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1"/>
                <w:szCs w:val="21"/>
              </w:rPr>
            </w:pPr>
            <w:r>
              <w:rPr>
                <w:rFonts w:ascii="宋体" w:hAnsi="宋体" w:cs="宋体" w:eastAsia="宋体" w:hint="default"/>
                <w:sz w:val="21"/>
                <w:szCs w:val="21"/>
              </w:rPr>
              <w:t>标签</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32,762,279.66</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22,727,730.46</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16,390,937.08</w:t>
            </w:r>
          </w:p>
        </w:tc>
        <w:tc>
          <w:tcPr>
            <w:tcW w:w="279"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9,322,780.62</w:t>
            </w:r>
          </w:p>
        </w:tc>
      </w:tr>
      <w:tr>
        <w:trPr>
          <w:trHeight w:val="34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1"/>
                <w:szCs w:val="21"/>
              </w:rPr>
            </w:pPr>
            <w:r>
              <w:rPr>
                <w:rFonts w:ascii="宋体" w:hAnsi="宋体" w:cs="宋体" w:eastAsia="宋体" w:hint="default"/>
                <w:sz w:val="21"/>
                <w:szCs w:val="21"/>
              </w:rPr>
              <w:t>数据产品</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29,874,717.70</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24,393,304.16</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29,870,114.27</w:t>
            </w:r>
          </w:p>
        </w:tc>
        <w:tc>
          <w:tcPr>
            <w:tcW w:w="279"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21,689,867.08</w:t>
            </w:r>
          </w:p>
        </w:tc>
      </w:tr>
      <w:tr>
        <w:trPr>
          <w:trHeight w:val="312"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彩印</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5,277,067.43</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5,458,191.36</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
        </w:tc>
      </w:tr>
      <w:tr>
        <w:trPr>
          <w:trHeight w:val="367"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1"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460,107,001.24</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335,415,792.57</w:t>
            </w:r>
          </w:p>
        </w:tc>
        <w:tc>
          <w:tcPr>
            <w:tcW w:w="259" w:type="dxa"/>
            <w:tcBorders>
              <w:top w:val="nil" w:sz="6" w:space="0" w:color="auto"/>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418,313,756.18</w:t>
            </w:r>
          </w:p>
        </w:tc>
        <w:tc>
          <w:tcPr>
            <w:tcW w:w="279"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293,172,747.51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tabs>
          <w:tab w:pos="1097" w:val="left" w:leader="none"/>
        </w:tabs>
        <w:spacing w:line="240" w:lineRule="auto" w:before="26"/>
        <w:ind w:left="618" w:right="0"/>
        <w:jc w:val="left"/>
      </w:pPr>
      <w:r>
        <w:rPr/>
        <w:t>⑷</w:t>
        <w:tab/>
        <w:t>主营业务（分地区）</w:t>
      </w:r>
    </w:p>
    <w:p>
      <w:pPr>
        <w:spacing w:line="240" w:lineRule="auto" w:before="12"/>
        <w:rPr>
          <w:rFonts w:ascii="宋体" w:hAnsi="宋体" w:cs="宋体" w:eastAsia="宋体" w:hint="default"/>
          <w:sz w:val="6"/>
          <w:szCs w:val="6"/>
        </w:rPr>
      </w:pPr>
    </w:p>
    <w:tbl>
      <w:tblPr>
        <w:tblW w:w="0" w:type="auto"/>
        <w:jc w:val="left"/>
        <w:tblInd w:w="174" w:type="dxa"/>
        <w:tblLayout w:type="fixed"/>
        <w:tblCellMar>
          <w:top w:w="0" w:type="dxa"/>
          <w:left w:w="0" w:type="dxa"/>
          <w:bottom w:w="0" w:type="dxa"/>
          <w:right w:w="0" w:type="dxa"/>
        </w:tblCellMar>
        <w:tblLook w:val="01E0"/>
      </w:tblPr>
      <w:tblGrid>
        <w:gridCol w:w="1385"/>
        <w:gridCol w:w="218"/>
        <w:gridCol w:w="1596"/>
        <w:gridCol w:w="228"/>
        <w:gridCol w:w="1716"/>
        <w:gridCol w:w="230"/>
        <w:gridCol w:w="1603"/>
        <w:gridCol w:w="229"/>
        <w:gridCol w:w="1649"/>
      </w:tblGrid>
      <w:tr>
        <w:trPr>
          <w:trHeight w:val="251" w:hRule="exact"/>
        </w:trPr>
        <w:tc>
          <w:tcPr>
            <w:tcW w:w="5144"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846"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711"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47"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305" w:hRule="exact"/>
        </w:trPr>
        <w:tc>
          <w:tcPr>
            <w:tcW w:w="1385" w:type="dxa"/>
            <w:tcBorders>
              <w:top w:val="nil" w:sz="6" w:space="0" w:color="auto"/>
              <w:left w:val="nil" w:sz="6" w:space="0" w:color="auto"/>
              <w:bottom w:val="single" w:sz="8" w:space="0" w:color="000000"/>
              <w:right w:val="nil" w:sz="6" w:space="0" w:color="auto"/>
            </w:tcBorders>
          </w:tcPr>
          <w:p>
            <w:pPr>
              <w:pStyle w:val="TableParagraph"/>
              <w:spacing w:line="265" w:lineRule="exact"/>
              <w:ind w:left="27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8" w:space="0" w:color="000000"/>
              <w:right w:val="nil" w:sz="6" w:space="0" w:color="auto"/>
            </w:tcBorders>
          </w:tcPr>
          <w:p>
            <w:pPr>
              <w:pStyle w:val="TableParagraph"/>
              <w:spacing w:line="255" w:lineRule="exact"/>
              <w:ind w:left="3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 w:type="dxa"/>
            <w:tcBorders>
              <w:top w:val="single" w:sz="8" w:space="0" w:color="000000"/>
              <w:left w:val="nil" w:sz="6" w:space="0" w:color="auto"/>
              <w:bottom w:val="nil" w:sz="6" w:space="0" w:color="auto"/>
              <w:right w:val="nil" w:sz="6" w:space="0" w:color="auto"/>
            </w:tcBorders>
          </w:tcPr>
          <w:p>
            <w:pPr/>
          </w:p>
        </w:tc>
        <w:tc>
          <w:tcPr>
            <w:tcW w:w="1716" w:type="dxa"/>
            <w:tcBorders>
              <w:top w:val="single" w:sz="8" w:space="0" w:color="000000"/>
              <w:left w:val="nil" w:sz="6" w:space="0" w:color="auto"/>
              <w:bottom w:val="single" w:sz="8" w:space="0" w:color="000000"/>
              <w:right w:val="nil" w:sz="6" w:space="0" w:color="auto"/>
            </w:tcBorders>
          </w:tcPr>
          <w:p>
            <w:pPr>
              <w:pStyle w:val="TableParagraph"/>
              <w:spacing w:line="255"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single" w:sz="8" w:space="0" w:color="000000"/>
              <w:left w:val="nil" w:sz="6" w:space="0" w:color="auto"/>
              <w:bottom w:val="single" w:sz="8" w:space="0" w:color="000000"/>
              <w:right w:val="nil" w:sz="6" w:space="0" w:color="auto"/>
            </w:tcBorders>
          </w:tcPr>
          <w:p>
            <w:pPr>
              <w:pStyle w:val="TableParagraph"/>
              <w:spacing w:line="255" w:lineRule="exact"/>
              <w:ind w:left="3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9" w:type="dxa"/>
            <w:tcBorders>
              <w:top w:val="single" w:sz="8" w:space="0" w:color="000000"/>
              <w:left w:val="nil" w:sz="6" w:space="0" w:color="auto"/>
              <w:bottom w:val="nil" w:sz="6" w:space="0" w:color="auto"/>
              <w:right w:val="nil" w:sz="6" w:space="0" w:color="auto"/>
            </w:tcBorders>
          </w:tcPr>
          <w:p>
            <w:pPr/>
          </w:p>
        </w:tc>
        <w:tc>
          <w:tcPr>
            <w:tcW w:w="1649" w:type="dxa"/>
            <w:tcBorders>
              <w:top w:val="single" w:sz="8" w:space="0" w:color="000000"/>
              <w:left w:val="nil" w:sz="6" w:space="0" w:color="auto"/>
              <w:bottom w:val="single" w:sz="8" w:space="0" w:color="000000"/>
              <w:right w:val="nil" w:sz="6" w:space="0" w:color="auto"/>
            </w:tcBorders>
          </w:tcPr>
          <w:p>
            <w:pPr>
              <w:pStyle w:val="TableParagraph"/>
              <w:spacing w:line="255" w:lineRule="exact"/>
              <w:ind w:left="40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9" w:hRule="exact"/>
        </w:trPr>
        <w:tc>
          <w:tcPr>
            <w:tcW w:w="1385" w:type="dxa"/>
            <w:tcBorders>
              <w:top w:val="single" w:sz="8" w:space="0" w:color="000000"/>
              <w:left w:val="nil" w:sz="6" w:space="0" w:color="auto"/>
              <w:bottom w:val="nil" w:sz="6" w:space="0" w:color="auto"/>
              <w:right w:val="nil" w:sz="6" w:space="0" w:color="auto"/>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nil" w:sz="6" w:space="0" w:color="auto"/>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458,773,195.63</w:t>
            </w:r>
          </w:p>
        </w:tc>
        <w:tc>
          <w:tcPr>
            <w:tcW w:w="228" w:type="dxa"/>
            <w:tcBorders>
              <w:top w:val="nil" w:sz="6" w:space="0" w:color="auto"/>
              <w:left w:val="nil" w:sz="6" w:space="0" w:color="auto"/>
              <w:bottom w:val="nil" w:sz="6" w:space="0" w:color="auto"/>
              <w:right w:val="nil" w:sz="6" w:space="0" w:color="auto"/>
            </w:tcBorders>
          </w:tcPr>
          <w:p>
            <w:pPr/>
          </w:p>
        </w:tc>
        <w:tc>
          <w:tcPr>
            <w:tcW w:w="1716" w:type="dxa"/>
            <w:tcBorders>
              <w:top w:val="single" w:sz="8" w:space="0" w:color="000000"/>
              <w:left w:val="nil" w:sz="6" w:space="0" w:color="auto"/>
              <w:bottom w:val="nil" w:sz="6" w:space="0" w:color="auto"/>
              <w:right w:val="nil" w:sz="6" w:space="0" w:color="auto"/>
            </w:tcBorders>
          </w:tcPr>
          <w:p>
            <w:pPr>
              <w:pStyle w:val="TableParagraph"/>
              <w:spacing w:line="244" w:lineRule="exact"/>
              <w:ind w:right="3"/>
              <w:jc w:val="right"/>
              <w:rPr>
                <w:rFonts w:ascii="宋体" w:hAnsi="宋体" w:cs="宋体" w:eastAsia="宋体" w:hint="default"/>
                <w:sz w:val="20"/>
                <w:szCs w:val="20"/>
              </w:rPr>
            </w:pPr>
            <w:r>
              <w:rPr>
                <w:rFonts w:ascii="宋体"/>
                <w:w w:val="95"/>
                <w:sz w:val="20"/>
              </w:rPr>
              <w:t>334,455,160.68</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single" w:sz="8" w:space="0" w:color="000000"/>
              <w:left w:val="nil" w:sz="6" w:space="0" w:color="auto"/>
              <w:bottom w:val="nil" w:sz="6" w:space="0" w:color="auto"/>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417,058,920.96</w:t>
            </w:r>
          </w:p>
        </w:tc>
        <w:tc>
          <w:tcPr>
            <w:tcW w:w="229" w:type="dxa"/>
            <w:tcBorders>
              <w:top w:val="nil" w:sz="6" w:space="0" w:color="auto"/>
              <w:left w:val="nil" w:sz="6" w:space="0" w:color="auto"/>
              <w:bottom w:val="nil" w:sz="6" w:space="0" w:color="auto"/>
              <w:right w:val="nil" w:sz="6" w:space="0" w:color="auto"/>
            </w:tcBorders>
          </w:tcPr>
          <w:p>
            <w:pPr/>
          </w:p>
        </w:tc>
        <w:tc>
          <w:tcPr>
            <w:tcW w:w="1649" w:type="dxa"/>
            <w:tcBorders>
              <w:top w:val="single" w:sz="8" w:space="0" w:color="000000"/>
              <w:left w:val="nil" w:sz="6" w:space="0" w:color="auto"/>
              <w:bottom w:val="nil" w:sz="6" w:space="0" w:color="auto"/>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292,265,394.94</w:t>
            </w:r>
          </w:p>
        </w:tc>
      </w:tr>
      <w:tr>
        <w:trPr>
          <w:trHeight w:val="289"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7" w:lineRule="exact"/>
              <w:ind w:left="4"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1,333,805.61</w:t>
            </w:r>
          </w:p>
        </w:tc>
        <w:tc>
          <w:tcPr>
            <w:tcW w:w="22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8" w:space="0" w:color="000000"/>
              <w:right w:val="nil" w:sz="6" w:space="0" w:color="auto"/>
            </w:tcBorders>
          </w:tcPr>
          <w:p>
            <w:pPr>
              <w:pStyle w:val="TableParagraph"/>
              <w:spacing w:line="250" w:lineRule="exact"/>
              <w:ind w:right="3"/>
              <w:jc w:val="right"/>
              <w:rPr>
                <w:rFonts w:ascii="宋体" w:hAnsi="宋体" w:cs="宋体" w:eastAsia="宋体" w:hint="default"/>
                <w:sz w:val="20"/>
                <w:szCs w:val="20"/>
              </w:rPr>
            </w:pPr>
            <w:r>
              <w:rPr>
                <w:rFonts w:ascii="宋体"/>
                <w:w w:val="95"/>
                <w:sz w:val="20"/>
              </w:rPr>
              <w:t>960,631.89</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1,254,835.22</w:t>
            </w:r>
          </w:p>
        </w:tc>
        <w:tc>
          <w:tcPr>
            <w:tcW w:w="22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8" w:space="0" w:color="000000"/>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spacing w:val="-1"/>
                <w:sz w:val="21"/>
              </w:rPr>
              <w:t>907,352.57</w:t>
            </w:r>
          </w:p>
        </w:tc>
      </w:tr>
      <w:tr>
        <w:trPr>
          <w:trHeight w:val="319"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460,107,001.24</w:t>
            </w:r>
          </w:p>
        </w:tc>
        <w:tc>
          <w:tcPr>
            <w:tcW w:w="228" w:type="dxa"/>
            <w:tcBorders>
              <w:top w:val="nil" w:sz="6" w:space="0" w:color="auto"/>
              <w:left w:val="nil" w:sz="6" w:space="0" w:color="auto"/>
              <w:bottom w:val="nil" w:sz="6" w:space="0" w:color="auto"/>
              <w:right w:val="nil" w:sz="6" w:space="0" w:color="auto"/>
            </w:tcBorders>
          </w:tcPr>
          <w:p>
            <w:pPr/>
          </w:p>
        </w:tc>
        <w:tc>
          <w:tcPr>
            <w:tcW w:w="1716" w:type="dxa"/>
            <w:tcBorders>
              <w:top w:val="single" w:sz="8" w:space="0" w:color="000000"/>
              <w:left w:val="nil" w:sz="6" w:space="0" w:color="auto"/>
              <w:bottom w:val="single" w:sz="17" w:space="0" w:color="000000"/>
              <w:right w:val="nil" w:sz="6" w:space="0" w:color="auto"/>
            </w:tcBorders>
          </w:tcPr>
          <w:p>
            <w:pPr>
              <w:pStyle w:val="TableParagraph"/>
              <w:spacing w:line="256" w:lineRule="exact"/>
              <w:ind w:right="3"/>
              <w:jc w:val="right"/>
              <w:rPr>
                <w:rFonts w:ascii="宋体" w:hAnsi="宋体" w:cs="宋体" w:eastAsia="宋体" w:hint="default"/>
                <w:sz w:val="20"/>
                <w:szCs w:val="20"/>
              </w:rPr>
            </w:pPr>
            <w:r>
              <w:rPr>
                <w:rFonts w:ascii="宋体"/>
                <w:w w:val="95"/>
                <w:sz w:val="20"/>
              </w:rPr>
              <w:t>335,415,792.57</w:t>
            </w:r>
            <w:r>
              <w:rPr>
                <w:rFonts w:ascii="宋体"/>
                <w:sz w:val="20"/>
              </w:rPr>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418,313,756.18</w:t>
            </w:r>
          </w:p>
        </w:tc>
        <w:tc>
          <w:tcPr>
            <w:tcW w:w="229" w:type="dxa"/>
            <w:tcBorders>
              <w:top w:val="nil" w:sz="6" w:space="0" w:color="auto"/>
              <w:left w:val="nil" w:sz="6" w:space="0" w:color="auto"/>
              <w:bottom w:val="nil" w:sz="6" w:space="0" w:color="auto"/>
              <w:right w:val="nil" w:sz="6" w:space="0" w:color="auto"/>
            </w:tcBorders>
          </w:tcPr>
          <w:p>
            <w:pPr/>
          </w:p>
        </w:tc>
        <w:tc>
          <w:tcPr>
            <w:tcW w:w="1649"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spacing w:val="-1"/>
                <w:sz w:val="21"/>
              </w:rPr>
              <w:t>293,172,747.51</w:t>
            </w:r>
          </w:p>
        </w:tc>
      </w:tr>
    </w:tbl>
    <w:p>
      <w:pPr>
        <w:spacing w:line="240" w:lineRule="auto" w:before="2"/>
        <w:rPr>
          <w:rFonts w:ascii="宋体" w:hAnsi="宋体" w:cs="宋体" w:eastAsia="宋体" w:hint="default"/>
          <w:sz w:val="10"/>
          <w:szCs w:val="10"/>
        </w:rPr>
      </w:pPr>
    </w:p>
    <w:p>
      <w:pPr>
        <w:pStyle w:val="BodyText"/>
        <w:spacing w:line="240" w:lineRule="auto" w:before="26"/>
        <w:ind w:left="618" w:right="0"/>
        <w:jc w:val="left"/>
      </w:pPr>
      <w:r>
        <w:rPr/>
        <w:t>⑸ 公司前五名客户的主营业务收入情况</w:t>
      </w:r>
    </w:p>
    <w:p>
      <w:pPr>
        <w:spacing w:line="240" w:lineRule="auto" w:before="12"/>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716"/>
        <w:gridCol w:w="1210"/>
        <w:gridCol w:w="3123"/>
        <w:gridCol w:w="410"/>
        <w:gridCol w:w="2559"/>
      </w:tblGrid>
      <w:tr>
        <w:trPr>
          <w:trHeight w:val="282" w:hRule="exact"/>
        </w:trPr>
        <w:tc>
          <w:tcPr>
            <w:tcW w:w="1716"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2"/>
                <w:sz w:val="21"/>
                <w:szCs w:val="21"/>
              </w:rPr>
              <w:t> </w:t>
            </w:r>
            <w:r>
              <w:rPr>
                <w:rFonts w:ascii="宋体" w:hAnsi="宋体" w:cs="宋体" w:eastAsia="宋体" w:hint="default"/>
                <w:sz w:val="21"/>
                <w:szCs w:val="21"/>
              </w:rPr>
              <w:t>间</w:t>
            </w:r>
          </w:p>
        </w:tc>
        <w:tc>
          <w:tcPr>
            <w:tcW w:w="1210"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single" w:sz="8" w:space="0" w:color="000000"/>
              <w:right w:val="nil" w:sz="6" w:space="0" w:color="auto"/>
            </w:tcBorders>
          </w:tcPr>
          <w:p>
            <w:pPr>
              <w:pStyle w:val="TableParagraph"/>
              <w:spacing w:line="211" w:lineRule="exact"/>
              <w:ind w:left="194" w:right="0"/>
              <w:jc w:val="left"/>
              <w:rPr>
                <w:rFonts w:ascii="宋体" w:hAnsi="宋体" w:cs="宋体" w:eastAsia="宋体" w:hint="default"/>
                <w:sz w:val="21"/>
                <w:szCs w:val="21"/>
              </w:rPr>
            </w:pPr>
            <w:r>
              <w:rPr>
                <w:rFonts w:ascii="宋体" w:hAnsi="宋体" w:cs="宋体" w:eastAsia="宋体" w:hint="default"/>
                <w:sz w:val="21"/>
                <w:szCs w:val="21"/>
              </w:rPr>
              <w:t>前五名客户主营业务收入合计</w:t>
            </w:r>
          </w:p>
        </w:tc>
        <w:tc>
          <w:tcPr>
            <w:tcW w:w="410"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single" w:sz="8" w:space="0" w:color="000000"/>
              <w:right w:val="nil" w:sz="6" w:space="0" w:color="auto"/>
            </w:tcBorders>
          </w:tcPr>
          <w:p>
            <w:pPr>
              <w:pStyle w:val="TableParagraph"/>
              <w:spacing w:line="211" w:lineRule="exact"/>
              <w:ind w:left="331" w:right="0"/>
              <w:jc w:val="left"/>
              <w:rPr>
                <w:rFonts w:ascii="宋体" w:hAnsi="宋体" w:cs="宋体" w:eastAsia="宋体" w:hint="default"/>
                <w:sz w:val="21"/>
                <w:szCs w:val="21"/>
              </w:rPr>
            </w:pPr>
            <w:r>
              <w:rPr>
                <w:rFonts w:ascii="宋体" w:hAnsi="宋体" w:cs="宋体" w:eastAsia="宋体" w:hint="default"/>
                <w:sz w:val="21"/>
                <w:szCs w:val="21"/>
              </w:rPr>
              <w:t>占主营业务收入比例</w:t>
            </w:r>
          </w:p>
        </w:tc>
      </w:tr>
      <w:tr>
        <w:trPr>
          <w:trHeight w:val="339" w:hRule="exact"/>
        </w:trPr>
        <w:tc>
          <w:tcPr>
            <w:tcW w:w="1716" w:type="dxa"/>
            <w:tcBorders>
              <w:top w:val="single" w:sz="8" w:space="0" w:color="000000"/>
              <w:left w:val="nil" w:sz="6" w:space="0" w:color="auto"/>
              <w:bottom w:val="nil" w:sz="6" w:space="0" w:color="auto"/>
              <w:right w:val="nil" w:sz="6" w:space="0" w:color="auto"/>
            </w:tcBorders>
          </w:tcPr>
          <w:p>
            <w:pPr>
              <w:pStyle w:val="TableParagraph"/>
              <w:spacing w:line="269" w:lineRule="exact"/>
              <w:ind w:left="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0" w:type="dxa"/>
            <w:tcBorders>
              <w:top w:val="nil" w:sz="6" w:space="0" w:color="auto"/>
              <w:left w:val="nil" w:sz="6" w:space="0" w:color="auto"/>
              <w:bottom w:val="nil" w:sz="6" w:space="0" w:color="auto"/>
              <w:right w:val="nil" w:sz="6" w:space="0" w:color="auto"/>
            </w:tcBorders>
          </w:tcPr>
          <w:p>
            <w:pPr/>
          </w:p>
        </w:tc>
        <w:tc>
          <w:tcPr>
            <w:tcW w:w="3123" w:type="dxa"/>
            <w:tcBorders>
              <w:top w:val="single" w:sz="8" w:space="0" w:color="000000"/>
              <w:left w:val="nil" w:sz="6" w:space="0" w:color="auto"/>
              <w:bottom w:val="nil" w:sz="6" w:space="0" w:color="auto"/>
              <w:right w:val="nil" w:sz="6" w:space="0" w:color="auto"/>
            </w:tcBorders>
          </w:tcPr>
          <w:p>
            <w:pPr>
              <w:pStyle w:val="TableParagraph"/>
              <w:spacing w:line="269" w:lineRule="exact"/>
              <w:ind w:right="0"/>
              <w:jc w:val="right"/>
              <w:rPr>
                <w:rFonts w:ascii="宋体" w:hAnsi="宋体" w:cs="宋体" w:eastAsia="宋体" w:hint="default"/>
                <w:sz w:val="21"/>
                <w:szCs w:val="21"/>
              </w:rPr>
            </w:pPr>
            <w:r>
              <w:rPr>
                <w:rFonts w:ascii="宋体"/>
                <w:spacing w:val="-1"/>
                <w:sz w:val="21"/>
              </w:rPr>
              <w:t>69,612,947.77</w:t>
            </w:r>
          </w:p>
        </w:tc>
        <w:tc>
          <w:tcPr>
            <w:tcW w:w="410" w:type="dxa"/>
            <w:tcBorders>
              <w:top w:val="nil" w:sz="6" w:space="0" w:color="auto"/>
              <w:left w:val="nil" w:sz="6" w:space="0" w:color="auto"/>
              <w:bottom w:val="nil" w:sz="6" w:space="0" w:color="auto"/>
              <w:right w:val="nil" w:sz="6" w:space="0" w:color="auto"/>
            </w:tcBorders>
          </w:tcPr>
          <w:p>
            <w:pPr/>
          </w:p>
        </w:tc>
        <w:tc>
          <w:tcPr>
            <w:tcW w:w="2559" w:type="dxa"/>
            <w:tcBorders>
              <w:top w:val="single" w:sz="8" w:space="0" w:color="000000"/>
              <w:left w:val="nil" w:sz="6" w:space="0" w:color="auto"/>
              <w:bottom w:val="nil" w:sz="6" w:space="0" w:color="auto"/>
              <w:right w:val="nil" w:sz="6" w:space="0" w:color="auto"/>
            </w:tcBorders>
          </w:tcPr>
          <w:p>
            <w:pPr>
              <w:pStyle w:val="TableParagraph"/>
              <w:spacing w:line="269" w:lineRule="exact"/>
              <w:ind w:right="0"/>
              <w:jc w:val="right"/>
              <w:rPr>
                <w:rFonts w:ascii="宋体" w:hAnsi="宋体" w:cs="宋体" w:eastAsia="宋体" w:hint="default"/>
                <w:sz w:val="21"/>
                <w:szCs w:val="21"/>
              </w:rPr>
            </w:pPr>
            <w:r>
              <w:rPr>
                <w:rFonts w:ascii="宋体"/>
                <w:sz w:val="21"/>
              </w:rPr>
              <w:t>15.13%</w:t>
            </w:r>
          </w:p>
        </w:tc>
      </w:tr>
      <w:tr>
        <w:trPr>
          <w:trHeight w:val="271"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0"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pacing w:val="-1"/>
                <w:sz w:val="21"/>
              </w:rPr>
              <w:t>86,464,641.85</w:t>
            </w:r>
          </w:p>
        </w:tc>
        <w:tc>
          <w:tcPr>
            <w:tcW w:w="410"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20.67%</w:t>
            </w:r>
          </w:p>
        </w:tc>
      </w:tr>
    </w:tbl>
    <w:p>
      <w:pPr>
        <w:spacing w:after="0" w:line="271" w:lineRule="exact"/>
        <w:jc w:val="right"/>
        <w:rPr>
          <w:rFonts w:ascii="宋体" w:hAnsi="宋体" w:cs="宋体" w:eastAsia="宋体" w:hint="default"/>
          <w:sz w:val="21"/>
          <w:szCs w:val="21"/>
        </w:rPr>
        <w:sectPr>
          <w:headerReference w:type="default" r:id="rId55"/>
          <w:footerReference w:type="default" r:id="rId56"/>
          <w:pgSz w:w="11910" w:h="16840"/>
          <w:pgMar w:header="915" w:footer="802" w:top="1100" w:bottom="1000" w:left="1660" w:right="0"/>
          <w:pgNumType w:start="11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2"/>
        <w:spacing w:line="367" w:lineRule="exact"/>
        <w:ind w:right="0"/>
        <w:jc w:val="left"/>
        <w:rPr>
          <w:b w:val="0"/>
          <w:bCs w:val="0"/>
        </w:rPr>
      </w:pPr>
      <w:r>
        <w:rPr>
          <w:rFonts w:ascii="Times New Roman" w:hAnsi="Times New Roman" w:cs="Times New Roman" w:eastAsia="Times New Roman" w:hint="default"/>
        </w:rPr>
        <w:t>5</w:t>
      </w:r>
      <w:r>
        <w:rPr/>
        <w:t>、投资收益</w:t>
      </w:r>
      <w:r>
        <w:rPr>
          <w:b w:val="0"/>
          <w:bCs w:val="0"/>
        </w:rPr>
      </w:r>
    </w:p>
    <w:p>
      <w:pPr>
        <w:pStyle w:val="BodyText"/>
        <w:tabs>
          <w:tab w:pos="1097" w:val="left" w:leader="none"/>
        </w:tabs>
        <w:spacing w:line="240" w:lineRule="auto" w:before="179"/>
        <w:ind w:left="618" w:right="0"/>
        <w:jc w:val="left"/>
      </w:pPr>
      <w:r>
        <w:rPr/>
        <w:t>⑴</w:t>
        <w:tab/>
        <w:t>投资收益项目明细</w:t>
      </w:r>
    </w:p>
    <w:p>
      <w:pPr>
        <w:spacing w:line="240" w:lineRule="auto" w:before="4"/>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4229"/>
        <w:gridCol w:w="433"/>
        <w:gridCol w:w="1968"/>
        <w:gridCol w:w="252"/>
        <w:gridCol w:w="2088"/>
      </w:tblGrid>
      <w:tr>
        <w:trPr>
          <w:trHeight w:val="258" w:hRule="exact"/>
        </w:trPr>
        <w:tc>
          <w:tcPr>
            <w:tcW w:w="4229" w:type="dxa"/>
            <w:tcBorders>
              <w:top w:val="nil" w:sz="6" w:space="0" w:color="auto"/>
              <w:left w:val="nil" w:sz="6" w:space="0" w:color="auto"/>
              <w:bottom w:val="single" w:sz="8" w:space="0" w:color="000000"/>
              <w:right w:val="nil" w:sz="6" w:space="0" w:color="auto"/>
            </w:tcBorders>
          </w:tcPr>
          <w:p>
            <w:pPr>
              <w:pStyle w:val="TableParagraph"/>
              <w:spacing w:line="211" w:lineRule="exact"/>
              <w:ind w:left="137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43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8" w:space="0" w:color="000000"/>
              <w:right w:val="nil" w:sz="6" w:space="0" w:color="auto"/>
            </w:tcBorders>
          </w:tcPr>
          <w:p>
            <w:pPr>
              <w:pStyle w:val="TableParagraph"/>
              <w:spacing w:line="21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8" w:space="0" w:color="000000"/>
              <w:right w:val="nil" w:sz="6" w:space="0" w:color="auto"/>
            </w:tcBorders>
          </w:tcPr>
          <w:p>
            <w:pPr>
              <w:pStyle w:val="TableParagraph"/>
              <w:spacing w:line="211" w:lineRule="exact"/>
              <w:ind w:left="5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4229" w:type="dxa"/>
            <w:tcBorders>
              <w:top w:val="single" w:sz="8" w:space="0" w:color="000000"/>
              <w:left w:val="nil" w:sz="6" w:space="0" w:color="auto"/>
              <w:bottom w:val="nil" w:sz="6" w:space="0" w:color="auto"/>
              <w:right w:val="nil" w:sz="6" w:space="0" w:color="auto"/>
            </w:tcBorders>
          </w:tcPr>
          <w:p>
            <w:pPr>
              <w:pStyle w:val="TableParagraph"/>
              <w:spacing w:line="255" w:lineRule="exact"/>
              <w:ind w:left="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433"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22,317,483.76</w:t>
            </w:r>
          </w:p>
        </w:tc>
        <w:tc>
          <w:tcPr>
            <w:tcW w:w="252" w:type="dxa"/>
            <w:tcBorders>
              <w:top w:val="nil" w:sz="6" w:space="0" w:color="auto"/>
              <w:left w:val="nil" w:sz="6" w:space="0" w:color="auto"/>
              <w:bottom w:val="nil" w:sz="6" w:space="0" w:color="auto"/>
              <w:right w:val="nil" w:sz="6" w:space="0" w:color="auto"/>
            </w:tcBorders>
          </w:tcPr>
          <w:p>
            <w:pPr/>
          </w:p>
        </w:tc>
        <w:tc>
          <w:tcPr>
            <w:tcW w:w="2088" w:type="dxa"/>
            <w:tcBorders>
              <w:top w:val="single" w:sz="8" w:space="0" w:color="000000"/>
              <w:left w:val="nil" w:sz="6" w:space="0" w:color="auto"/>
              <w:bottom w:val="single" w:sz="8" w:space="0" w:color="000000"/>
              <w:right w:val="nil" w:sz="6" w:space="0" w:color="auto"/>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29,409,202.10</w:t>
            </w:r>
          </w:p>
        </w:tc>
      </w:tr>
      <w:tr>
        <w:trPr>
          <w:trHeight w:val="319"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433"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single" w:sz="17" w:space="0" w:color="000000"/>
              <w:right w:val="nil" w:sz="6" w:space="0" w:color="auto"/>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22,317,483.76</w:t>
            </w:r>
          </w:p>
        </w:tc>
        <w:tc>
          <w:tcPr>
            <w:tcW w:w="252" w:type="dxa"/>
            <w:tcBorders>
              <w:top w:val="nil" w:sz="6" w:space="0" w:color="auto"/>
              <w:left w:val="nil" w:sz="6" w:space="0" w:color="auto"/>
              <w:bottom w:val="nil" w:sz="6" w:space="0" w:color="auto"/>
              <w:right w:val="nil" w:sz="6" w:space="0" w:color="auto"/>
            </w:tcBorders>
          </w:tcPr>
          <w:p>
            <w:pPr/>
          </w:p>
        </w:tc>
        <w:tc>
          <w:tcPr>
            <w:tcW w:w="2088" w:type="dxa"/>
            <w:tcBorders>
              <w:top w:val="single" w:sz="8" w:space="0" w:color="000000"/>
              <w:left w:val="nil" w:sz="6" w:space="0" w:color="auto"/>
              <w:bottom w:val="single" w:sz="17" w:space="0" w:color="000000"/>
              <w:right w:val="nil" w:sz="6" w:space="0" w:color="auto"/>
            </w:tcBorders>
          </w:tcPr>
          <w:p>
            <w:pPr>
              <w:pStyle w:val="TableParagraph"/>
              <w:spacing w:line="255" w:lineRule="exact"/>
              <w:ind w:right="0"/>
              <w:jc w:val="right"/>
              <w:rPr>
                <w:rFonts w:ascii="宋体" w:hAnsi="宋体" w:cs="宋体" w:eastAsia="宋体" w:hint="default"/>
                <w:sz w:val="21"/>
                <w:szCs w:val="21"/>
              </w:rPr>
            </w:pPr>
            <w:r>
              <w:rPr>
                <w:rFonts w:ascii="宋体"/>
                <w:spacing w:val="-1"/>
                <w:sz w:val="21"/>
              </w:rPr>
              <w:t>29,409,202.10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097" w:val="left" w:leader="none"/>
        </w:tabs>
        <w:spacing w:line="240" w:lineRule="auto" w:before="26"/>
        <w:ind w:left="618" w:right="0"/>
        <w:jc w:val="left"/>
      </w:pPr>
      <w:r>
        <w:rPr/>
        <w:t>⑵</w:t>
        <w:tab/>
        <w:t>按成本法核算的长期股权投资收益</w:t>
      </w:r>
    </w:p>
    <w:p>
      <w:pPr>
        <w:spacing w:line="240" w:lineRule="auto" w:before="1"/>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4229"/>
        <w:gridCol w:w="433"/>
        <w:gridCol w:w="1995"/>
        <w:gridCol w:w="235"/>
        <w:gridCol w:w="2081"/>
      </w:tblGrid>
      <w:tr>
        <w:trPr>
          <w:trHeight w:val="251" w:hRule="exact"/>
        </w:trPr>
        <w:tc>
          <w:tcPr>
            <w:tcW w:w="4229" w:type="dxa"/>
            <w:tcBorders>
              <w:top w:val="nil" w:sz="6" w:space="0" w:color="auto"/>
              <w:left w:val="nil" w:sz="6" w:space="0" w:color="auto"/>
              <w:bottom w:val="single" w:sz="8" w:space="0" w:color="000000"/>
              <w:right w:val="nil" w:sz="6" w:space="0" w:color="auto"/>
            </w:tcBorders>
          </w:tcPr>
          <w:p>
            <w:pPr>
              <w:pStyle w:val="TableParagraph"/>
              <w:spacing w:line="211" w:lineRule="exact"/>
              <w:ind w:left="137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8" w:space="0" w:color="000000"/>
              <w:right w:val="nil" w:sz="6" w:space="0" w:color="auto"/>
            </w:tcBorders>
          </w:tcPr>
          <w:p>
            <w:pPr>
              <w:pStyle w:val="TableParagraph"/>
              <w:spacing w:line="21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8" w:space="0" w:color="000000"/>
              <w:right w:val="nil" w:sz="6" w:space="0" w:color="auto"/>
            </w:tcBorders>
          </w:tcPr>
          <w:p>
            <w:pPr>
              <w:pStyle w:val="TableParagraph"/>
              <w:spacing w:line="211" w:lineRule="exact"/>
              <w:ind w:left="51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84" w:hRule="exact"/>
        </w:trPr>
        <w:tc>
          <w:tcPr>
            <w:tcW w:w="422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1,430,587.97</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1,910,883.67</w:t>
            </w:r>
          </w:p>
        </w:tc>
      </w:tr>
      <w:tr>
        <w:trPr>
          <w:trHeight w:val="34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2,927,386.44</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11,438,578.48</w:t>
            </w:r>
          </w:p>
        </w:tc>
      </w:tr>
      <w:tr>
        <w:trPr>
          <w:trHeight w:val="341"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641,743.95</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r>
      <w:tr>
        <w:trPr>
          <w:trHeight w:val="34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5,584,726.12</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2,050,174.15</w:t>
            </w:r>
          </w:p>
        </w:tc>
      </w:tr>
      <w:tr>
        <w:trPr>
          <w:trHeight w:val="340"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青海东港安全印刷有限公司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4,038,865.91</w:t>
            </w:r>
          </w:p>
        </w:tc>
      </w:tr>
      <w:tr>
        <w:trPr>
          <w:trHeight w:val="341"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2,684,222.65</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8,439,404.48</w:t>
            </w:r>
          </w:p>
        </w:tc>
      </w:tr>
      <w:tr>
        <w:trPr>
          <w:trHeight w:val="316"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9,048,816.63</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1,531,295.41</w:t>
            </w:r>
          </w:p>
        </w:tc>
      </w:tr>
      <w:tr>
        <w:trPr>
          <w:trHeight w:val="374" w:hRule="exact"/>
        </w:trPr>
        <w:tc>
          <w:tcPr>
            <w:tcW w:w="422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33" w:type="dxa"/>
            <w:tcBorders>
              <w:top w:val="nil" w:sz="6" w:space="0" w:color="auto"/>
              <w:left w:val="nil" w:sz="6" w:space="0" w:color="auto"/>
              <w:bottom w:val="nil" w:sz="6" w:space="0" w:color="auto"/>
              <w:right w:val="nil" w:sz="6" w:space="0" w:color="auto"/>
            </w:tcBorders>
          </w:tcPr>
          <w:p>
            <w:pPr/>
          </w:p>
        </w:tc>
        <w:tc>
          <w:tcPr>
            <w:tcW w:w="199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22,317,483.76</w:t>
            </w:r>
          </w:p>
        </w:tc>
        <w:tc>
          <w:tcPr>
            <w:tcW w:w="235" w:type="dxa"/>
            <w:tcBorders>
              <w:top w:val="nil" w:sz="6" w:space="0" w:color="auto"/>
              <w:left w:val="nil" w:sz="6" w:space="0" w:color="auto"/>
              <w:bottom w:val="nil" w:sz="6" w:space="0" w:color="auto"/>
              <w:right w:val="nil" w:sz="6" w:space="0" w:color="auto"/>
            </w:tcBorders>
          </w:tcPr>
          <w:p>
            <w:pPr/>
          </w:p>
        </w:tc>
        <w:tc>
          <w:tcPr>
            <w:tcW w:w="2081"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29,409,202.10</w:t>
            </w:r>
          </w:p>
        </w:tc>
      </w:tr>
    </w:tbl>
    <w:p>
      <w:pPr>
        <w:spacing w:line="240" w:lineRule="auto" w:before="4"/>
        <w:rPr>
          <w:rFonts w:ascii="宋体" w:hAnsi="宋体" w:cs="宋体" w:eastAsia="宋体" w:hint="default"/>
          <w:sz w:val="19"/>
          <w:szCs w:val="19"/>
        </w:rPr>
      </w:pPr>
    </w:p>
    <w:p>
      <w:pPr>
        <w:pStyle w:val="Heading2"/>
        <w:spacing w:line="367" w:lineRule="exact"/>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Microsoft JhengHei" w:hAnsi="Microsoft JhengHei" w:cs="Microsoft JhengHei" w:eastAsia="Microsoft JhengHei"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4770"/>
        <w:gridCol w:w="504"/>
        <w:gridCol w:w="1639"/>
        <w:gridCol w:w="452"/>
        <w:gridCol w:w="1666"/>
      </w:tblGrid>
      <w:tr>
        <w:trPr>
          <w:trHeight w:val="212" w:hRule="exact"/>
        </w:trPr>
        <w:tc>
          <w:tcPr>
            <w:tcW w:w="4770" w:type="dxa"/>
            <w:tcBorders>
              <w:top w:val="nil" w:sz="6" w:space="0" w:color="auto"/>
              <w:left w:val="nil" w:sz="6" w:space="0" w:color="auto"/>
              <w:bottom w:val="single" w:sz="4" w:space="0" w:color="000000"/>
              <w:right w:val="nil" w:sz="6" w:space="0" w:color="auto"/>
            </w:tcBorders>
          </w:tcPr>
          <w:p>
            <w:pPr>
              <w:pStyle w:val="TableParagraph"/>
              <w:tabs>
                <w:tab w:pos="451"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8" w:hRule="exact"/>
        </w:trPr>
        <w:tc>
          <w:tcPr>
            <w:tcW w:w="477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80"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58,283,735.73</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76,165,088.44</w:t>
            </w: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967,069.41</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-1,094,520.57</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32,152,961.97</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26,752,278.64</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1,698,013.53</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1,897,607.55</w:t>
            </w: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207,381.72</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207,381.72</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208,454.68</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38,158.60</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3,387,984.37</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525,868.08</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pacing w:val="1"/>
                <w:sz w:val="18"/>
                <w:szCs w:val="18"/>
              </w:rPr>
              <w:t> </w:t>
            </w:r>
            <w:r>
              <w:rPr>
                <w:rFonts w:ascii="宋体" w:hAnsi="宋体" w:cs="宋体" w:eastAsia="宋体" w:hint="default"/>
                <w:sz w:val="18"/>
                <w:szCs w:val="18"/>
              </w:rPr>
              <w:t>”号填列）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-22,317,483.76</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-29,409,202.10</w:t>
            </w: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417,716.94</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-231,596.60</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-3,397,182.65</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-7,340,141.42</w:t>
            </w: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15,219,528.64</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-21,328,747.93</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89,260,707.79</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7,973,302.71</w:t>
            </w:r>
          </w:p>
        </w:tc>
      </w:tr>
      <w:tr>
        <w:trPr>
          <w:trHeight w:val="296"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6" w:space="0" w:color="000000"/>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6" w:space="0" w:color="000000"/>
              <w:right w:val="nil" w:sz="6" w:space="0" w:color="auto"/>
            </w:tcBorders>
          </w:tcPr>
          <w:p>
            <w:pPr/>
          </w:p>
        </w:tc>
      </w:tr>
      <w:tr>
        <w:trPr>
          <w:trHeight w:val="37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single" w:sz="6" w:space="0" w:color="000000"/>
              <w:left w:val="nil" w:sz="6" w:space="0" w:color="auto"/>
              <w:bottom w:val="single" w:sz="17"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176,088,888.37</w:t>
            </w: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single" w:sz="6" w:space="0" w:color="000000"/>
              <w:left w:val="nil" w:sz="6" w:space="0" w:color="auto"/>
              <w:bottom w:val="single" w:sz="17" w:space="0" w:color="000000"/>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pacing w:val="-1"/>
                <w:sz w:val="18"/>
              </w:rPr>
              <w:t>54,155,477.12</w:t>
            </w:r>
          </w:p>
        </w:tc>
      </w:tr>
      <w:tr>
        <w:trPr>
          <w:trHeight w:val="335"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504" w:type="dxa"/>
            <w:tcBorders>
              <w:top w:val="nil" w:sz="6" w:space="0" w:color="auto"/>
              <w:left w:val="nil" w:sz="6" w:space="0" w:color="auto"/>
              <w:bottom w:val="nil" w:sz="6" w:space="0" w:color="auto"/>
              <w:right w:val="nil" w:sz="6" w:space="0" w:color="auto"/>
            </w:tcBorders>
          </w:tcPr>
          <w:p>
            <w:pPr/>
          </w:p>
        </w:tc>
        <w:tc>
          <w:tcPr>
            <w:tcW w:w="1639" w:type="dxa"/>
            <w:tcBorders>
              <w:top w:val="single" w:sz="17" w:space="0" w:color="000000"/>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666" w:type="dxa"/>
            <w:tcBorders>
              <w:top w:val="single" w:sz="17" w:space="0" w:color="000000"/>
              <w:left w:val="nil" w:sz="6" w:space="0" w:color="auto"/>
              <w:bottom w:val="nil" w:sz="6" w:space="0" w:color="auto"/>
              <w:right w:val="nil" w:sz="6" w:space="0" w:color="auto"/>
            </w:tcBorders>
          </w:tcPr>
          <w:p>
            <w:pPr/>
          </w:p>
        </w:tc>
      </w:tr>
    </w:tbl>
    <w:p>
      <w:pPr>
        <w:spacing w:after="0"/>
        <w:sectPr>
          <w:headerReference w:type="default" r:id="rId58"/>
          <w:pgSz w:w="11910" w:h="16840"/>
          <w:pgMar w:header="840" w:footer="802" w:top="1160" w:bottom="1020" w:left="1660" w:right="1000"/>
        </w:sectPr>
      </w:pPr>
    </w:p>
    <w:p>
      <w:pPr>
        <w:spacing w:line="240" w:lineRule="auto" w:before="2"/>
        <w:rPr>
          <w:rFonts w:ascii="Microsoft JhengHei" w:hAnsi="Microsoft JhengHei" w:cs="Microsoft JhengHei" w:eastAsia="Microsoft JhengHei" w:hint="default"/>
          <w:b/>
          <w:bCs/>
          <w:sz w:val="2"/>
          <w:szCs w:val="2"/>
        </w:rPr>
      </w:pPr>
      <w:r>
        <w:rPr/>
        <w:pict>
          <v:shape style="position:absolute;margin-left:90.150002pt;margin-top:41.999985pt;width:18pt;height:15.75pt;mso-position-horizontal-relative:page;mso-position-vertical-relative:page;z-index:-744088" type="#_x0000_t75" stroked="false">
            <v:imagedata r:id="rId7" o:title=""/>
          </v:shape>
        </w:pict>
      </w:r>
    </w:p>
    <w:tbl>
      <w:tblPr>
        <w:tblW w:w="0" w:type="auto"/>
        <w:jc w:val="left"/>
        <w:tblInd w:w="109" w:type="dxa"/>
        <w:tblLayout w:type="fixed"/>
        <w:tblCellMar>
          <w:top w:w="0" w:type="dxa"/>
          <w:left w:w="0" w:type="dxa"/>
          <w:bottom w:w="0" w:type="dxa"/>
          <w:right w:w="0" w:type="dxa"/>
        </w:tblCellMar>
        <w:tblLook w:val="01E0"/>
      </w:tblPr>
      <w:tblGrid>
        <w:gridCol w:w="4770"/>
        <w:gridCol w:w="497"/>
        <w:gridCol w:w="1646"/>
        <w:gridCol w:w="445"/>
        <w:gridCol w:w="1673"/>
      </w:tblGrid>
      <w:tr>
        <w:trPr>
          <w:trHeight w:val="353" w:hRule="exact"/>
        </w:trPr>
        <w:tc>
          <w:tcPr>
            <w:tcW w:w="4770" w:type="dxa"/>
            <w:tcBorders>
              <w:top w:val="single" w:sz="6" w:space="0" w:color="000000"/>
              <w:left w:val="nil" w:sz="6" w:space="0" w:color="auto"/>
              <w:bottom w:val="single" w:sz="4" w:space="0" w:color="000000"/>
              <w:right w:val="nil" w:sz="6" w:space="0" w:color="auto"/>
            </w:tcBorders>
          </w:tcPr>
          <w:p>
            <w:pPr>
              <w:pStyle w:val="TableParagraph"/>
              <w:tabs>
                <w:tab w:pos="451" w:val="left" w:leader="none"/>
              </w:tabs>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97" w:type="dxa"/>
            <w:tcBorders>
              <w:top w:val="single" w:sz="6" w:space="0" w:color="000000"/>
              <w:left w:val="nil" w:sz="6" w:space="0" w:color="auto"/>
              <w:bottom w:val="nil" w:sz="6" w:space="0" w:color="auto"/>
              <w:right w:val="nil" w:sz="6" w:space="0" w:color="auto"/>
            </w:tcBorders>
          </w:tcPr>
          <w:p>
            <w:pPr/>
          </w:p>
        </w:tc>
        <w:tc>
          <w:tcPr>
            <w:tcW w:w="1646" w:type="dxa"/>
            <w:tcBorders>
              <w:top w:val="single" w:sz="6" w:space="0" w:color="000000"/>
              <w:left w:val="nil" w:sz="6" w:space="0" w:color="auto"/>
              <w:bottom w:val="single" w:sz="4" w:space="0" w:color="000000"/>
              <w:right w:val="nil" w:sz="6" w:space="0" w:color="auto"/>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45" w:type="dxa"/>
            <w:tcBorders>
              <w:top w:val="single" w:sz="6" w:space="0" w:color="000000"/>
              <w:left w:val="nil" w:sz="6" w:space="0" w:color="auto"/>
              <w:bottom w:val="nil" w:sz="6" w:space="0" w:color="auto"/>
              <w:right w:val="nil" w:sz="6" w:space="0" w:color="auto"/>
            </w:tcBorders>
          </w:tcPr>
          <w:p>
            <w:pPr/>
          </w:p>
        </w:tc>
        <w:tc>
          <w:tcPr>
            <w:tcW w:w="1673" w:type="dxa"/>
            <w:tcBorders>
              <w:top w:val="single" w:sz="6" w:space="0" w:color="000000"/>
              <w:left w:val="nil" w:sz="6" w:space="0" w:color="auto"/>
              <w:bottom w:val="single" w:sz="4" w:space="0" w:color="000000"/>
              <w:right w:val="nil" w:sz="6" w:space="0" w:color="auto"/>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8" w:hRule="exact"/>
        </w:trPr>
        <w:tc>
          <w:tcPr>
            <w:tcW w:w="477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3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81" w:lineRule="exact"/>
              <w:ind w:left="2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384,017,489.26</w:t>
            </w: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110,965,959.88</w:t>
            </w:r>
          </w:p>
        </w:tc>
      </w:tr>
      <w:tr>
        <w:trPr>
          <w:trHeight w:val="341"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110,965,959.88</w:t>
            </w: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97,021,506.40</w:t>
            </w:r>
          </w:p>
        </w:tc>
      </w:tr>
      <w:tr>
        <w:trPr>
          <w:trHeight w:val="34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296"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6" w:space="0" w:color="000000"/>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6" w:space="0" w:color="000000"/>
              <w:right w:val="nil" w:sz="6" w:space="0" w:color="auto"/>
            </w:tcBorders>
          </w:tcPr>
          <w:p>
            <w:pPr/>
          </w:p>
        </w:tc>
      </w:tr>
      <w:tr>
        <w:trPr>
          <w:trHeight w:val="370"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8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497" w:type="dxa"/>
            <w:tcBorders>
              <w:top w:val="nil" w:sz="6" w:space="0" w:color="auto"/>
              <w:left w:val="nil" w:sz="6" w:space="0" w:color="auto"/>
              <w:bottom w:val="nil" w:sz="6" w:space="0" w:color="auto"/>
              <w:right w:val="nil" w:sz="6" w:space="0" w:color="auto"/>
            </w:tcBorders>
          </w:tcPr>
          <w:p>
            <w:pPr/>
          </w:p>
        </w:tc>
        <w:tc>
          <w:tcPr>
            <w:tcW w:w="1646" w:type="dxa"/>
            <w:tcBorders>
              <w:top w:val="single" w:sz="6" w:space="0" w:color="000000"/>
              <w:left w:val="nil" w:sz="6" w:space="0" w:color="auto"/>
              <w:bottom w:val="single" w:sz="17"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273,051,529.38</w:t>
            </w:r>
          </w:p>
        </w:tc>
        <w:tc>
          <w:tcPr>
            <w:tcW w:w="445" w:type="dxa"/>
            <w:tcBorders>
              <w:top w:val="nil" w:sz="6" w:space="0" w:color="auto"/>
              <w:left w:val="nil" w:sz="6" w:space="0" w:color="auto"/>
              <w:bottom w:val="nil" w:sz="6" w:space="0" w:color="auto"/>
              <w:right w:val="nil" w:sz="6" w:space="0" w:color="auto"/>
            </w:tcBorders>
          </w:tcPr>
          <w:p>
            <w:pPr/>
          </w:p>
        </w:tc>
        <w:tc>
          <w:tcPr>
            <w:tcW w:w="1673" w:type="dxa"/>
            <w:tcBorders>
              <w:top w:val="single" w:sz="6" w:space="0" w:color="000000"/>
              <w:left w:val="nil" w:sz="6" w:space="0" w:color="auto"/>
              <w:bottom w:val="single" w:sz="17" w:space="0" w:color="000000"/>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pacing w:val="-1"/>
                <w:sz w:val="18"/>
              </w:rPr>
              <w:t>13,944,453.48</w:t>
            </w:r>
          </w:p>
        </w:tc>
      </w:tr>
    </w:tbl>
    <w:p>
      <w:pPr>
        <w:spacing w:line="240" w:lineRule="auto" w:before="15"/>
        <w:rPr>
          <w:rFonts w:ascii="Microsoft JhengHei" w:hAnsi="Microsoft JhengHei" w:cs="Microsoft JhengHei" w:eastAsia="Microsoft JhengHei" w:hint="default"/>
          <w:b/>
          <w:bCs/>
          <w:sz w:val="16"/>
          <w:szCs w:val="16"/>
        </w:rPr>
      </w:pPr>
    </w:p>
    <w:p>
      <w:pPr>
        <w:pStyle w:val="Heading2"/>
        <w:spacing w:line="367" w:lineRule="exact"/>
        <w:ind w:right="0"/>
        <w:jc w:val="left"/>
        <w:rPr>
          <w:b w:val="0"/>
          <w:bCs w:val="0"/>
        </w:rPr>
      </w:pPr>
      <w:r>
        <w:rPr/>
        <w:t>十四、 补充资料</w:t>
      </w:r>
      <w:r>
        <w:rPr>
          <w:b w:val="0"/>
          <w:bCs w:val="0"/>
        </w:rPr>
      </w:r>
    </w:p>
    <w:p>
      <w:pPr>
        <w:pStyle w:val="Heading2"/>
        <w:spacing w:line="240" w:lineRule="auto" w:before="55"/>
        <w:ind w:right="0"/>
        <w:jc w:val="left"/>
        <w:rPr>
          <w:b w:val="0"/>
          <w:bCs w:val="0"/>
        </w:rPr>
      </w:pPr>
      <w:r>
        <w:rPr>
          <w:rFonts w:ascii="Times New Roman" w:hAnsi="Times New Roman" w:cs="Times New Roman" w:eastAsia="Times New Roman" w:hint="default"/>
        </w:rPr>
        <w:t>1</w:t>
      </w:r>
      <w:r>
        <w:rPr/>
        <w:t>、非经常性损益明细表</w:t>
      </w:r>
      <w:r>
        <w:rPr>
          <w:b w:val="0"/>
          <w:bCs w:val="0"/>
        </w:rPr>
      </w:r>
    </w:p>
    <w:p>
      <w:pPr>
        <w:spacing w:line="240" w:lineRule="auto" w:before="4"/>
        <w:rPr>
          <w:rFonts w:ascii="Microsoft JhengHei" w:hAnsi="Microsoft JhengHei" w:cs="Microsoft JhengHei" w:eastAsia="Microsoft JhengHei" w:hint="default"/>
          <w:b/>
          <w:bCs/>
          <w:sz w:val="7"/>
          <w:szCs w:val="7"/>
        </w:rPr>
      </w:pPr>
    </w:p>
    <w:p>
      <w:pPr>
        <w:spacing w:before="44"/>
        <w:ind w:left="0" w:right="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5504"/>
        <w:gridCol w:w="194"/>
        <w:gridCol w:w="1400"/>
        <w:gridCol w:w="324"/>
        <w:gridCol w:w="1524"/>
      </w:tblGrid>
      <w:tr>
        <w:trPr>
          <w:trHeight w:val="246" w:hRule="exact"/>
        </w:trPr>
        <w:tc>
          <w:tcPr>
            <w:tcW w:w="5504" w:type="dxa"/>
            <w:tcBorders>
              <w:top w:val="nil" w:sz="6" w:space="0" w:color="auto"/>
              <w:left w:val="nil" w:sz="6" w:space="0" w:color="auto"/>
              <w:bottom w:val="single" w:sz="4" w:space="0" w:color="000000"/>
              <w:right w:val="nil" w:sz="6" w:space="0" w:color="auto"/>
            </w:tcBorders>
          </w:tcPr>
          <w:p>
            <w:pPr>
              <w:pStyle w:val="TableParagraph"/>
              <w:tabs>
                <w:tab w:pos="424"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Style w:val="TableParagraph"/>
              <w:spacing w:line="21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11" w:lineRule="exact"/>
              <w:ind w:left="446"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18" w:hRule="exact"/>
        </w:trPr>
        <w:tc>
          <w:tcPr>
            <w:tcW w:w="5504" w:type="dxa"/>
            <w:tcBorders>
              <w:top w:val="single" w:sz="4" w:space="0" w:color="000000"/>
              <w:left w:val="nil" w:sz="6" w:space="0" w:color="auto"/>
              <w:bottom w:val="nil" w:sz="6" w:space="0" w:color="auto"/>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非流动性资产处臵损益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-323,504.89</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-127,263.77</w:t>
            </w:r>
          </w:p>
        </w:tc>
      </w:tr>
      <w:tr>
        <w:trPr>
          <w:trHeight w:val="30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69"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2" w:lineRule="exact" w:before="7"/>
              <w:ind w:left="28" w:right="22"/>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家统一标准定额或定量享受的政府补助除外）</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
              <w:jc w:val="right"/>
              <w:rPr>
                <w:rFonts w:ascii="宋体" w:hAnsi="宋体" w:cs="宋体" w:eastAsia="宋体" w:hint="default"/>
                <w:sz w:val="21"/>
                <w:szCs w:val="21"/>
              </w:rPr>
            </w:pPr>
            <w:r>
              <w:rPr>
                <w:rFonts w:ascii="宋体"/>
                <w:spacing w:val="-1"/>
                <w:sz w:val="21"/>
              </w:rPr>
              <w:t>1,356,370.00</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1"/>
              <w:jc w:val="right"/>
              <w:rPr>
                <w:rFonts w:ascii="宋体" w:hAnsi="宋体" w:cs="宋体" w:eastAsia="宋体" w:hint="default"/>
                <w:sz w:val="21"/>
                <w:szCs w:val="21"/>
              </w:rPr>
            </w:pPr>
            <w:r>
              <w:rPr>
                <w:rFonts w:ascii="宋体"/>
                <w:spacing w:val="-1"/>
                <w:sz w:val="21"/>
              </w:rPr>
              <w:t>2,873,674.52</w:t>
            </w:r>
          </w:p>
        </w:tc>
      </w:tr>
      <w:tr>
        <w:trPr>
          <w:trHeight w:val="29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838"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2" w:lineRule="exact" w:before="4"/>
              <w:ind w:left="28" w:right="18"/>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投资时应享有被投资单位可辨认净资产公允价值产生的收</w:t>
            </w:r>
            <w:r>
              <w:rPr>
                <w:rFonts w:ascii="宋体" w:hAnsi="宋体" w:cs="宋体" w:eastAsia="宋体" w:hint="default"/>
                <w:sz w:val="21"/>
                <w:szCs w:val="21"/>
              </w:rPr>
            </w:r>
          </w:p>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64"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4" w:lineRule="exact" w:before="2"/>
              <w:ind w:left="28" w:right="22"/>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因不可抗力因素，如遭受自然灾害而计提的各项资产减值准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备</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1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企业重组费用，如安臵职工的支出、整合费用等</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6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4" w:lineRule="exact" w:before="3"/>
              <w:ind w:left="28" w:right="18"/>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同一控制下企业合并产生的子公司期初至合并日的当期净</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29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111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w:t>
            </w:r>
          </w:p>
          <w:p>
            <w:pPr>
              <w:pStyle w:val="TableParagraph"/>
              <w:spacing w:line="237" w:lineRule="auto" w:before="2"/>
              <w:ind w:left="28" w:right="7"/>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以及处臵交易性金融资产、交易性金融负债和可供出售金融</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资产取得的投资收益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56"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4" w:lineRule="exact" w:before="3"/>
              <w:ind w:left="28" w:right="18"/>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采用公允价值模式进行后续计量的投资性房地产公允价值</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变动产生的损益</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54"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25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4"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9"/>
          <w:pgSz w:w="11910" w:h="16840"/>
          <w:pgMar w:header="915" w:footer="802" w:top="1100" w:bottom="1000" w:left="1660" w:right="1000"/>
        </w:sectPr>
      </w:pPr>
    </w:p>
    <w:tbl>
      <w:tblPr>
        <w:tblW w:w="0" w:type="auto"/>
        <w:jc w:val="left"/>
        <w:tblInd w:w="109" w:type="dxa"/>
        <w:tblLayout w:type="fixed"/>
        <w:tblCellMar>
          <w:top w:w="0" w:type="dxa"/>
          <w:left w:w="0" w:type="dxa"/>
          <w:bottom w:w="0" w:type="dxa"/>
          <w:right w:w="0" w:type="dxa"/>
        </w:tblCellMar>
        <w:tblLook w:val="01E0"/>
      </w:tblPr>
      <w:tblGrid>
        <w:gridCol w:w="5699"/>
        <w:gridCol w:w="1400"/>
        <w:gridCol w:w="324"/>
        <w:gridCol w:w="1524"/>
      </w:tblGrid>
      <w:tr>
        <w:trPr>
          <w:trHeight w:val="320" w:hRule="exact"/>
        </w:trPr>
        <w:tc>
          <w:tcPr>
            <w:tcW w:w="5699" w:type="dxa"/>
            <w:tcBorders>
              <w:top w:val="single" w:sz="6" w:space="0" w:color="000000"/>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00" w:type="dxa"/>
            <w:tcBorders>
              <w:top w:val="single" w:sz="6" w:space="0" w:color="000000"/>
              <w:left w:val="nil" w:sz="6" w:space="0" w:color="auto"/>
              <w:bottom w:val="nil" w:sz="6" w:space="0" w:color="auto"/>
              <w:right w:val="nil" w:sz="6" w:space="0" w:color="auto"/>
            </w:tcBorders>
          </w:tcPr>
          <w:p>
            <w:pPr>
              <w:pStyle w:val="TableParagraph"/>
              <w:spacing w:line="259" w:lineRule="exact"/>
              <w:ind w:right="24"/>
              <w:jc w:val="right"/>
              <w:rPr>
                <w:rFonts w:ascii="宋体" w:hAnsi="宋体" w:cs="宋体" w:eastAsia="宋体" w:hint="default"/>
                <w:sz w:val="21"/>
                <w:szCs w:val="21"/>
              </w:rPr>
            </w:pPr>
            <w:r>
              <w:rPr>
                <w:rFonts w:ascii="宋体"/>
                <w:spacing w:val="-1"/>
                <w:sz w:val="21"/>
              </w:rPr>
              <w:t>568,510.19</w:t>
            </w:r>
          </w:p>
        </w:tc>
        <w:tc>
          <w:tcPr>
            <w:tcW w:w="324" w:type="dxa"/>
            <w:tcBorders>
              <w:top w:val="single" w:sz="6" w:space="0" w:color="000000"/>
              <w:left w:val="nil" w:sz="6" w:space="0" w:color="auto"/>
              <w:bottom w:val="nil" w:sz="6" w:space="0" w:color="auto"/>
              <w:right w:val="nil" w:sz="6" w:space="0" w:color="auto"/>
            </w:tcBorders>
          </w:tcPr>
          <w:p>
            <w:pPr/>
          </w:p>
        </w:tc>
        <w:tc>
          <w:tcPr>
            <w:tcW w:w="1524" w:type="dxa"/>
            <w:tcBorders>
              <w:top w:val="single" w:sz="6" w:space="0" w:color="000000"/>
              <w:left w:val="nil" w:sz="6" w:space="0" w:color="auto"/>
              <w:bottom w:val="nil" w:sz="6" w:space="0" w:color="auto"/>
              <w:right w:val="nil" w:sz="6" w:space="0" w:color="auto"/>
            </w:tcBorders>
          </w:tcPr>
          <w:p>
            <w:pPr>
              <w:pStyle w:val="TableParagraph"/>
              <w:spacing w:line="259" w:lineRule="exact"/>
              <w:ind w:right="21"/>
              <w:jc w:val="right"/>
              <w:rPr>
                <w:rFonts w:ascii="宋体" w:hAnsi="宋体" w:cs="宋体" w:eastAsia="宋体" w:hint="default"/>
                <w:sz w:val="21"/>
                <w:szCs w:val="21"/>
              </w:rPr>
            </w:pPr>
            <w:r>
              <w:rPr>
                <w:rFonts w:ascii="宋体"/>
                <w:spacing w:val="-1"/>
                <w:sz w:val="21"/>
              </w:rPr>
              <w:t>45,185.52</w:t>
            </w:r>
          </w:p>
        </w:tc>
      </w:tr>
      <w:tr>
        <w:trPr>
          <w:trHeight w:val="316" w:hRule="exact"/>
        </w:trPr>
        <w:tc>
          <w:tcPr>
            <w:tcW w:w="5699"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00" w:type="dxa"/>
            <w:tcBorders>
              <w:top w:val="nil" w:sz="6" w:space="0" w:color="auto"/>
              <w:left w:val="nil" w:sz="6" w:space="0" w:color="auto"/>
              <w:bottom w:val="single" w:sz="4" w:space="0" w:color="000000"/>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
        </w:tc>
      </w:tr>
      <w:tr>
        <w:trPr>
          <w:trHeight w:val="341" w:hRule="exact"/>
        </w:trPr>
        <w:tc>
          <w:tcPr>
            <w:tcW w:w="5699" w:type="dxa"/>
            <w:tcBorders>
              <w:top w:val="nil" w:sz="6" w:space="0" w:color="auto"/>
              <w:left w:val="nil" w:sz="6" w:space="0" w:color="auto"/>
              <w:bottom w:val="nil" w:sz="6" w:space="0" w:color="auto"/>
              <w:right w:val="nil" w:sz="6" w:space="0" w:color="auto"/>
            </w:tcBorders>
          </w:tcPr>
          <w:p>
            <w:pPr>
              <w:pStyle w:val="TableParagraph"/>
              <w:spacing w:line="288" w:lineRule="exact"/>
              <w:ind w:right="19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400" w:type="dxa"/>
            <w:tcBorders>
              <w:top w:val="single" w:sz="4" w:space="0" w:color="000000"/>
              <w:left w:val="nil" w:sz="6" w:space="0" w:color="auto"/>
              <w:bottom w:val="single" w:sz="17" w:space="0" w:color="000000"/>
              <w:right w:val="nil" w:sz="6" w:space="0" w:color="auto"/>
            </w:tcBorders>
          </w:tcPr>
          <w:p>
            <w:pPr>
              <w:pStyle w:val="TableParagraph"/>
              <w:spacing w:line="259" w:lineRule="exact"/>
              <w:ind w:right="24"/>
              <w:jc w:val="right"/>
              <w:rPr>
                <w:rFonts w:ascii="宋体" w:hAnsi="宋体" w:cs="宋体" w:eastAsia="宋体" w:hint="default"/>
                <w:sz w:val="21"/>
                <w:szCs w:val="21"/>
              </w:rPr>
            </w:pPr>
            <w:r>
              <w:rPr>
                <w:rFonts w:ascii="宋体"/>
                <w:spacing w:val="-1"/>
                <w:sz w:val="21"/>
              </w:rPr>
              <w:t>1,601,375.30</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59" w:lineRule="exact"/>
              <w:ind w:right="21"/>
              <w:jc w:val="right"/>
              <w:rPr>
                <w:rFonts w:ascii="宋体" w:hAnsi="宋体" w:cs="宋体" w:eastAsia="宋体" w:hint="default"/>
                <w:sz w:val="21"/>
                <w:szCs w:val="21"/>
              </w:rPr>
            </w:pPr>
            <w:r>
              <w:rPr>
                <w:rFonts w:ascii="宋体"/>
                <w:spacing w:val="-1"/>
                <w:sz w:val="21"/>
              </w:rPr>
              <w:t>2,791,596.27</w:t>
            </w:r>
          </w:p>
        </w:tc>
      </w:tr>
      <w:tr>
        <w:trPr>
          <w:trHeight w:val="335" w:hRule="exact"/>
        </w:trPr>
        <w:tc>
          <w:tcPr>
            <w:tcW w:w="569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00" w:type="dxa"/>
            <w:tcBorders>
              <w:top w:val="single" w:sz="17" w:space="0" w:color="000000"/>
              <w:left w:val="nil" w:sz="6" w:space="0" w:color="auto"/>
              <w:bottom w:val="nil" w:sz="6" w:space="0" w:color="auto"/>
              <w:right w:val="nil" w:sz="6" w:space="0" w:color="auto"/>
            </w:tcBorders>
          </w:tcPr>
          <w:p>
            <w:pPr>
              <w:pStyle w:val="TableParagraph"/>
              <w:spacing w:line="259" w:lineRule="exact"/>
              <w:ind w:right="24"/>
              <w:jc w:val="right"/>
              <w:rPr>
                <w:rFonts w:ascii="宋体" w:hAnsi="宋体" w:cs="宋体" w:eastAsia="宋体" w:hint="default"/>
                <w:sz w:val="21"/>
                <w:szCs w:val="21"/>
              </w:rPr>
            </w:pPr>
            <w:r>
              <w:rPr>
                <w:rFonts w:ascii="宋体"/>
                <w:spacing w:val="-1"/>
                <w:sz w:val="21"/>
              </w:rPr>
              <w:t>259,546.29</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single" w:sz="17" w:space="0" w:color="000000"/>
              <w:left w:val="nil" w:sz="6" w:space="0" w:color="auto"/>
              <w:bottom w:val="nil" w:sz="6" w:space="0" w:color="auto"/>
              <w:right w:val="nil" w:sz="6" w:space="0" w:color="auto"/>
            </w:tcBorders>
          </w:tcPr>
          <w:p>
            <w:pPr>
              <w:pStyle w:val="TableParagraph"/>
              <w:spacing w:line="259" w:lineRule="exact"/>
              <w:ind w:right="21"/>
              <w:jc w:val="right"/>
              <w:rPr>
                <w:rFonts w:ascii="宋体" w:hAnsi="宋体" w:cs="宋体" w:eastAsia="宋体" w:hint="default"/>
                <w:sz w:val="21"/>
                <w:szCs w:val="21"/>
              </w:rPr>
            </w:pPr>
            <w:r>
              <w:rPr>
                <w:rFonts w:ascii="宋体"/>
                <w:spacing w:val="-1"/>
                <w:sz w:val="21"/>
              </w:rPr>
              <w:t>413,361.46</w:t>
            </w:r>
          </w:p>
        </w:tc>
      </w:tr>
      <w:tr>
        <w:trPr>
          <w:trHeight w:val="316" w:hRule="exact"/>
        </w:trPr>
        <w:tc>
          <w:tcPr>
            <w:tcW w:w="5699"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00" w:type="dxa"/>
            <w:tcBorders>
              <w:top w:val="nil" w:sz="6" w:space="0" w:color="auto"/>
              <w:left w:val="nil" w:sz="6" w:space="0" w:color="auto"/>
              <w:bottom w:val="single" w:sz="4" w:space="0" w:color="000000"/>
              <w:right w:val="nil" w:sz="6" w:space="0" w:color="auto"/>
            </w:tcBorders>
          </w:tcPr>
          <w:p>
            <w:pPr>
              <w:pStyle w:val="TableParagraph"/>
              <w:spacing w:line="258" w:lineRule="exact"/>
              <w:ind w:right="24"/>
              <w:jc w:val="right"/>
              <w:rPr>
                <w:rFonts w:ascii="宋体" w:hAnsi="宋体" w:cs="宋体" w:eastAsia="宋体" w:hint="default"/>
                <w:sz w:val="21"/>
                <w:szCs w:val="21"/>
              </w:rPr>
            </w:pPr>
            <w:r>
              <w:rPr>
                <w:rFonts w:ascii="宋体"/>
                <w:spacing w:val="-1"/>
                <w:sz w:val="21"/>
              </w:rPr>
              <w:t>81,494.93</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58" w:lineRule="exact"/>
              <w:ind w:right="21"/>
              <w:jc w:val="right"/>
              <w:rPr>
                <w:rFonts w:ascii="宋体" w:hAnsi="宋体" w:cs="宋体" w:eastAsia="宋体" w:hint="default"/>
                <w:sz w:val="21"/>
                <w:szCs w:val="21"/>
              </w:rPr>
            </w:pPr>
            <w:r>
              <w:rPr>
                <w:rFonts w:ascii="宋体"/>
                <w:spacing w:val="-1"/>
                <w:sz w:val="21"/>
              </w:rPr>
              <w:t>51,276.71</w:t>
            </w:r>
          </w:p>
        </w:tc>
      </w:tr>
      <w:tr>
        <w:trPr>
          <w:trHeight w:val="341" w:hRule="exact"/>
        </w:trPr>
        <w:tc>
          <w:tcPr>
            <w:tcW w:w="5699" w:type="dxa"/>
            <w:tcBorders>
              <w:top w:val="nil" w:sz="6" w:space="0" w:color="auto"/>
              <w:left w:val="nil" w:sz="6" w:space="0" w:color="auto"/>
              <w:bottom w:val="nil" w:sz="6" w:space="0" w:color="auto"/>
              <w:right w:val="nil" w:sz="6" w:space="0" w:color="auto"/>
            </w:tcBorders>
          </w:tcPr>
          <w:p>
            <w:pPr>
              <w:pStyle w:val="TableParagraph"/>
              <w:spacing w:line="288" w:lineRule="exact"/>
              <w:ind w:right="19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400" w:type="dxa"/>
            <w:tcBorders>
              <w:top w:val="single" w:sz="4" w:space="0" w:color="000000"/>
              <w:left w:val="nil" w:sz="6" w:space="0" w:color="auto"/>
              <w:bottom w:val="single" w:sz="17" w:space="0" w:color="000000"/>
              <w:right w:val="nil" w:sz="6" w:space="0" w:color="auto"/>
            </w:tcBorders>
          </w:tcPr>
          <w:p>
            <w:pPr>
              <w:pStyle w:val="TableParagraph"/>
              <w:spacing w:line="259" w:lineRule="exact"/>
              <w:ind w:right="24"/>
              <w:jc w:val="right"/>
              <w:rPr>
                <w:rFonts w:ascii="宋体" w:hAnsi="宋体" w:cs="宋体" w:eastAsia="宋体" w:hint="default"/>
                <w:sz w:val="21"/>
                <w:szCs w:val="21"/>
              </w:rPr>
            </w:pPr>
            <w:r>
              <w:rPr>
                <w:rFonts w:ascii="宋体"/>
                <w:spacing w:val="-1"/>
                <w:sz w:val="21"/>
              </w:rPr>
              <w:t>1,260,334.08</w:t>
            </w:r>
          </w:p>
        </w:tc>
        <w:tc>
          <w:tcPr>
            <w:tcW w:w="324" w:type="dxa"/>
            <w:tcBorders>
              <w:top w:val="nil" w:sz="6" w:space="0" w:color="auto"/>
              <w:left w:val="nil" w:sz="6" w:space="0" w:color="auto"/>
              <w:bottom w:val="single" w:sz="4" w:space="0" w:color="000000"/>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59" w:lineRule="exact"/>
              <w:ind w:right="21"/>
              <w:jc w:val="right"/>
              <w:rPr>
                <w:rFonts w:ascii="宋体" w:hAnsi="宋体" w:cs="宋体" w:eastAsia="宋体" w:hint="default"/>
                <w:sz w:val="21"/>
                <w:szCs w:val="21"/>
              </w:rPr>
            </w:pPr>
            <w:r>
              <w:rPr>
                <w:rFonts w:ascii="宋体"/>
                <w:spacing w:val="-1"/>
                <w:sz w:val="21"/>
              </w:rPr>
              <w:t>2,326,958.10</w:t>
            </w:r>
          </w:p>
        </w:tc>
      </w:tr>
    </w:tbl>
    <w:p>
      <w:pPr>
        <w:spacing w:line="240" w:lineRule="auto" w:before="9"/>
        <w:rPr>
          <w:rFonts w:ascii="宋体" w:hAnsi="宋体" w:cs="宋体" w:eastAsia="宋体" w:hint="default"/>
          <w:sz w:val="4"/>
          <w:szCs w:val="4"/>
        </w:rPr>
      </w:pPr>
    </w:p>
    <w:p>
      <w:pPr>
        <w:spacing w:before="44"/>
        <w:ind w:left="678" w:right="889"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Times New Roman" w:hAnsi="Times New Roman" w:cs="Times New Roman" w:eastAsia="Times New Roman" w:hint="default"/>
          <w:sz w:val="18"/>
          <w:szCs w:val="18"/>
        </w:rPr>
        <w:t>“+”</w:t>
      </w:r>
      <w:r>
        <w:rPr>
          <w:rFonts w:ascii="宋体" w:hAnsi="宋体" w:cs="宋体" w:eastAsia="宋体" w:hint="default"/>
          <w:sz w:val="18"/>
          <w:szCs w:val="18"/>
        </w:rPr>
        <w:t>表示收益及收入</w:t>
      </w:r>
      <w:r>
        <w:rPr>
          <w:rFonts w:ascii="Times New Roman" w:hAnsi="Times New Roman" w:cs="Times New Roman" w:eastAsia="Times New Roman" w:hint="default"/>
          <w:sz w:val="18"/>
          <w:szCs w:val="18"/>
        </w:rPr>
        <w:t>,"-"</w:t>
      </w:r>
      <w:r>
        <w:rPr>
          <w:rFonts w:ascii="宋体" w:hAnsi="宋体" w:cs="宋体" w:eastAsia="宋体" w:hint="default"/>
          <w:sz w:val="18"/>
          <w:szCs w:val="18"/>
        </w:rPr>
        <w:t>表示损失或支出。</w:t>
      </w:r>
    </w:p>
    <w:p>
      <w:pPr>
        <w:pStyle w:val="BodyText"/>
        <w:spacing w:line="307" w:lineRule="auto" w:before="81"/>
        <w:ind w:left="138" w:right="889" w:firstLine="539"/>
        <w:jc w:val="left"/>
      </w:pPr>
      <w:r>
        <w:rPr/>
        <w:t>本集团对非经常性损益项目的确认依照《公开发行证券的公司信息披露解 </w:t>
      </w:r>
      <w:r>
        <w:rPr>
          <w:spacing w:val="-4"/>
        </w:rPr>
        <w:t>释性公告第</w:t>
      </w:r>
      <w:r>
        <w:rPr>
          <w:rFonts w:ascii="宋体" w:hAnsi="宋体" w:cs="宋体" w:eastAsia="宋体" w:hint="default"/>
          <w:spacing w:val="-4"/>
        </w:rPr>
        <w:t>1</w:t>
      </w:r>
      <w:r>
        <w:rPr>
          <w:spacing w:val="-4"/>
        </w:rPr>
        <w:t>号——非经常性损益》（证监会公告</w:t>
      </w:r>
      <w:r>
        <w:rPr>
          <w:rFonts w:ascii="宋体" w:hAnsi="宋体" w:cs="宋体" w:eastAsia="宋体" w:hint="default"/>
          <w:spacing w:val="-4"/>
        </w:rPr>
        <w:t>[2008]43</w:t>
      </w:r>
      <w:r>
        <w:rPr>
          <w:spacing w:val="-4"/>
        </w:rPr>
        <w:t>号）的规定执行。</w:t>
      </w:r>
    </w:p>
    <w:p>
      <w:pPr>
        <w:pStyle w:val="Heading2"/>
        <w:spacing w:line="392" w:lineRule="exact"/>
        <w:ind w:right="889"/>
        <w:jc w:val="left"/>
        <w:rPr>
          <w:b w:val="0"/>
          <w:bCs w:val="0"/>
        </w:rPr>
      </w:pPr>
      <w:r>
        <w:rPr/>
        <w:pict>
          <v:group style="position:absolute;margin-left:389.710022pt;margin-top:38.752502pt;width:151.25pt;height:.5pt;mso-position-horizontal-relative:page;mso-position-vertical-relative:paragraph;z-index:-744064" coordorigin="7794,775" coordsize="3025,10">
            <v:group style="position:absolute;left:7799;top:780;width:1379;height:2" coordorigin="7799,780" coordsize="1379,2">
              <v:shape style="position:absolute;left:7799;top:780;width:1379;height:2" coordorigin="7799,780" coordsize="1379,0" path="m7799,780l9177,780e" filled="false" stroked="true" strokeweight=".47998pt" strokecolor="#000000">
                <v:path arrowok="t"/>
              </v:shape>
            </v:group>
            <v:group style="position:absolute;left:9177;top:780;width:10;height:2" coordorigin="9177,780" coordsize="10,2">
              <v:shape style="position:absolute;left:9177;top:780;width:10;height:2" coordorigin="9177,780" coordsize="10,0" path="m9177,780l9187,780e" filled="false" stroked="true" strokeweight=".47998pt" strokecolor="#000000">
                <v:path arrowok="t"/>
              </v:shape>
            </v:group>
            <v:group style="position:absolute;left:9187;top:780;width:156;height:2" coordorigin="9187,780" coordsize="156,2">
              <v:shape style="position:absolute;left:9187;top:780;width:156;height:2" coordorigin="9187,780" coordsize="156,0" path="m9187,780l9343,780e" filled="false" stroked="true" strokeweight=".47998pt" strokecolor="#000000">
                <v:path arrowok="t"/>
              </v:shape>
            </v:group>
            <v:group style="position:absolute;left:9343;top:780;width:10;height:2" coordorigin="9343,780" coordsize="10,2">
              <v:shape style="position:absolute;left:9343;top:780;width:10;height:2" coordorigin="9343,780" coordsize="10,0" path="m9343,780l9352,780e" filled="false" stroked="true" strokeweight=".47998pt" strokecolor="#000000">
                <v:path arrowok="t"/>
              </v:shape>
            </v:group>
            <v:group style="position:absolute;left:9352;top:780;width:1462;height:2" coordorigin="9352,780" coordsize="1462,2">
              <v:shape style="position:absolute;left:9352;top:780;width:1462;height:2" coordorigin="9352,780" coordsize="1462,0" path="m9352,780l10814,780e" filled="false" stroked="true" strokeweight=".47998pt" strokecolor="#000000">
                <v:path arrowok="t"/>
              </v:shape>
            </v:group>
            <w10:wrap type="none"/>
          </v:group>
        </w:pict>
      </w:r>
      <w:r>
        <w:rPr>
          <w:rFonts w:ascii="Times New Roman" w:hAnsi="Times New Roman" w:cs="Times New Roman" w:eastAsia="Times New Roman" w:hint="default"/>
        </w:rPr>
        <w:t>2</w:t>
      </w:r>
      <w:r>
        <w:rPr/>
        <w:t>、净资产收益率及每股收益</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4368"/>
        <w:gridCol w:w="241"/>
        <w:gridCol w:w="1229"/>
        <w:gridCol w:w="192"/>
        <w:gridCol w:w="1378"/>
        <w:gridCol w:w="166"/>
        <w:gridCol w:w="1471"/>
      </w:tblGrid>
      <w:tr>
        <w:trPr>
          <w:trHeight w:val="199" w:hRule="exact"/>
        </w:trPr>
        <w:tc>
          <w:tcPr>
            <w:tcW w:w="9045" w:type="dxa"/>
            <w:gridSpan w:val="7"/>
            <w:tcBorders>
              <w:top w:val="nil" w:sz="6" w:space="0" w:color="auto"/>
              <w:left w:val="nil" w:sz="6" w:space="0" w:color="auto"/>
              <w:bottom w:val="nil" w:sz="6" w:space="0" w:color="auto"/>
              <w:right w:val="nil" w:sz="6" w:space="0" w:color="auto"/>
            </w:tcBorders>
          </w:tcPr>
          <w:p>
            <w:pPr>
              <w:pStyle w:val="TableParagraph"/>
              <w:spacing w:line="211" w:lineRule="exact"/>
              <w:ind w:right="612"/>
              <w:jc w:val="right"/>
              <w:rPr>
                <w:rFonts w:ascii="宋体" w:hAnsi="宋体" w:cs="宋体" w:eastAsia="宋体" w:hint="default"/>
                <w:sz w:val="21"/>
                <w:szCs w:val="21"/>
              </w:rPr>
            </w:pPr>
            <w:r>
              <w:rPr>
                <w:rFonts w:ascii="宋体" w:hAnsi="宋体" w:cs="宋体" w:eastAsia="宋体" w:hint="default"/>
                <w:spacing w:val="-1"/>
                <w:sz w:val="21"/>
                <w:szCs w:val="21"/>
              </w:rPr>
              <w:t>每股收益（元</w:t>
            </w:r>
            <w:r>
              <w:rPr>
                <w:rFonts w:ascii="宋体" w:hAnsi="宋体" w:cs="宋体" w:eastAsia="宋体" w:hint="default"/>
                <w:spacing w:val="-1"/>
                <w:sz w:val="21"/>
                <w:szCs w:val="21"/>
              </w:rPr>
              <w:t>/</w:t>
            </w:r>
            <w:r>
              <w:rPr>
                <w:rFonts w:ascii="宋体" w:hAnsi="宋体" w:cs="宋体" w:eastAsia="宋体" w:hint="default"/>
                <w:spacing w:val="-1"/>
                <w:sz w:val="21"/>
                <w:szCs w:val="21"/>
              </w:rPr>
              <w:t>股）</w:t>
            </w:r>
          </w:p>
        </w:tc>
      </w:tr>
      <w:tr>
        <w:trPr>
          <w:trHeight w:val="509" w:hRule="exact"/>
        </w:trPr>
        <w:tc>
          <w:tcPr>
            <w:tcW w:w="436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4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199" w:lineRule="exact"/>
              <w:ind w:left="88" w:right="0"/>
              <w:jc w:val="left"/>
              <w:rPr>
                <w:rFonts w:ascii="宋体" w:hAnsi="宋体" w:cs="宋体" w:eastAsia="宋体" w:hint="default"/>
                <w:sz w:val="21"/>
                <w:szCs w:val="21"/>
              </w:rPr>
            </w:pPr>
            <w:r>
              <w:rPr>
                <w:rFonts w:ascii="宋体" w:hAnsi="宋体" w:cs="宋体" w:eastAsia="宋体" w:hint="default"/>
                <w:sz w:val="21"/>
                <w:szCs w:val="21"/>
              </w:rPr>
              <w:t>加权平均净</w:t>
            </w:r>
          </w:p>
          <w:p>
            <w:pPr>
              <w:pStyle w:val="TableParagraph"/>
              <w:spacing w:line="275" w:lineRule="exact"/>
              <w:ind w:left="88" w:right="0"/>
              <w:jc w:val="left"/>
              <w:rPr>
                <w:rFonts w:ascii="宋体" w:hAnsi="宋体" w:cs="宋体" w:eastAsia="宋体" w:hint="default"/>
                <w:sz w:val="21"/>
                <w:szCs w:val="21"/>
              </w:rPr>
            </w:pPr>
            <w:r>
              <w:rPr>
                <w:rFonts w:ascii="宋体" w:hAnsi="宋体" w:cs="宋体" w:eastAsia="宋体" w:hint="default"/>
                <w:sz w:val="21"/>
                <w:szCs w:val="21"/>
              </w:rPr>
              <w:t>资产收益率</w:t>
            </w:r>
          </w:p>
        </w:tc>
        <w:tc>
          <w:tcPr>
            <w:tcW w:w="19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66"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45" w:hRule="exact"/>
        </w:trPr>
        <w:tc>
          <w:tcPr>
            <w:tcW w:w="436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1"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97" w:right="0"/>
              <w:jc w:val="left"/>
              <w:rPr>
                <w:rFonts w:ascii="宋体" w:hAnsi="宋体" w:cs="宋体" w:eastAsia="宋体" w:hint="default"/>
                <w:sz w:val="21"/>
                <w:szCs w:val="21"/>
              </w:rPr>
            </w:pPr>
            <w:r>
              <w:rPr>
                <w:rFonts w:ascii="宋体"/>
                <w:sz w:val="21"/>
              </w:rPr>
              <w:t>11.80%</w:t>
            </w:r>
          </w:p>
        </w:tc>
        <w:tc>
          <w:tcPr>
            <w:tcW w:w="192"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0.70</w:t>
            </w:r>
          </w:p>
        </w:tc>
        <w:tc>
          <w:tcPr>
            <w:tcW w:w="166"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0.70</w:t>
            </w:r>
          </w:p>
        </w:tc>
      </w:tr>
      <w:tr>
        <w:trPr>
          <w:trHeight w:val="348" w:hRule="exact"/>
        </w:trPr>
        <w:tc>
          <w:tcPr>
            <w:tcW w:w="436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21"/>
                <w:szCs w:val="21"/>
              </w:rPr>
            </w:pPr>
            <w:r>
              <w:rPr>
                <w:rFonts w:ascii="宋体" w:hAnsi="宋体" w:cs="宋体" w:eastAsia="宋体" w:hint="default"/>
                <w:sz w:val="21"/>
                <w:szCs w:val="21"/>
              </w:rPr>
              <w:t>扣除非经常损益后归属于普通股股东的净利润</w:t>
            </w:r>
          </w:p>
        </w:tc>
        <w:tc>
          <w:tcPr>
            <w:tcW w:w="24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97" w:right="0"/>
              <w:jc w:val="left"/>
              <w:rPr>
                <w:rFonts w:ascii="宋体" w:hAnsi="宋体" w:cs="宋体" w:eastAsia="宋体" w:hint="default"/>
                <w:sz w:val="21"/>
                <w:szCs w:val="21"/>
              </w:rPr>
            </w:pPr>
            <w:r>
              <w:rPr>
                <w:rFonts w:ascii="宋体"/>
                <w:sz w:val="21"/>
              </w:rPr>
              <w:t>11.61%</w:t>
            </w:r>
          </w:p>
        </w:tc>
        <w:tc>
          <w:tcPr>
            <w:tcW w:w="19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21"/>
                <w:szCs w:val="21"/>
              </w:rPr>
            </w:pPr>
            <w:r>
              <w:rPr>
                <w:rFonts w:ascii="宋体"/>
                <w:sz w:val="21"/>
              </w:rPr>
              <w:t>0.69</w:t>
            </w:r>
          </w:p>
        </w:tc>
        <w:tc>
          <w:tcPr>
            <w:tcW w:w="166"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21"/>
                <w:szCs w:val="21"/>
              </w:rPr>
            </w:pPr>
            <w:r>
              <w:rPr>
                <w:rFonts w:ascii="宋体"/>
                <w:sz w:val="21"/>
              </w:rPr>
              <w:t>0.69</w:t>
            </w:r>
          </w:p>
        </w:tc>
      </w:tr>
    </w:tbl>
    <w:p>
      <w:pPr>
        <w:spacing w:line="240" w:lineRule="auto" w:before="3"/>
        <w:rPr>
          <w:rFonts w:ascii="Microsoft JhengHei" w:hAnsi="Microsoft JhengHei" w:cs="Microsoft JhengHei" w:eastAsia="Microsoft JhengHei" w:hint="default"/>
          <w:b/>
          <w:bCs/>
          <w:sz w:val="11"/>
          <w:szCs w:val="11"/>
        </w:rPr>
      </w:pPr>
    </w:p>
    <w:p>
      <w:pPr>
        <w:pStyle w:val="BodyText"/>
        <w:spacing w:line="240" w:lineRule="auto" w:before="25"/>
        <w:ind w:left="618" w:right="0"/>
        <w:jc w:val="left"/>
        <w:rPr>
          <w:rFonts w:ascii="宋体" w:hAnsi="宋体" w:cs="宋体" w:eastAsia="宋体" w:hint="default"/>
          <w:sz w:val="12"/>
          <w:szCs w:val="12"/>
        </w:rPr>
      </w:pPr>
      <w:r>
        <w:rPr>
          <w:position w:val="2"/>
        </w:rPr>
        <w:t>注：⑴ 加权平均净资产收益率</w:t>
      </w:r>
      <w:r>
        <w:rPr>
          <w:rFonts w:ascii="宋体" w:hAnsi="宋体" w:cs="宋体" w:eastAsia="宋体" w:hint="default"/>
          <w:position w:val="2"/>
        </w:rPr>
        <w:t>=P</w:t>
      </w:r>
      <w:r>
        <w:rPr>
          <w:rFonts w:ascii="宋体" w:hAnsi="宋体" w:cs="宋体" w:eastAsia="宋体" w:hint="default"/>
          <w:sz w:val="12"/>
          <w:szCs w:val="12"/>
        </w:rPr>
        <w:t>0</w:t>
      </w:r>
      <w:r>
        <w:rPr>
          <w:rFonts w:ascii="宋体" w:hAnsi="宋体" w:cs="宋体" w:eastAsia="宋体" w:hint="default"/>
          <w:position w:val="2"/>
        </w:rPr>
        <w:t>/</w:t>
      </w:r>
      <w:r>
        <w:rPr>
          <w:position w:val="2"/>
        </w:rPr>
        <w:t>（</w:t>
      </w:r>
      <w:r>
        <w:rPr>
          <w:rFonts w:ascii="宋体" w:hAnsi="宋体" w:cs="宋体" w:eastAsia="宋体" w:hint="default"/>
          <w:position w:val="2"/>
        </w:rPr>
        <w:t>E</w:t>
      </w:r>
      <w:r>
        <w:rPr>
          <w:rFonts w:ascii="宋体" w:hAnsi="宋体" w:cs="宋体" w:eastAsia="宋体" w:hint="default"/>
          <w:sz w:val="12"/>
          <w:szCs w:val="12"/>
        </w:rPr>
        <w:t>0</w:t>
      </w:r>
      <w:r>
        <w:rPr>
          <w:position w:val="2"/>
        </w:rPr>
        <w:t>＋</w:t>
      </w:r>
      <w:r>
        <w:rPr>
          <w:rFonts w:ascii="宋体" w:hAnsi="宋体" w:cs="宋体" w:eastAsia="宋体" w:hint="default"/>
          <w:position w:val="2"/>
        </w:rPr>
        <w:t>NP</w:t>
      </w:r>
      <w:r>
        <w:rPr>
          <w:position w:val="2"/>
        </w:rPr>
        <w:t>〔</w:t>
      </w:r>
      <w:r>
        <w:rPr>
          <w:rFonts w:ascii="宋体" w:hAnsi="宋体" w:cs="宋体" w:eastAsia="宋体" w:hint="default"/>
          <w:position w:val="2"/>
        </w:rPr>
        <w:t>2</w:t>
      </w:r>
      <w:r>
        <w:rPr>
          <w:position w:val="2"/>
        </w:rPr>
        <w:t>＋</w:t>
      </w:r>
      <w:r>
        <w:rPr>
          <w:rFonts w:ascii="宋体" w:hAnsi="宋体" w:cs="宋体" w:eastAsia="宋体" w:hint="default"/>
          <w:position w:val="2"/>
        </w:rPr>
        <w:t>E</w:t>
      </w:r>
      <w:r>
        <w:rPr>
          <w:rFonts w:ascii="宋体" w:hAnsi="宋体" w:cs="宋体" w:eastAsia="宋体" w:hint="default"/>
          <w:sz w:val="12"/>
          <w:szCs w:val="12"/>
        </w:rPr>
        <w:t>i</w:t>
      </w:r>
      <w:r>
        <w:rPr>
          <w:position w:val="2"/>
        </w:rPr>
        <w:t>〓</w:t>
      </w:r>
      <w:r>
        <w:rPr>
          <w:rFonts w:ascii="宋体" w:hAnsi="宋体" w:cs="宋体" w:eastAsia="宋体" w:hint="default"/>
          <w:position w:val="2"/>
        </w:rPr>
        <w:t>M</w:t>
      </w:r>
      <w:r>
        <w:rPr>
          <w:rFonts w:ascii="宋体" w:hAnsi="宋体" w:cs="宋体" w:eastAsia="宋体" w:hint="default"/>
          <w:sz w:val="12"/>
          <w:szCs w:val="12"/>
        </w:rPr>
        <w:t>i</w:t>
      </w:r>
      <w:r>
        <w:rPr>
          <w:position w:val="2"/>
        </w:rPr>
        <w:t>〔</w:t>
      </w:r>
      <w:r>
        <w:rPr>
          <w:rFonts w:ascii="宋体" w:hAnsi="宋体" w:cs="宋体" w:eastAsia="宋体" w:hint="default"/>
          <w:position w:val="2"/>
        </w:rPr>
        <w:t>M</w:t>
      </w:r>
      <w:r>
        <w:rPr>
          <w:rFonts w:ascii="宋体" w:hAnsi="宋体" w:cs="宋体" w:eastAsia="宋体" w:hint="default"/>
          <w:sz w:val="12"/>
          <w:szCs w:val="12"/>
        </w:rPr>
        <w:t>0</w:t>
      </w:r>
      <w:r>
        <w:rPr>
          <w:rFonts w:ascii="宋体" w:hAnsi="宋体" w:cs="宋体" w:eastAsia="宋体" w:hint="default"/>
          <w:position w:val="2"/>
        </w:rPr>
        <w:t>-E</w:t>
      </w:r>
      <w:r>
        <w:rPr>
          <w:rFonts w:ascii="宋体" w:hAnsi="宋体" w:cs="宋体" w:eastAsia="宋体" w:hint="default"/>
          <w:sz w:val="12"/>
          <w:szCs w:val="12"/>
        </w:rPr>
        <w:t>j</w:t>
      </w:r>
      <w:r>
        <w:rPr>
          <w:position w:val="2"/>
        </w:rPr>
        <w:t>〓</w:t>
      </w:r>
      <w:r>
        <w:rPr>
          <w:rFonts w:ascii="宋体" w:hAnsi="宋体" w:cs="宋体" w:eastAsia="宋体" w:hint="default"/>
          <w:position w:val="2"/>
        </w:rPr>
        <w:t>M</w:t>
      </w:r>
      <w:r>
        <w:rPr>
          <w:rFonts w:ascii="宋体" w:hAnsi="宋体" w:cs="宋体" w:eastAsia="宋体" w:hint="default"/>
          <w:sz w:val="12"/>
          <w:szCs w:val="12"/>
        </w:rPr>
        <w:t>j</w:t>
      </w:r>
      <w:r>
        <w:rPr>
          <w:position w:val="2"/>
        </w:rPr>
        <w:t>〔</w:t>
      </w:r>
      <w:r>
        <w:rPr>
          <w:rFonts w:ascii="宋体" w:hAnsi="宋体" w:cs="宋体" w:eastAsia="宋体" w:hint="default"/>
          <w:position w:val="2"/>
        </w:rPr>
        <w:t>M</w:t>
      </w:r>
      <w:r>
        <w:rPr>
          <w:rFonts w:ascii="宋体" w:hAnsi="宋体" w:cs="宋体" w:eastAsia="宋体" w:hint="default"/>
          <w:sz w:val="12"/>
          <w:szCs w:val="12"/>
        </w:rPr>
        <w:t>0</w:t>
      </w:r>
      <w:r>
        <w:rPr>
          <w:position w:val="2"/>
        </w:rPr>
        <w:t>〒</w:t>
      </w:r>
      <w:r>
        <w:rPr>
          <w:rFonts w:ascii="宋体" w:hAnsi="宋体" w:cs="宋体" w:eastAsia="宋体" w:hint="default"/>
          <w:position w:val="2"/>
        </w:rPr>
        <w:t>E</w:t>
      </w:r>
      <w:r>
        <w:rPr>
          <w:rFonts w:ascii="宋体" w:hAnsi="宋体" w:cs="宋体" w:eastAsia="宋体" w:hint="default"/>
          <w:sz w:val="12"/>
          <w:szCs w:val="12"/>
        </w:rPr>
        <w:t>k</w:t>
      </w:r>
    </w:p>
    <w:p>
      <w:pPr>
        <w:pStyle w:val="BodyText"/>
        <w:spacing w:line="302" w:lineRule="auto" w:before="83"/>
        <w:ind w:left="138" w:right="1925"/>
        <w:jc w:val="left"/>
        <w:rPr>
          <w:rFonts w:ascii="宋体" w:hAnsi="宋体" w:cs="宋体" w:eastAsia="宋体" w:hint="default"/>
        </w:rPr>
      </w:pPr>
      <w:r>
        <w:rPr>
          <w:position w:val="2"/>
        </w:rPr>
        <w:t>〓</w:t>
      </w:r>
      <w:r>
        <w:rPr>
          <w:rFonts w:ascii="宋体" w:hAnsi="宋体" w:cs="宋体" w:eastAsia="宋体" w:hint="default"/>
          <w:position w:val="2"/>
        </w:rPr>
        <w:t>M</w:t>
      </w:r>
      <w:r>
        <w:rPr>
          <w:rFonts w:ascii="宋体" w:hAnsi="宋体" w:cs="宋体" w:eastAsia="宋体" w:hint="default"/>
          <w:sz w:val="12"/>
          <w:szCs w:val="12"/>
        </w:rPr>
        <w:t>k</w:t>
      </w:r>
      <w:r>
        <w:rPr>
          <w:position w:val="2"/>
        </w:rPr>
        <w:t>〔</w:t>
      </w:r>
      <w:r>
        <w:rPr>
          <w:rFonts w:ascii="宋体" w:hAnsi="宋体" w:cs="宋体" w:eastAsia="宋体" w:hint="default"/>
          <w:position w:val="2"/>
        </w:rPr>
        <w:t>M</w:t>
      </w:r>
      <w:r>
        <w:rPr>
          <w:rFonts w:ascii="宋体" w:hAnsi="宋体" w:cs="宋体" w:eastAsia="宋体" w:hint="default"/>
          <w:sz w:val="12"/>
          <w:szCs w:val="12"/>
        </w:rPr>
        <w:t>0</w:t>
      </w:r>
      <w:r>
        <w:rPr>
          <w:position w:val="2"/>
        </w:rPr>
        <w:t>）</w:t>
      </w:r>
      <w:r>
        <w:rPr>
          <w:rFonts w:ascii="宋体" w:hAnsi="宋体" w:cs="宋体" w:eastAsia="宋体" w:hint="default"/>
          <w:position w:val="2"/>
        </w:rPr>
        <w:t>=79,194,442.06/</w:t>
      </w:r>
      <w:r>
        <w:rPr>
          <w:position w:val="2"/>
        </w:rPr>
        <w:t>（</w:t>
      </w:r>
      <w:r>
        <w:rPr>
          <w:rFonts w:ascii="宋体" w:hAnsi="宋体" w:cs="宋体" w:eastAsia="宋体" w:hint="default"/>
          <w:position w:val="2"/>
        </w:rPr>
        <w:t>572,981,361.71</w:t>
      </w:r>
      <w:r>
        <w:rPr>
          <w:position w:val="2"/>
        </w:rPr>
        <w:t>＋</w:t>
      </w:r>
      <w:r>
        <w:rPr>
          <w:rFonts w:ascii="宋体" w:hAnsi="宋体" w:cs="宋体" w:eastAsia="宋体" w:hint="default"/>
          <w:position w:val="2"/>
        </w:rPr>
        <w:t>79,194,442.06</w:t>
      </w:r>
      <w:r>
        <w:rPr>
          <w:position w:val="2"/>
        </w:rPr>
        <w:t>〔</w:t>
      </w:r>
      <w:r>
        <w:rPr>
          <w:rFonts w:ascii="宋体" w:hAnsi="宋体" w:cs="宋体" w:eastAsia="宋体" w:hint="default"/>
          <w:position w:val="2"/>
        </w:rPr>
        <w:t>2</w:t>
      </w:r>
      <w:r>
        <w:rPr>
          <w:position w:val="2"/>
        </w:rPr>
        <w:t>＋ </w:t>
      </w:r>
      <w:r>
        <w:rPr>
          <w:rFonts w:ascii="宋体" w:hAnsi="宋体" w:cs="宋体" w:eastAsia="宋体" w:hint="default"/>
        </w:rPr>
        <w:t>345,108,614.53</w:t>
      </w:r>
      <w:r>
        <w:rPr/>
        <w:t>〓</w:t>
      </w:r>
      <w:r>
        <w:rPr>
          <w:rFonts w:ascii="宋体" w:hAnsi="宋体" w:cs="宋体" w:eastAsia="宋体" w:hint="default"/>
        </w:rPr>
        <w:t>3</w:t>
      </w:r>
      <w:r>
        <w:rPr/>
        <w:t>〔</w:t>
      </w:r>
      <w:r>
        <w:rPr>
          <w:rFonts w:ascii="宋体" w:hAnsi="宋体" w:cs="宋体" w:eastAsia="宋体" w:hint="default"/>
        </w:rPr>
        <w:t>12-33,000,000.00</w:t>
      </w:r>
      <w:r>
        <w:rPr/>
        <w:t>〓</w:t>
      </w:r>
      <w:r>
        <w:rPr>
          <w:rFonts w:ascii="宋体" w:hAnsi="宋体" w:cs="宋体" w:eastAsia="宋体" w:hint="default"/>
        </w:rPr>
        <w:t>10</w:t>
      </w:r>
      <w:r>
        <w:rPr/>
        <w:t>〔</w:t>
      </w:r>
      <w:r>
        <w:rPr>
          <w:rFonts w:ascii="宋体" w:hAnsi="宋体" w:cs="宋体" w:eastAsia="宋体" w:hint="default"/>
        </w:rPr>
        <w:t>12</w:t>
      </w:r>
      <w:r>
        <w:rPr/>
        <w:t>〒</w:t>
      </w:r>
      <w:r>
        <w:rPr>
          <w:rFonts w:ascii="宋体" w:hAnsi="宋体" w:cs="宋体" w:eastAsia="宋体" w:hint="default"/>
        </w:rPr>
        <w:t>0</w:t>
      </w:r>
      <w:r>
        <w:rPr/>
        <w:t>）</w:t>
      </w:r>
      <w:r>
        <w:rPr>
          <w:rFonts w:ascii="宋体" w:hAnsi="宋体" w:cs="宋体" w:eastAsia="宋体" w:hint="default"/>
        </w:rPr>
        <w:t>=11.80%</w:t>
      </w:r>
    </w:p>
    <w:p>
      <w:pPr>
        <w:pStyle w:val="BodyText"/>
        <w:spacing w:line="302" w:lineRule="auto" w:before="23"/>
        <w:ind w:left="138" w:right="811" w:firstLine="575"/>
        <w:jc w:val="both"/>
      </w:pPr>
      <w:r>
        <w:rPr>
          <w:position w:val="2"/>
        </w:rPr>
        <w:t>其中：</w:t>
      </w:r>
      <w:r>
        <w:rPr>
          <w:rFonts w:ascii="宋体" w:hAnsi="宋体" w:cs="宋体" w:eastAsia="宋体" w:hint="default"/>
          <w:position w:val="2"/>
        </w:rPr>
        <w:t>P</w:t>
      </w:r>
      <w:r>
        <w:rPr>
          <w:rFonts w:ascii="宋体" w:hAnsi="宋体" w:cs="宋体" w:eastAsia="宋体" w:hint="default"/>
          <w:sz w:val="12"/>
          <w:szCs w:val="12"/>
        </w:rPr>
        <w:t>0</w:t>
      </w:r>
      <w:r>
        <w:rPr>
          <w:rFonts w:ascii="宋体" w:hAnsi="宋体" w:cs="宋体" w:eastAsia="宋体" w:hint="default"/>
          <w:spacing w:val="37"/>
          <w:sz w:val="12"/>
          <w:szCs w:val="12"/>
        </w:rPr>
        <w:t> </w:t>
      </w:r>
      <w:r>
        <w:rPr>
          <w:position w:val="2"/>
        </w:rPr>
        <w:t>分别对应于归属于公司普通股股东的净利润、扣除非经常性损益 </w:t>
      </w:r>
      <w:r>
        <w:rPr>
          <w:spacing w:val="2"/>
          <w:position w:val="2"/>
        </w:rPr>
        <w:t>后归属于公司普通股股东的净利润；</w:t>
      </w:r>
      <w:r>
        <w:rPr>
          <w:rFonts w:ascii="宋体" w:hAnsi="宋体" w:cs="宋体" w:eastAsia="宋体" w:hint="default"/>
          <w:spacing w:val="2"/>
          <w:position w:val="2"/>
        </w:rPr>
        <w:t>NP</w:t>
      </w:r>
      <w:r>
        <w:rPr>
          <w:rFonts w:ascii="宋体" w:hAnsi="宋体" w:cs="宋体" w:eastAsia="宋体" w:hint="default"/>
          <w:spacing w:val="7"/>
          <w:position w:val="2"/>
        </w:rPr>
        <w:t> </w:t>
      </w:r>
      <w:r>
        <w:rPr>
          <w:spacing w:val="2"/>
          <w:position w:val="2"/>
        </w:rPr>
        <w:t>为归属于公司普通股股东的净利润；</w:t>
      </w:r>
      <w:r>
        <w:rPr>
          <w:rFonts w:ascii="宋体" w:hAnsi="宋体" w:cs="宋体" w:eastAsia="宋体" w:hint="default"/>
          <w:spacing w:val="2"/>
          <w:position w:val="2"/>
        </w:rPr>
        <w:t>E</w:t>
      </w:r>
      <w:r>
        <w:rPr>
          <w:rFonts w:ascii="宋体" w:hAnsi="宋体" w:cs="宋体" w:eastAsia="宋体" w:hint="default"/>
          <w:spacing w:val="2"/>
          <w:sz w:val="12"/>
          <w:szCs w:val="12"/>
        </w:rPr>
        <w:t>0</w:t>
      </w:r>
      <w:r>
        <w:rPr>
          <w:rFonts w:ascii="宋体" w:hAnsi="宋体" w:cs="宋体" w:eastAsia="宋体" w:hint="default"/>
          <w:sz w:val="12"/>
          <w:szCs w:val="12"/>
        </w:rPr>
        <w:t> </w:t>
      </w:r>
      <w:r>
        <w:rPr>
          <w:spacing w:val="3"/>
          <w:position w:val="2"/>
        </w:rPr>
        <w:t>为归属于公司普通股股东的期初净资产；</w:t>
      </w:r>
      <w:r>
        <w:rPr>
          <w:rFonts w:ascii="宋体" w:hAnsi="宋体" w:cs="宋体" w:eastAsia="宋体" w:hint="default"/>
          <w:spacing w:val="3"/>
          <w:position w:val="2"/>
        </w:rPr>
        <w:t>E</w:t>
      </w:r>
      <w:r>
        <w:rPr>
          <w:rFonts w:ascii="宋体" w:hAnsi="宋体" w:cs="宋体" w:eastAsia="宋体" w:hint="default"/>
          <w:spacing w:val="3"/>
          <w:sz w:val="12"/>
          <w:szCs w:val="12"/>
        </w:rPr>
        <w:t>i </w:t>
      </w:r>
      <w:r>
        <w:rPr>
          <w:spacing w:val="3"/>
          <w:position w:val="2"/>
        </w:rPr>
        <w:t>为报告期发行新股或债转股等新增</w:t>
      </w:r>
      <w:r>
        <w:rPr>
          <w:spacing w:val="-102"/>
          <w:position w:val="2"/>
        </w:rPr>
        <w:t> </w:t>
      </w:r>
      <w:r>
        <w:rPr>
          <w:spacing w:val="-102"/>
          <w:position w:val="2"/>
        </w:rPr>
      </w:r>
      <w:r>
        <w:rPr>
          <w:spacing w:val="-3"/>
          <w:position w:val="2"/>
        </w:rPr>
        <w:t>的、归属于公司普通股股东的净资产；</w:t>
      </w:r>
      <w:r>
        <w:rPr>
          <w:rFonts w:ascii="宋体" w:hAnsi="宋体" w:cs="宋体" w:eastAsia="宋体" w:hint="default"/>
          <w:spacing w:val="-3"/>
          <w:position w:val="2"/>
        </w:rPr>
        <w:t>E</w:t>
      </w:r>
      <w:r>
        <w:rPr>
          <w:rFonts w:ascii="宋体" w:hAnsi="宋体" w:cs="宋体" w:eastAsia="宋体" w:hint="default"/>
          <w:spacing w:val="-3"/>
          <w:sz w:val="12"/>
          <w:szCs w:val="12"/>
        </w:rPr>
        <w:t>j</w:t>
      </w:r>
      <w:r>
        <w:rPr>
          <w:rFonts w:ascii="宋体" w:hAnsi="宋体" w:cs="宋体" w:eastAsia="宋体" w:hint="default"/>
          <w:spacing w:val="-31"/>
          <w:sz w:val="12"/>
          <w:szCs w:val="12"/>
        </w:rPr>
        <w:t> </w:t>
      </w:r>
      <w:r>
        <w:rPr>
          <w:position w:val="2"/>
        </w:rPr>
        <w:t>为报告期回购或现金分红等减少的、归 属于公司普通股股东的净资产；</w:t>
      </w:r>
      <w:r>
        <w:rPr>
          <w:rFonts w:ascii="宋体" w:hAnsi="宋体" w:cs="宋体" w:eastAsia="宋体" w:hint="default"/>
          <w:position w:val="2"/>
        </w:rPr>
        <w:t>M</w:t>
      </w:r>
      <w:r>
        <w:rPr>
          <w:rFonts w:ascii="宋体" w:hAnsi="宋体" w:cs="宋体" w:eastAsia="宋体" w:hint="default"/>
          <w:sz w:val="12"/>
          <w:szCs w:val="12"/>
        </w:rPr>
        <w:t>0</w:t>
      </w:r>
      <w:r>
        <w:rPr>
          <w:rFonts w:ascii="宋体" w:hAnsi="宋体" w:cs="宋体" w:eastAsia="宋体" w:hint="default"/>
          <w:spacing w:val="-42"/>
          <w:sz w:val="12"/>
          <w:szCs w:val="12"/>
        </w:rPr>
        <w:t> </w:t>
      </w:r>
      <w:r>
        <w:rPr>
          <w:position w:val="2"/>
        </w:rPr>
        <w:t>为报告期月份数；</w:t>
      </w:r>
      <w:r>
        <w:rPr>
          <w:rFonts w:ascii="宋体" w:hAnsi="宋体" w:cs="宋体" w:eastAsia="宋体" w:hint="default"/>
          <w:position w:val="2"/>
        </w:rPr>
        <w:t>M</w:t>
      </w:r>
      <w:r>
        <w:rPr>
          <w:rFonts w:ascii="宋体" w:hAnsi="宋体" w:cs="宋体" w:eastAsia="宋体" w:hint="default"/>
          <w:sz w:val="12"/>
          <w:szCs w:val="12"/>
        </w:rPr>
        <w:t>i</w:t>
      </w:r>
      <w:r>
        <w:rPr>
          <w:rFonts w:ascii="宋体" w:hAnsi="宋体" w:cs="宋体" w:eastAsia="宋体" w:hint="default"/>
          <w:spacing w:val="-42"/>
          <w:sz w:val="12"/>
          <w:szCs w:val="12"/>
        </w:rPr>
        <w:t> </w:t>
      </w:r>
      <w:r>
        <w:rPr>
          <w:position w:val="2"/>
        </w:rPr>
        <w:t>为新增净资产次月起至报 告期期末的累计月数；</w:t>
      </w:r>
      <w:r>
        <w:rPr>
          <w:rFonts w:ascii="宋体" w:hAnsi="宋体" w:cs="宋体" w:eastAsia="宋体" w:hint="default"/>
          <w:position w:val="2"/>
        </w:rPr>
        <w:t>M</w:t>
      </w:r>
      <w:r>
        <w:rPr>
          <w:rFonts w:ascii="宋体" w:hAnsi="宋体" w:cs="宋体" w:eastAsia="宋体" w:hint="default"/>
          <w:sz w:val="12"/>
          <w:szCs w:val="12"/>
        </w:rPr>
        <w:t>j</w:t>
      </w:r>
      <w:r>
        <w:rPr>
          <w:rFonts w:ascii="宋体" w:hAnsi="宋体" w:cs="宋体" w:eastAsia="宋体" w:hint="default"/>
          <w:spacing w:val="-42"/>
          <w:sz w:val="12"/>
          <w:szCs w:val="12"/>
        </w:rPr>
        <w:t> </w:t>
      </w:r>
      <w:r>
        <w:rPr>
          <w:position w:val="2"/>
        </w:rPr>
        <w:t>为减少净资产次月起至报告期期末的累计月数；</w:t>
      </w:r>
      <w:r>
        <w:rPr>
          <w:rFonts w:ascii="宋体" w:hAnsi="宋体" w:cs="宋体" w:eastAsia="宋体" w:hint="default"/>
          <w:position w:val="2"/>
        </w:rPr>
        <w:t>E</w:t>
      </w:r>
      <w:r>
        <w:rPr>
          <w:rFonts w:ascii="宋体" w:hAnsi="宋体" w:cs="宋体" w:eastAsia="宋体" w:hint="default"/>
          <w:sz w:val="12"/>
          <w:szCs w:val="12"/>
        </w:rPr>
        <w:t>k</w:t>
      </w:r>
      <w:r>
        <w:rPr>
          <w:rFonts w:ascii="宋体" w:hAnsi="宋体" w:cs="宋体" w:eastAsia="宋体" w:hint="default"/>
          <w:spacing w:val="-42"/>
          <w:sz w:val="12"/>
          <w:szCs w:val="12"/>
        </w:rPr>
        <w:t> </w:t>
      </w:r>
      <w:r>
        <w:rPr>
          <w:position w:val="2"/>
        </w:rPr>
        <w:t>为因 </w:t>
      </w:r>
      <w:r>
        <w:rPr>
          <w:spacing w:val="-3"/>
          <w:position w:val="2"/>
        </w:rPr>
        <w:t>其他交易或事项引起的净资产增减变动；</w:t>
      </w:r>
      <w:r>
        <w:rPr>
          <w:rFonts w:ascii="宋体" w:hAnsi="宋体" w:cs="宋体" w:eastAsia="宋体" w:hint="default"/>
          <w:spacing w:val="-3"/>
          <w:position w:val="2"/>
        </w:rPr>
        <w:t>M</w:t>
      </w:r>
      <w:r>
        <w:rPr>
          <w:rFonts w:ascii="宋体" w:hAnsi="宋体" w:cs="宋体" w:eastAsia="宋体" w:hint="default"/>
          <w:spacing w:val="-3"/>
          <w:sz w:val="12"/>
          <w:szCs w:val="12"/>
        </w:rPr>
        <w:t>k</w:t>
      </w:r>
      <w:r>
        <w:rPr>
          <w:rFonts w:ascii="宋体" w:hAnsi="宋体" w:cs="宋体" w:eastAsia="宋体" w:hint="default"/>
          <w:spacing w:val="-18"/>
          <w:sz w:val="12"/>
          <w:szCs w:val="12"/>
        </w:rPr>
        <w:t> </w:t>
      </w:r>
      <w:r>
        <w:rPr>
          <w:spacing w:val="-1"/>
          <w:position w:val="2"/>
        </w:rPr>
        <w:t>为发生其他净资产增减变动次月起至</w:t>
      </w:r>
      <w:r>
        <w:rPr>
          <w:spacing w:val="-117"/>
          <w:position w:val="2"/>
        </w:rPr>
        <w:t> </w:t>
      </w:r>
      <w:r>
        <w:rPr>
          <w:spacing w:val="-117"/>
          <w:position w:val="2"/>
        </w:rPr>
      </w:r>
      <w:r>
        <w:rPr/>
        <w:t>报告期期末的累计月数。</w:t>
      </w:r>
    </w:p>
    <w:p>
      <w:pPr>
        <w:pStyle w:val="BodyText"/>
        <w:spacing w:line="304" w:lineRule="auto"/>
        <w:ind w:left="138" w:right="812" w:firstLine="479"/>
        <w:jc w:val="both"/>
      </w:pPr>
      <w:r>
        <w:rPr>
          <w:spacing w:val="-3"/>
        </w:rPr>
        <w:t>报告期发生同一控制下企业合并的，计算扣除非经常性损益后的加权平均净</w:t>
      </w:r>
      <w:r>
        <w:rPr/>
        <w:t> </w:t>
      </w:r>
      <w:r>
        <w:rPr>
          <w:spacing w:val="-3"/>
        </w:rPr>
        <w:t>资产收益率时，被合并方的净资产从合并日的次月起进行加权。计算比较期间的</w:t>
      </w:r>
      <w:r>
        <w:rPr>
          <w:spacing w:val="-103"/>
        </w:rPr>
        <w:t> </w:t>
      </w:r>
      <w:r>
        <w:rPr>
          <w:spacing w:val="-103"/>
        </w:rPr>
      </w:r>
      <w:r>
        <w:rPr>
          <w:spacing w:val="-3"/>
        </w:rPr>
        <w:t>加权平均净资产收益率时，被合并方的净利润、净资产均从最终控制方实施控制</w:t>
      </w:r>
      <w:r>
        <w:rPr>
          <w:spacing w:val="-103"/>
        </w:rPr>
        <w:t> </w:t>
      </w:r>
      <w:r>
        <w:rPr>
          <w:spacing w:val="-103"/>
        </w:rPr>
      </w:r>
      <w:r>
        <w:rPr>
          <w:spacing w:val="-3"/>
        </w:rPr>
        <w:t>的次月起进行加权；计算比较期间扣除非经常性损益后的加权平均净资产收益率</w:t>
      </w:r>
      <w:r>
        <w:rPr>
          <w:spacing w:val="-104"/>
        </w:rPr>
        <w:t> </w:t>
      </w:r>
      <w:r>
        <w:rPr>
          <w:spacing w:val="-104"/>
        </w:rPr>
      </w:r>
      <w:r>
        <w:rPr>
          <w:spacing w:val="-6"/>
        </w:rPr>
        <w:t>时，被合并方的净资产不予加权计算（权重为零）。</w:t>
      </w:r>
    </w:p>
    <w:p>
      <w:pPr>
        <w:pStyle w:val="BodyText"/>
        <w:spacing w:line="240" w:lineRule="auto"/>
        <w:ind w:left="714" w:right="889"/>
        <w:jc w:val="left"/>
      </w:pPr>
      <w:r>
        <w:rPr/>
        <w:t>⑵</w:t>
      </w:r>
      <w:r>
        <w:rPr>
          <w:spacing w:val="1"/>
        </w:rPr>
        <w:t> </w:t>
      </w:r>
      <w:r>
        <w:rPr/>
        <w:t>基本每股收益和稀释每股收益的计算见附注七、</w:t>
      </w:r>
      <w:r>
        <w:rPr>
          <w:rFonts w:ascii="宋体" w:hAnsi="宋体" w:cs="宋体" w:eastAsia="宋体" w:hint="default"/>
        </w:rPr>
        <w:t>38</w:t>
      </w:r>
      <w:r>
        <w:rPr/>
        <w:t>。</w:t>
      </w:r>
    </w:p>
    <w:p>
      <w:pPr>
        <w:pStyle w:val="Heading2"/>
        <w:spacing w:line="240" w:lineRule="auto" w:before="41"/>
        <w:ind w:right="889"/>
        <w:jc w:val="left"/>
        <w:rPr>
          <w:b w:val="0"/>
          <w:bCs w:val="0"/>
        </w:rPr>
      </w:pPr>
      <w:r>
        <w:rPr>
          <w:rFonts w:ascii="Times New Roman" w:hAnsi="Times New Roman" w:cs="Times New Roman" w:eastAsia="Times New Roman" w:hint="default"/>
        </w:rPr>
        <w:t>3</w:t>
      </w:r>
      <w:r>
        <w:rPr/>
        <w:t>、本集团合并财务报表主要项目的异常情况及原因的说明</w:t>
      </w:r>
      <w:r>
        <w:rPr>
          <w:b w:val="0"/>
          <w:bCs w:val="0"/>
        </w:rPr>
      </w:r>
    </w:p>
    <w:p>
      <w:pPr>
        <w:pStyle w:val="BodyText"/>
        <w:spacing w:line="304" w:lineRule="auto" w:before="186"/>
        <w:ind w:left="152" w:right="813" w:firstLine="419"/>
        <w:jc w:val="both"/>
      </w:pPr>
      <w:r>
        <w:rPr/>
        <w:t>（</w:t>
      </w:r>
      <w:r>
        <w:rPr>
          <w:rFonts w:ascii="宋体" w:hAnsi="宋体" w:cs="宋体" w:eastAsia="宋体" w:hint="default"/>
        </w:rPr>
        <w:t>1</w:t>
      </w:r>
      <w:r>
        <w:rPr/>
        <w:t>）</w:t>
      </w:r>
      <w:r>
        <w:rPr>
          <w:spacing w:val="105"/>
        </w:rPr>
        <w:t> </w:t>
      </w:r>
      <w:r>
        <w:rPr/>
        <w:t>货币资金</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409,824,815.84</w:t>
      </w:r>
      <w:r>
        <w:rPr>
          <w:rFonts w:ascii="宋体" w:hAnsi="宋体" w:cs="宋体" w:eastAsia="宋体" w:hint="default"/>
          <w:spacing w:val="-60"/>
        </w:rPr>
        <w:t> </w:t>
      </w:r>
      <w:r>
        <w:rPr>
          <w:spacing w:val="-6"/>
        </w:rPr>
        <w:t>元，比期初</w:t>
      </w:r>
      <w:r>
        <w:rPr/>
        <w:t> 数增加</w:t>
      </w:r>
      <w:r>
        <w:rPr>
          <w:spacing w:val="-61"/>
        </w:rPr>
        <w:t> </w:t>
      </w:r>
      <w:r>
        <w:rPr>
          <w:rFonts w:ascii="宋体" w:hAnsi="宋体" w:cs="宋体" w:eastAsia="宋体" w:hint="default"/>
        </w:rPr>
        <w:t>105.31%</w:t>
      </w:r>
      <w:r>
        <w:rPr/>
        <w:t>，其主要原因为本公司股份增发募集资金</w:t>
      </w:r>
      <w:r>
        <w:rPr>
          <w:spacing w:val="-59"/>
        </w:rPr>
        <w:t> </w:t>
      </w:r>
      <w:r>
        <w:rPr>
          <w:rFonts w:ascii="宋体" w:hAnsi="宋体" w:cs="宋体" w:eastAsia="宋体" w:hint="default"/>
        </w:rPr>
        <w:t>3.6</w:t>
      </w:r>
      <w:r>
        <w:rPr>
          <w:rFonts w:ascii="宋体" w:hAnsi="宋体" w:cs="宋体" w:eastAsia="宋体" w:hint="default"/>
          <w:spacing w:val="-60"/>
        </w:rPr>
        <w:t> </w:t>
      </w:r>
      <w:r>
        <w:rPr/>
        <w:t>亿余元；</w:t>
      </w:r>
    </w:p>
    <w:p>
      <w:pPr>
        <w:pStyle w:val="BodyText"/>
        <w:tabs>
          <w:tab w:pos="1517" w:val="left" w:leader="none"/>
        </w:tabs>
        <w:spacing w:line="240" w:lineRule="auto" w:before="142"/>
        <w:ind w:left="572" w:right="0"/>
        <w:jc w:val="left"/>
      </w:pPr>
      <w:r>
        <w:rPr/>
        <w:t>（</w:t>
      </w:r>
      <w:r>
        <w:rPr>
          <w:rFonts w:ascii="宋体" w:hAnsi="宋体" w:cs="宋体" w:eastAsia="宋体" w:hint="default"/>
        </w:rPr>
        <w:t>2</w:t>
      </w:r>
      <w:r>
        <w:rPr/>
        <w:t>）</w:t>
        <w:tab/>
        <w:t>应收账款</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日期末数为</w:t>
      </w:r>
      <w:r>
        <w:rPr>
          <w:spacing w:val="-49"/>
        </w:rPr>
        <w:t> </w:t>
      </w:r>
      <w:r>
        <w:rPr>
          <w:rFonts w:ascii="宋体" w:hAnsi="宋体" w:cs="宋体" w:eastAsia="宋体" w:hint="default"/>
        </w:rPr>
        <w:t>60,239,795.90</w:t>
      </w:r>
      <w:r>
        <w:rPr>
          <w:rFonts w:ascii="宋体" w:hAnsi="宋体" w:cs="宋体" w:eastAsia="宋体" w:hint="default"/>
          <w:spacing w:val="-49"/>
        </w:rPr>
        <w:t> </w:t>
      </w:r>
      <w:r>
        <w:rPr/>
        <w:t>元，比期初</w:t>
      </w:r>
    </w:p>
    <w:p>
      <w:pPr>
        <w:spacing w:after="0" w:line="240" w:lineRule="auto"/>
        <w:jc w:val="left"/>
        <w:sectPr>
          <w:headerReference w:type="default" r:id="rId60"/>
          <w:pgSz w:w="11910" w:h="16840"/>
          <w:pgMar w:header="840" w:footer="802" w:top="1140" w:bottom="1000" w:left="1660" w:right="980"/>
        </w:sectPr>
      </w:pPr>
    </w:p>
    <w:p>
      <w:pPr>
        <w:pStyle w:val="BodyText"/>
        <w:spacing w:line="307" w:lineRule="auto" w:before="90"/>
        <w:ind w:left="152" w:right="144"/>
        <w:jc w:val="left"/>
      </w:pPr>
      <w:r>
        <w:rPr/>
        <w:pict>
          <v:group style="position:absolute;margin-left:88.103996pt;margin-top:41.999985pt;width:419.25pt;height:16.3500pt;mso-position-horizontal-relative:page;mso-position-vertical-relative:page;z-index:-74404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t>数增加</w:t>
      </w:r>
      <w:r>
        <w:rPr>
          <w:spacing w:val="10"/>
        </w:rPr>
        <w:t> </w:t>
      </w:r>
      <w:r>
        <w:rPr>
          <w:rFonts w:ascii="宋体" w:hAnsi="宋体" w:cs="宋体" w:eastAsia="宋体" w:hint="default"/>
        </w:rPr>
        <w:t>60.06%</w:t>
      </w:r>
      <w:r>
        <w:rPr/>
        <w:t>，其主要原因是：四季度销售收入较去年同期增长，导致期末应 收账款增加；</w:t>
      </w:r>
    </w:p>
    <w:p>
      <w:pPr>
        <w:pStyle w:val="BodyText"/>
        <w:spacing w:line="304" w:lineRule="auto" w:before="139"/>
        <w:ind w:left="152" w:right="151" w:firstLine="419"/>
        <w:jc w:val="both"/>
      </w:pPr>
      <w:r>
        <w:rPr/>
        <w:t>（</w:t>
      </w:r>
      <w:r>
        <w:rPr>
          <w:rFonts w:ascii="宋体" w:hAnsi="宋体" w:cs="宋体" w:eastAsia="宋体" w:hint="default"/>
        </w:rPr>
        <w:t>3</w:t>
      </w:r>
      <w:r>
        <w:rPr/>
        <w:t>）</w:t>
      </w:r>
      <w:r>
        <w:rPr>
          <w:spacing w:val="105"/>
        </w:rPr>
        <w:t> </w:t>
      </w:r>
      <w:r>
        <w:rPr/>
        <w:t>预付账款</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1,392,627.01</w:t>
      </w:r>
      <w:r>
        <w:rPr>
          <w:rFonts w:ascii="宋体" w:hAnsi="宋体" w:cs="宋体" w:eastAsia="宋体" w:hint="default"/>
          <w:spacing w:val="-60"/>
        </w:rPr>
        <w:t> </w:t>
      </w:r>
      <w:r>
        <w:rPr>
          <w:spacing w:val="-5"/>
        </w:rPr>
        <w:t>元，比期初数</w:t>
      </w:r>
      <w:r>
        <w:rPr/>
        <w:t> 减少</w:t>
      </w:r>
      <w:r>
        <w:rPr>
          <w:spacing w:val="-59"/>
        </w:rPr>
        <w:t> </w:t>
      </w:r>
      <w:r>
        <w:rPr>
          <w:rFonts w:ascii="宋体" w:hAnsi="宋体" w:cs="宋体" w:eastAsia="宋体" w:hint="default"/>
          <w:spacing w:val="-4"/>
        </w:rPr>
        <w:t>93.38%</w:t>
      </w:r>
      <w:r>
        <w:rPr>
          <w:spacing w:val="-4"/>
        </w:rPr>
        <w:t>，其主要原因是：</w:t>
      </w:r>
      <w:r>
        <w:rPr>
          <w:rFonts w:ascii="宋体" w:hAnsi="宋体" w:cs="宋体" w:eastAsia="宋体" w:hint="default"/>
          <w:spacing w:val="-4"/>
        </w:rPr>
        <w:t>2009</w:t>
      </w:r>
      <w:r>
        <w:rPr>
          <w:rFonts w:ascii="宋体" w:hAnsi="宋体" w:cs="宋体" w:eastAsia="宋体" w:hint="default"/>
          <w:spacing w:val="-58"/>
        </w:rPr>
        <w:t> </w:t>
      </w:r>
      <w:r>
        <w:rPr/>
        <w:t>年底预计</w:t>
      </w:r>
      <w:r>
        <w:rPr>
          <w:spacing w:val="-58"/>
        </w:rPr>
        <w:t> </w:t>
      </w:r>
      <w:r>
        <w:rPr>
          <w:rFonts w:ascii="宋体" w:hAnsi="宋体" w:cs="宋体" w:eastAsia="宋体" w:hint="default"/>
        </w:rPr>
        <w:t>2010</w:t>
      </w:r>
      <w:r>
        <w:rPr>
          <w:rFonts w:ascii="宋体" w:hAnsi="宋体" w:cs="宋体" w:eastAsia="宋体" w:hint="default"/>
          <w:spacing w:val="-58"/>
        </w:rPr>
        <w:t> </w:t>
      </w:r>
      <w:r>
        <w:rPr>
          <w:spacing w:val="-3"/>
        </w:rPr>
        <w:t>年原材料价格上涨，所以通过</w:t>
      </w:r>
      <w:r>
        <w:rPr/>
        <w:t> 预付货款的方式锁定原材料价格，本年底未采取类似措施；</w:t>
      </w:r>
    </w:p>
    <w:p>
      <w:pPr>
        <w:pStyle w:val="BodyText"/>
        <w:spacing w:line="304" w:lineRule="auto" w:before="142"/>
        <w:ind w:left="152" w:right="153" w:firstLine="419"/>
        <w:jc w:val="both"/>
      </w:pPr>
      <w:r>
        <w:rPr/>
        <w:t>（</w:t>
      </w:r>
      <w:r>
        <w:rPr>
          <w:rFonts w:ascii="宋体" w:hAnsi="宋体" w:cs="宋体" w:eastAsia="宋体" w:hint="default"/>
        </w:rPr>
        <w:t>4</w:t>
      </w:r>
      <w:r>
        <w:rPr/>
        <w:t>）</w:t>
      </w:r>
      <w:r>
        <w:rPr>
          <w:spacing w:val="105"/>
        </w:rPr>
        <w:t> </w:t>
      </w:r>
      <w:r>
        <w:rPr/>
        <w:t>其他流动资产</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489,206.62</w:t>
      </w:r>
      <w:r>
        <w:rPr>
          <w:rFonts w:ascii="宋体" w:hAnsi="宋体" w:cs="宋体" w:eastAsia="宋体" w:hint="default"/>
          <w:spacing w:val="-60"/>
        </w:rPr>
        <w:t> </w:t>
      </w:r>
      <w:r>
        <w:rPr>
          <w:spacing w:val="-6"/>
        </w:rPr>
        <w:t>元，比期初</w:t>
      </w:r>
      <w:r>
        <w:rPr/>
        <w:t> 数减少</w:t>
      </w:r>
      <w:r>
        <w:rPr>
          <w:spacing w:val="-61"/>
        </w:rPr>
        <w:t> </w:t>
      </w:r>
      <w:r>
        <w:rPr>
          <w:rFonts w:ascii="宋体" w:hAnsi="宋体" w:cs="宋体" w:eastAsia="宋体" w:hint="default"/>
        </w:rPr>
        <w:t>65.43%</w:t>
      </w:r>
      <w:r>
        <w:rPr/>
        <w:t>，其主要原因是：待摊费用摊销所致；</w:t>
      </w:r>
    </w:p>
    <w:p>
      <w:pPr>
        <w:pStyle w:val="BodyText"/>
        <w:tabs>
          <w:tab w:pos="1517" w:val="left" w:leader="none"/>
        </w:tabs>
        <w:spacing w:line="240" w:lineRule="auto" w:before="142"/>
        <w:ind w:left="572" w:right="0"/>
        <w:jc w:val="left"/>
      </w:pPr>
      <w:r>
        <w:rPr/>
        <w:t>（</w:t>
      </w:r>
      <w:r>
        <w:rPr>
          <w:rFonts w:ascii="宋体" w:hAnsi="宋体" w:cs="宋体" w:eastAsia="宋体" w:hint="default"/>
        </w:rPr>
        <w:t>5</w:t>
      </w:r>
      <w:r>
        <w:rPr/>
        <w:t>）</w:t>
        <w:tab/>
        <w:t>投资性房地产</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日期末数为</w:t>
      </w:r>
      <w:r>
        <w:rPr>
          <w:spacing w:val="-49"/>
        </w:rPr>
        <w:t> </w:t>
      </w:r>
      <w:r>
        <w:rPr>
          <w:rFonts w:ascii="宋体" w:hAnsi="宋体" w:cs="宋体" w:eastAsia="宋体" w:hint="default"/>
        </w:rPr>
        <w:t>13,339,223.68</w:t>
      </w:r>
      <w:r>
        <w:rPr>
          <w:rFonts w:ascii="宋体" w:hAnsi="宋体" w:cs="宋体" w:eastAsia="宋体" w:hint="default"/>
          <w:spacing w:val="-49"/>
        </w:rPr>
        <w:t> </w:t>
      </w:r>
      <w:r>
        <w:rPr/>
        <w:t>元，比</w:t>
      </w:r>
    </w:p>
    <w:p>
      <w:pPr>
        <w:pStyle w:val="BodyText"/>
        <w:spacing w:line="304" w:lineRule="auto" w:before="86"/>
        <w:ind w:left="152" w:right="138"/>
        <w:jc w:val="left"/>
      </w:pPr>
      <w:r>
        <w:rPr/>
        <w:t>期初数增加</w:t>
      </w:r>
      <w:r>
        <w:rPr>
          <w:spacing w:val="-55"/>
        </w:rPr>
        <w:t> </w:t>
      </w:r>
      <w:r>
        <w:rPr>
          <w:rFonts w:ascii="宋体" w:hAnsi="宋体" w:cs="宋体" w:eastAsia="宋体" w:hint="default"/>
        </w:rPr>
        <w:t>13,339,223.68</w:t>
      </w:r>
      <w:r>
        <w:rPr>
          <w:rFonts w:ascii="宋体" w:hAnsi="宋体" w:cs="宋体" w:eastAsia="宋体" w:hint="default"/>
          <w:spacing w:val="-54"/>
        </w:rPr>
        <w:t> </w:t>
      </w:r>
      <w:r>
        <w:rPr>
          <w:spacing w:val="-5"/>
        </w:rPr>
        <w:t>元，其主要原因是：位于广州的生产办公楼部分出租</w:t>
      </w:r>
      <w:r>
        <w:rPr/>
        <w:t> 所致。</w:t>
      </w:r>
    </w:p>
    <w:p>
      <w:pPr>
        <w:pStyle w:val="BodyText"/>
        <w:spacing w:line="304" w:lineRule="auto" w:before="142"/>
        <w:ind w:left="152" w:right="153" w:firstLine="419"/>
        <w:jc w:val="both"/>
      </w:pPr>
      <w:r>
        <w:rPr/>
        <w:t>（</w:t>
      </w:r>
      <w:r>
        <w:rPr>
          <w:rFonts w:ascii="宋体" w:hAnsi="宋体" w:cs="宋体" w:eastAsia="宋体" w:hint="default"/>
        </w:rPr>
        <w:t>6</w:t>
      </w:r>
      <w:r>
        <w:rPr/>
        <w:t>）</w:t>
      </w:r>
      <w:r>
        <w:rPr>
          <w:spacing w:val="105"/>
        </w:rPr>
        <w:t> </w:t>
      </w:r>
      <w:r>
        <w:rPr/>
        <w:t>固定资产</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585,752,797.78</w:t>
      </w:r>
      <w:r>
        <w:rPr>
          <w:rFonts w:ascii="宋体" w:hAnsi="宋体" w:cs="宋体" w:eastAsia="宋体" w:hint="default"/>
          <w:spacing w:val="-60"/>
        </w:rPr>
        <w:t> </w:t>
      </w:r>
      <w:r>
        <w:rPr>
          <w:spacing w:val="-6"/>
        </w:rPr>
        <w:t>元，比期初</w:t>
      </w:r>
      <w:r>
        <w:rPr/>
        <w:t> 数增加</w:t>
      </w:r>
      <w:r>
        <w:rPr>
          <w:spacing w:val="10"/>
        </w:rPr>
        <w:t> </w:t>
      </w:r>
      <w:r>
        <w:rPr>
          <w:rFonts w:ascii="宋体" w:hAnsi="宋体" w:cs="宋体" w:eastAsia="宋体" w:hint="default"/>
        </w:rPr>
        <w:t>59.18%</w:t>
      </w:r>
      <w:r>
        <w:rPr/>
        <w:t>，其主要原因为北京东港嘉华综合生产楼工程转固、济南临港生 产基地（一期）二车间转固和设备增加所致；</w:t>
      </w:r>
    </w:p>
    <w:p>
      <w:pPr>
        <w:pStyle w:val="BodyText"/>
        <w:spacing w:line="304" w:lineRule="auto" w:before="142"/>
        <w:ind w:left="152" w:right="153" w:firstLine="419"/>
        <w:jc w:val="both"/>
      </w:pPr>
      <w:r>
        <w:rPr/>
        <w:t>（</w:t>
      </w:r>
      <w:r>
        <w:rPr>
          <w:rFonts w:ascii="宋体" w:hAnsi="宋体" w:cs="宋体" w:eastAsia="宋体" w:hint="default"/>
        </w:rPr>
        <w:t>7</w:t>
      </w:r>
      <w:r>
        <w:rPr/>
        <w:t>）</w:t>
      </w:r>
      <w:r>
        <w:rPr>
          <w:spacing w:val="103"/>
        </w:rPr>
        <w:t> </w:t>
      </w:r>
      <w:r>
        <w:rPr/>
        <w:t>在建工程</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日期末数为</w:t>
      </w:r>
      <w:r>
        <w:rPr>
          <w:spacing w:val="-49"/>
        </w:rPr>
        <w:t> </w:t>
      </w:r>
      <w:r>
        <w:rPr>
          <w:rFonts w:ascii="宋体" w:hAnsi="宋体" w:cs="宋体" w:eastAsia="宋体" w:hint="default"/>
        </w:rPr>
        <w:t>98,428,265.63</w:t>
      </w:r>
      <w:r>
        <w:rPr>
          <w:rFonts w:ascii="宋体" w:hAnsi="宋体" w:cs="宋体" w:eastAsia="宋体" w:hint="default"/>
          <w:spacing w:val="-49"/>
        </w:rPr>
        <w:t> </w:t>
      </w:r>
      <w:r>
        <w:rPr/>
        <w:t>元，比期初 数减少</w:t>
      </w:r>
      <w:r>
        <w:rPr>
          <w:spacing w:val="10"/>
        </w:rPr>
        <w:t> </w:t>
      </w:r>
      <w:r>
        <w:rPr>
          <w:rFonts w:ascii="宋体" w:hAnsi="宋体" w:cs="宋体" w:eastAsia="宋体" w:hint="default"/>
        </w:rPr>
        <w:t>50.00%</w:t>
      </w:r>
      <w:r>
        <w:rPr/>
        <w:t>，其主要原因是：北京东港嘉华综合生产楼工程和济南临港生产 基地（一期）二车间转固所致；</w:t>
      </w:r>
    </w:p>
    <w:p>
      <w:pPr>
        <w:pStyle w:val="BodyText"/>
        <w:spacing w:line="307" w:lineRule="auto" w:before="142"/>
        <w:ind w:left="152" w:right="153" w:firstLine="419"/>
        <w:jc w:val="both"/>
      </w:pPr>
      <w:r>
        <w:rPr/>
        <w:t>（</w:t>
      </w:r>
      <w:r>
        <w:rPr>
          <w:rFonts w:ascii="宋体" w:hAnsi="宋体" w:cs="宋体" w:eastAsia="宋体" w:hint="default"/>
        </w:rPr>
        <w:t>8</w:t>
      </w:r>
      <w:r>
        <w:rPr/>
        <w:t>）</w:t>
      </w:r>
      <w:r>
        <w:rPr>
          <w:spacing w:val="103"/>
        </w:rPr>
        <w:t> </w:t>
      </w:r>
      <w:r>
        <w:rPr/>
        <w:t>预收账款</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日期末数为</w:t>
      </w:r>
      <w:r>
        <w:rPr>
          <w:spacing w:val="-49"/>
        </w:rPr>
        <w:t> </w:t>
      </w:r>
      <w:r>
        <w:rPr>
          <w:rFonts w:ascii="宋体" w:hAnsi="宋体" w:cs="宋体" w:eastAsia="宋体" w:hint="default"/>
        </w:rPr>
        <w:t>13,489,623.02</w:t>
      </w:r>
      <w:r>
        <w:rPr>
          <w:rFonts w:ascii="宋体" w:hAnsi="宋体" w:cs="宋体" w:eastAsia="宋体" w:hint="default"/>
          <w:spacing w:val="-49"/>
        </w:rPr>
        <w:t> </w:t>
      </w:r>
      <w:r>
        <w:rPr/>
        <w:t>元，比期初 数减少</w:t>
      </w:r>
      <w:r>
        <w:rPr>
          <w:spacing w:val="-61"/>
        </w:rPr>
        <w:t> </w:t>
      </w:r>
      <w:r>
        <w:rPr>
          <w:rFonts w:ascii="宋体" w:hAnsi="宋体" w:cs="宋体" w:eastAsia="宋体" w:hint="default"/>
        </w:rPr>
        <w:t>55.81%</w:t>
      </w:r>
      <w:r>
        <w:rPr/>
        <w:t>，其主要原因是：本年完工发货量较上年同期增加所致；</w:t>
      </w:r>
    </w:p>
    <w:p>
      <w:pPr>
        <w:pStyle w:val="BodyText"/>
        <w:spacing w:line="307" w:lineRule="auto" w:before="137"/>
        <w:ind w:left="152" w:right="151" w:firstLine="419"/>
        <w:jc w:val="both"/>
      </w:pPr>
      <w:r>
        <w:rPr/>
        <w:t>（</w:t>
      </w:r>
      <w:r>
        <w:rPr>
          <w:rFonts w:ascii="宋体" w:hAnsi="宋体" w:cs="宋体" w:eastAsia="宋体" w:hint="default"/>
        </w:rPr>
        <w:t>9</w:t>
      </w:r>
      <w:r>
        <w:rPr/>
        <w:t>）</w:t>
      </w:r>
      <w:r>
        <w:rPr>
          <w:spacing w:val="103"/>
        </w:rPr>
        <w:t> </w:t>
      </w:r>
      <w:r>
        <w:rPr/>
        <w:t>应付职工薪酬</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日期末数为</w:t>
      </w:r>
      <w:r>
        <w:rPr>
          <w:spacing w:val="-49"/>
        </w:rPr>
        <w:t> </w:t>
      </w:r>
      <w:r>
        <w:rPr>
          <w:rFonts w:ascii="宋体" w:hAnsi="宋体" w:cs="宋体" w:eastAsia="宋体" w:hint="default"/>
        </w:rPr>
        <w:t>10,022,645.07</w:t>
      </w:r>
      <w:r>
        <w:rPr>
          <w:rFonts w:ascii="宋体" w:hAnsi="宋体" w:cs="宋体" w:eastAsia="宋体" w:hint="default"/>
          <w:spacing w:val="-49"/>
        </w:rPr>
        <w:t> </w:t>
      </w:r>
      <w:r>
        <w:rPr/>
        <w:t>元，比 期初数增加</w:t>
      </w:r>
      <w:r>
        <w:rPr>
          <w:spacing w:val="-61"/>
        </w:rPr>
        <w:t> </w:t>
      </w:r>
      <w:r>
        <w:rPr>
          <w:rFonts w:ascii="宋体" w:hAnsi="宋体" w:cs="宋体" w:eastAsia="宋体" w:hint="default"/>
        </w:rPr>
        <w:t>53.46%</w:t>
      </w:r>
      <w:r>
        <w:rPr/>
        <w:t>，其主要原因为员工人数增加导致计提的工资及奖金增加；</w:t>
      </w:r>
    </w:p>
    <w:p>
      <w:pPr>
        <w:pStyle w:val="BodyText"/>
        <w:tabs>
          <w:tab w:pos="1517" w:val="left" w:leader="none"/>
        </w:tabs>
        <w:spacing w:line="240" w:lineRule="auto" w:before="139"/>
        <w:ind w:left="572" w:right="0"/>
        <w:jc w:val="left"/>
      </w:pPr>
      <w:r>
        <w:rPr/>
        <w:t>（</w:t>
      </w:r>
      <w:r>
        <w:rPr>
          <w:rFonts w:ascii="宋体" w:hAnsi="宋体" w:cs="宋体" w:eastAsia="宋体" w:hint="default"/>
        </w:rPr>
        <w:t>10</w:t>
      </w:r>
      <w:r>
        <w:rPr/>
        <w:t>）</w:t>
        <w:tab/>
        <w:t>应交税费</w:t>
      </w:r>
      <w:r>
        <w:rPr>
          <w:spacing w:val="-45"/>
        </w:rPr>
        <w:t> </w:t>
      </w: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日期末数为</w:t>
      </w:r>
      <w:r>
        <w:rPr>
          <w:rFonts w:ascii="宋体" w:hAnsi="宋体" w:cs="宋体" w:eastAsia="宋体" w:hint="default"/>
        </w:rPr>
        <w:t>-1,282,100.43 </w:t>
      </w:r>
      <w:r>
        <w:rPr/>
        <w:t>元，比期初</w:t>
      </w:r>
    </w:p>
    <w:p>
      <w:pPr>
        <w:pStyle w:val="BodyText"/>
        <w:spacing w:line="307" w:lineRule="auto" w:before="84"/>
        <w:ind w:left="152" w:right="136"/>
        <w:jc w:val="left"/>
      </w:pPr>
      <w:r>
        <w:rPr/>
        <w:t>数减少</w:t>
      </w:r>
      <w:r>
        <w:rPr>
          <w:spacing w:val="-51"/>
        </w:rPr>
        <w:t> </w:t>
      </w:r>
      <w:r>
        <w:rPr>
          <w:rFonts w:ascii="宋体" w:hAnsi="宋体" w:cs="宋体" w:eastAsia="宋体" w:hint="default"/>
        </w:rPr>
        <w:t>1,509,371.99</w:t>
      </w:r>
      <w:r>
        <w:rPr>
          <w:rFonts w:ascii="宋体" w:hAnsi="宋体" w:cs="宋体" w:eastAsia="宋体" w:hint="default"/>
          <w:spacing w:val="-51"/>
        </w:rPr>
        <w:t> </w:t>
      </w:r>
      <w:r>
        <w:rPr/>
        <w:t>元，其主要原因为公司募集资金项目机器设备采购增加导 致期末待抵扣进项税增加；</w:t>
      </w:r>
    </w:p>
    <w:p>
      <w:pPr>
        <w:pStyle w:val="BodyText"/>
        <w:tabs>
          <w:tab w:pos="1517" w:val="left" w:leader="none"/>
        </w:tabs>
        <w:spacing w:line="240" w:lineRule="auto" w:before="139"/>
        <w:ind w:left="572" w:right="0"/>
        <w:jc w:val="left"/>
      </w:pPr>
      <w:r>
        <w:rPr/>
        <w:t>（</w:t>
      </w:r>
      <w:r>
        <w:rPr>
          <w:rFonts w:ascii="宋体" w:hAnsi="宋体" w:cs="宋体" w:eastAsia="宋体" w:hint="default"/>
        </w:rPr>
        <w:t>11</w:t>
      </w:r>
      <w:r>
        <w:rPr/>
        <w:t>）</w:t>
        <w:tab/>
        <w:t>应付股利</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1,128,127.71</w:t>
      </w:r>
      <w:r>
        <w:rPr>
          <w:rFonts w:ascii="宋体" w:hAnsi="宋体" w:cs="宋体" w:eastAsia="宋体" w:hint="default"/>
          <w:spacing w:val="-60"/>
        </w:rPr>
        <w:t> </w:t>
      </w:r>
      <w:r>
        <w:rPr>
          <w:spacing w:val="-5"/>
        </w:rPr>
        <w:t>元，比期初数</w:t>
      </w:r>
    </w:p>
    <w:p>
      <w:pPr>
        <w:pStyle w:val="BodyText"/>
        <w:spacing w:line="307" w:lineRule="auto" w:before="84"/>
        <w:ind w:left="152" w:right="135"/>
        <w:jc w:val="left"/>
      </w:pPr>
      <w:r>
        <w:rPr/>
        <w:t>增加</w:t>
      </w:r>
      <w:r>
        <w:rPr>
          <w:spacing w:val="-51"/>
        </w:rPr>
        <w:t> </w:t>
      </w:r>
      <w:r>
        <w:rPr>
          <w:rFonts w:ascii="宋体" w:hAnsi="宋体" w:cs="宋体" w:eastAsia="宋体" w:hint="default"/>
        </w:rPr>
        <w:t>1,128,127.71</w:t>
      </w:r>
      <w:r>
        <w:rPr>
          <w:rFonts w:ascii="宋体" w:hAnsi="宋体" w:cs="宋体" w:eastAsia="宋体" w:hint="default"/>
          <w:spacing w:val="-50"/>
        </w:rPr>
        <w:t> </w:t>
      </w:r>
      <w:r>
        <w:rPr/>
        <w:t>元，其主要原因是：北京东港嘉华安全信息技术有限公司和 广州东港安全印刷有限公司未支付的股利；</w:t>
      </w:r>
    </w:p>
    <w:p>
      <w:pPr>
        <w:pStyle w:val="BodyText"/>
        <w:spacing w:line="304" w:lineRule="auto" w:before="139"/>
        <w:ind w:left="152" w:right="153" w:firstLine="419"/>
        <w:jc w:val="both"/>
      </w:pPr>
      <w:r>
        <w:rPr/>
        <w:t>（</w:t>
      </w:r>
      <w:r>
        <w:rPr>
          <w:rFonts w:ascii="宋体" w:hAnsi="宋体" w:cs="宋体" w:eastAsia="宋体" w:hint="default"/>
        </w:rPr>
        <w:t>12</w:t>
      </w:r>
      <w:r>
        <w:rPr/>
        <w:t>）</w:t>
      </w:r>
      <w:r>
        <w:rPr>
          <w:spacing w:val="103"/>
        </w:rPr>
        <w:t> </w:t>
      </w:r>
      <w:r>
        <w:rPr/>
        <w:t>其他应付款</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日期末数为</w:t>
      </w:r>
      <w:r>
        <w:rPr>
          <w:spacing w:val="-49"/>
        </w:rPr>
        <w:t> </w:t>
      </w:r>
      <w:r>
        <w:rPr>
          <w:rFonts w:ascii="宋体" w:hAnsi="宋体" w:cs="宋体" w:eastAsia="宋体" w:hint="default"/>
        </w:rPr>
        <w:t>55,302,381.88</w:t>
      </w:r>
      <w:r>
        <w:rPr>
          <w:rFonts w:ascii="宋体" w:hAnsi="宋体" w:cs="宋体" w:eastAsia="宋体" w:hint="default"/>
          <w:spacing w:val="-49"/>
        </w:rPr>
        <w:t> </w:t>
      </w:r>
      <w:r>
        <w:rPr/>
        <w:t>元，比期 初数减少</w:t>
      </w:r>
      <w:r>
        <w:rPr>
          <w:spacing w:val="-61"/>
        </w:rPr>
        <w:t> </w:t>
      </w:r>
      <w:r>
        <w:rPr>
          <w:rFonts w:ascii="宋体" w:hAnsi="宋体" w:cs="宋体" w:eastAsia="宋体" w:hint="default"/>
        </w:rPr>
        <w:t>38.14%</w:t>
      </w:r>
      <w:r>
        <w:rPr/>
        <w:t>，其主要原因是：本年未结算的工程款减少所致。</w:t>
      </w:r>
    </w:p>
    <w:p>
      <w:pPr>
        <w:pStyle w:val="BodyText"/>
        <w:spacing w:line="307" w:lineRule="auto" w:before="142"/>
        <w:ind w:left="152" w:right="153" w:firstLine="419"/>
        <w:jc w:val="both"/>
      </w:pPr>
      <w:r>
        <w:rPr/>
        <w:t>（</w:t>
      </w:r>
      <w:r>
        <w:rPr>
          <w:rFonts w:ascii="宋体" w:hAnsi="宋体" w:cs="宋体" w:eastAsia="宋体" w:hint="default"/>
        </w:rPr>
        <w:t>13</w:t>
      </w:r>
      <w:r>
        <w:rPr/>
        <w:t>）</w:t>
      </w:r>
      <w:r>
        <w:rPr>
          <w:spacing w:val="105"/>
        </w:rPr>
        <w:t> </w:t>
      </w:r>
      <w:r>
        <w:rPr/>
        <w:t>资本公积</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579,516,203.70</w:t>
      </w:r>
      <w:r>
        <w:rPr>
          <w:rFonts w:ascii="宋体" w:hAnsi="宋体" w:cs="宋体" w:eastAsia="宋体" w:hint="default"/>
          <w:spacing w:val="-60"/>
        </w:rPr>
        <w:t> </w:t>
      </w:r>
      <w:r>
        <w:rPr>
          <w:spacing w:val="-6"/>
        </w:rPr>
        <w:t>元，比期初</w:t>
      </w:r>
      <w:r>
        <w:rPr/>
        <w:t> 数增加</w:t>
      </w:r>
      <w:r>
        <w:rPr>
          <w:spacing w:val="-61"/>
        </w:rPr>
        <w:t> </w:t>
      </w:r>
      <w:r>
        <w:rPr>
          <w:rFonts w:ascii="宋体" w:hAnsi="宋体" w:cs="宋体" w:eastAsia="宋体" w:hint="default"/>
        </w:rPr>
        <w:t>133.18%</w:t>
      </w:r>
      <w:r>
        <w:rPr/>
        <w:t>，其主要原因为本年增发资本溢价所致；</w:t>
      </w:r>
    </w:p>
    <w:p>
      <w:pPr>
        <w:pStyle w:val="BodyText"/>
        <w:tabs>
          <w:tab w:pos="1517" w:val="left" w:leader="none"/>
        </w:tabs>
        <w:spacing w:line="240" w:lineRule="auto" w:before="137"/>
        <w:ind w:left="572" w:right="0"/>
        <w:jc w:val="left"/>
      </w:pPr>
      <w:r>
        <w:rPr/>
        <w:t>（</w:t>
      </w:r>
      <w:r>
        <w:rPr>
          <w:rFonts w:ascii="宋体" w:hAnsi="宋体" w:cs="宋体" w:eastAsia="宋体" w:hint="default"/>
        </w:rPr>
        <w:t>14</w:t>
      </w:r>
      <w:r>
        <w:rPr/>
        <w:t>）</w:t>
        <w:tab/>
        <w:t>营业成本 </w:t>
      </w:r>
      <w:r>
        <w:rPr>
          <w:rFonts w:ascii="宋体" w:hAnsi="宋体" w:cs="宋体" w:eastAsia="宋体" w:hint="default"/>
        </w:rPr>
        <w:t>2010 </w:t>
      </w:r>
      <w:r>
        <w:rPr/>
        <w:t>年度发生数为 </w:t>
      </w:r>
      <w:r>
        <w:rPr>
          <w:rFonts w:ascii="宋体" w:hAnsi="宋体" w:cs="宋体" w:eastAsia="宋体" w:hint="default"/>
        </w:rPr>
        <w:t>458,200,991.33</w:t>
      </w:r>
      <w:r>
        <w:rPr>
          <w:rFonts w:ascii="宋体" w:hAnsi="宋体" w:cs="宋体" w:eastAsia="宋体" w:hint="default"/>
          <w:spacing w:val="-30"/>
        </w:rPr>
        <w:t> </w:t>
      </w:r>
      <w:r>
        <w:rPr/>
        <w:t>元，比上期数增加</w:t>
      </w:r>
    </w:p>
    <w:p>
      <w:pPr>
        <w:spacing w:after="0" w:line="240" w:lineRule="auto"/>
        <w:jc w:val="left"/>
        <w:sectPr>
          <w:headerReference w:type="default" r:id="rId61"/>
          <w:pgSz w:w="11910" w:h="16840"/>
          <w:pgMar w:header="915" w:footer="802" w:top="1100" w:bottom="1000" w:left="1660" w:right="1640"/>
        </w:sectPr>
      </w:pPr>
    </w:p>
    <w:p>
      <w:pPr>
        <w:pStyle w:val="BodyText"/>
        <w:spacing w:line="240" w:lineRule="auto" w:before="90"/>
        <w:ind w:left="152" w:right="144"/>
        <w:jc w:val="left"/>
      </w:pPr>
      <w:r>
        <w:rPr/>
        <w:pict>
          <v:group style="position:absolute;margin-left:88.103996pt;margin-top:41.999985pt;width:419.25pt;height:16.3500pt;mso-position-horizontal-relative:page;mso-position-vertical-relative:page;z-index:373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r>
        <w:rPr>
          <w:rFonts w:ascii="宋体" w:hAnsi="宋体" w:cs="宋体" w:eastAsia="宋体" w:hint="default"/>
        </w:rPr>
        <w:t>33.32%</w:t>
      </w:r>
      <w:r>
        <w:rPr/>
        <w:t>，其主要原因是：本年销量增加以及人工成本、折旧成本增加所致；</w:t>
      </w:r>
    </w:p>
    <w:p>
      <w:pPr>
        <w:pStyle w:val="BodyText"/>
        <w:tabs>
          <w:tab w:pos="1517" w:val="left" w:leader="none"/>
        </w:tabs>
        <w:spacing w:line="307" w:lineRule="auto" w:before="207"/>
        <w:ind w:left="152" w:right="151" w:firstLine="419"/>
        <w:jc w:val="left"/>
      </w:pPr>
      <w:r>
        <w:rPr/>
        <w:t>（</w:t>
      </w:r>
      <w:r>
        <w:rPr>
          <w:rFonts w:ascii="宋体" w:hAnsi="宋体" w:cs="宋体" w:eastAsia="宋体" w:hint="default"/>
        </w:rPr>
        <w:t>15</w:t>
      </w:r>
      <w:r>
        <w:rPr/>
        <w:t>）</w:t>
        <w:tab/>
      </w:r>
      <w:r>
        <w:rPr>
          <w:spacing w:val="9"/>
        </w:rPr>
        <w:t>财务费用 </w:t>
      </w:r>
      <w:r>
        <w:rPr>
          <w:rFonts w:ascii="宋体" w:hAnsi="宋体" w:cs="宋体" w:eastAsia="宋体" w:hint="default"/>
        </w:rPr>
        <w:t>2010 </w:t>
      </w:r>
      <w:r>
        <w:rPr>
          <w:spacing w:val="8"/>
        </w:rPr>
        <w:t>年度发生数为 </w:t>
      </w:r>
      <w:r>
        <w:rPr>
          <w:rFonts w:ascii="宋体" w:hAnsi="宋体" w:cs="宋体" w:eastAsia="宋体" w:hint="default"/>
        </w:rPr>
        <w:t>7,085,301.49</w:t>
      </w:r>
      <w:r>
        <w:rPr>
          <w:rFonts w:ascii="宋体" w:hAnsi="宋体" w:cs="宋体" w:eastAsia="宋体" w:hint="default"/>
          <w:spacing w:val="31"/>
        </w:rPr>
        <w:t> </w:t>
      </w:r>
      <w:r>
        <w:rPr>
          <w:spacing w:val="9"/>
        </w:rPr>
        <w:t>元，比上期数增加</w:t>
      </w:r>
      <w:r>
        <w:rPr/>
        <w:t> </w:t>
      </w:r>
      <w:r>
        <w:rPr>
          <w:rFonts w:ascii="宋体" w:hAnsi="宋体" w:cs="宋体" w:eastAsia="宋体" w:hint="default"/>
        </w:rPr>
        <w:t>5,597.97%</w:t>
      </w:r>
      <w:r>
        <w:rPr/>
        <w:t>，其主要原因是：利息支出增加。</w:t>
      </w:r>
    </w:p>
    <w:p>
      <w:pPr>
        <w:pStyle w:val="BodyText"/>
        <w:tabs>
          <w:tab w:pos="1517" w:val="left" w:leader="none"/>
        </w:tabs>
        <w:spacing w:line="240" w:lineRule="auto" w:before="137"/>
        <w:ind w:left="572" w:right="0"/>
        <w:jc w:val="left"/>
      </w:pPr>
      <w:r>
        <w:rPr/>
        <w:t>（</w:t>
      </w:r>
      <w:r>
        <w:rPr>
          <w:rFonts w:ascii="宋体" w:hAnsi="宋体" w:cs="宋体" w:eastAsia="宋体" w:hint="default"/>
        </w:rPr>
        <w:t>16</w:t>
      </w:r>
      <w:r>
        <w:rPr/>
        <w:t>）</w:t>
        <w:tab/>
        <w:t>资产减值损失</w:t>
      </w:r>
      <w:r>
        <w:rPr>
          <w:spacing w:val="-60"/>
        </w:rPr>
        <w:t> </w:t>
      </w:r>
      <w:r>
        <w:rPr>
          <w:rFonts w:ascii="宋体" w:hAnsi="宋体" w:cs="宋体" w:eastAsia="宋体" w:hint="default"/>
        </w:rPr>
        <w:t>2010</w:t>
      </w:r>
      <w:r>
        <w:rPr>
          <w:rFonts w:ascii="宋体" w:hAnsi="宋体" w:cs="宋体" w:eastAsia="宋体" w:hint="default"/>
          <w:spacing w:val="-60"/>
        </w:rPr>
        <w:t> </w:t>
      </w:r>
      <w:r>
        <w:rPr/>
        <w:t>年度发生数为</w:t>
      </w:r>
      <w:r>
        <w:rPr>
          <w:spacing w:val="-60"/>
        </w:rPr>
        <w:t> </w:t>
      </w:r>
      <w:r>
        <w:rPr>
          <w:rFonts w:ascii="宋体" w:hAnsi="宋体" w:cs="宋体" w:eastAsia="宋体" w:hint="default"/>
        </w:rPr>
        <w:t>2,035,981.94</w:t>
      </w:r>
      <w:r>
        <w:rPr>
          <w:rFonts w:ascii="宋体" w:hAnsi="宋体" w:cs="宋体" w:eastAsia="宋体" w:hint="default"/>
          <w:spacing w:val="-60"/>
        </w:rPr>
        <w:t> </w:t>
      </w:r>
      <w:r>
        <w:rPr>
          <w:spacing w:val="-4"/>
        </w:rPr>
        <w:t>元，比上期数增加</w:t>
      </w:r>
    </w:p>
    <w:p>
      <w:pPr>
        <w:pStyle w:val="BodyText"/>
        <w:spacing w:line="307" w:lineRule="auto" w:before="86"/>
        <w:ind w:left="152" w:right="142"/>
        <w:jc w:val="left"/>
      </w:pPr>
      <w:r>
        <w:rPr>
          <w:rFonts w:ascii="宋体" w:hAnsi="宋体" w:cs="宋体" w:eastAsia="宋体" w:hint="default"/>
        </w:rPr>
        <w:t>3,101,903.70</w:t>
      </w:r>
      <w:r>
        <w:rPr>
          <w:rFonts w:ascii="宋体" w:hAnsi="宋体" w:cs="宋体" w:eastAsia="宋体" w:hint="default"/>
          <w:spacing w:val="12"/>
        </w:rPr>
        <w:t> </w:t>
      </w:r>
      <w:r>
        <w:rPr/>
        <w:t>元，其主要原因是：期末应收款项增加导致计提的坏账准备增加 所致。</w:t>
      </w:r>
    </w:p>
    <w:p>
      <w:pPr>
        <w:pStyle w:val="BodyText"/>
        <w:tabs>
          <w:tab w:pos="1517" w:val="left" w:leader="none"/>
        </w:tabs>
        <w:spacing w:line="307" w:lineRule="auto" w:before="137"/>
        <w:ind w:left="152" w:right="154" w:firstLine="419"/>
        <w:jc w:val="left"/>
      </w:pPr>
      <w:r>
        <w:rPr/>
        <w:t>（</w:t>
      </w:r>
      <w:r>
        <w:rPr>
          <w:rFonts w:ascii="宋体" w:hAnsi="宋体" w:cs="宋体" w:eastAsia="宋体" w:hint="default"/>
        </w:rPr>
        <w:t>17</w:t>
      </w:r>
      <w:r>
        <w:rPr/>
        <w:t>）</w:t>
        <w:tab/>
        <w:t>营业外收入 </w:t>
      </w:r>
      <w:r>
        <w:rPr>
          <w:rFonts w:ascii="宋体" w:hAnsi="宋体" w:cs="宋体" w:eastAsia="宋体" w:hint="default"/>
        </w:rPr>
        <w:t>2010 </w:t>
      </w:r>
      <w:r>
        <w:rPr/>
        <w:t>年度发生数为 </w:t>
      </w:r>
      <w:r>
        <w:rPr>
          <w:rFonts w:ascii="宋体" w:hAnsi="宋体" w:cs="宋体" w:eastAsia="宋体" w:hint="default"/>
        </w:rPr>
        <w:t>2,029,371.34</w:t>
      </w:r>
      <w:r>
        <w:rPr>
          <w:rFonts w:ascii="宋体" w:hAnsi="宋体" w:cs="宋体" w:eastAsia="宋体" w:hint="default"/>
          <w:spacing w:val="-30"/>
        </w:rPr>
        <w:t> </w:t>
      </w:r>
      <w:r>
        <w:rPr/>
        <w:t>元，比上期数减少 </w:t>
      </w:r>
      <w:r>
        <w:rPr>
          <w:rFonts w:ascii="宋体" w:hAnsi="宋体" w:cs="宋体" w:eastAsia="宋体" w:hint="default"/>
        </w:rPr>
        <w:t>40.90%</w:t>
      </w:r>
      <w:r>
        <w:rPr/>
        <w:t>，其主要原因是：本年补贴收入减少。</w:t>
      </w:r>
    </w:p>
    <w:p>
      <w:pPr>
        <w:pStyle w:val="BodyText"/>
        <w:tabs>
          <w:tab w:pos="1517" w:val="left" w:leader="none"/>
        </w:tabs>
        <w:spacing w:line="304" w:lineRule="auto" w:before="139"/>
        <w:ind w:left="152" w:right="151" w:firstLine="419"/>
        <w:jc w:val="left"/>
      </w:pPr>
      <w:r>
        <w:rPr/>
        <w:t>（</w:t>
      </w:r>
      <w:r>
        <w:rPr>
          <w:rFonts w:ascii="宋体" w:hAnsi="宋体" w:cs="宋体" w:eastAsia="宋体" w:hint="default"/>
        </w:rPr>
        <w:t>18</w:t>
      </w:r>
      <w:r>
        <w:rPr/>
        <w:t>）</w:t>
        <w:tab/>
        <w:t>所得税费用</w:t>
      </w:r>
      <w:r>
        <w:rPr>
          <w:spacing w:val="-37"/>
        </w:rPr>
        <w:t> </w:t>
      </w:r>
      <w:r>
        <w:rPr>
          <w:rFonts w:ascii="宋体" w:hAnsi="宋体" w:cs="宋体" w:eastAsia="宋体" w:hint="default"/>
        </w:rPr>
        <w:t>2010</w:t>
      </w:r>
      <w:r>
        <w:rPr>
          <w:rFonts w:ascii="宋体" w:hAnsi="宋体" w:cs="宋体" w:eastAsia="宋体" w:hint="default"/>
          <w:spacing w:val="-37"/>
        </w:rPr>
        <w:t> </w:t>
      </w:r>
      <w:r>
        <w:rPr/>
        <w:t>年度发生数为</w:t>
      </w:r>
      <w:r>
        <w:rPr>
          <w:spacing w:val="-37"/>
        </w:rPr>
        <w:t> </w:t>
      </w:r>
      <w:r>
        <w:rPr>
          <w:rFonts w:ascii="宋体" w:hAnsi="宋体" w:cs="宋体" w:eastAsia="宋体" w:hint="default"/>
        </w:rPr>
        <w:t>17,044,514.61</w:t>
      </w:r>
      <w:r>
        <w:rPr>
          <w:rFonts w:ascii="宋体" w:hAnsi="宋体" w:cs="宋体" w:eastAsia="宋体" w:hint="default"/>
          <w:spacing w:val="-37"/>
        </w:rPr>
        <w:t> </w:t>
      </w:r>
      <w:r>
        <w:rPr/>
        <w:t>元，比上期数增加 </w:t>
      </w:r>
      <w:r>
        <w:rPr>
          <w:rFonts w:ascii="宋体" w:hAnsi="宋体" w:cs="宋体" w:eastAsia="宋体" w:hint="default"/>
        </w:rPr>
        <w:t>49.51%</w:t>
      </w:r>
      <w:r>
        <w:rPr/>
        <w:t>，其主要原因是：本年利润总额增加，且部分子公司税率提高所致。</w:t>
      </w:r>
    </w:p>
    <w:p>
      <w:pPr>
        <w:spacing w:after="0" w:line="304" w:lineRule="auto"/>
        <w:jc w:val="left"/>
        <w:sectPr>
          <w:pgSz w:w="11910" w:h="16840"/>
          <w:pgMar w:header="915" w:footer="802" w:top="1100" w:bottom="1000" w:left="1660" w:right="1640"/>
        </w:sectPr>
      </w:pPr>
    </w:p>
    <w:p>
      <w:pPr>
        <w:spacing w:line="240" w:lineRule="auto" w:before="0"/>
        <w:rPr>
          <w:rFonts w:ascii="宋体" w:hAnsi="宋体" w:cs="宋体" w:eastAsia="宋体" w:hint="default"/>
          <w:sz w:val="18"/>
          <w:szCs w:val="18"/>
        </w:rPr>
      </w:pPr>
      <w:r>
        <w:rPr/>
        <w:pict>
          <v:group style="position:absolute;margin-left:88.103996pt;margin-top:41.999985pt;width:419.25pt;height:16.3500pt;mso-position-horizontal-relative:page;mso-position-vertical-relative:page;z-index:3760"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7" o:title=""/>
              </v:shape>
            </v:group>
            <w10:wrap type="none"/>
          </v:group>
        </w:pict>
      </w:r>
    </w:p>
    <w:p>
      <w:pPr>
        <w:pStyle w:val="Heading1"/>
        <w:spacing w:line="240" w:lineRule="auto"/>
        <w:ind w:left="2788" w:right="144"/>
        <w:jc w:val="left"/>
        <w:rPr>
          <w:b w:val="0"/>
          <w:bCs w:val="0"/>
        </w:rPr>
      </w:pPr>
      <w:bookmarkStart w:name="_TOC_250000" w:id="11"/>
      <w:r>
        <w:rPr/>
        <w:t>第十一节备查文件目录</w:t>
      </w:r>
      <w:bookmarkEnd w:id="11"/>
      <w:r>
        <w:rPr>
          <w:b w:val="0"/>
          <w:bCs w:val="0"/>
        </w:rPr>
      </w:r>
    </w:p>
    <w:p>
      <w:pPr>
        <w:spacing w:line="240" w:lineRule="auto" w:before="0"/>
        <w:rPr>
          <w:rFonts w:ascii="宋体" w:hAnsi="宋体" w:cs="宋体" w:eastAsia="宋体" w:hint="default"/>
          <w:b/>
          <w:bCs/>
          <w:sz w:val="30"/>
          <w:szCs w:val="30"/>
        </w:rPr>
      </w:pPr>
    </w:p>
    <w:p>
      <w:pPr>
        <w:spacing w:line="240" w:lineRule="auto" w:before="9"/>
        <w:rPr>
          <w:rFonts w:ascii="宋体" w:hAnsi="宋体" w:cs="宋体" w:eastAsia="宋体" w:hint="default"/>
          <w:b/>
          <w:bCs/>
          <w:sz w:val="22"/>
          <w:szCs w:val="22"/>
        </w:rPr>
      </w:pPr>
    </w:p>
    <w:p>
      <w:pPr>
        <w:spacing w:before="0"/>
        <w:ind w:left="138" w:right="144"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w:t>
      </w:r>
    </w:p>
    <w:p>
      <w:pPr>
        <w:spacing w:line="240" w:lineRule="auto" w:before="8"/>
        <w:rPr>
          <w:rFonts w:ascii="宋体" w:hAnsi="宋体" w:cs="宋体" w:eastAsia="宋体" w:hint="default"/>
          <w:sz w:val="20"/>
          <w:szCs w:val="20"/>
        </w:rPr>
      </w:pPr>
    </w:p>
    <w:p>
      <w:pPr>
        <w:spacing w:before="0"/>
        <w:ind w:left="138" w:right="144" w:firstLine="0"/>
        <w:jc w:val="left"/>
        <w:rPr>
          <w:rFonts w:ascii="宋体" w:hAnsi="宋体" w:cs="宋体" w:eastAsia="宋体" w:hint="default"/>
          <w:sz w:val="21"/>
          <w:szCs w:val="21"/>
        </w:rPr>
      </w:pPr>
      <w:r>
        <w:rPr>
          <w:rFonts w:ascii="宋体" w:hAnsi="宋体" w:cs="宋体" w:eastAsia="宋体" w:hint="default"/>
          <w:sz w:val="21"/>
          <w:szCs w:val="21"/>
        </w:rPr>
        <w:t>（二）载有会计师事务所盖章、注册会计师签名并盖章的审计报告原件。</w:t>
      </w:r>
    </w:p>
    <w:p>
      <w:pPr>
        <w:spacing w:line="240" w:lineRule="auto" w:before="8"/>
        <w:rPr>
          <w:rFonts w:ascii="宋体" w:hAnsi="宋体" w:cs="宋体" w:eastAsia="宋体" w:hint="default"/>
          <w:sz w:val="20"/>
          <w:szCs w:val="20"/>
        </w:rPr>
      </w:pPr>
    </w:p>
    <w:p>
      <w:pPr>
        <w:spacing w:before="0"/>
        <w:ind w:left="138" w:right="144" w:firstLine="0"/>
        <w:jc w:val="left"/>
        <w:rPr>
          <w:rFonts w:ascii="宋体" w:hAnsi="宋体" w:cs="宋体" w:eastAsia="宋体" w:hint="default"/>
          <w:sz w:val="21"/>
          <w:szCs w:val="21"/>
        </w:rPr>
      </w:pPr>
      <w:r>
        <w:rPr>
          <w:rFonts w:ascii="宋体" w:hAnsi="宋体" w:cs="宋体" w:eastAsia="宋体" w:hint="default"/>
          <w:spacing w:val="-10"/>
          <w:sz w:val="21"/>
          <w:szCs w:val="21"/>
        </w:rPr>
        <w:t>（三）报告期内，在中国证监会指定报纸上公开披露过的所有文件正本及公告原稿。</w:t>
      </w:r>
    </w:p>
    <w:p>
      <w:pPr>
        <w:spacing w:line="240" w:lineRule="auto" w:before="8"/>
        <w:rPr>
          <w:rFonts w:ascii="宋体" w:hAnsi="宋体" w:cs="宋体" w:eastAsia="宋体" w:hint="default"/>
          <w:sz w:val="20"/>
          <w:szCs w:val="20"/>
        </w:rPr>
      </w:pPr>
    </w:p>
    <w:p>
      <w:pPr>
        <w:spacing w:before="0"/>
        <w:ind w:left="138" w:right="144" w:firstLine="0"/>
        <w:jc w:val="left"/>
        <w:rPr>
          <w:rFonts w:ascii="宋体" w:hAnsi="宋体" w:cs="宋体" w:eastAsia="宋体" w:hint="default"/>
          <w:sz w:val="21"/>
          <w:szCs w:val="21"/>
        </w:rPr>
      </w:pPr>
      <w:r>
        <w:rPr>
          <w:rFonts w:ascii="宋体" w:hAnsi="宋体" w:cs="宋体" w:eastAsia="宋体" w:hint="default"/>
          <w:sz w:val="21"/>
          <w:szCs w:val="21"/>
        </w:rPr>
        <w:t>（四）以上备查文件的备置地点：公司证券办公室。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609" w:lineRule="auto" w:before="0"/>
        <w:ind w:left="5392" w:right="958" w:hanging="644"/>
        <w:jc w:val="left"/>
        <w:rPr>
          <w:rFonts w:ascii="宋体" w:hAnsi="宋体" w:cs="宋体" w:eastAsia="宋体" w:hint="default"/>
        </w:rPr>
      </w:pPr>
      <w:r>
        <w:rPr>
          <w:rFonts w:ascii="宋体" w:hAnsi="宋体" w:cs="宋体" w:eastAsia="宋体" w:hint="default"/>
        </w:rPr>
        <w:t>东港安全印刷股份有限公司 董事长：谷望江</w:t>
      </w:r>
    </w:p>
    <w:p>
      <w:pPr>
        <w:pStyle w:val="BodyText"/>
        <w:spacing w:line="240" w:lineRule="auto" w:before="125"/>
        <w:ind w:left="5044" w:right="144"/>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28</w:t>
      </w:r>
      <w:r>
        <w:rPr>
          <w:rFonts w:ascii="宋体" w:hAnsi="宋体" w:cs="宋体" w:eastAsia="宋体" w:hint="default"/>
          <w:spacing w:val="-60"/>
        </w:rPr>
        <w:t> </w:t>
      </w:r>
      <w:r>
        <w:rPr>
          <w:rFonts w:ascii="宋体" w:hAnsi="宋体" w:cs="宋体" w:eastAsia="宋体" w:hint="default"/>
        </w:rPr>
        <w:t>日</w:t>
      </w:r>
    </w:p>
    <w:sectPr>
      <w:pgSz w:w="11910" w:h="16840"/>
      <w:pgMar w:header="915" w:footer="802" w:top="1100" w:bottom="10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6680" type="#_x0000_t75" stroked="false">
          <v:imagedata r:id="rId1" o:title=""/>
        </v:shape>
      </w:pict>
    </w:r>
    <w:r>
      <w:rPr/>
      <w:pict>
        <v:shape style="position:absolute;margin-left:294.369995pt;margin-top:781.933899pt;width:6.5pt;height:11pt;mso-position-horizontal-relative:page;mso-position-vertical-relative:page;z-index:-746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68.961609pt;width:13.15pt;height:11pt;mso-position-horizontal-relative:page;mso-position-vertical-relative:page;z-index:-7460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68</w:t>
                </w:r>
                <w:r>
                  <w:rPr/>
                  <w:fldChar w:fldCharType="end"/>
                </w:r>
                <w:r>
                  <w:rPr>
                    <w:rFonts w:ascii="宋体"/>
                    <w:spacing w:val="1"/>
                    <w:sz w:val="18"/>
                  </w:rPr>
                </w:r>
                <w:r>
                  <w:rPr>
                    <w:rFonts w:ascii="宋体"/>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68.961609pt;width:13.15pt;height:11pt;mso-position-horizontal-relative:page;mso-position-vertical-relative:page;z-index:-7460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69</w:t>
                </w:r>
                <w:r>
                  <w:rPr/>
                  <w:fldChar w:fldCharType="end"/>
                </w:r>
                <w:r>
                  <w:rPr>
                    <w:rFonts w:ascii="宋体"/>
                    <w:spacing w:val="1"/>
                    <w:sz w:val="18"/>
                  </w:rPr>
                </w:r>
                <w:r>
                  <w:rPr>
                    <w:rFonts w:ascii="宋体"/>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68.961609pt;width:13.15pt;height:11pt;mso-position-horizontal-relative:page;mso-position-vertical-relative:page;z-index:-7460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76</w:t>
                </w:r>
                <w:r>
                  <w:rPr/>
                  <w:fldChar w:fldCharType="end"/>
                </w:r>
                <w:r>
                  <w:rPr>
                    <w:rFonts w:ascii="宋体"/>
                    <w:spacing w:val="1"/>
                    <w:sz w:val="18"/>
                  </w:rPr>
                </w:r>
                <w:r>
                  <w:rPr>
                    <w:rFonts w:ascii="宋体"/>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2.361633pt;width:13.15pt;height:11pt;mso-position-horizontal-relative:page;mso-position-vertical-relative:page;z-index:-7459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79</w:t>
                </w:r>
                <w:r>
                  <w:rPr/>
                  <w:fldChar w:fldCharType="end"/>
                </w:r>
                <w:r>
                  <w:rPr>
                    <w:rFonts w:ascii="宋体"/>
                    <w:spacing w:val="1"/>
                    <w:sz w:val="18"/>
                  </w:rPr>
                </w:r>
                <w:r>
                  <w:rPr>
                    <w:rFonts w:ascii="宋体"/>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649994pt;margin-top:768.961609pt;width:13.15pt;height:11pt;mso-position-horizontal-relative:page;mso-position-vertical-relative:page;z-index:-7458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82</w:t>
                </w:r>
                <w:r>
                  <w:rPr/>
                  <w:fldChar w:fldCharType="end"/>
                </w:r>
                <w:r>
                  <w:rPr>
                    <w:rFonts w:ascii="宋体"/>
                    <w:spacing w:val="1"/>
                    <w:sz w:val="18"/>
                  </w:rPr>
                </w:r>
                <w:r>
                  <w:rPr>
                    <w:rFonts w:ascii="宋体"/>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83.733948pt;width:13.15pt;height:11pt;mso-position-horizontal-relative:page;mso-position-vertical-relative:page;z-index:-74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489990pt;margin-top:783.733948pt;width:13.15pt;height:11pt;mso-position-horizontal-relative:page;mso-position-vertical-relative:page;z-index:-745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29987pt;margin-top:783.733948pt;width:15.7pt;height:11pt;mso-position-horizontal-relative:page;mso-position-vertical-relative:page;z-index:-745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329987pt;margin-top:783.733948pt;width:17.7pt;height:11pt;mso-position-horizontal-relative:page;mso-position-vertical-relative:page;z-index:-745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6632" type="#_x0000_t75" stroked="false">
          <v:imagedata r:id="rId1" o:title=""/>
        </v:shape>
      </w:pict>
    </w:r>
    <w:r>
      <w:rPr/>
      <w:pict>
        <v:shape style="position:absolute;margin-left:294.369995pt;margin-top:789.013916pt;width:6.5pt;height:11pt;mso-position-horizontal-relative:page;mso-position-vertical-relative:page;z-index:-746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9.049988pt;margin-top:789.013916pt;width:17.350pt;height:12.8pt;mso-position-horizontal-relative:page;mso-position-vertical-relative:page;z-index:-745360" type="#_x0000_t202" filled="false" stroked="false">
          <v:textbox inset="0,0,0,0">
            <w:txbxContent>
              <w:p>
                <w:pPr>
                  <w:spacing w:before="32"/>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6560" type="#_x0000_t75" stroked="false">
          <v:imagedata r:id="rId1" o:title=""/>
        </v:shape>
      </w:pict>
    </w:r>
    <w:r>
      <w:rPr/>
      <w:pict>
        <v:shape style="position:absolute;margin-left:291.209991pt;margin-top:775.921631pt;width:13.15pt;height:11pt;mso-position-horizontal-relative:page;mso-position-vertical-relative:page;z-index:-746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r>
                  <w:rPr>
                    <w:rFonts w:ascii="宋体"/>
                    <w:spacing w:val="1"/>
                    <w:sz w:val="18"/>
                  </w:rPr>
                </w:r>
                <w:r>
                  <w:rPr>
                    <w:rFonts w:ascii="宋体"/>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6440" type="#_x0000_t75" stroked="false">
          <v:imagedata r:id="rId1" o:title=""/>
        </v:shape>
      </w:pict>
    </w:r>
    <w:r>
      <w:rPr/>
      <w:pict>
        <v:shape style="position:absolute;margin-left:291.209991pt;margin-top:775.921631pt;width:13.15pt;height:11pt;mso-position-horizontal-relative:page;mso-position-vertical-relative:page;z-index:-7464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34</w:t>
                </w:r>
                <w:r>
                  <w:rPr/>
                  <w:fldChar w:fldCharType="end"/>
                </w:r>
                <w:r>
                  <w:rPr>
                    <w:rFonts w:ascii="宋体"/>
                    <w:spacing w:val="1"/>
                    <w:sz w:val="18"/>
                  </w:rPr>
                </w:r>
                <w:r>
                  <w:rPr>
                    <w:rFonts w:ascii="宋体"/>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46272" type="#_x0000_t75" stroked="false">
          <v:imagedata r:id="rId1" o:title=""/>
        </v:shape>
      </w:pict>
    </w:r>
    <w:r>
      <w:rPr/>
      <w:pict>
        <v:shape style="position:absolute;margin-left:424.209991pt;margin-top:542.41394pt;width:11.15pt;height:11pt;mso-position-horizontal-relative:page;mso-position-vertical-relative:page;z-index:-746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46224" type="#_x0000_t75" stroked="false">
          <v:imagedata r:id="rId1" o:title=""/>
        </v:shape>
      </w:pict>
    </w:r>
    <w:r>
      <w:rPr/>
      <w:pict>
        <v:shape style="position:absolute;margin-left:423.209991pt;margin-top:529.321655pt;width:13.15pt;height:11pt;mso-position-horizontal-relative:page;mso-position-vertical-relative:page;z-index:-7462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52</w:t>
                </w:r>
                <w:r>
                  <w:rPr/>
                  <w:fldChar w:fldCharType="end"/>
                </w:r>
                <w:r>
                  <w:rPr>
                    <w:rFonts w:ascii="宋体"/>
                    <w:spacing w:val="1"/>
                    <w:sz w:val="18"/>
                  </w:rPr>
                </w:r>
                <w:r>
                  <w:rPr>
                    <w:rFonts w:ascii="宋体"/>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68.961609pt;width:13.15pt;height:11pt;mso-position-horizontal-relative:page;mso-position-vertical-relative:page;z-index:-7461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55</w:t>
                </w:r>
                <w:r>
                  <w:rPr/>
                  <w:fldChar w:fldCharType="end"/>
                </w:r>
                <w:r>
                  <w:rPr>
                    <w:rFonts w:ascii="宋体"/>
                    <w:spacing w:val="1"/>
                    <w:sz w:val="18"/>
                  </w:rPr>
                </w:r>
                <w:r>
                  <w:rPr>
                    <w:rFonts w:ascii="宋体"/>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68.961609pt;width:13.15pt;height:11pt;mso-position-horizontal-relative:page;mso-position-vertical-relative:page;z-index:-7461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56</w:t>
                </w:r>
                <w:r>
                  <w:rPr/>
                  <w:fldChar w:fldCharType="end"/>
                </w:r>
                <w:r>
                  <w:rPr>
                    <w:rFonts w:ascii="宋体"/>
                    <w:spacing w:val="1"/>
                    <w:sz w:val="18"/>
                  </w:rPr>
                </w:r>
                <w:r>
                  <w:rPr>
                    <w:rFonts w:ascii="宋体"/>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68.961609pt;width:13.15pt;height:11pt;mso-position-horizontal-relative:page;mso-position-vertical-relative:page;z-index:-7460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65</w:t>
                </w:r>
                <w:r>
                  <w:rPr/>
                  <w:fldChar w:fldCharType="end"/>
                </w:r>
                <w:r>
                  <w:rPr>
                    <w:rFonts w:ascii="宋体"/>
                    <w:spacing w:val="1"/>
                    <w:sz w:val="18"/>
                  </w:rPr>
                </w:r>
                <w:r>
                  <w:rPr>
                    <w:rFonts w:ascii="宋体"/>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1.999985pt;width:419.25pt;height:16.3500pt;mso-position-horizontal-relative:page;mso-position-vertical-relative:page;z-index:-746728"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99.75pt;margin-top:45.26561pt;width:105.5pt;height:11.5pt;mso-position-horizontal-relative:page;mso-position-vertical-relative:page;z-index:-746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344002pt;margin-top:41.999985pt;width:451.75pt;height:16.3500pt;mso-position-horizontal-relative:page;mso-position-vertical-relative:page;z-index:-745912" coordorigin="1587,840" coordsize="9035,327">
          <v:group style="position:absolute;left:1594;top:1159;width:9021;height:2" coordorigin="1594,1159" coordsize="9021,2">
            <v:shape style="position:absolute;left:1594;top:1159;width:9021;height:2" coordorigin="1594,1159" coordsize="9021,0" path="m1594,1159l10615,1159e" filled="false" stroked="true" strokeweight=".72pt" strokecolor="#000000">
              <v:path arrowok="t"/>
            </v:shape>
            <v:shape style="position:absolute;left:1628;top:840;width:360;height:315" type="#_x0000_t75" stroked="false">
              <v:imagedata r:id="rId1" o:title=""/>
            </v:shape>
          </v:group>
          <w10:wrap type="none"/>
        </v:group>
      </w:pict>
    </w:r>
    <w:r>
      <w:rPr/>
      <w:pict>
        <v:shape style="position:absolute;margin-left:390.98999pt;margin-top:45.26561pt;width:105.5pt;height:11.5pt;mso-position-horizontal-relative:page;mso-position-vertical-relative:page;z-index:-745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8.98999pt;margin-top:45.26561pt;width:105.45pt;height:11.5pt;mso-position-horizontal-relative:page;mso-position-vertical-relative:page;z-index:-745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344002pt;margin-top:41.999985pt;width:465.45pt;height:16.3500pt;mso-position-horizontal-relative:page;mso-position-vertical-relative:page;z-index:-745792" coordorigin="1347,840" coordsize="9309,327">
          <v:group style="position:absolute;left:1354;top:1159;width:9295;height:2" coordorigin="1354,1159" coordsize="9295,2">
            <v:shape style="position:absolute;left:1354;top:1159;width:9295;height:2" coordorigin="1354,1159" coordsize="9295,0" path="m1354,1159l10648,1159e" filled="false" stroked="true" strokeweight=".72pt" strokecolor="#000000">
              <v:path arrowok="t"/>
            </v:shape>
            <v:shape style="position:absolute;left:1389;top:840;width:360;height:315" type="#_x0000_t75" stroked="false">
              <v:imagedata r:id="rId1" o:title=""/>
            </v:shape>
          </v:group>
          <w10:wrap type="none"/>
        </v:group>
      </w:pict>
    </w:r>
    <w:r>
      <w:rPr/>
      <w:pict>
        <v:shape style="position:absolute;margin-left:378.98999pt;margin-top:45.26561pt;width:105.45pt;height:11.5pt;mso-position-horizontal-relative:page;mso-position-vertical-relative:page;z-index:-745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869995pt;margin-top:45.26561pt;width:105.5pt;height:11.5pt;mso-position-horizontal-relative:page;mso-position-vertical-relative:page;z-index:-745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223999pt;margin-top:41.999985pt;width:453.7pt;height:16.3500pt;mso-position-horizontal-relative:page;mso-position-vertical-relative:page;z-index:-745696" coordorigin="1584,840" coordsize="9074,327">
          <v:group style="position:absolute;left:1592;top:1159;width:9059;height:2" coordorigin="1592,1159" coordsize="9059,2">
            <v:shape style="position:absolute;left:1592;top:1159;width:9059;height:2" coordorigin="1592,1159" coordsize="9059,0" path="m1592,1159l10651,1159e" filled="false" stroked="true" strokeweight=".72pt" strokecolor="#000000">
              <v:path arrowok="t"/>
            </v:shape>
            <v:shape style="position:absolute;left:1626;top:840;width:360;height:315" type="#_x0000_t75" stroked="false">
              <v:imagedata r:id="rId1" o:title=""/>
            </v:shape>
          </v:group>
          <w10:wrap type="none"/>
        </v:group>
      </w:pict>
    </w:r>
    <w:r>
      <w:rPr/>
      <w:pict>
        <v:shape style="position:absolute;margin-left:390.869995pt;margin-top:45.26561pt;width:105.5pt;height:11.5pt;mso-position-horizontal-relative:page;mso-position-vertical-relative:page;z-index:-745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869995pt;margin-top:45.26561pt;width:105.5pt;height:11.5pt;mso-position-horizontal-relative:page;mso-position-vertical-relative:page;z-index:-745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223999pt;margin-top:41.999985pt;width:453.7pt;height:16.3500pt;mso-position-horizontal-relative:page;mso-position-vertical-relative:page;z-index:-745600" coordorigin="1584,840" coordsize="9074,327">
          <v:group style="position:absolute;left:1592;top:1159;width:9059;height:2" coordorigin="1592,1159" coordsize="9059,2">
            <v:shape style="position:absolute;left:1592;top:1159;width:9059;height:2" coordorigin="1592,1159" coordsize="9059,0" path="m1592,1159l10651,1159e" filled="false" stroked="true" strokeweight=".72pt" strokecolor="#000000">
              <v:path arrowok="t"/>
            </v:shape>
            <v:shape style="position:absolute;left:1626;top:840;width:360;height:315" type="#_x0000_t75" stroked="false">
              <v:imagedata r:id="rId1" o:title=""/>
            </v:shape>
          </v:group>
          <w10:wrap type="none"/>
        </v:group>
      </w:pict>
    </w:r>
    <w:r>
      <w:rPr/>
      <w:pict>
        <v:shape style="position:absolute;margin-left:390.869995pt;margin-top:45.26561pt;width:105.5pt;height:11.5pt;mso-position-horizontal-relative:page;mso-position-vertical-relative:page;z-index:-745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869995pt;margin-top:45.26561pt;width:105.5pt;height:11.5pt;mso-position-horizontal-relative:page;mso-position-vertical-relative:page;z-index:-745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1.300003pt;margin-top:41.999985pt;width:18pt;height:15.75pt;mso-position-horizontal-relative:page;mso-position-vertical-relative:page;z-index:-745504" type="#_x0000_t75" stroked="false">
          <v:imagedata r:id="rId1" o:title=""/>
        </v:shape>
      </w:pict>
    </w:r>
    <w:r>
      <w:rPr/>
      <w:pict>
        <v:shape style="position:absolute;margin-left:390.869995pt;margin-top:45.26561pt;width:105.5pt;height:11.5pt;mso-position-horizontal-relative:page;mso-position-vertical-relative:page;z-index:-745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5pt;margin-top:45.26561pt;width:105.5pt;height:11.5pt;mso-position-horizontal-relative:page;mso-position-vertical-relative:page;z-index:-746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869995pt;margin-top:45.26561pt;width:105.5pt;height:11.5pt;mso-position-horizontal-relative:page;mso-position-vertical-relative:page;z-index:-745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1.300003pt;margin-top:41.999985pt;width:18pt;height:15.75pt;mso-position-horizontal-relative:page;mso-position-vertical-relative:page;z-index:-745432" type="#_x0000_t75" stroked="false">
          <v:imagedata r:id="rId1" o:title=""/>
        </v:shape>
      </w:pict>
    </w:r>
    <w:r>
      <w:rPr/>
      <w:pict>
        <v:shape style="position:absolute;margin-left:390.869995pt;margin-top:45.26561pt;width:105.5pt;height:11.5pt;mso-position-horizontal-relative:page;mso-position-vertical-relative:page;z-index:-745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5pt;margin-top:45.26561pt;width:105.5pt;height:11.5pt;mso-position-horizontal-relative:page;mso-position-vertical-relative:page;z-index:-745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1.999985pt;width:419.25pt;height:16.3500pt;mso-position-horizontal-relative:page;mso-position-vertical-relative:page;z-index:-745336"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1" o:title=""/>
            </v:shape>
          </v:group>
          <w10:wrap type="none"/>
        </v:group>
      </w:pict>
    </w:r>
    <w:r>
      <w:rPr/>
      <w:pict>
        <v:shape style="position:absolute;margin-left:399.75pt;margin-top:45.26561pt;width:105.5pt;height:11.5pt;mso-position-horizontal-relative:page;mso-position-vertical-relative:page;z-index:-745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5pt;margin-top:45.26561pt;width:105.5pt;height:11.5pt;mso-position-horizontal-relative:page;mso-position-vertical-relative:page;z-index:-745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150002pt;margin-top:41.999985pt;width:18pt;height:15.75pt;mso-position-horizontal-relative:page;mso-position-vertical-relative:page;z-index:-745264" type="#_x0000_t75" stroked="false">
          <v:imagedata r:id="rId1" o:title=""/>
        </v:shape>
      </w:pict>
    </w:r>
    <w:r>
      <w:rPr/>
      <w:pict>
        <v:shape style="position:absolute;margin-left:399.75pt;margin-top:45.26561pt;width:105.5pt;height:11.5pt;mso-position-horizontal-relative:page;mso-position-vertical-relative:page;z-index:-745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5pt;margin-top:45.26561pt;width:105.5pt;height:11.5pt;mso-position-horizontal-relative:page;mso-position-vertical-relative:page;z-index:-745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1.999985pt;width:419.25pt;height:16.3500pt;mso-position-horizontal-relative:page;mso-position-vertical-relative:page;z-index:-746512" coordorigin="1762,840" coordsize="8385,327">
          <v:group style="position:absolute;left:1769;top:1159;width:8371;height:2" coordorigin="1769,1159" coordsize="8371,2">
            <v:shape style="position:absolute;left:1769;top:1159;width:8371;height:2" coordorigin="1769,1159" coordsize="8371,0" path="m1769,1159l10139,1159e" filled="false" stroked="true" strokeweight=".72pt" strokecolor="#000000">
              <v:path arrowok="t"/>
            </v:shape>
            <v:shape style="position:absolute;left:1803;top:840;width:360;height:315" type="#_x0000_t75" stroked="false">
              <v:imagedata r:id="rId1" o:title=""/>
            </v:shape>
          </v:group>
          <w10:wrap type="none"/>
        </v:group>
      </w:pict>
    </w:r>
    <w:r>
      <w:rPr/>
      <w:pict>
        <v:shape style="position:absolute;margin-left:399.75pt;margin-top:45.26561pt;width:105.5pt;height:11.5pt;mso-position-horizontal-relative:page;mso-position-vertical-relative:page;z-index:-746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5pt;margin-top:45.26561pt;width:105.5pt;height:11.5pt;mso-position-horizontal-relative:page;mso-position-vertical-relative:page;z-index:-746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150002pt;margin-top:41.999985pt;width:18pt;height:15.75pt;mso-position-horizontal-relative:page;mso-position-vertical-relative:page;z-index:-746392" type="#_x0000_t75" stroked="false">
          <v:imagedata r:id="rId1" o:title=""/>
        </v:shape>
      </w:pict>
    </w:r>
    <w:r>
      <w:rPr/>
      <w:pict>
        <v:shape style="position:absolute;margin-left:399.75pt;margin-top:45.26561pt;width:105.5pt;height:11.5pt;mso-position-horizontal-relative:page;mso-position-vertical-relative:page;z-index:-746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75pt;margin-top:45.26561pt;width:105.5pt;height:11.5pt;mso-position-horizontal-relative:page;mso-position-vertical-relative:page;z-index:-746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99997pt;margin-top:42.000008pt;width:719.15pt;height:16.3500pt;mso-position-horizontal-relative:page;mso-position-vertical-relative:page;z-index:-746320" coordorigin="1404,840" coordsize="14383,327">
          <v:group style="position:absolute;left:1411;top:1159;width:14369;height:2" coordorigin="1411,1159" coordsize="14369,2">
            <v:shape style="position:absolute;left:1411;top:1159;width:14369;height:2" coordorigin="1411,1159" coordsize="14369,0" path="m1411,1159l15780,1159e" filled="false" stroked="true" strokeweight=".72pt" strokecolor="#000000">
              <v:path arrowok="t"/>
            </v:shape>
            <v:shape style="position:absolute;left:1446;top:840;width:360;height:315" type="#_x0000_t75" stroked="false">
              <v:imagedata r:id="rId1" o:title=""/>
            </v:shape>
          </v:group>
          <w10:wrap type="none"/>
        </v:group>
      </w:pict>
    </w:r>
    <w:r>
      <w:rPr/>
      <w:pict>
        <v:shape style="position:absolute;margin-left:381.850006pt;margin-top:45.265633pt;width:105.45pt;height:11.5pt;mso-position-horizontal-relative:page;mso-position-vertical-relative:page;z-index:-746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344002pt;margin-top:41.999985pt;width:453.55pt;height:16.3500pt;mso-position-horizontal-relative:page;mso-position-vertical-relative:page;z-index:-746176" coordorigin="1587,840" coordsize="9071,327">
          <v:group style="position:absolute;left:1594;top:1159;width:9057;height:2" coordorigin="1594,1159" coordsize="9057,2">
            <v:shape style="position:absolute;left:1594;top:1159;width:9057;height:2" coordorigin="1594,1159" coordsize="9057,0" path="m1594,1159l10651,1159e" filled="false" stroked="true" strokeweight=".72pt" strokecolor="#000000">
              <v:path arrowok="t"/>
            </v:shape>
            <v:shape style="position:absolute;left:1628;top:840;width:360;height:315" type="#_x0000_t75" stroked="false">
              <v:imagedata r:id="rId1" o:title=""/>
            </v:shape>
          </v:group>
          <w10:wrap type="none"/>
        </v:group>
      </w:pict>
    </w:r>
    <w:r>
      <w:rPr/>
      <w:pict>
        <v:shape style="position:absolute;margin-left:390.98999pt;margin-top:45.26561pt;width:105.5pt;height:11.5pt;mso-position-horizontal-relative:page;mso-position-vertical-relative:page;z-index:-746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99997pt;margin-top:42.000008pt;width:701.65pt;height:16.3500pt;mso-position-horizontal-relative:page;mso-position-vertical-relative:page;z-index:-745984" coordorigin="1404,840" coordsize="14033,327">
          <v:group style="position:absolute;left:1411;top:1159;width:14018;height:2" coordorigin="1411,1159" coordsize="14018,2">
            <v:shape style="position:absolute;left:1411;top:1159;width:14018;height:2" coordorigin="1411,1159" coordsize="14018,0" path="m1411,1159l15429,1159e" filled="false" stroked="true" strokeweight=".72pt" strokecolor="#000000">
              <v:path arrowok="t"/>
            </v:shape>
            <v:shape style="position:absolute;left:1446;top:840;width:360;height:315" type="#_x0000_t75" stroked="false">
              <v:imagedata r:id="rId1" o:title=""/>
            </v:shape>
          </v:group>
          <w10:wrap type="none"/>
        </v:group>
      </w:pict>
    </w:r>
    <w:r>
      <w:rPr/>
      <w:pict>
        <v:shape style="position:absolute;margin-left:381.850006pt;margin-top:45.265633pt;width:105.45pt;height:11.5pt;mso-position-horizontal-relative:page;mso-position-vertical-relative:page;z-index:-745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07"/>
      <w:ind w:left="138"/>
    </w:pPr>
    <w:rPr>
      <w:rFonts w:ascii="宋体" w:hAnsi="宋体" w:eastAsia="宋体"/>
      <w:b/>
      <w:bCs/>
      <w:sz w:val="24"/>
      <w:szCs w:val="24"/>
    </w:rPr>
  </w:style>
  <w:style w:styleId="BodyText" w:type="paragraph">
    <w:name w:val="Body Text"/>
    <w:basedOn w:val="Normal"/>
    <w:uiPriority w:val="1"/>
    <w:qFormat/>
    <w:pPr>
      <w:spacing w:before="22"/>
      <w:ind w:left="142"/>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ind w:left="620"/>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tungkong.com/" TargetMode="External"/><Relationship Id="rId14" Type="http://schemas.openxmlformats.org/officeDocument/2006/relationships/hyperlink" Target="mailto:tksp@tungkong.com.cn" TargetMode="External"/><Relationship Id="rId15" Type="http://schemas.openxmlformats.org/officeDocument/2006/relationships/hyperlink" Target="http://www.cninfo.com.cn/"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9.xml"/><Relationship Id="rId34" Type="http://schemas.openxmlformats.org/officeDocument/2006/relationships/footer" Target="footer13.xml"/><Relationship Id="rId35" Type="http://schemas.openxmlformats.org/officeDocument/2006/relationships/header" Target="header10.xml"/><Relationship Id="rId36" Type="http://schemas.openxmlformats.org/officeDocument/2006/relationships/footer" Target="footer14.xml"/><Relationship Id="rId37" Type="http://schemas.openxmlformats.org/officeDocument/2006/relationships/header" Target="header11.xml"/><Relationship Id="rId38" Type="http://schemas.openxmlformats.org/officeDocument/2006/relationships/footer" Target="footer15.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footer" Target="footer16.xml"/><Relationship Id="rId42" Type="http://schemas.openxmlformats.org/officeDocument/2006/relationships/header" Target="header14.xml"/><Relationship Id="rId43" Type="http://schemas.openxmlformats.org/officeDocument/2006/relationships/footer" Target="footer17.xm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footer" Target="footer18.xml"/><Relationship Id="rId47" Type="http://schemas.openxmlformats.org/officeDocument/2006/relationships/header" Target="header17.xml"/><Relationship Id="rId48" Type="http://schemas.openxmlformats.org/officeDocument/2006/relationships/footer" Target="footer19.xml"/><Relationship Id="rId49" Type="http://schemas.openxmlformats.org/officeDocument/2006/relationships/header" Target="header18.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header" Target="header22.xml"/><Relationship Id="rId54" Type="http://schemas.openxmlformats.org/officeDocument/2006/relationships/footer" Target="footer20.xml"/><Relationship Id="rId55" Type="http://schemas.openxmlformats.org/officeDocument/2006/relationships/header" Target="header23.xml"/><Relationship Id="rId56" Type="http://schemas.openxmlformats.org/officeDocument/2006/relationships/footer" Target="footer21.xml"/><Relationship Id="rId57" Type="http://schemas.openxmlformats.org/officeDocument/2006/relationships/image" Target="media/image8.jpeg"/><Relationship Id="rId58" Type="http://schemas.openxmlformats.org/officeDocument/2006/relationships/header" Target="header24.xml"/><Relationship Id="rId59" Type="http://schemas.openxmlformats.org/officeDocument/2006/relationships/header" Target="header25.xml"/><Relationship Id="rId60" Type="http://schemas.openxmlformats.org/officeDocument/2006/relationships/header" Target="header26.xml"/><Relationship Id="rId61" Type="http://schemas.openxmlformats.org/officeDocument/2006/relationships/header" Target="header27.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6.jpe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2020-04-29T01:38:41Z</dcterms:created>
  <dcterms:modified xsi:type="dcterms:W3CDTF">2020-04-29T01:38:41Z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2011-03-01T00:00:00Z</vt:filetime>
  </property>
  <property fmtid="{D5CDD505-2E9C-101B-9397-08002B2CF9AE}" pid="3" name="Creator">
    <vt:lpwstr>Microsoft® Office Word 2007</vt:lpwstr>
  </property>
  <property fmtid="{D5CDD505-2E9C-101B-9397-08002B2CF9AE}" pid="4" name="LastSaved">
    <vt:filetime>2020-04-28T00:00:00Z</vt:filetime>
  </property>
</Properties>
</file>